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208915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99060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75"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114935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01"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(Mark One)</w:t>
      </w:r>
    </w:p>
    <w:p>
      <w:pPr>
        <w:ind w:left="3280" w:right="1860" w:hanging="3272"/>
        <w:spacing w:after="0" w:line="470" w:lineRule="auto"/>
        <w:tabs>
          <w:tab w:leader="none" w:pos="237"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 FOR THE QUARTERLY PERIOD ENDED DECEMBER 31, 2019</w:t>
      </w:r>
    </w:p>
    <w:p>
      <w:pPr>
        <w:spacing w:after="0" w:line="296" w:lineRule="exact"/>
        <w:rPr>
          <w:sz w:val="24"/>
          <w:szCs w:val="24"/>
          <w:color w:val="auto"/>
        </w:rPr>
      </w:pPr>
    </w:p>
    <w:p>
      <w:pPr>
        <w:ind w:left="240" w:hanging="232"/>
        <w:spacing w:after="0"/>
        <w:tabs>
          <w:tab w:leader="none" w:pos="24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185"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6860" w:type="dxa"/>
            <w:vAlign w:val="bottom"/>
            <w:gridSpan w:val="2"/>
          </w:tcPr>
          <w:p>
            <w:pPr>
              <w:ind w:left="3480"/>
              <w:spacing w:after="0"/>
              <w:rPr>
                <w:sz w:val="20"/>
                <w:szCs w:val="20"/>
                <w:color w:val="auto"/>
              </w:rPr>
            </w:pPr>
            <w:r>
              <w:rPr>
                <w:rFonts w:ascii="Arial" w:cs="Arial" w:eastAsia="Arial" w:hAnsi="Arial"/>
                <w:sz w:val="18"/>
                <w:szCs w:val="18"/>
                <w:b w:val="1"/>
                <w:bCs w:val="1"/>
                <w:color w:val="auto"/>
              </w:rPr>
              <w:t>FOR THE TRANSITION PERIOD FROM</w:t>
            </w:r>
          </w:p>
        </w:tc>
        <w:tc>
          <w:tcPr>
            <w:tcW w:w="540" w:type="dxa"/>
            <w:vAlign w:val="bottom"/>
            <w:tcBorders>
              <w:bottom w:val="single" w:sz="8" w:color="auto"/>
            </w:tcBorders>
          </w:tcPr>
          <w:p>
            <w:pPr>
              <w:spacing w:after="0"/>
              <w:rPr>
                <w:sz w:val="17"/>
                <w:szCs w:val="17"/>
                <w:color w:val="auto"/>
              </w:rPr>
            </w:pPr>
          </w:p>
        </w:tc>
        <w:tc>
          <w:tcPr>
            <w:tcW w:w="300" w:type="dxa"/>
            <w:vAlign w:val="bottom"/>
          </w:tcPr>
          <w:p>
            <w:pPr>
              <w:ind w:left="40"/>
              <w:spacing w:after="0"/>
              <w:rPr>
                <w:sz w:val="20"/>
                <w:szCs w:val="20"/>
                <w:color w:val="auto"/>
              </w:rPr>
            </w:pPr>
            <w:r>
              <w:rPr>
                <w:rFonts w:ascii="Arial" w:cs="Arial" w:eastAsia="Arial" w:hAnsi="Arial"/>
                <w:sz w:val="18"/>
                <w:szCs w:val="18"/>
                <w:b w:val="1"/>
                <w:bCs w:val="1"/>
                <w:color w:val="auto"/>
                <w:w w:val="95"/>
              </w:rPr>
              <w:t>TO</w:t>
            </w:r>
          </w:p>
        </w:tc>
        <w:tc>
          <w:tcPr>
            <w:tcW w:w="540" w:type="dxa"/>
            <w:vAlign w:val="bottom"/>
            <w:tcBorders>
              <w:bottom w:val="single" w:sz="8" w:color="auto"/>
            </w:tcBorders>
          </w:tcPr>
          <w:p>
            <w:pPr>
              <w:spacing w:after="0"/>
              <w:rPr>
                <w:sz w:val="17"/>
                <w:szCs w:val="17"/>
                <w:color w:val="auto"/>
              </w:rPr>
            </w:pPr>
          </w:p>
        </w:tc>
        <w:tc>
          <w:tcPr>
            <w:tcW w:w="3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85"/>
        </w:trPr>
        <w:tc>
          <w:tcPr>
            <w:tcW w:w="3860" w:type="dxa"/>
            <w:vAlign w:val="bottom"/>
          </w:tcPr>
          <w:p>
            <w:pPr>
              <w:spacing w:after="0"/>
              <w:rPr>
                <w:sz w:val="24"/>
                <w:szCs w:val="24"/>
                <w:color w:val="auto"/>
              </w:rPr>
            </w:pPr>
          </w:p>
        </w:tc>
        <w:tc>
          <w:tcPr>
            <w:tcW w:w="354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w w:val="99"/>
              </w:rPr>
              <w:t>COMMISSION FILE NUMBER: 814-00891</w:t>
            </w: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6860" w:type="dxa"/>
            <w:vAlign w:val="bottom"/>
            <w:tcBorders>
              <w:bottom w:val="single" w:sz="8" w:color="auto"/>
            </w:tcBorders>
            <w:gridSpan w:val="2"/>
          </w:tcPr>
          <w:p>
            <w:pPr>
              <w:spacing w:after="0"/>
              <w:rPr>
                <w:sz w:val="12"/>
                <w:szCs w:val="12"/>
                <w:color w:val="auto"/>
              </w:rPr>
            </w:pPr>
          </w:p>
        </w:tc>
        <w:tc>
          <w:tcPr>
            <w:tcW w:w="840" w:type="dxa"/>
            <w:vAlign w:val="bottom"/>
            <w:tcBorders>
              <w:bottom w:val="single" w:sz="8" w:color="auto"/>
            </w:tcBorders>
            <w:gridSpan w:val="2"/>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30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470"/>
        </w:trPr>
        <w:tc>
          <w:tcPr>
            <w:tcW w:w="11240" w:type="dxa"/>
            <w:vAlign w:val="bottom"/>
            <w:gridSpan w:val="6"/>
          </w:tcPr>
          <w:p>
            <w:pPr>
              <w:jc w:val="center"/>
              <w:spacing w:after="0"/>
              <w:rPr>
                <w:sz w:val="20"/>
                <w:szCs w:val="20"/>
                <w:color w:val="auto"/>
              </w:rPr>
            </w:pPr>
            <w:r>
              <w:rPr>
                <w:rFonts w:ascii="Arial" w:cs="Arial" w:eastAsia="Arial" w:hAnsi="Arial"/>
                <w:sz w:val="31"/>
                <w:szCs w:val="31"/>
                <w:b w:val="1"/>
                <w:bCs w:val="1"/>
                <w:color w:val="auto"/>
                <w:w w:val="98"/>
              </w:rPr>
              <w:t>PENNANTPARK FLOATING RATE CAPITAL LTD.</w:t>
            </w:r>
          </w:p>
        </w:tc>
        <w:tc>
          <w:tcPr>
            <w:tcW w:w="0" w:type="dxa"/>
            <w:vAlign w:val="bottom"/>
          </w:tcPr>
          <w:p>
            <w:pPr>
              <w:spacing w:after="0"/>
              <w:rPr>
                <w:sz w:val="1"/>
                <w:szCs w:val="1"/>
                <w:color w:val="auto"/>
              </w:rPr>
            </w:pPr>
          </w:p>
        </w:tc>
      </w:tr>
      <w:tr>
        <w:trPr>
          <w:trHeight w:val="186"/>
        </w:trPr>
        <w:tc>
          <w:tcPr>
            <w:tcW w:w="3860" w:type="dxa"/>
            <w:vAlign w:val="bottom"/>
          </w:tcPr>
          <w:p>
            <w:pPr>
              <w:spacing w:after="0"/>
              <w:rPr>
                <w:sz w:val="16"/>
                <w:szCs w:val="16"/>
                <w:color w:val="auto"/>
              </w:rPr>
            </w:pPr>
          </w:p>
        </w:tc>
        <w:tc>
          <w:tcPr>
            <w:tcW w:w="35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(Exact name of registrant as specified in its charter)</w:t>
            </w:r>
          </w:p>
        </w:tc>
        <w:tc>
          <w:tcPr>
            <w:tcW w:w="3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97"/>
        </w:trPr>
        <w:tc>
          <w:tcPr>
            <w:tcW w:w="3860" w:type="dxa"/>
            <w:vAlign w:val="bottom"/>
          </w:tcPr>
          <w:p>
            <w:pPr>
              <w:jc w:val="center"/>
              <w:ind w:left="1701"/>
              <w:spacing w:after="0"/>
              <w:rPr>
                <w:sz w:val="20"/>
                <w:szCs w:val="20"/>
                <w:color w:val="auto"/>
              </w:rPr>
            </w:pPr>
            <w:r>
              <w:rPr>
                <w:rFonts w:ascii="Arial" w:cs="Arial" w:eastAsia="Arial" w:hAnsi="Arial"/>
                <w:sz w:val="14"/>
                <w:szCs w:val="14"/>
                <w:b w:val="1"/>
                <w:bCs w:val="1"/>
                <w:color w:val="auto"/>
              </w:rPr>
              <w:t>MARYLAND</w:t>
            </w:r>
          </w:p>
        </w:tc>
        <w:tc>
          <w:tcPr>
            <w:tcW w:w="30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840" w:type="dxa"/>
            <w:vAlign w:val="bottom"/>
            <w:gridSpan w:val="3"/>
          </w:tcPr>
          <w:p>
            <w:pPr>
              <w:jc w:val="right"/>
              <w:ind w:right="2275"/>
              <w:spacing w:after="0"/>
              <w:rPr>
                <w:sz w:val="20"/>
                <w:szCs w:val="20"/>
                <w:color w:val="auto"/>
              </w:rPr>
            </w:pPr>
            <w:r>
              <w:rPr>
                <w:rFonts w:ascii="Arial" w:cs="Arial" w:eastAsia="Arial" w:hAnsi="Arial"/>
                <w:sz w:val="14"/>
                <w:szCs w:val="14"/>
                <w:b w:val="1"/>
                <w:bCs w:val="1"/>
                <w:color w:val="auto"/>
              </w:rPr>
              <w:t>27-3794690</w:t>
            </w:r>
          </w:p>
        </w:tc>
        <w:tc>
          <w:tcPr>
            <w:tcW w:w="0" w:type="dxa"/>
            <w:vAlign w:val="bottom"/>
          </w:tcPr>
          <w:p>
            <w:pPr>
              <w:spacing w:after="0"/>
              <w:rPr>
                <w:sz w:val="1"/>
                <w:szCs w:val="1"/>
                <w:color w:val="auto"/>
              </w:rPr>
            </w:pPr>
          </w:p>
        </w:tc>
      </w:tr>
      <w:tr>
        <w:trPr>
          <w:trHeight w:val="168"/>
        </w:trPr>
        <w:tc>
          <w:tcPr>
            <w:tcW w:w="7400" w:type="dxa"/>
            <w:vAlign w:val="bottom"/>
            <w:gridSpan w:val="3"/>
          </w:tcPr>
          <w:p>
            <w:pPr>
              <w:jc w:val="center"/>
              <w:ind w:right="1740"/>
              <w:spacing w:after="0"/>
              <w:rPr>
                <w:sz w:val="20"/>
                <w:szCs w:val="20"/>
                <w:color w:val="auto"/>
              </w:rPr>
            </w:pPr>
            <w:r>
              <w:rPr>
                <w:rFonts w:ascii="Arial" w:cs="Arial" w:eastAsia="Arial" w:hAnsi="Arial"/>
                <w:sz w:val="12"/>
                <w:szCs w:val="12"/>
                <w:b w:val="1"/>
                <w:bCs w:val="1"/>
                <w:color w:val="auto"/>
                <w:w w:val="88"/>
              </w:rPr>
              <w:t>(State or other jurisdiction of incorporation or organization)</w:t>
            </w:r>
          </w:p>
        </w:tc>
        <w:tc>
          <w:tcPr>
            <w:tcW w:w="3840" w:type="dxa"/>
            <w:vAlign w:val="bottom"/>
            <w:gridSpan w:val="3"/>
          </w:tcPr>
          <w:p>
            <w:pPr>
              <w:jc w:val="center"/>
              <w:ind w:right="1475"/>
              <w:spacing w:after="0"/>
              <w:rPr>
                <w:sz w:val="20"/>
                <w:szCs w:val="20"/>
                <w:color w:val="auto"/>
              </w:rPr>
            </w:pPr>
            <w:r>
              <w:rPr>
                <w:rFonts w:ascii="Arial" w:cs="Arial" w:eastAsia="Arial" w:hAnsi="Arial"/>
                <w:sz w:val="12"/>
                <w:szCs w:val="12"/>
                <w:b w:val="1"/>
                <w:bCs w:val="1"/>
                <w:color w:val="auto"/>
                <w:w w:val="90"/>
              </w:rPr>
              <w:t>(I.R.S. Employer Identification No.)</w:t>
            </w:r>
          </w:p>
        </w:tc>
        <w:tc>
          <w:tcPr>
            <w:tcW w:w="0" w:type="dxa"/>
            <w:vAlign w:val="bottom"/>
          </w:tcPr>
          <w:p>
            <w:pPr>
              <w:spacing w:after="0"/>
              <w:rPr>
                <w:sz w:val="1"/>
                <w:szCs w:val="1"/>
                <w:color w:val="auto"/>
              </w:rPr>
            </w:pPr>
          </w:p>
        </w:tc>
      </w:tr>
      <w:tr>
        <w:trPr>
          <w:trHeight w:val="456"/>
        </w:trPr>
        <w:tc>
          <w:tcPr>
            <w:tcW w:w="3860" w:type="dxa"/>
            <w:vAlign w:val="bottom"/>
          </w:tcPr>
          <w:p>
            <w:pPr>
              <w:jc w:val="center"/>
              <w:ind w:left="1701"/>
              <w:spacing w:after="0"/>
              <w:rPr>
                <w:sz w:val="20"/>
                <w:szCs w:val="20"/>
                <w:color w:val="auto"/>
              </w:rPr>
            </w:pPr>
            <w:r>
              <w:rPr>
                <w:rFonts w:ascii="Arial" w:cs="Arial" w:eastAsia="Arial" w:hAnsi="Arial"/>
                <w:sz w:val="14"/>
                <w:szCs w:val="14"/>
                <w:b w:val="1"/>
                <w:bCs w:val="1"/>
                <w:color w:val="auto"/>
                <w:w w:val="92"/>
              </w:rPr>
              <w:t>590 Madison Avenue, 15</w:t>
            </w:r>
            <w:r>
              <w:rPr>
                <w:rFonts w:ascii="Arial" w:cs="Arial" w:eastAsia="Arial" w:hAnsi="Arial"/>
                <w:sz w:val="12"/>
                <w:szCs w:val="12"/>
                <w:b w:val="1"/>
                <w:bCs w:val="1"/>
                <w:color w:val="auto"/>
                <w:w w:val="92"/>
              </w:rPr>
              <w:t>th</w:t>
            </w:r>
            <w:r>
              <w:rPr>
                <w:rFonts w:ascii="Arial" w:cs="Arial" w:eastAsia="Arial" w:hAnsi="Arial"/>
                <w:sz w:val="14"/>
                <w:szCs w:val="14"/>
                <w:b w:val="1"/>
                <w:bCs w:val="1"/>
                <w:color w:val="auto"/>
                <w:w w:val="92"/>
              </w:rPr>
              <w:t xml:space="preserve"> Floor</w:t>
            </w:r>
          </w:p>
        </w:tc>
        <w:tc>
          <w:tcPr>
            <w:tcW w:w="30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3860" w:type="dxa"/>
            <w:vAlign w:val="bottom"/>
          </w:tcPr>
          <w:p>
            <w:pPr>
              <w:jc w:val="center"/>
              <w:ind w:left="1701"/>
              <w:spacing w:after="0"/>
              <w:rPr>
                <w:sz w:val="20"/>
                <w:szCs w:val="20"/>
                <w:color w:val="auto"/>
              </w:rPr>
            </w:pPr>
            <w:r>
              <w:rPr>
                <w:rFonts w:ascii="Arial" w:cs="Arial" w:eastAsia="Arial" w:hAnsi="Arial"/>
                <w:sz w:val="14"/>
                <w:szCs w:val="14"/>
                <w:b w:val="1"/>
                <w:bCs w:val="1"/>
                <w:color w:val="auto"/>
                <w:w w:val="97"/>
              </w:rPr>
              <w:t>New York, N.Y.</w:t>
            </w:r>
          </w:p>
        </w:tc>
        <w:tc>
          <w:tcPr>
            <w:tcW w:w="30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840" w:type="dxa"/>
            <w:vAlign w:val="bottom"/>
            <w:gridSpan w:val="3"/>
            <w:vMerge w:val="restart"/>
          </w:tcPr>
          <w:p>
            <w:pPr>
              <w:jc w:val="right"/>
              <w:ind w:right="2455"/>
              <w:spacing w:after="0"/>
              <w:rPr>
                <w:sz w:val="20"/>
                <w:szCs w:val="20"/>
                <w:color w:val="auto"/>
              </w:rPr>
            </w:pPr>
            <w:r>
              <w:rPr>
                <w:rFonts w:ascii="Arial" w:cs="Arial" w:eastAsia="Arial" w:hAnsi="Arial"/>
                <w:sz w:val="14"/>
                <w:szCs w:val="14"/>
                <w:b w:val="1"/>
                <w:bCs w:val="1"/>
                <w:color w:val="auto"/>
              </w:rPr>
              <w:t>10022</w:t>
            </w:r>
          </w:p>
        </w:tc>
        <w:tc>
          <w:tcPr>
            <w:tcW w:w="0" w:type="dxa"/>
            <w:vAlign w:val="bottom"/>
          </w:tcPr>
          <w:p>
            <w:pPr>
              <w:spacing w:after="0"/>
              <w:rPr>
                <w:sz w:val="1"/>
                <w:szCs w:val="1"/>
                <w:color w:val="auto"/>
              </w:rPr>
            </w:pPr>
          </w:p>
        </w:tc>
      </w:tr>
      <w:tr>
        <w:trPr>
          <w:trHeight w:val="71"/>
        </w:trPr>
        <w:tc>
          <w:tcPr>
            <w:tcW w:w="3860" w:type="dxa"/>
            <w:vAlign w:val="bottom"/>
          </w:tcPr>
          <w:p>
            <w:pPr>
              <w:spacing w:after="0"/>
              <w:rPr>
                <w:sz w:val="6"/>
                <w:szCs w:val="6"/>
                <w:color w:val="auto"/>
              </w:rPr>
            </w:pPr>
          </w:p>
        </w:tc>
        <w:tc>
          <w:tcPr>
            <w:tcW w:w="3000" w:type="dxa"/>
            <w:vAlign w:val="bottom"/>
          </w:tcPr>
          <w:p>
            <w:pPr>
              <w:spacing w:after="0"/>
              <w:rPr>
                <w:sz w:val="6"/>
                <w:szCs w:val="6"/>
                <w:color w:val="auto"/>
              </w:rPr>
            </w:pPr>
          </w:p>
        </w:tc>
        <w:tc>
          <w:tcPr>
            <w:tcW w:w="540" w:type="dxa"/>
            <w:vAlign w:val="bottom"/>
          </w:tcPr>
          <w:p>
            <w:pPr>
              <w:spacing w:after="0"/>
              <w:rPr>
                <w:sz w:val="6"/>
                <w:szCs w:val="6"/>
                <w:color w:val="auto"/>
              </w:rPr>
            </w:pPr>
          </w:p>
        </w:tc>
        <w:tc>
          <w:tcPr>
            <w:tcW w:w="38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0"/>
        </w:trPr>
        <w:tc>
          <w:tcPr>
            <w:tcW w:w="3860" w:type="dxa"/>
            <w:vAlign w:val="bottom"/>
          </w:tcPr>
          <w:p>
            <w:pPr>
              <w:jc w:val="center"/>
              <w:ind w:left="1701"/>
              <w:spacing w:after="0"/>
              <w:rPr>
                <w:sz w:val="20"/>
                <w:szCs w:val="20"/>
                <w:color w:val="auto"/>
              </w:rPr>
            </w:pPr>
            <w:r>
              <w:rPr>
                <w:rFonts w:ascii="Arial" w:cs="Arial" w:eastAsia="Arial" w:hAnsi="Arial"/>
                <w:sz w:val="12"/>
                <w:szCs w:val="12"/>
                <w:b w:val="1"/>
                <w:bCs w:val="1"/>
                <w:color w:val="auto"/>
                <w:w w:val="85"/>
              </w:rPr>
              <w:t>(Address of principal executive offices)</w:t>
            </w:r>
          </w:p>
        </w:tc>
        <w:tc>
          <w:tcPr>
            <w:tcW w:w="30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000" w:type="dxa"/>
            <w:vAlign w:val="bottom"/>
          </w:tcPr>
          <w:p>
            <w:pPr>
              <w:jc w:val="center"/>
              <w:ind w:right="2315"/>
              <w:spacing w:after="0"/>
              <w:rPr>
                <w:sz w:val="20"/>
                <w:szCs w:val="20"/>
                <w:color w:val="auto"/>
              </w:rPr>
            </w:pPr>
            <w:r>
              <w:rPr>
                <w:rFonts w:ascii="Arial" w:cs="Arial" w:eastAsia="Arial" w:hAnsi="Arial"/>
                <w:sz w:val="12"/>
                <w:szCs w:val="12"/>
                <w:b w:val="1"/>
                <w:bCs w:val="1"/>
                <w:color w:val="auto"/>
                <w:w w:val="90"/>
              </w:rPr>
              <w:t>(Zip Code)</w:t>
            </w:r>
          </w:p>
        </w:tc>
        <w:tc>
          <w:tcPr>
            <w:tcW w:w="0" w:type="dxa"/>
            <w:vAlign w:val="bottom"/>
          </w:tcPr>
          <w:p>
            <w:pPr>
              <w:spacing w:after="0"/>
              <w:rPr>
                <w:sz w:val="1"/>
                <w:szCs w:val="1"/>
                <w:color w:val="auto"/>
              </w:rPr>
            </w:pPr>
          </w:p>
        </w:tc>
      </w:tr>
      <w:tr>
        <w:trPr>
          <w:trHeight w:val="282"/>
        </w:trPr>
        <w:tc>
          <w:tcPr>
            <w:tcW w:w="3860" w:type="dxa"/>
            <w:vAlign w:val="bottom"/>
          </w:tcPr>
          <w:p>
            <w:pPr>
              <w:spacing w:after="0"/>
              <w:rPr>
                <w:sz w:val="24"/>
                <w:szCs w:val="24"/>
                <w:color w:val="auto"/>
              </w:rPr>
            </w:pPr>
          </w:p>
        </w:tc>
        <w:tc>
          <w:tcPr>
            <w:tcW w:w="3000" w:type="dxa"/>
            <w:vAlign w:val="bottom"/>
          </w:tcPr>
          <w:p>
            <w:pPr>
              <w:jc w:val="center"/>
              <w:ind w:left="467"/>
              <w:spacing w:after="0"/>
              <w:rPr>
                <w:sz w:val="20"/>
                <w:szCs w:val="20"/>
                <w:color w:val="auto"/>
              </w:rPr>
            </w:pPr>
            <w:r>
              <w:rPr>
                <w:rFonts w:ascii="Arial" w:cs="Arial" w:eastAsia="Arial" w:hAnsi="Arial"/>
                <w:sz w:val="14"/>
                <w:szCs w:val="14"/>
                <w:b w:val="1"/>
                <w:bCs w:val="1"/>
                <w:color w:val="auto"/>
                <w:w w:val="93"/>
              </w:rPr>
              <w:t>(212) 905-1000</w:t>
            </w: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0"/>
        </w:trPr>
        <w:tc>
          <w:tcPr>
            <w:tcW w:w="3860" w:type="dxa"/>
            <w:vAlign w:val="bottom"/>
          </w:tcPr>
          <w:p>
            <w:pPr>
              <w:spacing w:after="0"/>
              <w:rPr>
                <w:sz w:val="13"/>
                <w:szCs w:val="13"/>
                <w:color w:val="auto"/>
              </w:rPr>
            </w:pPr>
          </w:p>
        </w:tc>
        <w:tc>
          <w:tcPr>
            <w:tcW w:w="3540" w:type="dxa"/>
            <w:vAlign w:val="bottom"/>
            <w:gridSpan w:val="2"/>
          </w:tcPr>
          <w:p>
            <w:pPr>
              <w:jc w:val="center"/>
              <w:ind w:right="20"/>
              <w:spacing w:after="0"/>
              <w:rPr>
                <w:sz w:val="20"/>
                <w:szCs w:val="20"/>
                <w:color w:val="auto"/>
              </w:rPr>
            </w:pPr>
            <w:r>
              <w:rPr>
                <w:rFonts w:ascii="Arial" w:cs="Arial" w:eastAsia="Arial" w:hAnsi="Arial"/>
                <w:sz w:val="12"/>
                <w:szCs w:val="12"/>
                <w:b w:val="1"/>
                <w:bCs w:val="1"/>
                <w:color w:val="auto"/>
                <w:w w:val="88"/>
              </w:rPr>
              <w:t>(Registrant’s Telephone Number, Including Area Code)</w:t>
            </w:r>
          </w:p>
        </w:tc>
        <w:tc>
          <w:tcPr>
            <w:tcW w:w="3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74"/>
        </w:trPr>
        <w:tc>
          <w:tcPr>
            <w:tcW w:w="3860" w:type="dxa"/>
            <w:vAlign w:val="bottom"/>
            <w:tcBorders>
              <w:bottom w:val="single" w:sz="8" w:color="auto"/>
            </w:tcBorders>
          </w:tcPr>
          <w:p>
            <w:pPr>
              <w:spacing w:after="0"/>
              <w:rPr>
                <w:sz w:val="6"/>
                <w:szCs w:val="6"/>
                <w:color w:val="auto"/>
              </w:rPr>
            </w:pPr>
          </w:p>
        </w:tc>
        <w:tc>
          <w:tcPr>
            <w:tcW w:w="3000" w:type="dxa"/>
            <w:vAlign w:val="bottom"/>
            <w:tcBorders>
              <w:bottom w:val="single" w:sz="8" w:color="auto"/>
            </w:tcBorders>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c>
          <w:tcPr>
            <w:tcW w:w="30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38"/>
        </w:trPr>
        <w:tc>
          <w:tcPr>
            <w:tcW w:w="3860" w:type="dxa"/>
            <w:vAlign w:val="bottom"/>
          </w:tcPr>
          <w:p>
            <w:pPr>
              <w:ind w:left="480"/>
              <w:spacing w:after="0"/>
              <w:rPr>
                <w:sz w:val="20"/>
                <w:szCs w:val="20"/>
                <w:color w:val="auto"/>
              </w:rPr>
            </w:pPr>
            <w:r>
              <w:rPr>
                <w:rFonts w:ascii="Arial" w:cs="Arial" w:eastAsia="Arial" w:hAnsi="Arial"/>
                <w:sz w:val="14"/>
                <w:szCs w:val="14"/>
                <w:color w:val="auto"/>
                <w:w w:val="94"/>
              </w:rPr>
              <w:t>Securities registered pursuant to Section 12(b) of the Act:</w:t>
            </w:r>
          </w:p>
        </w:tc>
        <w:tc>
          <w:tcPr>
            <w:tcW w:w="30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3"/>
        </w:trPr>
        <w:tc>
          <w:tcPr>
            <w:tcW w:w="3860" w:type="dxa"/>
            <w:vAlign w:val="bottom"/>
          </w:tcPr>
          <w:p>
            <w:pPr>
              <w:jc w:val="center"/>
              <w:ind w:right="41"/>
              <w:spacing w:after="0"/>
              <w:rPr>
                <w:sz w:val="20"/>
                <w:szCs w:val="20"/>
                <w:color w:val="auto"/>
              </w:rPr>
            </w:pPr>
            <w:r>
              <w:rPr>
                <w:rFonts w:ascii="Arial" w:cs="Arial" w:eastAsia="Arial" w:hAnsi="Arial"/>
                <w:sz w:val="14"/>
                <w:szCs w:val="14"/>
                <w:b w:val="1"/>
                <w:bCs w:val="1"/>
                <w:color w:val="auto"/>
                <w:w w:val="91"/>
              </w:rPr>
              <w:t>Title of Each Class</w:t>
            </w:r>
          </w:p>
        </w:tc>
        <w:tc>
          <w:tcPr>
            <w:tcW w:w="354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2"/>
              </w:rPr>
              <w:t>Trading Symbol(s)</w:t>
            </w:r>
          </w:p>
        </w:tc>
        <w:tc>
          <w:tcPr>
            <w:tcW w:w="300" w:type="dxa"/>
            <w:vAlign w:val="bottom"/>
          </w:tcPr>
          <w:p>
            <w:pPr>
              <w:spacing w:after="0"/>
              <w:rPr>
                <w:sz w:val="22"/>
                <w:szCs w:val="22"/>
                <w:color w:val="auto"/>
              </w:rPr>
            </w:pPr>
          </w:p>
        </w:tc>
        <w:tc>
          <w:tcPr>
            <w:tcW w:w="3540" w:type="dxa"/>
            <w:vAlign w:val="bottom"/>
            <w:gridSpan w:val="2"/>
          </w:tcPr>
          <w:p>
            <w:pPr>
              <w:jc w:val="center"/>
              <w:ind w:right="175"/>
              <w:spacing w:after="0"/>
              <w:rPr>
                <w:sz w:val="20"/>
                <w:szCs w:val="20"/>
                <w:color w:val="auto"/>
              </w:rPr>
            </w:pPr>
            <w:r>
              <w:rPr>
                <w:rFonts w:ascii="Arial" w:cs="Arial" w:eastAsia="Arial" w:hAnsi="Arial"/>
                <w:sz w:val="14"/>
                <w:szCs w:val="14"/>
                <w:b w:val="1"/>
                <w:bCs w:val="1"/>
                <w:color w:val="auto"/>
                <w:w w:val="92"/>
              </w:rPr>
              <w:t>Name of Each Exchange on Which Registered</w:t>
            </w:r>
          </w:p>
        </w:tc>
        <w:tc>
          <w:tcPr>
            <w:tcW w:w="0" w:type="dxa"/>
            <w:vAlign w:val="bottom"/>
          </w:tcPr>
          <w:p>
            <w:pPr>
              <w:spacing w:after="0"/>
              <w:rPr>
                <w:sz w:val="1"/>
                <w:szCs w:val="1"/>
                <w:color w:val="auto"/>
              </w:rPr>
            </w:pPr>
          </w:p>
        </w:tc>
      </w:tr>
      <w:tr>
        <w:trPr>
          <w:trHeight w:val="182"/>
        </w:trPr>
        <w:tc>
          <w:tcPr>
            <w:tcW w:w="3860" w:type="dxa"/>
            <w:vAlign w:val="bottom"/>
          </w:tcPr>
          <w:p>
            <w:pPr>
              <w:jc w:val="center"/>
              <w:ind w:right="41"/>
              <w:spacing w:after="0"/>
              <w:rPr>
                <w:sz w:val="20"/>
                <w:szCs w:val="20"/>
                <w:color w:val="auto"/>
              </w:rPr>
            </w:pPr>
            <w:r>
              <w:rPr>
                <w:rFonts w:ascii="Arial" w:cs="Arial" w:eastAsia="Arial" w:hAnsi="Arial"/>
                <w:sz w:val="14"/>
                <w:szCs w:val="14"/>
                <w:color w:val="auto"/>
                <w:w w:val="92"/>
              </w:rPr>
              <w:t>Common Stock, par value $0.001 per share</w:t>
            </w:r>
          </w:p>
        </w:tc>
        <w:tc>
          <w:tcPr>
            <w:tcW w:w="3540" w:type="dxa"/>
            <w:vAlign w:val="bottom"/>
            <w:gridSpan w:val="2"/>
          </w:tcPr>
          <w:p>
            <w:pPr>
              <w:jc w:val="center"/>
              <w:ind w:right="60"/>
              <w:spacing w:after="0"/>
              <w:rPr>
                <w:sz w:val="20"/>
                <w:szCs w:val="20"/>
                <w:color w:val="auto"/>
              </w:rPr>
            </w:pPr>
            <w:r>
              <w:rPr>
                <w:rFonts w:ascii="Arial" w:cs="Arial" w:eastAsia="Arial" w:hAnsi="Arial"/>
                <w:sz w:val="14"/>
                <w:szCs w:val="14"/>
                <w:color w:val="auto"/>
                <w:w w:val="93"/>
              </w:rPr>
              <w:t>PFLT</w:t>
            </w:r>
          </w:p>
        </w:tc>
        <w:tc>
          <w:tcPr>
            <w:tcW w:w="3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000" w:type="dxa"/>
            <w:vAlign w:val="bottom"/>
          </w:tcPr>
          <w:p>
            <w:pPr>
              <w:jc w:val="center"/>
              <w:ind w:right="715"/>
              <w:spacing w:after="0"/>
              <w:rPr>
                <w:sz w:val="20"/>
                <w:szCs w:val="20"/>
                <w:color w:val="auto"/>
              </w:rPr>
            </w:pPr>
            <w:r>
              <w:rPr>
                <w:rFonts w:ascii="Arial" w:cs="Arial" w:eastAsia="Arial" w:hAnsi="Arial"/>
                <w:sz w:val="14"/>
                <w:szCs w:val="14"/>
                <w:color w:val="auto"/>
                <w:w w:val="95"/>
              </w:rPr>
              <w:t>The Nasdaq Stock Market LLC</w:t>
            </w:r>
          </w:p>
        </w:tc>
        <w:tc>
          <w:tcPr>
            <w:tcW w:w="0" w:type="dxa"/>
            <w:vAlign w:val="bottom"/>
          </w:tcPr>
          <w:p>
            <w:pPr>
              <w:spacing w:after="0"/>
              <w:rPr>
                <w:sz w:val="1"/>
                <w:szCs w:val="1"/>
                <w:color w:val="auto"/>
              </w:rPr>
            </w:pPr>
          </w:p>
        </w:tc>
      </w:tr>
    </w:tbl>
    <w:p>
      <w:pPr>
        <w:spacing w:after="0" w:line="115" w:lineRule="exact"/>
        <w:rPr>
          <w:sz w:val="24"/>
          <w:szCs w:val="24"/>
          <w:color w:val="auto"/>
        </w:rPr>
      </w:pPr>
    </w:p>
    <w:p>
      <w:pPr>
        <w:jc w:val="both"/>
        <w:ind w:firstLine="467"/>
        <w:spacing w:after="0" w:line="180"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13" w:lineRule="exact"/>
        <w:rPr>
          <w:sz w:val="24"/>
          <w:szCs w:val="24"/>
          <w:color w:val="auto"/>
        </w:rPr>
      </w:pPr>
    </w:p>
    <w:p>
      <w:pPr>
        <w:jc w:val="both"/>
        <w:ind w:firstLine="467"/>
        <w:spacing w:after="0" w:line="180"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13" w:lineRule="exact"/>
        <w:rPr>
          <w:sz w:val="24"/>
          <w:szCs w:val="24"/>
          <w:color w:val="auto"/>
        </w:rPr>
      </w:pPr>
    </w:p>
    <w:p>
      <w:pPr>
        <w:ind w:right="180" w:firstLine="467"/>
        <w:spacing w:after="0" w:line="25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06" w:lineRule="exact"/>
        <w:rPr>
          <w:sz w:val="24"/>
          <w:szCs w:val="24"/>
          <w:color w:val="auto"/>
        </w:rPr>
      </w:pPr>
    </w:p>
    <w:tbl>
      <w:tblPr>
        <w:tblLayout w:type="fixed"/>
        <w:tblInd w:w="0" w:type="dxa"/>
        <w:tblCellMar>
          <w:top w:w="0" w:type="dxa"/>
          <w:left w:w="0" w:type="dxa"/>
          <w:bottom w:w="0" w:type="dxa"/>
          <w:right w:w="0" w:type="dxa"/>
        </w:tblCellMar>
      </w:tblPr>
      <w:tr>
        <w:trPr>
          <w:trHeight w:val="226"/>
        </w:trPr>
        <w:tc>
          <w:tcPr>
            <w:tcW w:w="216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3620" w:type="dxa"/>
            <w:vAlign w:val="bottom"/>
          </w:tcPr>
          <w:p>
            <w:pPr>
              <w:ind w:left="580"/>
              <w:spacing w:after="0" w:line="141" w:lineRule="exact"/>
              <w:rPr>
                <w:sz w:val="20"/>
                <w:szCs w:val="20"/>
                <w:color w:val="auto"/>
              </w:rPr>
            </w:pPr>
            <w:r>
              <w:rPr>
                <w:rFonts w:ascii="MS PGothic" w:cs="MS PGothic" w:eastAsia="MS PGothic" w:hAnsi="MS PGothic"/>
                <w:sz w:val="14"/>
                <w:szCs w:val="14"/>
                <w:color w:val="auto"/>
              </w:rPr>
              <w:t>☐</w:t>
            </w:r>
          </w:p>
        </w:tc>
        <w:tc>
          <w:tcPr>
            <w:tcW w:w="4880" w:type="dxa"/>
            <w:vAlign w:val="bottom"/>
          </w:tcPr>
          <w:p>
            <w:pPr>
              <w:ind w:left="2900"/>
              <w:spacing w:after="0"/>
              <w:rPr>
                <w:sz w:val="20"/>
                <w:szCs w:val="20"/>
                <w:color w:val="auto"/>
              </w:rPr>
            </w:pPr>
            <w:r>
              <w:rPr>
                <w:rFonts w:ascii="Arial" w:cs="Arial" w:eastAsia="Arial" w:hAnsi="Arial"/>
                <w:sz w:val="14"/>
                <w:szCs w:val="14"/>
                <w:color w:val="auto"/>
              </w:rPr>
              <w:t>Accelerated filer</w:t>
            </w:r>
          </w:p>
        </w:tc>
        <w:tc>
          <w:tcPr>
            <w:tcW w:w="500" w:type="dxa"/>
            <w:vAlign w:val="bottom"/>
          </w:tcPr>
          <w:p>
            <w:pPr>
              <w:ind w:left="38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310"/>
        </w:trPr>
        <w:tc>
          <w:tcPr>
            <w:tcW w:w="2160" w:type="dxa"/>
            <w:vAlign w:val="bottom"/>
          </w:tcPr>
          <w:p>
            <w:pPr>
              <w:spacing w:after="0"/>
              <w:rPr>
                <w:sz w:val="20"/>
                <w:szCs w:val="20"/>
                <w:color w:val="auto"/>
              </w:rPr>
            </w:pPr>
            <w:r>
              <w:rPr>
                <w:rFonts w:ascii="Arial" w:cs="Arial" w:eastAsia="Arial" w:hAnsi="Arial"/>
                <w:sz w:val="14"/>
                <w:szCs w:val="14"/>
                <w:color w:val="auto"/>
              </w:rPr>
              <w:t>Non-accelerated filer</w:t>
            </w:r>
          </w:p>
        </w:tc>
        <w:tc>
          <w:tcPr>
            <w:tcW w:w="3620" w:type="dxa"/>
            <w:vAlign w:val="bottom"/>
          </w:tcPr>
          <w:p>
            <w:pPr>
              <w:ind w:left="580"/>
              <w:spacing w:after="0" w:line="141" w:lineRule="exact"/>
              <w:rPr>
                <w:sz w:val="20"/>
                <w:szCs w:val="20"/>
                <w:color w:val="auto"/>
              </w:rPr>
            </w:pPr>
            <w:r>
              <w:rPr>
                <w:rFonts w:ascii="MS PGothic" w:cs="MS PGothic" w:eastAsia="MS PGothic" w:hAnsi="MS PGothic"/>
                <w:sz w:val="14"/>
                <w:szCs w:val="14"/>
                <w:color w:val="auto"/>
              </w:rPr>
              <w:t>☐</w:t>
            </w:r>
          </w:p>
        </w:tc>
        <w:tc>
          <w:tcPr>
            <w:tcW w:w="4880" w:type="dxa"/>
            <w:vAlign w:val="bottom"/>
          </w:tcPr>
          <w:p>
            <w:pPr>
              <w:ind w:left="2900"/>
              <w:spacing w:after="0"/>
              <w:rPr>
                <w:sz w:val="20"/>
                <w:szCs w:val="20"/>
                <w:color w:val="auto"/>
              </w:rPr>
            </w:pPr>
            <w:r>
              <w:rPr>
                <w:rFonts w:ascii="Arial" w:cs="Arial" w:eastAsia="Arial" w:hAnsi="Arial"/>
                <w:sz w:val="14"/>
                <w:szCs w:val="14"/>
                <w:color w:val="auto"/>
              </w:rPr>
              <w:t>Smaller reporting company</w:t>
            </w:r>
          </w:p>
        </w:tc>
        <w:tc>
          <w:tcPr>
            <w:tcW w:w="500" w:type="dxa"/>
            <w:vAlign w:val="bottom"/>
          </w:tcPr>
          <w:p>
            <w:pPr>
              <w:ind w:left="38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310"/>
        </w:trPr>
        <w:tc>
          <w:tcPr>
            <w:tcW w:w="2160" w:type="dxa"/>
            <w:vAlign w:val="bottom"/>
          </w:tcPr>
          <w:p>
            <w:pPr>
              <w:spacing w:after="0"/>
              <w:rPr>
                <w:sz w:val="20"/>
                <w:szCs w:val="20"/>
                <w:color w:val="auto"/>
              </w:rPr>
            </w:pPr>
            <w:r>
              <w:rPr>
                <w:rFonts w:ascii="Arial" w:cs="Arial" w:eastAsia="Arial" w:hAnsi="Arial"/>
                <w:sz w:val="14"/>
                <w:szCs w:val="14"/>
                <w:color w:val="auto"/>
              </w:rPr>
              <w:t>Emerging growth company</w:t>
            </w:r>
          </w:p>
        </w:tc>
        <w:tc>
          <w:tcPr>
            <w:tcW w:w="3620" w:type="dxa"/>
            <w:vAlign w:val="bottom"/>
          </w:tcPr>
          <w:p>
            <w:pPr>
              <w:ind w:left="580"/>
              <w:spacing w:after="0" w:line="141" w:lineRule="exact"/>
              <w:rPr>
                <w:sz w:val="20"/>
                <w:szCs w:val="20"/>
                <w:color w:val="auto"/>
              </w:rPr>
            </w:pPr>
            <w:r>
              <w:rPr>
                <w:rFonts w:ascii="MS PGothic" w:cs="MS PGothic" w:eastAsia="MS PGothic" w:hAnsi="MS PGothic"/>
                <w:sz w:val="14"/>
                <w:szCs w:val="14"/>
                <w:color w:val="auto"/>
              </w:rPr>
              <w:t>☐</w:t>
            </w:r>
          </w:p>
        </w:tc>
        <w:tc>
          <w:tcPr>
            <w:tcW w:w="4880" w:type="dxa"/>
            <w:vAlign w:val="bottom"/>
          </w:tcPr>
          <w:p>
            <w:pPr>
              <w:spacing w:after="0"/>
              <w:rPr>
                <w:sz w:val="24"/>
                <w:szCs w:val="24"/>
                <w:color w:val="auto"/>
              </w:rPr>
            </w:pPr>
          </w:p>
        </w:tc>
        <w:tc>
          <w:tcPr>
            <w:tcW w:w="500" w:type="dxa"/>
            <w:vAlign w:val="bottom"/>
          </w:tcPr>
          <w:p>
            <w:pPr>
              <w:spacing w:after="0"/>
              <w:rPr>
                <w:sz w:val="24"/>
                <w:szCs w:val="24"/>
                <w:color w:val="auto"/>
              </w:rPr>
            </w:pPr>
          </w:p>
        </w:tc>
      </w:tr>
    </w:tbl>
    <w:p>
      <w:pPr>
        <w:spacing w:after="0" w:line="112" w:lineRule="exact"/>
        <w:rPr>
          <w:sz w:val="24"/>
          <w:szCs w:val="24"/>
          <w:color w:val="auto"/>
        </w:rPr>
      </w:pPr>
    </w:p>
    <w:p>
      <w:pPr>
        <w:jc w:val="both"/>
        <w:ind w:right="100" w:firstLine="468"/>
        <w:spacing w:after="0" w:line="180"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99" w:lineRule="exact"/>
        <w:rPr>
          <w:sz w:val="24"/>
          <w:szCs w:val="24"/>
          <w:color w:val="auto"/>
        </w:rPr>
      </w:pPr>
    </w:p>
    <w:p>
      <w:pPr>
        <w:ind w:left="480"/>
        <w:spacing w:after="0" w:line="161"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63" w:lineRule="exact"/>
        <w:rPr>
          <w:sz w:val="24"/>
          <w:szCs w:val="24"/>
          <w:color w:val="auto"/>
        </w:rPr>
      </w:pPr>
    </w:p>
    <w:p>
      <w:pPr>
        <w:ind w:left="480"/>
        <w:spacing w:after="0"/>
        <w:rPr>
          <w:sz w:val="20"/>
          <w:szCs w:val="20"/>
          <w:color w:val="auto"/>
        </w:rPr>
      </w:pPr>
      <w:r>
        <w:rPr>
          <w:rFonts w:ascii="Arial" w:cs="Arial" w:eastAsia="Arial" w:hAnsi="Arial"/>
          <w:sz w:val="14"/>
          <w:szCs w:val="14"/>
          <w:color w:val="auto"/>
        </w:rPr>
        <w:t>The number of shares of the registrant’s common stock, $0.001 par value per share, outstanding as of February 5, 2020 was 38,772,074.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89535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167005</wp:posOffset>
            </wp:positionV>
            <wp:extent cx="714946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 w:name="page2"/>
    <w:bookmarkEnd w:id="1"/>
    <w:p>
      <w:pPr>
        <w:jc w:val="center"/>
        <w:spacing w:after="0"/>
        <w:rPr>
          <w:sz w:val="20"/>
          <w:szCs w:val="20"/>
          <w:color w:val="auto"/>
        </w:rPr>
      </w:pPr>
      <w:r>
        <w:rPr>
          <w:rFonts w:ascii="Arial" w:cs="Arial" w:eastAsia="Arial" w:hAnsi="Arial"/>
          <w:sz w:val="14"/>
          <w:szCs w:val="14"/>
          <w:b w:val="1"/>
          <w:bCs w:val="1"/>
          <w:color w:val="auto"/>
        </w:rPr>
        <w:t>PENNANTPARK FLOATING RATE CAPITAL LTD.</w:t>
      </w:r>
    </w:p>
    <w:p>
      <w:pPr>
        <w:jc w:val="center"/>
        <w:spacing w:after="0" w:line="225" w:lineRule="auto"/>
        <w:rPr>
          <w:sz w:val="20"/>
          <w:szCs w:val="20"/>
          <w:color w:val="auto"/>
        </w:rPr>
      </w:pPr>
      <w:r>
        <w:rPr>
          <w:rFonts w:ascii="Arial" w:cs="Arial" w:eastAsia="Arial" w:hAnsi="Arial"/>
          <w:sz w:val="14"/>
          <w:szCs w:val="14"/>
          <w:b w:val="1"/>
          <w:bCs w:val="1"/>
          <w:color w:val="auto"/>
        </w:rPr>
        <w:t>FORM 10-Q FOR THE QUARTER ENDED DECEMBER 31, 2019</w:t>
      </w:r>
    </w:p>
    <w:p>
      <w:pPr>
        <w:jc w:val="center"/>
        <w:spacing w:after="0"/>
        <w:rPr>
          <w:sz w:val="20"/>
          <w:szCs w:val="20"/>
          <w:color w:val="auto"/>
        </w:rPr>
      </w:pPr>
      <w:r>
        <w:rPr>
          <w:rFonts w:ascii="Arial" w:cs="Arial" w:eastAsia="Arial" w:hAnsi="Arial"/>
          <w:sz w:val="14"/>
          <w:szCs w:val="14"/>
          <w:b w:val="1"/>
          <w:bCs w:val="1"/>
          <w:color w:val="auto"/>
        </w:rPr>
        <w:t>TABLE OF CONTENTS</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200" w:type="dxa"/>
            <w:vAlign w:val="bottom"/>
          </w:tcPr>
          <w:p>
            <w:pPr>
              <w:ind w:left="36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PART I. CONSOLIDATED FINANCIAL INFORMATION</w:t>
              </w:r>
            </w:hyperlink>
          </w:p>
        </w:tc>
        <w:tc>
          <w:tcPr>
            <w:tcW w:w="2040" w:type="dxa"/>
            <w:vAlign w:val="bottom"/>
          </w:tcPr>
          <w:p>
            <w:pPr>
              <w:spacing w:after="0"/>
              <w:rPr>
                <w:sz w:val="16"/>
                <w:szCs w:val="16"/>
                <w:color w:val="auto"/>
              </w:rPr>
            </w:pPr>
          </w:p>
        </w:tc>
      </w:tr>
      <w:tr>
        <w:trPr>
          <w:trHeight w:val="297"/>
        </w:trPr>
        <w:tc>
          <w:tcPr>
            <w:tcW w:w="9200" w:type="dxa"/>
            <w:vAlign w:val="bottom"/>
          </w:tcPr>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Item 1. Consolidated Financial Statements</w:t>
              </w:r>
            </w:hyperlink>
          </w:p>
        </w:tc>
        <w:tc>
          <w:tcPr>
            <w:tcW w:w="2040" w:type="dxa"/>
            <w:vAlign w:val="bottom"/>
          </w:tcPr>
          <w:p>
            <w:pPr>
              <w:spacing w:after="0"/>
              <w:rPr>
                <w:sz w:val="24"/>
                <w:szCs w:val="24"/>
                <w:color w:val="auto"/>
              </w:rPr>
            </w:pPr>
          </w:p>
        </w:tc>
      </w:tr>
      <w:tr>
        <w:trPr>
          <w:trHeight w:val="297"/>
        </w:trPr>
        <w:tc>
          <w:tcPr>
            <w:tcW w:w="9200" w:type="dxa"/>
            <w:vAlign w:val="bottom"/>
          </w:tcPr>
          <w:p>
            <w:pPr>
              <w:ind w:left="380"/>
              <w:spacing w:after="0"/>
              <w:rPr>
                <w:rFonts w:ascii="Arial" w:cs="Arial" w:eastAsia="Arial" w:hAnsi="Arial"/>
                <w:sz w:val="14"/>
                <w:szCs w:val="14"/>
                <w:u w:val="single" w:color="auto"/>
                <w:color w:val="0000EE"/>
              </w:rPr>
            </w:pPr>
            <w:hyperlink w:anchor="page4">
              <w:r>
                <w:rPr>
                  <w:rFonts w:ascii="Arial" w:cs="Arial" w:eastAsia="Arial" w:hAnsi="Arial"/>
                  <w:sz w:val="14"/>
                  <w:szCs w:val="14"/>
                  <w:u w:val="single" w:color="auto"/>
                  <w:color w:val="0000EE"/>
                </w:rPr>
                <w:t>Consolidated Statements of Assets and Liabilities as of December 31, 2019 (unaudited) and September 30, 2019</w:t>
              </w:r>
            </w:hyperlink>
          </w:p>
        </w:tc>
        <w:tc>
          <w:tcPr>
            <w:tcW w:w="2040" w:type="dxa"/>
            <w:vAlign w:val="bottom"/>
          </w:tcPr>
          <w:p>
            <w:pPr>
              <w:jc w:val="right"/>
              <w:spacing w:after="0"/>
              <w:rPr>
                <w:sz w:val="20"/>
                <w:szCs w:val="20"/>
                <w:color w:val="auto"/>
              </w:rPr>
            </w:pPr>
            <w:r>
              <w:rPr>
                <w:rFonts w:ascii="Arial" w:cs="Arial" w:eastAsia="Arial" w:hAnsi="Arial"/>
                <w:sz w:val="14"/>
                <w:szCs w:val="14"/>
                <w:color w:val="auto"/>
              </w:rPr>
              <w:t>4</w:t>
            </w:r>
          </w:p>
        </w:tc>
      </w:tr>
      <w:tr>
        <w:trPr>
          <w:trHeight w:val="297"/>
        </w:trPr>
        <w:tc>
          <w:tcPr>
            <w:tcW w:w="9200" w:type="dxa"/>
            <w:vAlign w:val="bottom"/>
          </w:tcPr>
          <w:p>
            <w:pPr>
              <w:ind w:left="380"/>
              <w:spacing w:after="0"/>
              <w:rPr>
                <w:rFonts w:ascii="Arial" w:cs="Arial" w:eastAsia="Arial" w:hAnsi="Arial"/>
                <w:sz w:val="14"/>
                <w:szCs w:val="14"/>
                <w:u w:val="single" w:color="auto"/>
                <w:color w:val="0000EE"/>
              </w:rPr>
            </w:pPr>
            <w:hyperlink w:anchor="page5">
              <w:r>
                <w:rPr>
                  <w:rFonts w:ascii="Arial" w:cs="Arial" w:eastAsia="Arial" w:hAnsi="Arial"/>
                  <w:sz w:val="14"/>
                  <w:szCs w:val="14"/>
                  <w:u w:val="single" w:color="auto"/>
                  <w:color w:val="0000EE"/>
                </w:rPr>
                <w:t>Consolidated Statements of Operations for the three months ended December 31, 2019 and 2018 (unaudited)</w:t>
              </w:r>
            </w:hyperlink>
          </w:p>
        </w:tc>
        <w:tc>
          <w:tcPr>
            <w:tcW w:w="2040" w:type="dxa"/>
            <w:vAlign w:val="bottom"/>
          </w:tcPr>
          <w:p>
            <w:pPr>
              <w:jc w:val="right"/>
              <w:spacing w:after="0"/>
              <w:rPr>
                <w:sz w:val="20"/>
                <w:szCs w:val="20"/>
                <w:color w:val="auto"/>
              </w:rPr>
            </w:pPr>
            <w:r>
              <w:rPr>
                <w:rFonts w:ascii="Arial" w:cs="Arial" w:eastAsia="Arial" w:hAnsi="Arial"/>
                <w:sz w:val="14"/>
                <w:szCs w:val="14"/>
                <w:color w:val="auto"/>
              </w:rPr>
              <w:t>5</w:t>
            </w:r>
          </w:p>
        </w:tc>
      </w:tr>
      <w:tr>
        <w:trPr>
          <w:trHeight w:val="297"/>
        </w:trPr>
        <w:tc>
          <w:tcPr>
            <w:tcW w:w="9200" w:type="dxa"/>
            <w:vAlign w:val="bottom"/>
          </w:tcPr>
          <w:p>
            <w:pPr>
              <w:ind w:left="380"/>
              <w:spacing w:after="0"/>
              <w:rPr>
                <w:rFonts w:ascii="Arial" w:cs="Arial" w:eastAsia="Arial" w:hAnsi="Arial"/>
                <w:sz w:val="14"/>
                <w:szCs w:val="14"/>
                <w:u w:val="single" w:color="auto"/>
                <w:color w:val="0000EE"/>
              </w:rPr>
            </w:pPr>
            <w:hyperlink w:anchor="page6">
              <w:r>
                <w:rPr>
                  <w:rFonts w:ascii="Arial" w:cs="Arial" w:eastAsia="Arial" w:hAnsi="Arial"/>
                  <w:sz w:val="14"/>
                  <w:szCs w:val="14"/>
                  <w:u w:val="single" w:color="auto"/>
                  <w:color w:val="0000EE"/>
                </w:rPr>
                <w:t>Consolidated Statements of Changes in Net Assets for the three months ended December 31, 2019 and 2018 (unaudited)</w:t>
              </w:r>
            </w:hyperlink>
          </w:p>
        </w:tc>
        <w:tc>
          <w:tcPr>
            <w:tcW w:w="2040" w:type="dxa"/>
            <w:vAlign w:val="bottom"/>
          </w:tcPr>
          <w:p>
            <w:pPr>
              <w:jc w:val="right"/>
              <w:spacing w:after="0"/>
              <w:rPr>
                <w:sz w:val="20"/>
                <w:szCs w:val="20"/>
                <w:color w:val="auto"/>
              </w:rPr>
            </w:pPr>
            <w:r>
              <w:rPr>
                <w:rFonts w:ascii="Arial" w:cs="Arial" w:eastAsia="Arial" w:hAnsi="Arial"/>
                <w:sz w:val="14"/>
                <w:szCs w:val="14"/>
                <w:color w:val="auto"/>
              </w:rPr>
              <w:t>6</w:t>
            </w:r>
          </w:p>
        </w:tc>
      </w:tr>
      <w:tr>
        <w:trPr>
          <w:trHeight w:val="297"/>
        </w:trPr>
        <w:tc>
          <w:tcPr>
            <w:tcW w:w="9200" w:type="dxa"/>
            <w:vAlign w:val="bottom"/>
          </w:tcPr>
          <w:p>
            <w:pPr>
              <w:ind w:left="380"/>
              <w:spacing w:after="0"/>
              <w:rPr>
                <w:rFonts w:ascii="Arial" w:cs="Arial" w:eastAsia="Arial" w:hAnsi="Arial"/>
                <w:sz w:val="14"/>
                <w:szCs w:val="14"/>
                <w:u w:val="single" w:color="auto"/>
                <w:color w:val="0000EE"/>
              </w:rPr>
            </w:pPr>
            <w:hyperlink w:anchor="page7">
              <w:r>
                <w:rPr>
                  <w:rFonts w:ascii="Arial" w:cs="Arial" w:eastAsia="Arial" w:hAnsi="Arial"/>
                  <w:sz w:val="14"/>
                  <w:szCs w:val="14"/>
                  <w:u w:val="single" w:color="auto"/>
                  <w:color w:val="0000EE"/>
                </w:rPr>
                <w:t>Consolidated Statements of Cash Flows for the three months ended December 31, 2019 and 2018 (unaudited)</w:t>
              </w:r>
            </w:hyperlink>
          </w:p>
        </w:tc>
        <w:tc>
          <w:tcPr>
            <w:tcW w:w="2040" w:type="dxa"/>
            <w:vAlign w:val="bottom"/>
          </w:tcPr>
          <w:p>
            <w:pPr>
              <w:jc w:val="right"/>
              <w:spacing w:after="0"/>
              <w:rPr>
                <w:sz w:val="20"/>
                <w:szCs w:val="20"/>
                <w:color w:val="auto"/>
              </w:rPr>
            </w:pPr>
            <w:r>
              <w:rPr>
                <w:rFonts w:ascii="Arial" w:cs="Arial" w:eastAsia="Arial" w:hAnsi="Arial"/>
                <w:sz w:val="14"/>
                <w:szCs w:val="14"/>
                <w:color w:val="auto"/>
              </w:rPr>
              <w:t>7</w:t>
            </w:r>
          </w:p>
        </w:tc>
      </w:tr>
      <w:tr>
        <w:trPr>
          <w:trHeight w:val="297"/>
        </w:trPr>
        <w:tc>
          <w:tcPr>
            <w:tcW w:w="9200" w:type="dxa"/>
            <w:vAlign w:val="bottom"/>
          </w:tcPr>
          <w:p>
            <w:pPr>
              <w:ind w:left="380"/>
              <w:spacing w:after="0"/>
              <w:rPr>
                <w:rFonts w:ascii="Arial" w:cs="Arial" w:eastAsia="Arial" w:hAnsi="Arial"/>
                <w:sz w:val="14"/>
                <w:szCs w:val="14"/>
                <w:u w:val="single" w:color="auto"/>
                <w:color w:val="0000EE"/>
              </w:rPr>
            </w:pPr>
            <w:hyperlink w:anchor="page8">
              <w:r>
                <w:rPr>
                  <w:rFonts w:ascii="Arial" w:cs="Arial" w:eastAsia="Arial" w:hAnsi="Arial"/>
                  <w:sz w:val="14"/>
                  <w:szCs w:val="14"/>
                  <w:u w:val="single" w:color="auto"/>
                  <w:color w:val="0000EE"/>
                </w:rPr>
                <w:t>Consolidated Schedules of Investments as of December 31, 2019 (unaudited) and September 30, 2019</w:t>
              </w:r>
            </w:hyperlink>
          </w:p>
        </w:tc>
        <w:tc>
          <w:tcPr>
            <w:tcW w:w="2040" w:type="dxa"/>
            <w:vAlign w:val="bottom"/>
          </w:tcPr>
          <w:p>
            <w:pPr>
              <w:jc w:val="right"/>
              <w:spacing w:after="0"/>
              <w:rPr>
                <w:sz w:val="20"/>
                <w:szCs w:val="20"/>
                <w:color w:val="auto"/>
              </w:rPr>
            </w:pPr>
            <w:r>
              <w:rPr>
                <w:rFonts w:ascii="Arial" w:cs="Arial" w:eastAsia="Arial" w:hAnsi="Arial"/>
                <w:sz w:val="14"/>
                <w:szCs w:val="14"/>
                <w:color w:val="auto"/>
              </w:rPr>
              <w:t>8</w:t>
            </w:r>
          </w:p>
        </w:tc>
      </w:tr>
      <w:tr>
        <w:trPr>
          <w:trHeight w:val="297"/>
        </w:trPr>
        <w:tc>
          <w:tcPr>
            <w:tcW w:w="9200" w:type="dxa"/>
            <w:vAlign w:val="bottom"/>
          </w:tcPr>
          <w:p>
            <w:pPr>
              <w:ind w:left="380"/>
              <w:spacing w:after="0"/>
              <w:rPr>
                <w:rFonts w:ascii="Arial" w:cs="Arial" w:eastAsia="Arial" w:hAnsi="Arial"/>
                <w:sz w:val="14"/>
                <w:szCs w:val="14"/>
                <w:u w:val="single" w:color="auto"/>
                <w:color w:val="0000EE"/>
              </w:rPr>
            </w:pPr>
            <w:hyperlink w:anchor="page16">
              <w:r>
                <w:rPr>
                  <w:rFonts w:ascii="Arial" w:cs="Arial" w:eastAsia="Arial" w:hAnsi="Arial"/>
                  <w:sz w:val="14"/>
                  <w:szCs w:val="14"/>
                  <w:u w:val="single" w:color="auto"/>
                  <w:color w:val="0000EE"/>
                </w:rPr>
                <w:t>Notes to Consolidated Financial Statements (unaudited)</w:t>
              </w:r>
            </w:hyperlink>
          </w:p>
        </w:tc>
        <w:tc>
          <w:tcPr>
            <w:tcW w:w="2040" w:type="dxa"/>
            <w:vAlign w:val="bottom"/>
          </w:tcPr>
          <w:p>
            <w:pPr>
              <w:jc w:val="right"/>
              <w:spacing w:after="0"/>
              <w:rPr>
                <w:sz w:val="20"/>
                <w:szCs w:val="20"/>
                <w:color w:val="auto"/>
              </w:rPr>
            </w:pPr>
            <w:r>
              <w:rPr>
                <w:rFonts w:ascii="Arial" w:cs="Arial" w:eastAsia="Arial" w:hAnsi="Arial"/>
                <w:sz w:val="14"/>
                <w:szCs w:val="14"/>
                <w:color w:val="auto"/>
              </w:rPr>
              <w:t>16</w:t>
            </w:r>
          </w:p>
        </w:tc>
      </w:tr>
      <w:tr>
        <w:trPr>
          <w:trHeight w:val="297"/>
        </w:trPr>
        <w:tc>
          <w:tcPr>
            <w:tcW w:w="9200" w:type="dxa"/>
            <w:vAlign w:val="bottom"/>
          </w:tcPr>
          <w:p>
            <w:pPr>
              <w:ind w:left="380"/>
              <w:spacing w:after="0"/>
              <w:rPr>
                <w:rFonts w:ascii="Arial" w:cs="Arial" w:eastAsia="Arial" w:hAnsi="Arial"/>
                <w:sz w:val="14"/>
                <w:szCs w:val="14"/>
                <w:u w:val="single" w:color="auto"/>
                <w:color w:val="0000EE"/>
              </w:rPr>
            </w:pPr>
            <w:hyperlink w:anchor="page30">
              <w:r>
                <w:rPr>
                  <w:rFonts w:ascii="Arial" w:cs="Arial" w:eastAsia="Arial" w:hAnsi="Arial"/>
                  <w:sz w:val="14"/>
                  <w:szCs w:val="14"/>
                  <w:u w:val="single" w:color="auto"/>
                  <w:color w:val="0000EE"/>
                </w:rPr>
                <w:t>Report of Independent Registered Public Accounting Firm</w:t>
              </w:r>
            </w:hyperlink>
          </w:p>
        </w:tc>
        <w:tc>
          <w:tcPr>
            <w:tcW w:w="2040" w:type="dxa"/>
            <w:vAlign w:val="bottom"/>
          </w:tcPr>
          <w:p>
            <w:pPr>
              <w:jc w:val="right"/>
              <w:spacing w:after="0"/>
              <w:rPr>
                <w:sz w:val="20"/>
                <w:szCs w:val="20"/>
                <w:color w:val="auto"/>
              </w:rPr>
            </w:pPr>
            <w:r>
              <w:rPr>
                <w:rFonts w:ascii="Arial" w:cs="Arial" w:eastAsia="Arial" w:hAnsi="Arial"/>
                <w:sz w:val="14"/>
                <w:szCs w:val="14"/>
                <w:color w:val="auto"/>
              </w:rPr>
              <w:t>30</w:t>
            </w:r>
          </w:p>
        </w:tc>
      </w:tr>
      <w:tr>
        <w:trPr>
          <w:trHeight w:val="297"/>
        </w:trPr>
        <w:tc>
          <w:tcPr>
            <w:tcW w:w="9200" w:type="dxa"/>
            <w:vAlign w:val="bottom"/>
          </w:tcPr>
          <w:p>
            <w:pPr>
              <w:ind w:left="20"/>
              <w:spacing w:after="0"/>
              <w:rPr>
                <w:rFonts w:ascii="Arial" w:cs="Arial" w:eastAsia="Arial" w:hAnsi="Arial"/>
                <w:sz w:val="14"/>
                <w:szCs w:val="14"/>
                <w:b w:val="1"/>
                <w:bCs w:val="1"/>
                <w:u w:val="single" w:color="auto"/>
                <w:color w:val="0000EE"/>
              </w:rPr>
            </w:pPr>
            <w:hyperlink w:anchor="page31">
              <w:r>
                <w:rPr>
                  <w:rFonts w:ascii="Arial" w:cs="Arial" w:eastAsia="Arial" w:hAnsi="Arial"/>
                  <w:sz w:val="14"/>
                  <w:szCs w:val="14"/>
                  <w:b w:val="1"/>
                  <w:bCs w:val="1"/>
                  <w:u w:val="single" w:color="auto"/>
                  <w:color w:val="0000EE"/>
                </w:rPr>
                <w:t>Item 2. Management’s Discussion and Analysis of Financial Condition and Results of Operations</w:t>
              </w:r>
            </w:hyperlink>
          </w:p>
        </w:tc>
        <w:tc>
          <w:tcPr>
            <w:tcW w:w="2040" w:type="dxa"/>
            <w:vAlign w:val="bottom"/>
          </w:tcPr>
          <w:p>
            <w:pPr>
              <w:jc w:val="right"/>
              <w:spacing w:after="0"/>
              <w:rPr>
                <w:sz w:val="20"/>
                <w:szCs w:val="20"/>
                <w:color w:val="auto"/>
              </w:rPr>
            </w:pPr>
            <w:r>
              <w:rPr>
                <w:rFonts w:ascii="Arial" w:cs="Arial" w:eastAsia="Arial" w:hAnsi="Arial"/>
                <w:sz w:val="14"/>
                <w:szCs w:val="14"/>
                <w:color w:val="auto"/>
              </w:rPr>
              <w:t>31</w:t>
            </w:r>
          </w:p>
        </w:tc>
      </w:tr>
      <w:tr>
        <w:trPr>
          <w:trHeight w:val="297"/>
        </w:trPr>
        <w:tc>
          <w:tcPr>
            <w:tcW w:w="9200" w:type="dxa"/>
            <w:vAlign w:val="bottom"/>
          </w:tcPr>
          <w:p>
            <w:pPr>
              <w:ind w:left="20"/>
              <w:spacing w:after="0"/>
              <w:rPr>
                <w:rFonts w:ascii="Arial" w:cs="Arial" w:eastAsia="Arial" w:hAnsi="Arial"/>
                <w:sz w:val="14"/>
                <w:szCs w:val="14"/>
                <w:b w:val="1"/>
                <w:bCs w:val="1"/>
                <w:u w:val="single" w:color="auto"/>
                <w:color w:val="0000EE"/>
              </w:rPr>
            </w:pPr>
            <w:hyperlink w:anchor="page42">
              <w:r>
                <w:rPr>
                  <w:rFonts w:ascii="Arial" w:cs="Arial" w:eastAsia="Arial" w:hAnsi="Arial"/>
                  <w:sz w:val="14"/>
                  <w:szCs w:val="14"/>
                  <w:b w:val="1"/>
                  <w:bCs w:val="1"/>
                  <w:u w:val="single" w:color="auto"/>
                  <w:color w:val="0000EE"/>
                </w:rPr>
                <w:t>Item 3. Quantitative and Qualitative Disclosures About Market Risk</w:t>
              </w:r>
            </w:hyperlink>
          </w:p>
        </w:tc>
        <w:tc>
          <w:tcPr>
            <w:tcW w:w="2040" w:type="dxa"/>
            <w:vAlign w:val="bottom"/>
          </w:tcPr>
          <w:p>
            <w:pPr>
              <w:jc w:val="right"/>
              <w:spacing w:after="0"/>
              <w:rPr>
                <w:sz w:val="20"/>
                <w:szCs w:val="20"/>
                <w:color w:val="auto"/>
              </w:rPr>
            </w:pPr>
            <w:r>
              <w:rPr>
                <w:rFonts w:ascii="Arial" w:cs="Arial" w:eastAsia="Arial" w:hAnsi="Arial"/>
                <w:sz w:val="14"/>
                <w:szCs w:val="14"/>
                <w:color w:val="auto"/>
              </w:rPr>
              <w:t>42</w:t>
            </w:r>
          </w:p>
        </w:tc>
      </w:tr>
      <w:tr>
        <w:trPr>
          <w:trHeight w:val="297"/>
        </w:trPr>
        <w:tc>
          <w:tcPr>
            <w:tcW w:w="9200" w:type="dxa"/>
            <w:vAlign w:val="bottom"/>
          </w:tcPr>
          <w:p>
            <w:pPr>
              <w:ind w:left="20"/>
              <w:spacing w:after="0"/>
              <w:rPr>
                <w:rFonts w:ascii="Arial" w:cs="Arial" w:eastAsia="Arial" w:hAnsi="Arial"/>
                <w:sz w:val="14"/>
                <w:szCs w:val="14"/>
                <w:b w:val="1"/>
                <w:bCs w:val="1"/>
                <w:u w:val="single" w:color="auto"/>
                <w:color w:val="0000EE"/>
              </w:rPr>
            </w:pPr>
            <w:hyperlink w:anchor="page43">
              <w:r>
                <w:rPr>
                  <w:rFonts w:ascii="Arial" w:cs="Arial" w:eastAsia="Arial" w:hAnsi="Arial"/>
                  <w:sz w:val="14"/>
                  <w:szCs w:val="14"/>
                  <w:b w:val="1"/>
                  <w:bCs w:val="1"/>
                  <w:u w:val="single" w:color="auto"/>
                  <w:color w:val="0000EE"/>
                </w:rPr>
                <w:t>Item 4. Controls and Procedures</w:t>
              </w:r>
            </w:hyperlink>
          </w:p>
        </w:tc>
        <w:tc>
          <w:tcPr>
            <w:tcW w:w="2040" w:type="dxa"/>
            <w:vAlign w:val="bottom"/>
          </w:tcPr>
          <w:p>
            <w:pPr>
              <w:jc w:val="right"/>
              <w:spacing w:after="0"/>
              <w:rPr>
                <w:sz w:val="20"/>
                <w:szCs w:val="20"/>
                <w:color w:val="auto"/>
              </w:rPr>
            </w:pPr>
            <w:r>
              <w:rPr>
                <w:rFonts w:ascii="Arial" w:cs="Arial" w:eastAsia="Arial" w:hAnsi="Arial"/>
                <w:sz w:val="14"/>
                <w:szCs w:val="14"/>
                <w:color w:val="auto"/>
              </w:rPr>
              <w:t>43</w:t>
            </w:r>
          </w:p>
        </w:tc>
      </w:tr>
      <w:tr>
        <w:trPr>
          <w:trHeight w:val="297"/>
        </w:trPr>
        <w:tc>
          <w:tcPr>
            <w:tcW w:w="9200" w:type="dxa"/>
            <w:vAlign w:val="bottom"/>
          </w:tcPr>
          <w:p>
            <w:pPr>
              <w:ind w:left="4320"/>
              <w:spacing w:after="0"/>
              <w:rPr>
                <w:rFonts w:ascii="Arial" w:cs="Arial" w:eastAsia="Arial" w:hAnsi="Arial"/>
                <w:sz w:val="14"/>
                <w:szCs w:val="14"/>
                <w:b w:val="1"/>
                <w:bCs w:val="1"/>
                <w:u w:val="single" w:color="auto"/>
                <w:color w:val="0000EE"/>
              </w:rPr>
            </w:pPr>
            <w:hyperlink w:anchor="page44">
              <w:r>
                <w:rPr>
                  <w:rFonts w:ascii="Arial" w:cs="Arial" w:eastAsia="Arial" w:hAnsi="Arial"/>
                  <w:sz w:val="14"/>
                  <w:szCs w:val="14"/>
                  <w:b w:val="1"/>
                  <w:bCs w:val="1"/>
                  <w:u w:val="single" w:color="auto"/>
                  <w:color w:val="0000EE"/>
                </w:rPr>
                <w:t>PART II. OTHER INFORMATION</w:t>
              </w:r>
            </w:hyperlink>
          </w:p>
        </w:tc>
        <w:tc>
          <w:tcPr>
            <w:tcW w:w="2040" w:type="dxa"/>
            <w:vAlign w:val="bottom"/>
          </w:tcPr>
          <w:p>
            <w:pPr>
              <w:spacing w:after="0"/>
              <w:rPr>
                <w:sz w:val="24"/>
                <w:szCs w:val="24"/>
                <w:color w:val="auto"/>
              </w:rPr>
            </w:pPr>
          </w:p>
        </w:tc>
      </w:tr>
      <w:tr>
        <w:trPr>
          <w:trHeight w:val="297"/>
        </w:trPr>
        <w:tc>
          <w:tcPr>
            <w:tcW w:w="9200" w:type="dxa"/>
            <w:vAlign w:val="bottom"/>
          </w:tcPr>
          <w:p>
            <w:pPr>
              <w:ind w:left="20"/>
              <w:spacing w:after="0"/>
              <w:rPr>
                <w:rFonts w:ascii="Arial" w:cs="Arial" w:eastAsia="Arial" w:hAnsi="Arial"/>
                <w:sz w:val="14"/>
                <w:szCs w:val="14"/>
                <w:b w:val="1"/>
                <w:bCs w:val="1"/>
                <w:u w:val="single" w:color="auto"/>
                <w:color w:val="0000EE"/>
              </w:rPr>
            </w:pPr>
            <w:hyperlink w:anchor="page44">
              <w:r>
                <w:rPr>
                  <w:rFonts w:ascii="Arial" w:cs="Arial" w:eastAsia="Arial" w:hAnsi="Arial"/>
                  <w:sz w:val="14"/>
                  <w:szCs w:val="14"/>
                  <w:b w:val="1"/>
                  <w:bCs w:val="1"/>
                  <w:u w:val="single" w:color="auto"/>
                  <w:color w:val="0000EE"/>
                </w:rPr>
                <w:t>Item 1. Legal Proceedings</w:t>
              </w:r>
            </w:hyperlink>
          </w:p>
        </w:tc>
        <w:tc>
          <w:tcPr>
            <w:tcW w:w="2040" w:type="dxa"/>
            <w:vAlign w:val="bottom"/>
          </w:tcPr>
          <w:p>
            <w:pPr>
              <w:jc w:val="right"/>
              <w:spacing w:after="0"/>
              <w:rPr>
                <w:sz w:val="20"/>
                <w:szCs w:val="20"/>
                <w:color w:val="auto"/>
              </w:rPr>
            </w:pPr>
            <w:r>
              <w:rPr>
                <w:rFonts w:ascii="Arial" w:cs="Arial" w:eastAsia="Arial" w:hAnsi="Arial"/>
                <w:sz w:val="14"/>
                <w:szCs w:val="14"/>
                <w:color w:val="auto"/>
              </w:rPr>
              <w:t>44</w:t>
            </w:r>
          </w:p>
        </w:tc>
      </w:tr>
      <w:tr>
        <w:trPr>
          <w:trHeight w:val="297"/>
        </w:trPr>
        <w:tc>
          <w:tcPr>
            <w:tcW w:w="9200" w:type="dxa"/>
            <w:vAlign w:val="bottom"/>
          </w:tcPr>
          <w:p>
            <w:pPr>
              <w:ind w:left="20"/>
              <w:spacing w:after="0"/>
              <w:rPr>
                <w:rFonts w:ascii="Arial" w:cs="Arial" w:eastAsia="Arial" w:hAnsi="Arial"/>
                <w:sz w:val="14"/>
                <w:szCs w:val="14"/>
                <w:b w:val="1"/>
                <w:bCs w:val="1"/>
                <w:u w:val="single" w:color="auto"/>
                <w:color w:val="0000EE"/>
              </w:rPr>
            </w:pPr>
            <w:hyperlink w:anchor="page44">
              <w:r>
                <w:rPr>
                  <w:rFonts w:ascii="Arial" w:cs="Arial" w:eastAsia="Arial" w:hAnsi="Arial"/>
                  <w:sz w:val="14"/>
                  <w:szCs w:val="14"/>
                  <w:b w:val="1"/>
                  <w:bCs w:val="1"/>
                  <w:u w:val="single" w:color="auto"/>
                  <w:color w:val="0000EE"/>
                </w:rPr>
                <w:t>Item 1A. Risk Factors</w:t>
              </w:r>
            </w:hyperlink>
          </w:p>
        </w:tc>
        <w:tc>
          <w:tcPr>
            <w:tcW w:w="2040" w:type="dxa"/>
            <w:vAlign w:val="bottom"/>
          </w:tcPr>
          <w:p>
            <w:pPr>
              <w:jc w:val="right"/>
              <w:spacing w:after="0"/>
              <w:rPr>
                <w:sz w:val="20"/>
                <w:szCs w:val="20"/>
                <w:color w:val="auto"/>
              </w:rPr>
            </w:pPr>
            <w:r>
              <w:rPr>
                <w:rFonts w:ascii="Arial" w:cs="Arial" w:eastAsia="Arial" w:hAnsi="Arial"/>
                <w:sz w:val="14"/>
                <w:szCs w:val="14"/>
                <w:color w:val="auto"/>
              </w:rPr>
              <w:t>44</w:t>
            </w:r>
          </w:p>
        </w:tc>
      </w:tr>
      <w:tr>
        <w:trPr>
          <w:trHeight w:val="297"/>
        </w:trPr>
        <w:tc>
          <w:tcPr>
            <w:tcW w:w="9200" w:type="dxa"/>
            <w:vAlign w:val="bottom"/>
          </w:tcPr>
          <w:p>
            <w:pPr>
              <w:ind w:left="20"/>
              <w:spacing w:after="0"/>
              <w:rPr>
                <w:rFonts w:ascii="Arial" w:cs="Arial" w:eastAsia="Arial" w:hAnsi="Arial"/>
                <w:sz w:val="14"/>
                <w:szCs w:val="14"/>
                <w:b w:val="1"/>
                <w:bCs w:val="1"/>
                <w:u w:val="single" w:color="auto"/>
                <w:color w:val="0000EE"/>
              </w:rPr>
            </w:pPr>
            <w:hyperlink w:anchor="page44">
              <w:r>
                <w:rPr>
                  <w:rFonts w:ascii="Arial" w:cs="Arial" w:eastAsia="Arial" w:hAnsi="Arial"/>
                  <w:sz w:val="14"/>
                  <w:szCs w:val="14"/>
                  <w:b w:val="1"/>
                  <w:bCs w:val="1"/>
                  <w:u w:val="single" w:color="auto"/>
                  <w:color w:val="0000EE"/>
                </w:rPr>
                <w:t>Item 2. Unregistered Sales of Equity Securities and Use of Proceeds</w:t>
              </w:r>
            </w:hyperlink>
          </w:p>
        </w:tc>
        <w:tc>
          <w:tcPr>
            <w:tcW w:w="2040" w:type="dxa"/>
            <w:vAlign w:val="bottom"/>
          </w:tcPr>
          <w:p>
            <w:pPr>
              <w:jc w:val="right"/>
              <w:spacing w:after="0"/>
              <w:rPr>
                <w:sz w:val="20"/>
                <w:szCs w:val="20"/>
                <w:color w:val="auto"/>
              </w:rPr>
            </w:pPr>
            <w:r>
              <w:rPr>
                <w:rFonts w:ascii="Arial" w:cs="Arial" w:eastAsia="Arial" w:hAnsi="Arial"/>
                <w:sz w:val="14"/>
                <w:szCs w:val="14"/>
                <w:color w:val="auto"/>
              </w:rPr>
              <w:t>44</w:t>
            </w:r>
          </w:p>
        </w:tc>
      </w:tr>
      <w:tr>
        <w:trPr>
          <w:trHeight w:val="297"/>
        </w:trPr>
        <w:tc>
          <w:tcPr>
            <w:tcW w:w="9200" w:type="dxa"/>
            <w:vAlign w:val="bottom"/>
          </w:tcPr>
          <w:p>
            <w:pPr>
              <w:ind w:left="20"/>
              <w:spacing w:after="0"/>
              <w:rPr>
                <w:rFonts w:ascii="Arial" w:cs="Arial" w:eastAsia="Arial" w:hAnsi="Arial"/>
                <w:sz w:val="14"/>
                <w:szCs w:val="14"/>
                <w:b w:val="1"/>
                <w:bCs w:val="1"/>
                <w:u w:val="single" w:color="auto"/>
                <w:color w:val="0000EE"/>
              </w:rPr>
            </w:pPr>
            <w:hyperlink w:anchor="page44">
              <w:r>
                <w:rPr>
                  <w:rFonts w:ascii="Arial" w:cs="Arial" w:eastAsia="Arial" w:hAnsi="Arial"/>
                  <w:sz w:val="14"/>
                  <w:szCs w:val="14"/>
                  <w:b w:val="1"/>
                  <w:bCs w:val="1"/>
                  <w:u w:val="single" w:color="auto"/>
                  <w:color w:val="0000EE"/>
                </w:rPr>
                <w:t>Item 3. Defaults Upon Senior Securities</w:t>
              </w:r>
            </w:hyperlink>
          </w:p>
        </w:tc>
        <w:tc>
          <w:tcPr>
            <w:tcW w:w="2040" w:type="dxa"/>
            <w:vAlign w:val="bottom"/>
          </w:tcPr>
          <w:p>
            <w:pPr>
              <w:jc w:val="right"/>
              <w:spacing w:after="0"/>
              <w:rPr>
                <w:sz w:val="20"/>
                <w:szCs w:val="20"/>
                <w:color w:val="auto"/>
              </w:rPr>
            </w:pPr>
            <w:r>
              <w:rPr>
                <w:rFonts w:ascii="Arial" w:cs="Arial" w:eastAsia="Arial" w:hAnsi="Arial"/>
                <w:sz w:val="14"/>
                <w:szCs w:val="14"/>
                <w:color w:val="auto"/>
              </w:rPr>
              <w:t>44</w:t>
            </w:r>
          </w:p>
        </w:tc>
      </w:tr>
      <w:tr>
        <w:trPr>
          <w:trHeight w:val="297"/>
        </w:trPr>
        <w:tc>
          <w:tcPr>
            <w:tcW w:w="9200" w:type="dxa"/>
            <w:vAlign w:val="bottom"/>
          </w:tcPr>
          <w:p>
            <w:pPr>
              <w:ind w:left="20"/>
              <w:spacing w:after="0"/>
              <w:rPr>
                <w:rFonts w:ascii="Arial" w:cs="Arial" w:eastAsia="Arial" w:hAnsi="Arial"/>
                <w:sz w:val="14"/>
                <w:szCs w:val="14"/>
                <w:b w:val="1"/>
                <w:bCs w:val="1"/>
                <w:u w:val="single" w:color="auto"/>
                <w:color w:val="0000EE"/>
              </w:rPr>
            </w:pPr>
            <w:hyperlink w:anchor="page45">
              <w:r>
                <w:rPr>
                  <w:rFonts w:ascii="Arial" w:cs="Arial" w:eastAsia="Arial" w:hAnsi="Arial"/>
                  <w:sz w:val="14"/>
                  <w:szCs w:val="14"/>
                  <w:b w:val="1"/>
                  <w:bCs w:val="1"/>
                  <w:u w:val="single" w:color="auto"/>
                  <w:color w:val="0000EE"/>
                </w:rPr>
                <w:t>Item 4. Mine Safety Disclosures</w:t>
              </w:r>
            </w:hyperlink>
          </w:p>
        </w:tc>
        <w:tc>
          <w:tcPr>
            <w:tcW w:w="2040" w:type="dxa"/>
            <w:vAlign w:val="bottom"/>
          </w:tcPr>
          <w:p>
            <w:pPr>
              <w:jc w:val="right"/>
              <w:spacing w:after="0"/>
              <w:rPr>
                <w:sz w:val="20"/>
                <w:szCs w:val="20"/>
                <w:color w:val="auto"/>
              </w:rPr>
            </w:pPr>
            <w:r>
              <w:rPr>
                <w:rFonts w:ascii="Arial" w:cs="Arial" w:eastAsia="Arial" w:hAnsi="Arial"/>
                <w:sz w:val="14"/>
                <w:szCs w:val="14"/>
                <w:color w:val="auto"/>
              </w:rPr>
              <w:t>45</w:t>
            </w:r>
          </w:p>
        </w:tc>
      </w:tr>
      <w:tr>
        <w:trPr>
          <w:trHeight w:val="297"/>
        </w:trPr>
        <w:tc>
          <w:tcPr>
            <w:tcW w:w="9200" w:type="dxa"/>
            <w:vAlign w:val="bottom"/>
          </w:tcPr>
          <w:p>
            <w:pPr>
              <w:ind w:left="20"/>
              <w:spacing w:after="0"/>
              <w:rPr>
                <w:rFonts w:ascii="Arial" w:cs="Arial" w:eastAsia="Arial" w:hAnsi="Arial"/>
                <w:sz w:val="14"/>
                <w:szCs w:val="14"/>
                <w:b w:val="1"/>
                <w:bCs w:val="1"/>
                <w:u w:val="single" w:color="auto"/>
                <w:color w:val="0000EE"/>
              </w:rPr>
            </w:pPr>
            <w:hyperlink w:anchor="page45">
              <w:r>
                <w:rPr>
                  <w:rFonts w:ascii="Arial" w:cs="Arial" w:eastAsia="Arial" w:hAnsi="Arial"/>
                  <w:sz w:val="14"/>
                  <w:szCs w:val="14"/>
                  <w:b w:val="1"/>
                  <w:bCs w:val="1"/>
                  <w:u w:val="single" w:color="auto"/>
                  <w:color w:val="0000EE"/>
                </w:rPr>
                <w:t>Item 5. Other Information</w:t>
              </w:r>
            </w:hyperlink>
          </w:p>
        </w:tc>
        <w:tc>
          <w:tcPr>
            <w:tcW w:w="2040" w:type="dxa"/>
            <w:vAlign w:val="bottom"/>
          </w:tcPr>
          <w:p>
            <w:pPr>
              <w:jc w:val="right"/>
              <w:spacing w:after="0"/>
              <w:rPr>
                <w:sz w:val="20"/>
                <w:szCs w:val="20"/>
                <w:color w:val="auto"/>
              </w:rPr>
            </w:pPr>
            <w:r>
              <w:rPr>
                <w:rFonts w:ascii="Arial" w:cs="Arial" w:eastAsia="Arial" w:hAnsi="Arial"/>
                <w:sz w:val="14"/>
                <w:szCs w:val="14"/>
                <w:color w:val="auto"/>
              </w:rPr>
              <w:t>45</w:t>
            </w:r>
          </w:p>
        </w:tc>
      </w:tr>
      <w:tr>
        <w:trPr>
          <w:trHeight w:val="297"/>
        </w:trPr>
        <w:tc>
          <w:tcPr>
            <w:tcW w:w="9200" w:type="dxa"/>
            <w:vAlign w:val="bottom"/>
          </w:tcPr>
          <w:p>
            <w:pPr>
              <w:ind w:left="20"/>
              <w:spacing w:after="0"/>
              <w:rPr>
                <w:rFonts w:ascii="Arial" w:cs="Arial" w:eastAsia="Arial" w:hAnsi="Arial"/>
                <w:sz w:val="14"/>
                <w:szCs w:val="14"/>
                <w:b w:val="1"/>
                <w:bCs w:val="1"/>
                <w:u w:val="single" w:color="auto"/>
                <w:color w:val="0000EE"/>
              </w:rPr>
            </w:pPr>
            <w:hyperlink w:anchor="page46">
              <w:r>
                <w:rPr>
                  <w:rFonts w:ascii="Arial" w:cs="Arial" w:eastAsia="Arial" w:hAnsi="Arial"/>
                  <w:sz w:val="14"/>
                  <w:szCs w:val="14"/>
                  <w:b w:val="1"/>
                  <w:bCs w:val="1"/>
                  <w:u w:val="single" w:color="auto"/>
                  <w:color w:val="0000EE"/>
                </w:rPr>
                <w:t>Item 6. Exhibits</w:t>
              </w:r>
            </w:hyperlink>
          </w:p>
        </w:tc>
        <w:tc>
          <w:tcPr>
            <w:tcW w:w="2040" w:type="dxa"/>
            <w:vAlign w:val="bottom"/>
          </w:tcPr>
          <w:p>
            <w:pPr>
              <w:jc w:val="right"/>
              <w:spacing w:after="0"/>
              <w:rPr>
                <w:sz w:val="20"/>
                <w:szCs w:val="20"/>
                <w:color w:val="auto"/>
              </w:rPr>
            </w:pPr>
            <w:r>
              <w:rPr>
                <w:rFonts w:ascii="Arial" w:cs="Arial" w:eastAsia="Arial" w:hAnsi="Arial"/>
                <w:sz w:val="14"/>
                <w:szCs w:val="14"/>
                <w:color w:val="auto"/>
              </w:rPr>
              <w:t>46</w:t>
            </w:r>
          </w:p>
        </w:tc>
      </w:tr>
      <w:tr>
        <w:trPr>
          <w:trHeight w:val="297"/>
        </w:trPr>
        <w:tc>
          <w:tcPr>
            <w:tcW w:w="9200" w:type="dxa"/>
            <w:vAlign w:val="bottom"/>
          </w:tcPr>
          <w:p>
            <w:pPr>
              <w:ind w:left="20"/>
              <w:spacing w:after="0"/>
              <w:rPr>
                <w:rFonts w:ascii="Arial" w:cs="Arial" w:eastAsia="Arial" w:hAnsi="Arial"/>
                <w:sz w:val="14"/>
                <w:szCs w:val="14"/>
                <w:b w:val="1"/>
                <w:bCs w:val="1"/>
                <w:u w:val="single" w:color="auto"/>
                <w:color w:val="0000EE"/>
              </w:rPr>
            </w:pPr>
            <w:hyperlink w:anchor="page47">
              <w:r>
                <w:rPr>
                  <w:rFonts w:ascii="Arial" w:cs="Arial" w:eastAsia="Arial" w:hAnsi="Arial"/>
                  <w:sz w:val="14"/>
                  <w:szCs w:val="14"/>
                  <w:b w:val="1"/>
                  <w:bCs w:val="1"/>
                  <w:u w:val="single" w:color="auto"/>
                  <w:color w:val="0000EE"/>
                </w:rPr>
                <w:t>SIGNATURES</w:t>
              </w:r>
            </w:hyperlink>
          </w:p>
        </w:tc>
        <w:tc>
          <w:tcPr>
            <w:tcW w:w="2040" w:type="dxa"/>
            <w:vAlign w:val="bottom"/>
          </w:tcPr>
          <w:p>
            <w:pPr>
              <w:jc w:val="right"/>
              <w:spacing w:after="0"/>
              <w:rPr>
                <w:sz w:val="20"/>
                <w:szCs w:val="20"/>
                <w:color w:val="auto"/>
              </w:rPr>
            </w:pPr>
            <w:r>
              <w:rPr>
                <w:rFonts w:ascii="Arial" w:cs="Arial" w:eastAsia="Arial" w:hAnsi="Arial"/>
                <w:sz w:val="14"/>
                <w:szCs w:val="14"/>
                <w:color w:val="auto"/>
              </w:rPr>
              <w:t>47</w:t>
            </w:r>
          </w:p>
        </w:tc>
      </w:tr>
    </w:tbl>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 w:name="page3"/>
    <w:bookmarkEnd w:id="2"/>
    <w:p>
      <w:pPr>
        <w:jc w:val="center"/>
        <w:ind w:right="-99"/>
        <w:spacing w:after="0"/>
        <w:rPr>
          <w:sz w:val="20"/>
          <w:szCs w:val="20"/>
          <w:color w:val="auto"/>
        </w:rPr>
      </w:pPr>
      <w:r>
        <w:rPr>
          <w:rFonts w:ascii="Arial" w:cs="Arial" w:eastAsia="Arial" w:hAnsi="Arial"/>
          <w:sz w:val="14"/>
          <w:szCs w:val="14"/>
          <w:b w:val="1"/>
          <w:bCs w:val="1"/>
          <w:color w:val="auto"/>
        </w:rPr>
        <w:t>PART I—CONSOLIDATED FINANCIAL INFORMATION</w:t>
      </w:r>
    </w:p>
    <w:p>
      <w:pPr>
        <w:spacing w:after="0" w:line="274" w:lineRule="exact"/>
        <w:rPr>
          <w:sz w:val="20"/>
          <w:szCs w:val="20"/>
          <w:color w:val="auto"/>
        </w:rPr>
      </w:pPr>
    </w:p>
    <w:p>
      <w:pPr>
        <w:ind w:firstLine="438"/>
        <w:spacing w:after="0" w:line="151" w:lineRule="exact"/>
        <w:rPr>
          <w:sz w:val="20"/>
          <w:szCs w:val="20"/>
          <w:color w:val="auto"/>
        </w:rPr>
      </w:pPr>
      <w:r>
        <w:rPr>
          <w:rFonts w:ascii="Arial" w:cs="Arial" w:eastAsia="Arial" w:hAnsi="Arial"/>
          <w:sz w:val="13"/>
          <w:szCs w:val="13"/>
          <w:color w:val="auto"/>
        </w:rPr>
        <w:t>We are filing this Quarterly Report on Form 10-Q, or the Report, in compliance with Rule 13a-13 as promulgated by the Securities and Exchange Commission, or the SEC, under the Securities Exchange Act of 1934, as amended, or the Exchange Act. In this Report, except where the context suggests otherwise, the terms “Company,” “we,” “our” or “us” refer to PennantPark Floating Rate Capital Ltd. and its wholly-owned consolidated subsidiaries; “Funding I” refers to PennantPark Floating Rate Funding I, LLC; “Taxable Subsidiary” refers to PFLT Investment Holdings, LLC; “PSSL” refers to PennantPark Senior Secured Loan Fund I LLC, an unconsolidated joint venture; “PennantPark Investment Advisers” or “Investment Adviser” refers to PennantPark Investment Advisers, LLC; “PennantPark Investment Administration” or “Administrator” refers to PennantPark Investment Administration, LLC; “2023 Notes” refers to our 3.83% Series A notes due 2023; “1940 Act” refers to the Investment Company Act of 1940, as amended; “SBCAA” refers to the Small Business Credit Availability Act; “Code” refers to the Internal Revenue Code of 1986, as amended; “RIC” refers to a regulated investment company under the Code; “BDC” refers to a business development company under the 1940 Act; “MCG” refers to MCG Capital Corporation; and “Credit Facility” refers to our multi-currency senior secured revolving credit facility, as amended and restated with Truist Bank (formerly SunTrust Bank) and other lenders, or the Lenders; “Securitization Issuer” refers to PennantPark CLO I, Ltd.; “Securitization Issuers” refers to the Securitization Issuer and PennantPark CLO I, LLC; “Debt Securitization” refers to the $301.4 million term debt securitization completed by the Securitization Issuers; “2031 Asset-Backed Debt” refers to (i) the issuance of the Class A-1 Senior Secured Floating Rate Notes due 2031, the Class A-2 Senior Secured Fixed Rate Notes due 2031, the Class B-1 Senior Secured Floating Rate Notes due 2031, the Class B-2 Senior Secured Fixed Rate Notes due 2031, the Class C-1 Secured Deferrable Floating Rate Notes due 2031, the Class C-2 Notes Secured Deferrable Fixed Rate Notes due 2031, and the Class D Secured Deferrable Floating Notes due 2031 and (ii) the borrowing of the Class A</w:t>
      </w:r>
      <w:r>
        <w:rPr>
          <w:rFonts w:ascii="MS PGothic" w:cs="MS PGothic" w:eastAsia="MS PGothic" w:hAnsi="MS PGothic"/>
          <w:sz w:val="13"/>
          <w:szCs w:val="13"/>
          <w:color w:val="auto"/>
        </w:rPr>
        <w:t>‑</w:t>
      </w:r>
      <w:r>
        <w:rPr>
          <w:rFonts w:ascii="Arial" w:cs="Arial" w:eastAsia="Arial" w:hAnsi="Arial"/>
          <w:sz w:val="13"/>
          <w:szCs w:val="13"/>
          <w:color w:val="auto"/>
        </w:rPr>
        <w:t>1 Senior Secured Floating Rate Notes due 2031 by the Securitization Issuers in connection with the Debt Securitization; “Depositor” refers to PennantPark CLO I Depositor, LLC. References to our portfolio, our investments, our multi-currency, senior secured revolving credit facility, as amended and restated, or the Credit Facility, and our business include investments we make through our subsidiaries.</w:t>
      </w:r>
    </w:p>
    <w:p>
      <w:pPr>
        <w:spacing w:after="0" w:line="200" w:lineRule="exact"/>
        <w:rPr>
          <w:sz w:val="20"/>
          <w:szCs w:val="20"/>
          <w:color w:val="auto"/>
        </w:rPr>
      </w:pPr>
    </w:p>
    <w:p>
      <w:pPr>
        <w:spacing w:after="0" w:line="279"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226695</wp:posOffset>
            </wp:positionV>
            <wp:extent cx="7149465"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60"/>
          </w:cols>
          <w:pgMar w:left="320" w:top="118" w:right="41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186"/>
        </w:trPr>
        <w:tc>
          <w:tcPr>
            <w:tcW w:w="680" w:type="dxa"/>
            <w:vAlign w:val="bottom"/>
          </w:tcPr>
          <w:p>
            <w:pPr>
              <w:spacing w:after="0"/>
              <w:rPr>
                <w:sz w:val="20"/>
                <w:szCs w:val="20"/>
                <w:color w:val="auto"/>
              </w:rPr>
            </w:pPr>
            <w:r>
              <w:rPr>
                <w:rFonts w:ascii="Arial" w:cs="Arial" w:eastAsia="Arial" w:hAnsi="Arial"/>
                <w:sz w:val="14"/>
                <w:szCs w:val="14"/>
                <w:b w:val="1"/>
                <w:bCs w:val="1"/>
                <w:color w:val="auto"/>
              </w:rPr>
              <w:t>Item 1.</w:t>
            </w:r>
          </w:p>
        </w:tc>
        <w:tc>
          <w:tcPr>
            <w:tcW w:w="7040" w:type="dxa"/>
            <w:vAlign w:val="bottom"/>
          </w:tcPr>
          <w:p>
            <w:pPr>
              <w:ind w:left="80"/>
              <w:spacing w:after="0"/>
              <w:rPr>
                <w:sz w:val="20"/>
                <w:szCs w:val="20"/>
                <w:color w:val="auto"/>
              </w:rPr>
            </w:pPr>
            <w:r>
              <w:rPr>
                <w:rFonts w:ascii="Arial" w:cs="Arial" w:eastAsia="Arial" w:hAnsi="Arial"/>
                <w:sz w:val="14"/>
                <w:szCs w:val="14"/>
                <w:b w:val="1"/>
                <w:bCs w:val="1"/>
                <w:color w:val="auto"/>
              </w:rPr>
              <w:t>Consolidated Financial Statements</w:t>
            </w:r>
          </w:p>
        </w:tc>
        <w:tc>
          <w:tcPr>
            <w:tcW w:w="1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9"/>
        </w:trPr>
        <w:tc>
          <w:tcPr>
            <w:tcW w:w="680" w:type="dxa"/>
            <w:vAlign w:val="bottom"/>
          </w:tcPr>
          <w:p>
            <w:pPr>
              <w:spacing w:after="0"/>
              <w:rPr>
                <w:sz w:val="22"/>
                <w:szCs w:val="22"/>
                <w:color w:val="auto"/>
              </w:rPr>
            </w:pPr>
          </w:p>
        </w:tc>
        <w:tc>
          <w:tcPr>
            <w:tcW w:w="8880" w:type="dxa"/>
            <w:vAlign w:val="bottom"/>
            <w:gridSpan w:val="4"/>
          </w:tcPr>
          <w:p>
            <w:pPr>
              <w:jc w:val="center"/>
              <w:ind w:left="948"/>
              <w:spacing w:after="0"/>
              <w:rPr>
                <w:sz w:val="20"/>
                <w:szCs w:val="20"/>
                <w:color w:val="auto"/>
              </w:rPr>
            </w:pPr>
            <w:r>
              <w:rPr>
                <w:rFonts w:ascii="Arial" w:cs="Arial" w:eastAsia="Arial" w:hAnsi="Arial"/>
                <w:sz w:val="14"/>
                <w:szCs w:val="14"/>
                <w:b w:val="1"/>
                <w:bCs w:val="1"/>
                <w:color w:val="auto"/>
              </w:rPr>
              <w:t>PENNANTPARK FLOATING RATE CAPITAL LTD. AND SUBSIDIARIES</w:t>
            </w:r>
          </w:p>
        </w:tc>
        <w:tc>
          <w:tcPr>
            <w:tcW w:w="12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6"/>
        </w:trPr>
        <w:tc>
          <w:tcPr>
            <w:tcW w:w="680" w:type="dxa"/>
            <w:vAlign w:val="bottom"/>
          </w:tcPr>
          <w:p>
            <w:pPr>
              <w:spacing w:after="0"/>
              <w:rPr>
                <w:sz w:val="16"/>
                <w:szCs w:val="16"/>
                <w:color w:val="auto"/>
              </w:rPr>
            </w:pPr>
          </w:p>
        </w:tc>
        <w:tc>
          <w:tcPr>
            <w:tcW w:w="7180" w:type="dxa"/>
            <w:vAlign w:val="bottom"/>
            <w:gridSpan w:val="2"/>
          </w:tcPr>
          <w:p>
            <w:pPr>
              <w:jc w:val="center"/>
              <w:ind w:left="2628"/>
              <w:spacing w:after="0"/>
              <w:rPr>
                <w:sz w:val="20"/>
                <w:szCs w:val="20"/>
                <w:color w:val="auto"/>
              </w:rPr>
            </w:pPr>
            <w:r>
              <w:rPr>
                <w:rFonts w:ascii="Arial" w:cs="Arial" w:eastAsia="Arial" w:hAnsi="Arial"/>
                <w:sz w:val="14"/>
                <w:szCs w:val="14"/>
                <w:b w:val="1"/>
                <w:bCs w:val="1"/>
                <w:color w:val="auto"/>
              </w:rPr>
              <w:t>CONSOLIDATED STATEMENTS OF ASSETS AND LIABILITIES</w:t>
            </w:r>
          </w:p>
        </w:tc>
        <w:tc>
          <w:tcPr>
            <w:tcW w:w="14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4"/>
        </w:trPr>
        <w:tc>
          <w:tcPr>
            <w:tcW w:w="680" w:type="dxa"/>
            <w:vAlign w:val="bottom"/>
          </w:tcPr>
          <w:p>
            <w:pPr>
              <w:spacing w:after="0"/>
              <w:rPr>
                <w:sz w:val="24"/>
                <w:szCs w:val="24"/>
                <w:color w:val="auto"/>
              </w:rPr>
            </w:pPr>
          </w:p>
        </w:tc>
        <w:tc>
          <w:tcPr>
            <w:tcW w:w="7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0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95"/>
              </w:rPr>
              <w:t>December 31, 2019</w:t>
            </w:r>
          </w:p>
        </w:tc>
        <w:tc>
          <w:tcPr>
            <w:tcW w:w="120" w:type="dxa"/>
            <w:vAlign w:val="bottom"/>
          </w:tcPr>
          <w:p>
            <w:pPr>
              <w:spacing w:after="0"/>
              <w:rPr>
                <w:sz w:val="24"/>
                <w:szCs w:val="24"/>
                <w:color w:val="auto"/>
              </w:rPr>
            </w:pPr>
          </w:p>
        </w:tc>
        <w:tc>
          <w:tcPr>
            <w:tcW w:w="156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4"/>
              </w:rPr>
              <w:t>September 30, 2019</w:t>
            </w:r>
          </w:p>
        </w:tc>
        <w:tc>
          <w:tcPr>
            <w:tcW w:w="0" w:type="dxa"/>
            <w:vAlign w:val="bottom"/>
          </w:tcPr>
          <w:p>
            <w:pPr>
              <w:spacing w:after="0"/>
              <w:rPr>
                <w:sz w:val="1"/>
                <w:szCs w:val="1"/>
                <w:color w:val="auto"/>
              </w:rPr>
            </w:pPr>
          </w:p>
        </w:tc>
      </w:tr>
      <w:tr>
        <w:trPr>
          <w:trHeight w:val="171"/>
        </w:trPr>
        <w:tc>
          <w:tcPr>
            <w:tcW w:w="680" w:type="dxa"/>
            <w:vAlign w:val="bottom"/>
          </w:tcPr>
          <w:p>
            <w:pPr>
              <w:spacing w:after="0"/>
              <w:rPr>
                <w:sz w:val="14"/>
                <w:szCs w:val="14"/>
                <w:color w:val="auto"/>
              </w:rPr>
            </w:pPr>
          </w:p>
        </w:tc>
        <w:tc>
          <w:tcPr>
            <w:tcW w:w="7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0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rPr>
              <w:t>(unaudited)</w:t>
            </w:r>
          </w:p>
        </w:tc>
        <w:tc>
          <w:tcPr>
            <w:tcW w:w="1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680" w:type="dxa"/>
            <w:vAlign w:val="bottom"/>
            <w:tcBorders>
              <w:top w:val="single" w:sz="8" w:color="CCECFF"/>
            </w:tcBorders>
            <w:shd w:val="clear" w:color="auto" w:fill="CCECFF"/>
          </w:tcPr>
          <w:p>
            <w:pPr>
              <w:spacing w:after="0" w:line="155" w:lineRule="exact"/>
              <w:rPr>
                <w:sz w:val="20"/>
                <w:szCs w:val="20"/>
                <w:color w:val="auto"/>
              </w:rPr>
            </w:pPr>
            <w:r>
              <w:rPr>
                <w:rFonts w:ascii="Arial" w:cs="Arial" w:eastAsia="Arial" w:hAnsi="Arial"/>
                <w:sz w:val="14"/>
                <w:szCs w:val="14"/>
                <w:b w:val="1"/>
                <w:bCs w:val="1"/>
                <w:color w:val="auto"/>
              </w:rPr>
              <w:t>Assets</w:t>
            </w:r>
          </w:p>
        </w:tc>
        <w:tc>
          <w:tcPr>
            <w:tcW w:w="7040" w:type="dxa"/>
            <w:vAlign w:val="bottom"/>
            <w:tcBorders>
              <w:top w:val="single" w:sz="8" w:color="CCECFF"/>
            </w:tcBorders>
            <w:shd w:val="clear" w:color="auto" w:fill="CCECFF"/>
          </w:tcPr>
          <w:p>
            <w:pPr>
              <w:spacing w:after="0"/>
              <w:rPr>
                <w:sz w:val="13"/>
                <w:szCs w:val="13"/>
                <w:color w:val="auto"/>
              </w:rPr>
            </w:pPr>
          </w:p>
        </w:tc>
        <w:tc>
          <w:tcPr>
            <w:tcW w:w="140" w:type="dxa"/>
            <w:vAlign w:val="bottom"/>
            <w:tcBorders>
              <w:top w:val="single" w:sz="8" w:color="auto"/>
            </w:tcBorders>
            <w:shd w:val="clear" w:color="auto" w:fill="CCECFF"/>
          </w:tcPr>
          <w:p>
            <w:pPr>
              <w:spacing w:after="0"/>
              <w:rPr>
                <w:sz w:val="13"/>
                <w:szCs w:val="13"/>
                <w:color w:val="auto"/>
              </w:rPr>
            </w:pPr>
          </w:p>
        </w:tc>
        <w:tc>
          <w:tcPr>
            <w:tcW w:w="1420" w:type="dxa"/>
            <w:vAlign w:val="bottom"/>
            <w:tcBorders>
              <w:top w:val="single" w:sz="8" w:color="auto"/>
            </w:tcBorders>
            <w:shd w:val="clear" w:color="auto" w:fill="CCECFF"/>
          </w:tcPr>
          <w:p>
            <w:pPr>
              <w:spacing w:after="0"/>
              <w:rPr>
                <w:sz w:val="13"/>
                <w:szCs w:val="13"/>
                <w:color w:val="auto"/>
              </w:rPr>
            </w:pPr>
          </w:p>
        </w:tc>
        <w:tc>
          <w:tcPr>
            <w:tcW w:w="280" w:type="dxa"/>
            <w:vAlign w:val="bottom"/>
            <w:tcBorders>
              <w:top w:val="single" w:sz="8" w:color="CCECFF"/>
            </w:tcBorders>
            <w:shd w:val="clear" w:color="auto" w:fill="CCECFF"/>
          </w:tcPr>
          <w:p>
            <w:pPr>
              <w:spacing w:after="0"/>
              <w:rPr>
                <w:sz w:val="13"/>
                <w:szCs w:val="13"/>
                <w:color w:val="auto"/>
              </w:rPr>
            </w:pPr>
          </w:p>
        </w:tc>
        <w:tc>
          <w:tcPr>
            <w:tcW w:w="120" w:type="dxa"/>
            <w:vAlign w:val="bottom"/>
            <w:tcBorders>
              <w:top w:val="single" w:sz="8" w:color="auto"/>
            </w:tcBorders>
            <w:shd w:val="clear" w:color="auto" w:fill="CCECFF"/>
          </w:tcPr>
          <w:p>
            <w:pPr>
              <w:spacing w:after="0"/>
              <w:rPr>
                <w:sz w:val="13"/>
                <w:szCs w:val="13"/>
                <w:color w:val="auto"/>
              </w:rPr>
            </w:pPr>
          </w:p>
        </w:tc>
        <w:tc>
          <w:tcPr>
            <w:tcW w:w="1440" w:type="dxa"/>
            <w:vAlign w:val="bottom"/>
            <w:tcBorders>
              <w:top w:val="single" w:sz="8" w:color="auto"/>
            </w:tcBorders>
            <w:shd w:val="clear" w:color="auto" w:fill="CCECFF"/>
          </w:tcPr>
          <w:p>
            <w:pPr>
              <w:spacing w:after="0"/>
              <w:rPr>
                <w:sz w:val="13"/>
                <w:szCs w:val="13"/>
                <w:color w:val="auto"/>
              </w:rPr>
            </w:pPr>
          </w:p>
        </w:tc>
        <w:tc>
          <w:tcPr>
            <w:tcW w:w="120" w:type="dxa"/>
            <w:vAlign w:val="bottom"/>
            <w:tcBorders>
              <w:top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720" w:type="dxa"/>
            <w:vAlign w:val="bottom"/>
            <w:gridSpan w:val="2"/>
          </w:tcPr>
          <w:p>
            <w:pPr>
              <w:spacing w:after="0"/>
              <w:rPr>
                <w:sz w:val="20"/>
                <w:szCs w:val="20"/>
                <w:color w:val="auto"/>
              </w:rPr>
            </w:pPr>
            <w:r>
              <w:rPr>
                <w:rFonts w:ascii="Arial" w:cs="Arial" w:eastAsia="Arial" w:hAnsi="Arial"/>
                <w:sz w:val="14"/>
                <w:szCs w:val="14"/>
                <w:color w:val="auto"/>
              </w:rPr>
              <w:t>Investments at fair value</w:t>
            </w:r>
          </w:p>
        </w:tc>
        <w:tc>
          <w:tcPr>
            <w:tcW w:w="1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gridSpan w:val="2"/>
            <w:shd w:val="clear" w:color="auto" w:fill="CCECFF"/>
          </w:tcPr>
          <w:p>
            <w:pPr>
              <w:ind w:left="260"/>
              <w:spacing w:after="0"/>
              <w:rPr>
                <w:sz w:val="20"/>
                <w:szCs w:val="20"/>
                <w:color w:val="auto"/>
              </w:rPr>
            </w:pPr>
            <w:r>
              <w:rPr>
                <w:rFonts w:ascii="Arial" w:cs="Arial" w:eastAsia="Arial" w:hAnsi="Arial"/>
                <w:sz w:val="14"/>
                <w:szCs w:val="14"/>
                <w:color w:val="auto"/>
              </w:rPr>
              <w:t>Non-controlled, non-affiliated investments (cost—$983,709,595 and $886,955,156, respectively)</w:t>
            </w:r>
          </w:p>
        </w:tc>
        <w:tc>
          <w:tcPr>
            <w:tcW w:w="140" w:type="dxa"/>
            <w:vAlign w:val="bottom"/>
            <w:shd w:val="clear" w:color="auto" w:fill="CCECFF"/>
          </w:tcPr>
          <w:p>
            <w:pPr>
              <w:jc w:val="right"/>
              <w:spacing w:after="0"/>
              <w:rPr>
                <w:sz w:val="20"/>
                <w:szCs w:val="20"/>
                <w:color w:val="auto"/>
              </w:rPr>
            </w:pPr>
            <w:r>
              <w:rPr>
                <w:rFonts w:ascii="Arial" w:cs="Arial" w:eastAsia="Arial" w:hAnsi="Arial"/>
                <w:sz w:val="14"/>
                <w:szCs w:val="14"/>
                <w:color w:val="auto"/>
                <w:w w:val="76"/>
              </w:rPr>
              <w:t>$</w:t>
            </w:r>
          </w:p>
        </w:tc>
        <w:tc>
          <w:tcPr>
            <w:tcW w:w="14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988,154,489</w:t>
            </w:r>
          </w:p>
        </w:tc>
        <w:tc>
          <w:tcPr>
            <w:tcW w:w="280" w:type="dxa"/>
            <w:vAlign w:val="bottom"/>
            <w:shd w:val="clear" w:color="auto" w:fill="CCECFF"/>
          </w:tcPr>
          <w:p>
            <w:pPr>
              <w:spacing w:after="0"/>
              <w:rPr>
                <w:sz w:val="14"/>
                <w:szCs w:val="14"/>
                <w:color w:val="auto"/>
              </w:rPr>
            </w:pPr>
          </w:p>
        </w:tc>
        <w:tc>
          <w:tcPr>
            <w:tcW w:w="120" w:type="dxa"/>
            <w:vAlign w:val="bottom"/>
            <w:shd w:val="clear" w:color="auto" w:fill="CCECFF"/>
          </w:tcPr>
          <w:p>
            <w:pPr>
              <w:jc w:val="right"/>
              <w:spacing w:after="0"/>
              <w:rPr>
                <w:sz w:val="20"/>
                <w:szCs w:val="20"/>
                <w:color w:val="auto"/>
              </w:rPr>
            </w:pPr>
            <w:r>
              <w:rPr>
                <w:rFonts w:ascii="Arial" w:cs="Arial" w:eastAsia="Arial" w:hAnsi="Arial"/>
                <w:sz w:val="14"/>
                <w:szCs w:val="14"/>
                <w:color w:val="auto"/>
                <w:w w:val="76"/>
              </w:rPr>
              <w:t>$</w:t>
            </w:r>
          </w:p>
        </w:tc>
        <w:tc>
          <w:tcPr>
            <w:tcW w:w="14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889,113,264</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gridSpan w:val="2"/>
          </w:tcPr>
          <w:p>
            <w:pPr>
              <w:ind w:left="260"/>
              <w:spacing w:after="0"/>
              <w:rPr>
                <w:sz w:val="20"/>
                <w:szCs w:val="20"/>
                <w:color w:val="auto"/>
              </w:rPr>
            </w:pPr>
            <w:r>
              <w:rPr>
                <w:rFonts w:ascii="Arial" w:cs="Arial" w:eastAsia="Arial" w:hAnsi="Arial"/>
                <w:sz w:val="14"/>
                <w:szCs w:val="14"/>
                <w:color w:val="auto"/>
              </w:rPr>
              <w:t>Non-controlled, affiliated investments (cost—$24,922,178 and $23,645,693, respectively)</w:t>
            </w:r>
          </w:p>
        </w:tc>
        <w:tc>
          <w:tcPr>
            <w:tcW w:w="14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16,039,827</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20,430,565</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gridSpan w:val="2"/>
            <w:shd w:val="clear" w:color="auto" w:fill="CCECFF"/>
          </w:tcPr>
          <w:p>
            <w:pPr>
              <w:ind w:left="260"/>
              <w:spacing w:after="0"/>
              <w:rPr>
                <w:sz w:val="20"/>
                <w:szCs w:val="20"/>
                <w:color w:val="auto"/>
              </w:rPr>
            </w:pPr>
            <w:r>
              <w:rPr>
                <w:rFonts w:ascii="Arial" w:cs="Arial" w:eastAsia="Arial" w:hAnsi="Arial"/>
                <w:sz w:val="14"/>
                <w:szCs w:val="14"/>
                <w:color w:val="auto"/>
              </w:rPr>
              <w:t>Controlled, affiliated investments (cost—$174,562,500 and $174,562,500, respectively)</w:t>
            </w:r>
          </w:p>
        </w:tc>
        <w:tc>
          <w:tcPr>
            <w:tcW w:w="140" w:type="dxa"/>
            <w:vAlign w:val="bottom"/>
            <w:tcBorders>
              <w:bottom w:val="single" w:sz="8" w:color="auto"/>
            </w:tcBorders>
            <w:shd w:val="clear" w:color="auto" w:fill="CCECFF"/>
          </w:tcPr>
          <w:p>
            <w:pPr>
              <w:spacing w:after="0"/>
              <w:rPr>
                <w:sz w:val="14"/>
                <w:szCs w:val="14"/>
                <w:color w:val="auto"/>
              </w:rPr>
            </w:pPr>
          </w:p>
        </w:tc>
        <w:tc>
          <w:tcPr>
            <w:tcW w:w="14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171,921,598</w:t>
            </w:r>
          </w:p>
        </w:tc>
        <w:tc>
          <w:tcPr>
            <w:tcW w:w="280" w:type="dxa"/>
            <w:vAlign w:val="bottom"/>
            <w:shd w:val="clear" w:color="auto" w:fill="CCECFF"/>
          </w:tcPr>
          <w:p>
            <w:pPr>
              <w:spacing w:after="0"/>
              <w:rPr>
                <w:sz w:val="14"/>
                <w:szCs w:val="14"/>
                <w:color w:val="auto"/>
              </w:rPr>
            </w:pPr>
          </w:p>
        </w:tc>
        <w:tc>
          <w:tcPr>
            <w:tcW w:w="120" w:type="dxa"/>
            <w:vAlign w:val="bottom"/>
            <w:tcBorders>
              <w:bottom w:val="single" w:sz="8" w:color="auto"/>
            </w:tcBorders>
            <w:shd w:val="clear" w:color="auto" w:fill="CCECFF"/>
          </w:tcPr>
          <w:p>
            <w:pPr>
              <w:spacing w:after="0"/>
              <w:rPr>
                <w:sz w:val="14"/>
                <w:szCs w:val="14"/>
                <w:color w:val="auto"/>
              </w:rPr>
            </w:pPr>
          </w:p>
        </w:tc>
        <w:tc>
          <w:tcPr>
            <w:tcW w:w="14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172,163,080</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7720" w:type="dxa"/>
            <w:vAlign w:val="bottom"/>
            <w:gridSpan w:val="2"/>
          </w:tcPr>
          <w:p>
            <w:pPr>
              <w:ind w:left="260"/>
              <w:spacing w:after="0" w:line="155" w:lineRule="exact"/>
              <w:rPr>
                <w:sz w:val="20"/>
                <w:szCs w:val="20"/>
                <w:color w:val="auto"/>
              </w:rPr>
            </w:pPr>
            <w:r>
              <w:rPr>
                <w:rFonts w:ascii="Arial" w:cs="Arial" w:eastAsia="Arial" w:hAnsi="Arial"/>
                <w:sz w:val="14"/>
                <w:szCs w:val="14"/>
                <w:color w:val="auto"/>
              </w:rPr>
              <w:t>Total of investments (cost—$1,183,194,273 and $1,085,172,349, respectively)</w:t>
            </w:r>
          </w:p>
        </w:tc>
        <w:tc>
          <w:tcPr>
            <w:tcW w:w="140" w:type="dxa"/>
            <w:vAlign w:val="bottom"/>
          </w:tcPr>
          <w:p>
            <w:pPr>
              <w:spacing w:after="0"/>
              <w:rPr>
                <w:sz w:val="13"/>
                <w:szCs w:val="13"/>
                <w:color w:val="auto"/>
              </w:rPr>
            </w:pPr>
          </w:p>
        </w:tc>
        <w:tc>
          <w:tcPr>
            <w:tcW w:w="1420" w:type="dxa"/>
            <w:vAlign w:val="bottom"/>
          </w:tcPr>
          <w:p>
            <w:pPr>
              <w:jc w:val="right"/>
              <w:spacing w:after="0" w:line="155" w:lineRule="exact"/>
              <w:rPr>
                <w:sz w:val="20"/>
                <w:szCs w:val="20"/>
                <w:color w:val="auto"/>
              </w:rPr>
            </w:pPr>
            <w:r>
              <w:rPr>
                <w:rFonts w:ascii="Arial" w:cs="Arial" w:eastAsia="Arial" w:hAnsi="Arial"/>
                <w:sz w:val="14"/>
                <w:szCs w:val="14"/>
                <w:color w:val="auto"/>
              </w:rPr>
              <w:t>1,176,115,914</w:t>
            </w: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40" w:type="dxa"/>
            <w:vAlign w:val="bottom"/>
          </w:tcPr>
          <w:p>
            <w:pPr>
              <w:jc w:val="right"/>
              <w:spacing w:after="0" w:line="155" w:lineRule="exact"/>
              <w:rPr>
                <w:sz w:val="20"/>
                <w:szCs w:val="20"/>
                <w:color w:val="auto"/>
              </w:rPr>
            </w:pPr>
            <w:r>
              <w:rPr>
                <w:rFonts w:ascii="Arial" w:cs="Arial" w:eastAsia="Arial" w:hAnsi="Arial"/>
                <w:sz w:val="14"/>
                <w:szCs w:val="14"/>
                <w:color w:val="auto"/>
              </w:rPr>
              <w:t>1,081,706,909</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72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Cash and cash equivalents (cost—$56,261,842 and $63,367,237, respectively)</w:t>
            </w:r>
          </w:p>
        </w:tc>
        <w:tc>
          <w:tcPr>
            <w:tcW w:w="140" w:type="dxa"/>
            <w:vAlign w:val="bottom"/>
            <w:shd w:val="clear" w:color="auto" w:fill="CCECFF"/>
          </w:tcPr>
          <w:p>
            <w:pPr>
              <w:spacing w:after="0"/>
              <w:rPr>
                <w:sz w:val="14"/>
                <w:szCs w:val="14"/>
                <w:color w:val="auto"/>
              </w:rPr>
            </w:pPr>
          </w:p>
        </w:tc>
        <w:tc>
          <w:tcPr>
            <w:tcW w:w="14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56,292,541</w:t>
            </w:r>
          </w:p>
        </w:tc>
        <w:tc>
          <w:tcPr>
            <w:tcW w:w="28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14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63,337,728</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gridSpan w:val="2"/>
          </w:tcPr>
          <w:p>
            <w:pPr>
              <w:spacing w:after="0"/>
              <w:rPr>
                <w:sz w:val="20"/>
                <w:szCs w:val="20"/>
                <w:color w:val="auto"/>
              </w:rPr>
            </w:pPr>
            <w:r>
              <w:rPr>
                <w:rFonts w:ascii="Arial" w:cs="Arial" w:eastAsia="Arial" w:hAnsi="Arial"/>
                <w:sz w:val="14"/>
                <w:szCs w:val="14"/>
                <w:color w:val="auto"/>
              </w:rPr>
              <w:t>Interest receivable</w:t>
            </w:r>
          </w:p>
        </w:tc>
        <w:tc>
          <w:tcPr>
            <w:tcW w:w="14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3,144,695</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3,892,292</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Receivable for investments sold</w:t>
            </w:r>
          </w:p>
        </w:tc>
        <w:tc>
          <w:tcPr>
            <w:tcW w:w="140" w:type="dxa"/>
            <w:vAlign w:val="bottom"/>
            <w:shd w:val="clear" w:color="auto" w:fill="CCECFF"/>
          </w:tcPr>
          <w:p>
            <w:pPr>
              <w:spacing w:after="0"/>
              <w:rPr>
                <w:sz w:val="14"/>
                <w:szCs w:val="14"/>
                <w:color w:val="auto"/>
              </w:rPr>
            </w:pPr>
          </w:p>
        </w:tc>
        <w:tc>
          <w:tcPr>
            <w:tcW w:w="14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58,425,962</w:t>
            </w:r>
          </w:p>
        </w:tc>
        <w:tc>
          <w:tcPr>
            <w:tcW w:w="28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14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2,997,546</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tcBorders>
              <w:bottom w:val="single" w:sz="8" w:color="CCECFF"/>
            </w:tcBorders>
            <w:gridSpan w:val="2"/>
          </w:tcPr>
          <w:p>
            <w:pPr>
              <w:spacing w:after="0"/>
              <w:rPr>
                <w:sz w:val="20"/>
                <w:szCs w:val="20"/>
                <w:color w:val="auto"/>
              </w:rPr>
            </w:pPr>
            <w:r>
              <w:rPr>
                <w:rFonts w:ascii="Arial" w:cs="Arial" w:eastAsia="Arial" w:hAnsi="Arial"/>
                <w:sz w:val="14"/>
                <w:szCs w:val="14"/>
                <w:color w:val="auto"/>
              </w:rPr>
              <w:t>Prepaid expenses and other assets</w:t>
            </w:r>
          </w:p>
        </w:tc>
        <w:tc>
          <w:tcPr>
            <w:tcW w:w="14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402,760</w:t>
            </w:r>
          </w:p>
        </w:tc>
        <w:tc>
          <w:tcPr>
            <w:tcW w:w="280" w:type="dxa"/>
            <w:vAlign w:val="bottom"/>
            <w:tcBorders>
              <w:bottom w:val="single" w:sz="8" w:color="CCEC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441,337</w:t>
            </w:r>
          </w:p>
        </w:tc>
        <w:tc>
          <w:tcPr>
            <w:tcW w:w="120" w:type="dxa"/>
            <w:vAlign w:val="bottom"/>
            <w:tcBorders>
              <w:bottom w:val="single" w:sz="8" w:color="CCECFF"/>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680" w:type="dxa"/>
            <w:vAlign w:val="bottom"/>
            <w:shd w:val="clear" w:color="auto" w:fill="CCECFF"/>
          </w:tcPr>
          <w:p>
            <w:pPr>
              <w:spacing w:after="0"/>
              <w:rPr>
                <w:sz w:val="13"/>
                <w:szCs w:val="13"/>
                <w:color w:val="auto"/>
              </w:rPr>
            </w:pPr>
          </w:p>
        </w:tc>
        <w:tc>
          <w:tcPr>
            <w:tcW w:w="7040" w:type="dxa"/>
            <w:vAlign w:val="bottom"/>
            <w:shd w:val="clear" w:color="auto" w:fill="CCECFF"/>
          </w:tcPr>
          <w:p>
            <w:pPr>
              <w:ind w:left="60"/>
              <w:spacing w:after="0" w:line="155" w:lineRule="exact"/>
              <w:rPr>
                <w:sz w:val="20"/>
                <w:szCs w:val="20"/>
                <w:color w:val="auto"/>
              </w:rPr>
            </w:pPr>
            <w:r>
              <w:rPr>
                <w:rFonts w:ascii="Arial" w:cs="Arial" w:eastAsia="Arial" w:hAnsi="Arial"/>
                <w:sz w:val="14"/>
                <w:szCs w:val="14"/>
                <w:b w:val="1"/>
                <w:bCs w:val="1"/>
                <w:color w:val="auto"/>
              </w:rPr>
              <w:t>Total assets</w:t>
            </w:r>
          </w:p>
        </w:tc>
        <w:tc>
          <w:tcPr>
            <w:tcW w:w="140" w:type="dxa"/>
            <w:vAlign w:val="bottom"/>
            <w:tcBorders>
              <w:bottom w:val="single" w:sz="8" w:color="auto"/>
            </w:tcBorders>
            <w:shd w:val="clear" w:color="auto" w:fill="CCECFF"/>
          </w:tcPr>
          <w:p>
            <w:pPr>
              <w:spacing w:after="0"/>
              <w:rPr>
                <w:sz w:val="13"/>
                <w:szCs w:val="13"/>
                <w:color w:val="auto"/>
              </w:rPr>
            </w:pPr>
          </w:p>
        </w:tc>
        <w:tc>
          <w:tcPr>
            <w:tcW w:w="142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1,294,381,872</w:t>
            </w:r>
          </w:p>
        </w:tc>
        <w:tc>
          <w:tcPr>
            <w:tcW w:w="280" w:type="dxa"/>
            <w:vAlign w:val="bottom"/>
            <w:shd w:val="clear" w:color="auto" w:fill="CCECFF"/>
          </w:tcPr>
          <w:p>
            <w:pPr>
              <w:spacing w:after="0"/>
              <w:rPr>
                <w:sz w:val="13"/>
                <w:szCs w:val="13"/>
                <w:color w:val="auto"/>
              </w:rPr>
            </w:pPr>
          </w:p>
        </w:tc>
        <w:tc>
          <w:tcPr>
            <w:tcW w:w="120" w:type="dxa"/>
            <w:vAlign w:val="bottom"/>
            <w:tcBorders>
              <w:bottom w:val="single" w:sz="8" w:color="auto"/>
            </w:tcBorders>
            <w:shd w:val="clear" w:color="auto" w:fill="CCECFF"/>
          </w:tcPr>
          <w:p>
            <w:pPr>
              <w:spacing w:after="0"/>
              <w:rPr>
                <w:sz w:val="13"/>
                <w:szCs w:val="13"/>
                <w:color w:val="auto"/>
              </w:rPr>
            </w:pPr>
          </w:p>
        </w:tc>
        <w:tc>
          <w:tcPr>
            <w:tcW w:w="144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1,152,375,812</w:t>
            </w:r>
          </w:p>
        </w:tc>
        <w:tc>
          <w:tcPr>
            <w:tcW w:w="12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680" w:type="dxa"/>
            <w:vAlign w:val="bottom"/>
          </w:tcPr>
          <w:p>
            <w:pPr>
              <w:spacing w:after="0" w:line="155" w:lineRule="exact"/>
              <w:rPr>
                <w:sz w:val="20"/>
                <w:szCs w:val="20"/>
                <w:color w:val="auto"/>
              </w:rPr>
            </w:pPr>
            <w:r>
              <w:rPr>
                <w:rFonts w:ascii="Arial" w:cs="Arial" w:eastAsia="Arial" w:hAnsi="Arial"/>
                <w:sz w:val="14"/>
                <w:szCs w:val="14"/>
                <w:b w:val="1"/>
                <w:bCs w:val="1"/>
                <w:color w:val="auto"/>
              </w:rPr>
              <w:t>Liabilities</w:t>
            </w:r>
          </w:p>
        </w:tc>
        <w:tc>
          <w:tcPr>
            <w:tcW w:w="70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72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Distributions payable</w:t>
            </w:r>
          </w:p>
        </w:tc>
        <w:tc>
          <w:tcPr>
            <w:tcW w:w="140" w:type="dxa"/>
            <w:vAlign w:val="bottom"/>
            <w:shd w:val="clear" w:color="auto" w:fill="CCECFF"/>
          </w:tcPr>
          <w:p>
            <w:pPr>
              <w:spacing w:after="0"/>
              <w:rPr>
                <w:sz w:val="14"/>
                <w:szCs w:val="14"/>
                <w:color w:val="auto"/>
              </w:rPr>
            </w:pPr>
          </w:p>
        </w:tc>
        <w:tc>
          <w:tcPr>
            <w:tcW w:w="14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3,683,347</w:t>
            </w:r>
          </w:p>
        </w:tc>
        <w:tc>
          <w:tcPr>
            <w:tcW w:w="28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14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3,683,347</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gridSpan w:val="2"/>
          </w:tcPr>
          <w:p>
            <w:pPr>
              <w:spacing w:after="0"/>
              <w:rPr>
                <w:sz w:val="20"/>
                <w:szCs w:val="20"/>
                <w:color w:val="auto"/>
              </w:rPr>
            </w:pPr>
            <w:r>
              <w:rPr>
                <w:rFonts w:ascii="Arial" w:cs="Arial" w:eastAsia="Arial" w:hAnsi="Arial"/>
                <w:sz w:val="14"/>
                <w:szCs w:val="14"/>
                <w:color w:val="auto"/>
              </w:rPr>
              <w:t>Payable for investments purchased</w:t>
            </w:r>
          </w:p>
        </w:tc>
        <w:tc>
          <w:tcPr>
            <w:tcW w:w="14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85,457,647</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12,033,794</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Credit Facility payable, at fair value (cost—$335,307,500 and $265,307,500, respectively) (See Notes 5 and 10)</w:t>
            </w:r>
          </w:p>
        </w:tc>
        <w:tc>
          <w:tcPr>
            <w:tcW w:w="140" w:type="dxa"/>
            <w:vAlign w:val="bottom"/>
            <w:shd w:val="clear" w:color="auto" w:fill="CCECFF"/>
          </w:tcPr>
          <w:p>
            <w:pPr>
              <w:spacing w:after="0"/>
              <w:rPr>
                <w:sz w:val="14"/>
                <w:szCs w:val="14"/>
                <w:color w:val="auto"/>
              </w:rPr>
            </w:pPr>
          </w:p>
        </w:tc>
        <w:tc>
          <w:tcPr>
            <w:tcW w:w="14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334,040,510</w:t>
            </w:r>
          </w:p>
        </w:tc>
        <w:tc>
          <w:tcPr>
            <w:tcW w:w="28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14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263,988,583</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gridSpan w:val="2"/>
          </w:tcPr>
          <w:p>
            <w:pPr>
              <w:spacing w:after="0"/>
              <w:rPr>
                <w:sz w:val="20"/>
                <w:szCs w:val="20"/>
                <w:color w:val="auto"/>
              </w:rPr>
            </w:pPr>
            <w:r>
              <w:rPr>
                <w:rFonts w:ascii="Arial" w:cs="Arial" w:eastAsia="Arial" w:hAnsi="Arial"/>
                <w:sz w:val="14"/>
                <w:szCs w:val="14"/>
                <w:color w:val="auto"/>
              </w:rPr>
              <w:t>2023 Notes payable, at fair value (par—$138,579,858) (See Notes 5 and 10)</w:t>
            </w:r>
          </w:p>
        </w:tc>
        <w:tc>
          <w:tcPr>
            <w:tcW w:w="14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133,826,569</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135,240,084</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2031 Asset-Backed Debt, net (par—$228,000,000) (See Notes 5 and 10)</w:t>
            </w:r>
          </w:p>
        </w:tc>
        <w:tc>
          <w:tcPr>
            <w:tcW w:w="140" w:type="dxa"/>
            <w:vAlign w:val="bottom"/>
            <w:shd w:val="clear" w:color="auto" w:fill="CCECFF"/>
          </w:tcPr>
          <w:p>
            <w:pPr>
              <w:spacing w:after="0"/>
              <w:rPr>
                <w:sz w:val="14"/>
                <w:szCs w:val="14"/>
                <w:color w:val="auto"/>
              </w:rPr>
            </w:pPr>
          </w:p>
        </w:tc>
        <w:tc>
          <w:tcPr>
            <w:tcW w:w="14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224,393,947</w:t>
            </w:r>
          </w:p>
        </w:tc>
        <w:tc>
          <w:tcPr>
            <w:tcW w:w="28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14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224,321,845</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gridSpan w:val="2"/>
          </w:tcPr>
          <w:p>
            <w:pPr>
              <w:spacing w:after="0"/>
              <w:rPr>
                <w:sz w:val="20"/>
                <w:szCs w:val="20"/>
                <w:color w:val="auto"/>
              </w:rPr>
            </w:pPr>
            <w:r>
              <w:rPr>
                <w:rFonts w:ascii="Arial" w:cs="Arial" w:eastAsia="Arial" w:hAnsi="Arial"/>
                <w:sz w:val="14"/>
                <w:szCs w:val="14"/>
                <w:color w:val="auto"/>
              </w:rPr>
              <w:t>Interest payable on debt</w:t>
            </w:r>
          </w:p>
        </w:tc>
        <w:tc>
          <w:tcPr>
            <w:tcW w:w="14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4,085,056</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3,275,481</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Base management fee payable (See Note 3)</w:t>
            </w:r>
          </w:p>
        </w:tc>
        <w:tc>
          <w:tcPr>
            <w:tcW w:w="140" w:type="dxa"/>
            <w:vAlign w:val="bottom"/>
            <w:shd w:val="clear" w:color="auto" w:fill="CCECFF"/>
          </w:tcPr>
          <w:p>
            <w:pPr>
              <w:spacing w:after="0"/>
              <w:rPr>
                <w:sz w:val="14"/>
                <w:szCs w:val="14"/>
                <w:color w:val="auto"/>
              </w:rPr>
            </w:pPr>
          </w:p>
        </w:tc>
        <w:tc>
          <w:tcPr>
            <w:tcW w:w="14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2,830,159</w:t>
            </w:r>
          </w:p>
        </w:tc>
        <w:tc>
          <w:tcPr>
            <w:tcW w:w="28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14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2,728,019</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gridSpan w:val="2"/>
          </w:tcPr>
          <w:p>
            <w:pPr>
              <w:spacing w:after="0"/>
              <w:rPr>
                <w:sz w:val="20"/>
                <w:szCs w:val="20"/>
                <w:color w:val="auto"/>
              </w:rPr>
            </w:pPr>
            <w:r>
              <w:rPr>
                <w:rFonts w:ascii="Arial" w:cs="Arial" w:eastAsia="Arial" w:hAnsi="Arial"/>
                <w:sz w:val="14"/>
                <w:szCs w:val="14"/>
                <w:color w:val="auto"/>
              </w:rPr>
              <w:t>Performance-based incentive fee payable (See Note 3)</w:t>
            </w:r>
          </w:p>
        </w:tc>
        <w:tc>
          <w:tcPr>
            <w:tcW w:w="14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2,315,834</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2,532,205</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Accrued other expenses</w:t>
            </w:r>
          </w:p>
        </w:tc>
        <w:tc>
          <w:tcPr>
            <w:tcW w:w="140" w:type="dxa"/>
            <w:vAlign w:val="bottom"/>
            <w:tcBorders>
              <w:bottom w:val="single" w:sz="8" w:color="auto"/>
            </w:tcBorders>
            <w:shd w:val="clear" w:color="auto" w:fill="CCECFF"/>
          </w:tcPr>
          <w:p>
            <w:pPr>
              <w:spacing w:after="0"/>
              <w:rPr>
                <w:sz w:val="14"/>
                <w:szCs w:val="14"/>
                <w:color w:val="auto"/>
              </w:rPr>
            </w:pPr>
          </w:p>
        </w:tc>
        <w:tc>
          <w:tcPr>
            <w:tcW w:w="14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1,768,439</w:t>
            </w:r>
          </w:p>
        </w:tc>
        <w:tc>
          <w:tcPr>
            <w:tcW w:w="280" w:type="dxa"/>
            <w:vAlign w:val="bottom"/>
            <w:shd w:val="clear" w:color="auto" w:fill="CCECFF"/>
          </w:tcPr>
          <w:p>
            <w:pPr>
              <w:spacing w:after="0"/>
              <w:rPr>
                <w:sz w:val="14"/>
                <w:szCs w:val="14"/>
                <w:color w:val="auto"/>
              </w:rPr>
            </w:pPr>
          </w:p>
        </w:tc>
        <w:tc>
          <w:tcPr>
            <w:tcW w:w="120" w:type="dxa"/>
            <w:vAlign w:val="bottom"/>
            <w:tcBorders>
              <w:bottom w:val="single" w:sz="8" w:color="auto"/>
            </w:tcBorders>
            <w:shd w:val="clear" w:color="auto" w:fill="CCECFF"/>
          </w:tcPr>
          <w:p>
            <w:pPr>
              <w:spacing w:after="0"/>
              <w:rPr>
                <w:sz w:val="14"/>
                <w:szCs w:val="14"/>
                <w:color w:val="auto"/>
              </w:rPr>
            </w:pPr>
          </w:p>
        </w:tc>
        <w:tc>
          <w:tcPr>
            <w:tcW w:w="14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1,514,943</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680" w:type="dxa"/>
            <w:vAlign w:val="bottom"/>
            <w:tcBorders>
              <w:bottom w:val="single" w:sz="8" w:color="CCECFF"/>
            </w:tcBorders>
          </w:tcPr>
          <w:p>
            <w:pPr>
              <w:spacing w:after="0"/>
              <w:rPr>
                <w:sz w:val="13"/>
                <w:szCs w:val="13"/>
                <w:color w:val="auto"/>
              </w:rPr>
            </w:pPr>
          </w:p>
        </w:tc>
        <w:tc>
          <w:tcPr>
            <w:tcW w:w="7040" w:type="dxa"/>
            <w:vAlign w:val="bottom"/>
            <w:tcBorders>
              <w:bottom w:val="single" w:sz="8" w:color="CCECFF"/>
            </w:tcBorders>
          </w:tcPr>
          <w:p>
            <w:pPr>
              <w:ind w:left="60"/>
              <w:spacing w:after="0" w:line="155" w:lineRule="exact"/>
              <w:rPr>
                <w:sz w:val="20"/>
                <w:szCs w:val="20"/>
                <w:color w:val="auto"/>
              </w:rPr>
            </w:pPr>
            <w:r>
              <w:rPr>
                <w:rFonts w:ascii="Arial" w:cs="Arial" w:eastAsia="Arial" w:hAnsi="Arial"/>
                <w:sz w:val="14"/>
                <w:szCs w:val="14"/>
                <w:b w:val="1"/>
                <w:bCs w:val="1"/>
                <w:color w:val="auto"/>
              </w:rPr>
              <w:t>Total liabilities</w:t>
            </w:r>
          </w:p>
        </w:tc>
        <w:tc>
          <w:tcPr>
            <w:tcW w:w="14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792,401,508</w:t>
            </w:r>
          </w:p>
        </w:tc>
        <w:tc>
          <w:tcPr>
            <w:tcW w:w="280" w:type="dxa"/>
            <w:vAlign w:val="bottom"/>
            <w:tcBorders>
              <w:bottom w:val="single" w:sz="8" w:color="CCEC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649,318,301</w:t>
            </w:r>
          </w:p>
        </w:tc>
        <w:tc>
          <w:tcPr>
            <w:tcW w:w="120" w:type="dxa"/>
            <w:vAlign w:val="bottom"/>
            <w:tcBorders>
              <w:bottom w:val="single" w:sz="8" w:color="CCECFF"/>
            </w:tcBorders>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7720" w:type="dxa"/>
            <w:vAlign w:val="bottom"/>
            <w:gridSpan w:val="2"/>
            <w:shd w:val="clear" w:color="auto" w:fill="CCECFF"/>
          </w:tcPr>
          <w:p>
            <w:pPr>
              <w:spacing w:after="0" w:line="155" w:lineRule="exact"/>
              <w:rPr>
                <w:sz w:val="20"/>
                <w:szCs w:val="20"/>
                <w:color w:val="auto"/>
              </w:rPr>
            </w:pPr>
            <w:r>
              <w:rPr>
                <w:rFonts w:ascii="Arial" w:cs="Arial" w:eastAsia="Arial" w:hAnsi="Arial"/>
                <w:sz w:val="14"/>
                <w:szCs w:val="14"/>
                <w:color w:val="auto"/>
              </w:rPr>
              <w:t>Commitments and contingencies (See Note 11)</w:t>
            </w:r>
          </w:p>
        </w:tc>
        <w:tc>
          <w:tcPr>
            <w:tcW w:w="140" w:type="dxa"/>
            <w:vAlign w:val="bottom"/>
            <w:shd w:val="clear" w:color="auto" w:fill="CCECFF"/>
          </w:tcPr>
          <w:p>
            <w:pPr>
              <w:spacing w:after="0"/>
              <w:rPr>
                <w:sz w:val="13"/>
                <w:szCs w:val="13"/>
                <w:color w:val="auto"/>
              </w:rPr>
            </w:pPr>
          </w:p>
        </w:tc>
        <w:tc>
          <w:tcPr>
            <w:tcW w:w="1420" w:type="dxa"/>
            <w:vAlign w:val="bottom"/>
            <w:shd w:val="clear" w:color="auto" w:fill="CCECFF"/>
          </w:tcPr>
          <w:p>
            <w:pPr>
              <w:spacing w:after="0"/>
              <w:rPr>
                <w:sz w:val="13"/>
                <w:szCs w:val="13"/>
                <w:color w:val="auto"/>
              </w:rPr>
            </w:pPr>
          </w:p>
        </w:tc>
        <w:tc>
          <w:tcPr>
            <w:tcW w:w="28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144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80" w:type="dxa"/>
            <w:vAlign w:val="bottom"/>
          </w:tcPr>
          <w:p>
            <w:pPr>
              <w:spacing w:after="0"/>
              <w:rPr>
                <w:sz w:val="20"/>
                <w:szCs w:val="20"/>
                <w:color w:val="auto"/>
              </w:rPr>
            </w:pPr>
            <w:r>
              <w:rPr>
                <w:rFonts w:ascii="Arial" w:cs="Arial" w:eastAsia="Arial" w:hAnsi="Arial"/>
                <w:sz w:val="14"/>
                <w:szCs w:val="14"/>
                <w:b w:val="1"/>
                <w:bCs w:val="1"/>
                <w:color w:val="auto"/>
                <w:w w:val="94"/>
              </w:rPr>
              <w:t>Net assets</w:t>
            </w:r>
          </w:p>
        </w:tc>
        <w:tc>
          <w:tcPr>
            <w:tcW w:w="7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7720" w:type="dxa"/>
            <w:vAlign w:val="bottom"/>
            <w:gridSpan w:val="2"/>
            <w:shd w:val="clear" w:color="auto" w:fill="CCECFF"/>
          </w:tcPr>
          <w:p>
            <w:pPr>
              <w:spacing w:after="0" w:line="143" w:lineRule="exact"/>
              <w:rPr>
                <w:sz w:val="20"/>
                <w:szCs w:val="20"/>
                <w:color w:val="auto"/>
              </w:rPr>
            </w:pPr>
            <w:r>
              <w:rPr>
                <w:rFonts w:ascii="Arial" w:cs="Arial" w:eastAsia="Arial" w:hAnsi="Arial"/>
                <w:sz w:val="14"/>
                <w:szCs w:val="14"/>
                <w:color w:val="auto"/>
              </w:rPr>
              <w:t>Common stock, 38,772,074 shares issued and outstanding Par value $0.001 per share and 100,000,000</w:t>
            </w:r>
          </w:p>
        </w:tc>
        <w:tc>
          <w:tcPr>
            <w:tcW w:w="140" w:type="dxa"/>
            <w:vAlign w:val="bottom"/>
            <w:shd w:val="clear" w:color="auto" w:fill="CCECFF"/>
          </w:tcPr>
          <w:p>
            <w:pPr>
              <w:spacing w:after="0"/>
              <w:rPr>
                <w:sz w:val="12"/>
                <w:szCs w:val="12"/>
                <w:color w:val="auto"/>
              </w:rPr>
            </w:pPr>
          </w:p>
        </w:tc>
        <w:tc>
          <w:tcPr>
            <w:tcW w:w="1420" w:type="dxa"/>
            <w:vAlign w:val="bottom"/>
            <w:shd w:val="clear" w:color="auto" w:fill="CCECFF"/>
          </w:tcPr>
          <w:p>
            <w:pPr>
              <w:spacing w:after="0"/>
              <w:rPr>
                <w:sz w:val="12"/>
                <w:szCs w:val="12"/>
                <w:color w:val="auto"/>
              </w:rPr>
            </w:pPr>
          </w:p>
        </w:tc>
        <w:tc>
          <w:tcPr>
            <w:tcW w:w="28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144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7720" w:type="dxa"/>
            <w:vAlign w:val="bottom"/>
            <w:gridSpan w:val="2"/>
            <w:shd w:val="clear" w:color="auto" w:fill="CCECFF"/>
          </w:tcPr>
          <w:p>
            <w:pPr>
              <w:ind w:left="120"/>
              <w:spacing w:after="0"/>
              <w:rPr>
                <w:sz w:val="20"/>
                <w:szCs w:val="20"/>
                <w:color w:val="auto"/>
              </w:rPr>
            </w:pPr>
            <w:r>
              <w:rPr>
                <w:rFonts w:ascii="Arial" w:cs="Arial" w:eastAsia="Arial" w:hAnsi="Arial"/>
                <w:sz w:val="14"/>
                <w:szCs w:val="14"/>
                <w:color w:val="auto"/>
              </w:rPr>
              <w:t>shares authorized</w:t>
            </w:r>
          </w:p>
        </w:tc>
        <w:tc>
          <w:tcPr>
            <w:tcW w:w="140" w:type="dxa"/>
            <w:vAlign w:val="bottom"/>
            <w:shd w:val="clear" w:color="auto" w:fill="CCECFF"/>
          </w:tcPr>
          <w:p>
            <w:pPr>
              <w:spacing w:after="0"/>
              <w:rPr>
                <w:sz w:val="14"/>
                <w:szCs w:val="14"/>
                <w:color w:val="auto"/>
              </w:rPr>
            </w:pPr>
          </w:p>
        </w:tc>
        <w:tc>
          <w:tcPr>
            <w:tcW w:w="14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38,772</w:t>
            </w:r>
          </w:p>
        </w:tc>
        <w:tc>
          <w:tcPr>
            <w:tcW w:w="28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14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38,772</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gridSpan w:val="2"/>
          </w:tcPr>
          <w:p>
            <w:pPr>
              <w:spacing w:after="0"/>
              <w:rPr>
                <w:sz w:val="20"/>
                <w:szCs w:val="20"/>
                <w:color w:val="auto"/>
              </w:rPr>
            </w:pPr>
            <w:r>
              <w:rPr>
                <w:rFonts w:ascii="Arial" w:cs="Arial" w:eastAsia="Arial" w:hAnsi="Arial"/>
                <w:sz w:val="14"/>
                <w:szCs w:val="14"/>
                <w:color w:val="auto"/>
              </w:rPr>
              <w:t>Paid-in capital in excess of par value</w:t>
            </w:r>
          </w:p>
        </w:tc>
        <w:tc>
          <w:tcPr>
            <w:tcW w:w="14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538,632,828</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538,632,828</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Distributable income</w:t>
            </w:r>
          </w:p>
        </w:tc>
        <w:tc>
          <w:tcPr>
            <w:tcW w:w="140" w:type="dxa"/>
            <w:vAlign w:val="bottom"/>
            <w:shd w:val="clear" w:color="auto" w:fill="CCECFF"/>
          </w:tcPr>
          <w:p>
            <w:pPr>
              <w:spacing w:after="0"/>
              <w:rPr>
                <w:sz w:val="14"/>
                <w:szCs w:val="14"/>
                <w:color w:val="auto"/>
              </w:rPr>
            </w:pPr>
          </w:p>
        </w:tc>
        <w:tc>
          <w:tcPr>
            <w:tcW w:w="1700" w:type="dxa"/>
            <w:vAlign w:val="bottom"/>
            <w:gridSpan w:val="2"/>
            <w:shd w:val="clear" w:color="auto" w:fill="CCECFF"/>
          </w:tcPr>
          <w:p>
            <w:pPr>
              <w:jc w:val="right"/>
              <w:ind w:right="220"/>
              <w:spacing w:after="0"/>
              <w:rPr>
                <w:sz w:val="20"/>
                <w:szCs w:val="20"/>
                <w:color w:val="auto"/>
              </w:rPr>
            </w:pPr>
            <w:r>
              <w:rPr>
                <w:rFonts w:ascii="Arial" w:cs="Arial" w:eastAsia="Arial" w:hAnsi="Arial"/>
                <w:sz w:val="14"/>
                <w:szCs w:val="14"/>
                <w:color w:val="auto"/>
              </w:rPr>
              <w:t>(36,691,236)</w:t>
            </w:r>
          </w:p>
        </w:tc>
        <w:tc>
          <w:tcPr>
            <w:tcW w:w="120" w:type="dxa"/>
            <w:vAlign w:val="bottom"/>
            <w:shd w:val="clear" w:color="auto" w:fill="CCECFF"/>
          </w:tcPr>
          <w:p>
            <w:pPr>
              <w:spacing w:after="0"/>
              <w:rPr>
                <w:sz w:val="14"/>
                <w:szCs w:val="14"/>
                <w:color w:val="auto"/>
              </w:rPr>
            </w:pPr>
          </w:p>
        </w:tc>
        <w:tc>
          <w:tcPr>
            <w:tcW w:w="1560" w:type="dxa"/>
            <w:vAlign w:val="bottom"/>
            <w:gridSpan w:val="2"/>
            <w:shd w:val="clear" w:color="auto" w:fill="CCECFF"/>
          </w:tcPr>
          <w:p>
            <w:pPr>
              <w:jc w:val="right"/>
              <w:ind w:right="80"/>
              <w:spacing w:after="0"/>
              <w:rPr>
                <w:sz w:val="20"/>
                <w:szCs w:val="20"/>
                <w:color w:val="auto"/>
              </w:rPr>
            </w:pPr>
            <w:r>
              <w:rPr>
                <w:rFonts w:ascii="Arial" w:cs="Arial" w:eastAsia="Arial" w:hAnsi="Arial"/>
                <w:sz w:val="14"/>
                <w:szCs w:val="14"/>
                <w:color w:val="auto"/>
              </w:rPr>
              <w:t>(35,614,089)</w:t>
            </w:r>
          </w:p>
        </w:tc>
        <w:tc>
          <w:tcPr>
            <w:tcW w:w="0" w:type="dxa"/>
            <w:vAlign w:val="bottom"/>
          </w:tcPr>
          <w:p>
            <w:pPr>
              <w:spacing w:after="0"/>
              <w:rPr>
                <w:sz w:val="1"/>
                <w:szCs w:val="1"/>
                <w:color w:val="auto"/>
              </w:rPr>
            </w:pPr>
          </w:p>
        </w:tc>
      </w:tr>
      <w:tr>
        <w:trPr>
          <w:trHeight w:val="155"/>
        </w:trPr>
        <w:tc>
          <w:tcPr>
            <w:tcW w:w="680" w:type="dxa"/>
            <w:vAlign w:val="bottom"/>
            <w:tcBorders>
              <w:bottom w:val="single" w:sz="8" w:color="CCECFF"/>
            </w:tcBorders>
          </w:tcPr>
          <w:p>
            <w:pPr>
              <w:spacing w:after="0"/>
              <w:rPr>
                <w:sz w:val="13"/>
                <w:szCs w:val="13"/>
                <w:color w:val="auto"/>
              </w:rPr>
            </w:pPr>
          </w:p>
        </w:tc>
        <w:tc>
          <w:tcPr>
            <w:tcW w:w="7040" w:type="dxa"/>
            <w:vAlign w:val="bottom"/>
            <w:tcBorders>
              <w:bottom w:val="single" w:sz="8" w:color="CCECFF"/>
            </w:tcBorders>
          </w:tcPr>
          <w:p>
            <w:pPr>
              <w:ind w:left="60"/>
              <w:spacing w:after="0" w:line="155" w:lineRule="exact"/>
              <w:rPr>
                <w:sz w:val="20"/>
                <w:szCs w:val="20"/>
                <w:color w:val="auto"/>
              </w:rPr>
            </w:pPr>
            <w:r>
              <w:rPr>
                <w:rFonts w:ascii="Arial" w:cs="Arial" w:eastAsia="Arial" w:hAnsi="Arial"/>
                <w:sz w:val="14"/>
                <w:szCs w:val="14"/>
                <w:b w:val="1"/>
                <w:bCs w:val="1"/>
                <w:color w:val="auto"/>
              </w:rPr>
              <w:t>Total net assets</w:t>
            </w:r>
          </w:p>
        </w:tc>
        <w:tc>
          <w:tcPr>
            <w:tcW w:w="1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14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501,980,364</w:t>
            </w:r>
          </w:p>
        </w:tc>
        <w:tc>
          <w:tcPr>
            <w:tcW w:w="280" w:type="dxa"/>
            <w:vAlign w:val="bottom"/>
            <w:tcBorders>
              <w:bottom w:val="single" w:sz="8" w:color="CCECFF"/>
            </w:tcBorders>
          </w:tcPr>
          <w:p>
            <w:pPr>
              <w:spacing w:after="0"/>
              <w:rPr>
                <w:sz w:val="13"/>
                <w:szCs w:val="13"/>
                <w:color w:val="auto"/>
              </w:rPr>
            </w:pPr>
          </w:p>
        </w:tc>
        <w:tc>
          <w:tcPr>
            <w:tcW w:w="1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14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503,057,511</w:t>
            </w:r>
          </w:p>
        </w:tc>
        <w:tc>
          <w:tcPr>
            <w:tcW w:w="120" w:type="dxa"/>
            <w:vAlign w:val="bottom"/>
            <w:tcBorders>
              <w:bottom w:val="single" w:sz="8" w:color="CCECFF"/>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80" w:type="dxa"/>
            <w:vAlign w:val="bottom"/>
            <w:tcBorders>
              <w:bottom w:val="single" w:sz="8" w:color="CCECFF"/>
            </w:tcBorders>
            <w:shd w:val="clear" w:color="auto" w:fill="CCECFF"/>
          </w:tcPr>
          <w:p>
            <w:pPr>
              <w:spacing w:after="0"/>
              <w:rPr>
                <w:sz w:val="13"/>
                <w:szCs w:val="13"/>
                <w:color w:val="auto"/>
              </w:rPr>
            </w:pPr>
          </w:p>
        </w:tc>
        <w:tc>
          <w:tcPr>
            <w:tcW w:w="7040" w:type="dxa"/>
            <w:vAlign w:val="bottom"/>
            <w:tcBorders>
              <w:bottom w:val="single" w:sz="8" w:color="CCECFF"/>
            </w:tcBorders>
            <w:shd w:val="clear" w:color="auto" w:fill="CCECFF"/>
          </w:tcPr>
          <w:p>
            <w:pPr>
              <w:ind w:left="60"/>
              <w:spacing w:after="0" w:line="155" w:lineRule="exact"/>
              <w:rPr>
                <w:sz w:val="20"/>
                <w:szCs w:val="20"/>
                <w:color w:val="auto"/>
              </w:rPr>
            </w:pPr>
            <w:r>
              <w:rPr>
                <w:rFonts w:ascii="Arial" w:cs="Arial" w:eastAsia="Arial" w:hAnsi="Arial"/>
                <w:sz w:val="14"/>
                <w:szCs w:val="14"/>
                <w:b w:val="1"/>
                <w:bCs w:val="1"/>
                <w:color w:val="auto"/>
              </w:rPr>
              <w:t>Total liabilities and net assets</w:t>
            </w:r>
          </w:p>
        </w:tc>
        <w:tc>
          <w:tcPr>
            <w:tcW w:w="14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w w:val="76"/>
              </w:rPr>
              <w:t>$</w:t>
            </w:r>
          </w:p>
        </w:tc>
        <w:tc>
          <w:tcPr>
            <w:tcW w:w="142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1,294,381,872</w:t>
            </w:r>
          </w:p>
        </w:tc>
        <w:tc>
          <w:tcPr>
            <w:tcW w:w="280" w:type="dxa"/>
            <w:vAlign w:val="bottom"/>
            <w:tcBorders>
              <w:bottom w:val="single" w:sz="8" w:color="CCECFF"/>
            </w:tcBorders>
            <w:shd w:val="clear" w:color="auto" w:fill="CCECFF"/>
          </w:tcPr>
          <w:p>
            <w:pPr>
              <w:spacing w:after="0"/>
              <w:rPr>
                <w:sz w:val="13"/>
                <w:szCs w:val="13"/>
                <w:color w:val="auto"/>
              </w:rPr>
            </w:pPr>
          </w:p>
        </w:tc>
        <w:tc>
          <w:tcPr>
            <w:tcW w:w="12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w w:val="76"/>
              </w:rPr>
              <w:t>$</w:t>
            </w:r>
          </w:p>
        </w:tc>
        <w:tc>
          <w:tcPr>
            <w:tcW w:w="144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1,152,375,812</w:t>
            </w:r>
          </w:p>
        </w:tc>
        <w:tc>
          <w:tcPr>
            <w:tcW w:w="120" w:type="dxa"/>
            <w:vAlign w:val="bottom"/>
            <w:tcBorders>
              <w:bottom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7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Net asset value per share</w:t>
            </w: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7720" w:type="dxa"/>
            <w:vAlign w:val="bottom"/>
            <w:gridSpan w:val="2"/>
            <w:vMerge w:val="continue"/>
          </w:tcPr>
          <w:p>
            <w:pPr>
              <w:spacing w:after="0"/>
              <w:rPr>
                <w:sz w:val="12"/>
                <w:szCs w:val="12"/>
                <w:color w:val="auto"/>
              </w:rPr>
            </w:pPr>
          </w:p>
        </w:tc>
        <w:tc>
          <w:tcPr>
            <w:tcW w:w="14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w w:val="76"/>
              </w:rPr>
              <w:t>$</w:t>
            </w:r>
          </w:p>
        </w:tc>
        <w:tc>
          <w:tcPr>
            <w:tcW w:w="142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12.95</w:t>
            </w:r>
          </w:p>
        </w:tc>
        <w:tc>
          <w:tcPr>
            <w:tcW w:w="280" w:type="dxa"/>
            <w:vAlign w:val="bottom"/>
          </w:tcPr>
          <w:p>
            <w:pPr>
              <w:spacing w:after="0"/>
              <w:rPr>
                <w:sz w:val="12"/>
                <w:szCs w:val="12"/>
                <w:color w:val="auto"/>
              </w:rPr>
            </w:pPr>
          </w:p>
        </w:tc>
        <w:tc>
          <w:tcPr>
            <w:tcW w:w="12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w w:val="76"/>
              </w:rPr>
              <w:t>$</w:t>
            </w:r>
          </w:p>
        </w:tc>
        <w:tc>
          <w:tcPr>
            <w:tcW w:w="144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12.97</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70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SEE NOTES TO CONSOLIDATED FINANCIAL STATEMENTS</w:t>
      </w:r>
    </w:p>
    <w:p>
      <w:pPr>
        <w:spacing w:after="0" w:line="5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149465"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4"/>
          <w:szCs w:val="14"/>
          <w:b w:val="1"/>
          <w:bCs w:val="1"/>
          <w:color w:val="auto"/>
        </w:rPr>
        <w:t>PENNANTPARK FLOATING RATE CAPITAL LTD. AND SUBSIDIARIES</w:t>
      </w:r>
    </w:p>
    <w:p>
      <w:pPr>
        <w:jc w:val="center"/>
        <w:spacing w:after="0" w:line="225" w:lineRule="auto"/>
        <w:rPr>
          <w:sz w:val="20"/>
          <w:szCs w:val="20"/>
          <w:color w:val="auto"/>
        </w:rPr>
      </w:pPr>
      <w:r>
        <w:rPr>
          <w:rFonts w:ascii="Arial" w:cs="Arial" w:eastAsia="Arial" w:hAnsi="Arial"/>
          <w:sz w:val="14"/>
          <w:szCs w:val="14"/>
          <w:b w:val="1"/>
          <w:bCs w:val="1"/>
          <w:color w:val="auto"/>
        </w:rPr>
        <w:t>CONSOLIDATED STATEMENTS OF OPERATIONS</w:t>
      </w:r>
    </w:p>
    <w:p>
      <w:pPr>
        <w:jc w:val="center"/>
        <w:spacing w:after="0"/>
        <w:rPr>
          <w:sz w:val="20"/>
          <w:szCs w:val="20"/>
          <w:color w:val="auto"/>
        </w:rPr>
      </w:pPr>
      <w:r>
        <w:rPr>
          <w:rFonts w:ascii="Arial" w:cs="Arial" w:eastAsia="Arial" w:hAnsi="Arial"/>
          <w:sz w:val="14"/>
          <w:szCs w:val="14"/>
          <w:b w:val="1"/>
          <w:bCs w:val="1"/>
          <w:color w:val="auto"/>
        </w:rPr>
        <w:t>(Unaudited)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180" w:type="dxa"/>
            <w:vAlign w:val="bottom"/>
            <w:gridSpan w:val="5"/>
          </w:tcPr>
          <w:p>
            <w:pPr>
              <w:jc w:val="right"/>
              <w:ind w:right="740"/>
              <w:spacing w:after="0"/>
              <w:rPr>
                <w:sz w:val="20"/>
                <w:szCs w:val="20"/>
                <w:color w:val="auto"/>
              </w:rPr>
            </w:pPr>
            <w:r>
              <w:rPr>
                <w:rFonts w:ascii="Arial" w:cs="Arial" w:eastAsia="Arial" w:hAnsi="Arial"/>
                <w:sz w:val="14"/>
                <w:szCs w:val="14"/>
                <w:b w:val="1"/>
                <w:bCs w:val="1"/>
                <w:color w:val="auto"/>
              </w:rPr>
              <w:t>Three Months Ended December 31,</w:t>
            </w:r>
          </w:p>
        </w:tc>
        <w:tc>
          <w:tcPr>
            <w:tcW w:w="0" w:type="dxa"/>
            <w:vAlign w:val="bottom"/>
          </w:tcPr>
          <w:p>
            <w:pPr>
              <w:spacing w:after="0"/>
              <w:rPr>
                <w:sz w:val="1"/>
                <w:szCs w:val="1"/>
                <w:color w:val="auto"/>
              </w:rPr>
            </w:pPr>
          </w:p>
        </w:tc>
      </w:tr>
      <w:tr>
        <w:trPr>
          <w:trHeight w:val="155"/>
        </w:trPr>
        <w:tc>
          <w:tcPr>
            <w:tcW w:w="7720" w:type="dxa"/>
            <w:vAlign w:val="bottom"/>
            <w:tcBorders>
              <w:bottom w:val="single" w:sz="8" w:color="CCECFF"/>
            </w:tcBorders>
          </w:tcPr>
          <w:p>
            <w:pPr>
              <w:spacing w:after="0"/>
              <w:rPr>
                <w:sz w:val="13"/>
                <w:szCs w:val="13"/>
                <w:color w:val="auto"/>
              </w:rPr>
            </w:pPr>
          </w:p>
        </w:tc>
        <w:tc>
          <w:tcPr>
            <w:tcW w:w="340" w:type="dxa"/>
            <w:vAlign w:val="bottom"/>
            <w:tcBorders>
              <w:top w:val="single" w:sz="8" w:color="auto"/>
              <w:bottom w:val="single" w:sz="8" w:color="auto"/>
            </w:tcBorders>
          </w:tcPr>
          <w:p>
            <w:pPr>
              <w:spacing w:after="0"/>
              <w:rPr>
                <w:sz w:val="13"/>
                <w:szCs w:val="13"/>
                <w:color w:val="auto"/>
              </w:rPr>
            </w:pPr>
          </w:p>
        </w:tc>
        <w:tc>
          <w:tcPr>
            <w:tcW w:w="1220" w:type="dxa"/>
            <w:vAlign w:val="bottom"/>
            <w:tcBorders>
              <w:top w:val="single" w:sz="8" w:color="auto"/>
              <w:bottom w:val="single" w:sz="8" w:color="auto"/>
            </w:tcBorders>
          </w:tcPr>
          <w:p>
            <w:pPr>
              <w:jc w:val="right"/>
              <w:ind w:right="568"/>
              <w:spacing w:after="0" w:line="155" w:lineRule="exact"/>
              <w:rPr>
                <w:sz w:val="20"/>
                <w:szCs w:val="20"/>
                <w:color w:val="auto"/>
              </w:rPr>
            </w:pPr>
            <w:r>
              <w:rPr>
                <w:rFonts w:ascii="Arial" w:cs="Arial" w:eastAsia="Arial" w:hAnsi="Arial"/>
                <w:sz w:val="14"/>
                <w:szCs w:val="14"/>
                <w:b w:val="1"/>
                <w:bCs w:val="1"/>
                <w:color w:val="auto"/>
              </w:rPr>
              <w:t>2019</w:t>
            </w:r>
          </w:p>
        </w:tc>
        <w:tc>
          <w:tcPr>
            <w:tcW w:w="280" w:type="dxa"/>
            <w:vAlign w:val="bottom"/>
            <w:tcBorders>
              <w:top w:val="single" w:sz="8" w:color="auto"/>
              <w:bottom w:val="single" w:sz="8" w:color="CCECFF"/>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200" w:type="dxa"/>
            <w:vAlign w:val="bottom"/>
            <w:tcBorders>
              <w:top w:val="single" w:sz="8" w:color="auto"/>
              <w:bottom w:val="single" w:sz="8" w:color="auto"/>
            </w:tcBorders>
          </w:tcPr>
          <w:p>
            <w:pPr>
              <w:jc w:val="right"/>
              <w:ind w:right="568"/>
              <w:spacing w:after="0" w:line="155" w:lineRule="exact"/>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CFF"/>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720" w:type="dxa"/>
            <w:vAlign w:val="bottom"/>
            <w:shd w:val="clear" w:color="auto" w:fill="CCECFF"/>
          </w:tcPr>
          <w:p>
            <w:pPr>
              <w:spacing w:after="0" w:line="155" w:lineRule="exact"/>
              <w:rPr>
                <w:sz w:val="20"/>
                <w:szCs w:val="20"/>
                <w:color w:val="auto"/>
              </w:rPr>
            </w:pPr>
            <w:r>
              <w:rPr>
                <w:rFonts w:ascii="Arial" w:cs="Arial" w:eastAsia="Arial" w:hAnsi="Arial"/>
                <w:sz w:val="14"/>
                <w:szCs w:val="14"/>
                <w:b w:val="1"/>
                <w:bCs w:val="1"/>
                <w:color w:val="auto"/>
              </w:rPr>
              <w:t>Investment income:</w:t>
            </w:r>
          </w:p>
        </w:tc>
        <w:tc>
          <w:tcPr>
            <w:tcW w:w="340" w:type="dxa"/>
            <w:vAlign w:val="bottom"/>
            <w:shd w:val="clear" w:color="auto" w:fill="CCECFF"/>
          </w:tcPr>
          <w:p>
            <w:pPr>
              <w:spacing w:after="0"/>
              <w:rPr>
                <w:sz w:val="13"/>
                <w:szCs w:val="13"/>
                <w:color w:val="auto"/>
              </w:rPr>
            </w:pPr>
          </w:p>
        </w:tc>
        <w:tc>
          <w:tcPr>
            <w:tcW w:w="1220" w:type="dxa"/>
            <w:vAlign w:val="bottom"/>
            <w:shd w:val="clear" w:color="auto" w:fill="CCECFF"/>
          </w:tcPr>
          <w:p>
            <w:pPr>
              <w:spacing w:after="0"/>
              <w:rPr>
                <w:sz w:val="13"/>
                <w:szCs w:val="13"/>
                <w:color w:val="auto"/>
              </w:rPr>
            </w:pPr>
          </w:p>
        </w:tc>
        <w:tc>
          <w:tcPr>
            <w:tcW w:w="280" w:type="dxa"/>
            <w:vAlign w:val="bottom"/>
            <w:shd w:val="clear" w:color="auto" w:fill="CCECFF"/>
          </w:tcPr>
          <w:p>
            <w:pPr>
              <w:spacing w:after="0"/>
              <w:rPr>
                <w:sz w:val="13"/>
                <w:szCs w:val="13"/>
                <w:color w:val="auto"/>
              </w:rPr>
            </w:pPr>
          </w:p>
        </w:tc>
        <w:tc>
          <w:tcPr>
            <w:tcW w:w="360" w:type="dxa"/>
            <w:vAlign w:val="bottom"/>
            <w:shd w:val="clear" w:color="auto" w:fill="CCECFF"/>
          </w:tcPr>
          <w:p>
            <w:pPr>
              <w:spacing w:after="0"/>
              <w:rPr>
                <w:sz w:val="13"/>
                <w:szCs w:val="13"/>
                <w:color w:val="auto"/>
              </w:rPr>
            </w:pPr>
          </w:p>
        </w:tc>
        <w:tc>
          <w:tcPr>
            <w:tcW w:w="120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720" w:type="dxa"/>
            <w:vAlign w:val="bottom"/>
          </w:tcPr>
          <w:p>
            <w:pPr>
              <w:spacing w:after="0"/>
              <w:rPr>
                <w:sz w:val="20"/>
                <w:szCs w:val="20"/>
                <w:color w:val="auto"/>
              </w:rPr>
            </w:pPr>
            <w:r>
              <w:rPr>
                <w:rFonts w:ascii="Arial" w:cs="Arial" w:eastAsia="Arial" w:hAnsi="Arial"/>
                <w:sz w:val="14"/>
                <w:szCs w:val="14"/>
                <w:color w:val="auto"/>
              </w:rPr>
              <w:t>From non-controlled, non-affiliated investments:</w:t>
            </w:r>
          </w:p>
        </w:tc>
        <w:tc>
          <w:tcPr>
            <w:tcW w:w="3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shd w:val="clear" w:color="auto" w:fill="CCECFF"/>
          </w:tcPr>
          <w:p>
            <w:pPr>
              <w:ind w:left="260"/>
              <w:spacing w:after="0"/>
              <w:rPr>
                <w:sz w:val="20"/>
                <w:szCs w:val="20"/>
                <w:color w:val="auto"/>
              </w:rPr>
            </w:pPr>
            <w:r>
              <w:rPr>
                <w:rFonts w:ascii="Arial" w:cs="Arial" w:eastAsia="Arial" w:hAnsi="Arial"/>
                <w:sz w:val="14"/>
                <w:szCs w:val="14"/>
                <w:color w:val="auto"/>
              </w:rPr>
              <w:t>Interest</w:t>
            </w:r>
          </w:p>
        </w:tc>
        <w:tc>
          <w:tcPr>
            <w:tcW w:w="340" w:type="dxa"/>
            <w:vAlign w:val="bottom"/>
            <w:shd w:val="clear" w:color="auto" w:fill="CCECFF"/>
          </w:tcPr>
          <w:p>
            <w:pPr>
              <w:jc w:val="right"/>
              <w:ind w:right="188"/>
              <w:spacing w:after="0"/>
              <w:rPr>
                <w:sz w:val="20"/>
                <w:szCs w:val="20"/>
                <w:color w:val="auto"/>
              </w:rPr>
            </w:pPr>
            <w:r>
              <w:rPr>
                <w:rFonts w:ascii="Arial" w:cs="Arial" w:eastAsia="Arial" w:hAnsi="Arial"/>
                <w:sz w:val="14"/>
                <w:szCs w:val="14"/>
                <w:color w:val="auto"/>
                <w:w w:val="76"/>
              </w:rPr>
              <w:t>$</w:t>
            </w:r>
          </w:p>
        </w:tc>
        <w:tc>
          <w:tcPr>
            <w:tcW w:w="12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18,909,894</w:t>
            </w:r>
          </w:p>
        </w:tc>
        <w:tc>
          <w:tcPr>
            <w:tcW w:w="280" w:type="dxa"/>
            <w:vAlign w:val="bottom"/>
            <w:shd w:val="clear" w:color="auto" w:fill="CCECFF"/>
          </w:tcPr>
          <w:p>
            <w:pPr>
              <w:spacing w:after="0"/>
              <w:rPr>
                <w:sz w:val="14"/>
                <w:szCs w:val="14"/>
                <w:color w:val="auto"/>
              </w:rPr>
            </w:pPr>
          </w:p>
        </w:tc>
        <w:tc>
          <w:tcPr>
            <w:tcW w:w="360" w:type="dxa"/>
            <w:vAlign w:val="bottom"/>
            <w:shd w:val="clear" w:color="auto" w:fill="CCECFF"/>
          </w:tcPr>
          <w:p>
            <w:pPr>
              <w:jc w:val="right"/>
              <w:ind w:right="208"/>
              <w:spacing w:after="0"/>
              <w:rPr>
                <w:sz w:val="20"/>
                <w:szCs w:val="20"/>
                <w:color w:val="auto"/>
              </w:rPr>
            </w:pPr>
            <w:r>
              <w:rPr>
                <w:rFonts w:ascii="Arial" w:cs="Arial" w:eastAsia="Arial" w:hAnsi="Arial"/>
                <w:sz w:val="14"/>
                <w:szCs w:val="14"/>
                <w:color w:val="auto"/>
                <w:w w:val="76"/>
              </w:rPr>
              <w:t>$</w:t>
            </w:r>
          </w:p>
        </w:tc>
        <w:tc>
          <w:tcPr>
            <w:tcW w:w="12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18,169,998</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tcPr>
          <w:p>
            <w:pPr>
              <w:ind w:left="260"/>
              <w:spacing w:after="0"/>
              <w:rPr>
                <w:sz w:val="20"/>
                <w:szCs w:val="20"/>
                <w:color w:val="auto"/>
              </w:rPr>
            </w:pPr>
            <w:r>
              <w:rPr>
                <w:rFonts w:ascii="Arial" w:cs="Arial" w:eastAsia="Arial" w:hAnsi="Arial"/>
                <w:sz w:val="14"/>
                <w:szCs w:val="14"/>
                <w:color w:val="auto"/>
              </w:rPr>
              <w:t>Other income</w:t>
            </w:r>
          </w:p>
        </w:tc>
        <w:tc>
          <w:tcPr>
            <w:tcW w:w="34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773,103</w:t>
            </w: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621,189</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shd w:val="clear" w:color="auto" w:fill="CCECFF"/>
          </w:tcPr>
          <w:p>
            <w:pPr>
              <w:spacing w:after="0"/>
              <w:rPr>
                <w:sz w:val="20"/>
                <w:szCs w:val="20"/>
                <w:color w:val="auto"/>
              </w:rPr>
            </w:pPr>
            <w:r>
              <w:rPr>
                <w:rFonts w:ascii="Arial" w:cs="Arial" w:eastAsia="Arial" w:hAnsi="Arial"/>
                <w:sz w:val="14"/>
                <w:szCs w:val="14"/>
                <w:color w:val="auto"/>
              </w:rPr>
              <w:t>From non-controlled, affiliated investments:</w:t>
            </w:r>
          </w:p>
        </w:tc>
        <w:tc>
          <w:tcPr>
            <w:tcW w:w="340" w:type="dxa"/>
            <w:vAlign w:val="bottom"/>
            <w:shd w:val="clear" w:color="auto" w:fill="CCECFF"/>
          </w:tcPr>
          <w:p>
            <w:pPr>
              <w:spacing w:after="0"/>
              <w:rPr>
                <w:sz w:val="14"/>
                <w:szCs w:val="14"/>
                <w:color w:val="auto"/>
              </w:rPr>
            </w:pPr>
          </w:p>
        </w:tc>
        <w:tc>
          <w:tcPr>
            <w:tcW w:w="1220" w:type="dxa"/>
            <w:vAlign w:val="bottom"/>
            <w:shd w:val="clear" w:color="auto" w:fill="CCECFF"/>
          </w:tcPr>
          <w:p>
            <w:pPr>
              <w:spacing w:after="0"/>
              <w:rPr>
                <w:sz w:val="14"/>
                <w:szCs w:val="14"/>
                <w:color w:val="auto"/>
              </w:rPr>
            </w:pPr>
          </w:p>
        </w:tc>
        <w:tc>
          <w:tcPr>
            <w:tcW w:w="280" w:type="dxa"/>
            <w:vAlign w:val="bottom"/>
            <w:shd w:val="clear" w:color="auto" w:fill="CCECFF"/>
          </w:tcPr>
          <w:p>
            <w:pPr>
              <w:spacing w:after="0"/>
              <w:rPr>
                <w:sz w:val="14"/>
                <w:szCs w:val="14"/>
                <w:color w:val="auto"/>
              </w:rPr>
            </w:pPr>
          </w:p>
        </w:tc>
        <w:tc>
          <w:tcPr>
            <w:tcW w:w="360" w:type="dxa"/>
            <w:vAlign w:val="bottom"/>
            <w:shd w:val="clear" w:color="auto" w:fill="CCECFF"/>
          </w:tcPr>
          <w:p>
            <w:pPr>
              <w:spacing w:after="0"/>
              <w:rPr>
                <w:sz w:val="14"/>
                <w:szCs w:val="14"/>
                <w:color w:val="auto"/>
              </w:rPr>
            </w:pPr>
          </w:p>
        </w:tc>
        <w:tc>
          <w:tcPr>
            <w:tcW w:w="120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tcPr>
          <w:p>
            <w:pPr>
              <w:ind w:left="260"/>
              <w:spacing w:after="0"/>
              <w:rPr>
                <w:sz w:val="20"/>
                <w:szCs w:val="20"/>
                <w:color w:val="auto"/>
              </w:rPr>
            </w:pPr>
            <w:r>
              <w:rPr>
                <w:rFonts w:ascii="Arial" w:cs="Arial" w:eastAsia="Arial" w:hAnsi="Arial"/>
                <w:sz w:val="14"/>
                <w:szCs w:val="14"/>
                <w:color w:val="auto"/>
              </w:rPr>
              <w:t>Interest</w:t>
            </w:r>
          </w:p>
        </w:tc>
        <w:tc>
          <w:tcPr>
            <w:tcW w:w="34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225,353</w:t>
            </w: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7720" w:type="dxa"/>
            <w:vAlign w:val="bottom"/>
            <w:shd w:val="clear" w:color="auto" w:fill="CCECFF"/>
          </w:tcPr>
          <w:p>
            <w:pPr>
              <w:spacing w:after="0"/>
              <w:rPr>
                <w:sz w:val="20"/>
                <w:szCs w:val="20"/>
                <w:color w:val="auto"/>
              </w:rPr>
            </w:pPr>
            <w:r>
              <w:rPr>
                <w:rFonts w:ascii="Arial" w:cs="Arial" w:eastAsia="Arial" w:hAnsi="Arial"/>
                <w:sz w:val="14"/>
                <w:szCs w:val="14"/>
                <w:color w:val="auto"/>
              </w:rPr>
              <w:t>From controlled, affiliated investments:</w:t>
            </w:r>
          </w:p>
        </w:tc>
        <w:tc>
          <w:tcPr>
            <w:tcW w:w="340" w:type="dxa"/>
            <w:vAlign w:val="bottom"/>
            <w:shd w:val="clear" w:color="auto" w:fill="CCECFF"/>
          </w:tcPr>
          <w:p>
            <w:pPr>
              <w:spacing w:after="0"/>
              <w:rPr>
                <w:sz w:val="14"/>
                <w:szCs w:val="14"/>
                <w:color w:val="auto"/>
              </w:rPr>
            </w:pPr>
          </w:p>
        </w:tc>
        <w:tc>
          <w:tcPr>
            <w:tcW w:w="1220" w:type="dxa"/>
            <w:vAlign w:val="bottom"/>
            <w:shd w:val="clear" w:color="auto" w:fill="CCECFF"/>
          </w:tcPr>
          <w:p>
            <w:pPr>
              <w:spacing w:after="0"/>
              <w:rPr>
                <w:sz w:val="14"/>
                <w:szCs w:val="14"/>
                <w:color w:val="auto"/>
              </w:rPr>
            </w:pPr>
          </w:p>
        </w:tc>
        <w:tc>
          <w:tcPr>
            <w:tcW w:w="280" w:type="dxa"/>
            <w:vAlign w:val="bottom"/>
            <w:shd w:val="clear" w:color="auto" w:fill="CCECFF"/>
          </w:tcPr>
          <w:p>
            <w:pPr>
              <w:spacing w:after="0"/>
              <w:rPr>
                <w:sz w:val="14"/>
                <w:szCs w:val="14"/>
                <w:color w:val="auto"/>
              </w:rPr>
            </w:pPr>
          </w:p>
        </w:tc>
        <w:tc>
          <w:tcPr>
            <w:tcW w:w="360" w:type="dxa"/>
            <w:vAlign w:val="bottom"/>
            <w:shd w:val="clear" w:color="auto" w:fill="CCECFF"/>
          </w:tcPr>
          <w:p>
            <w:pPr>
              <w:spacing w:after="0"/>
              <w:rPr>
                <w:sz w:val="14"/>
                <w:szCs w:val="14"/>
                <w:color w:val="auto"/>
              </w:rPr>
            </w:pPr>
          </w:p>
        </w:tc>
        <w:tc>
          <w:tcPr>
            <w:tcW w:w="120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tcPr>
          <w:p>
            <w:pPr>
              <w:ind w:left="260"/>
              <w:spacing w:after="0"/>
              <w:rPr>
                <w:sz w:val="20"/>
                <w:szCs w:val="20"/>
                <w:color w:val="auto"/>
              </w:rPr>
            </w:pPr>
            <w:r>
              <w:rPr>
                <w:rFonts w:ascii="Arial" w:cs="Arial" w:eastAsia="Arial" w:hAnsi="Arial"/>
                <w:sz w:val="14"/>
                <w:szCs w:val="14"/>
                <w:color w:val="auto"/>
              </w:rPr>
              <w:t>Interest</w:t>
            </w:r>
          </w:p>
        </w:tc>
        <w:tc>
          <w:tcPr>
            <w:tcW w:w="34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3,155,324</w:t>
            </w: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2,818,045</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shd w:val="clear" w:color="auto" w:fill="CCECFF"/>
          </w:tcPr>
          <w:p>
            <w:pPr>
              <w:ind w:left="260"/>
              <w:spacing w:after="0"/>
              <w:rPr>
                <w:sz w:val="20"/>
                <w:szCs w:val="20"/>
                <w:color w:val="auto"/>
              </w:rPr>
            </w:pPr>
            <w:r>
              <w:rPr>
                <w:rFonts w:ascii="Arial" w:cs="Arial" w:eastAsia="Arial" w:hAnsi="Arial"/>
                <w:sz w:val="14"/>
                <w:szCs w:val="14"/>
                <w:color w:val="auto"/>
              </w:rPr>
              <w:t>Dividend</w:t>
            </w:r>
          </w:p>
        </w:tc>
        <w:tc>
          <w:tcPr>
            <w:tcW w:w="340" w:type="dxa"/>
            <w:vAlign w:val="bottom"/>
            <w:tcBorders>
              <w:bottom w:val="single" w:sz="8" w:color="auto"/>
            </w:tcBorders>
            <w:shd w:val="clear" w:color="auto" w:fill="CCECFF"/>
          </w:tcPr>
          <w:p>
            <w:pPr>
              <w:spacing w:after="0"/>
              <w:rPr>
                <w:sz w:val="14"/>
                <w:szCs w:val="14"/>
                <w:color w:val="auto"/>
              </w:rPr>
            </w:pPr>
          </w:p>
        </w:tc>
        <w:tc>
          <w:tcPr>
            <w:tcW w:w="12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1,575,000</w:t>
            </w:r>
          </w:p>
        </w:tc>
        <w:tc>
          <w:tcPr>
            <w:tcW w:w="280" w:type="dxa"/>
            <w:vAlign w:val="bottom"/>
            <w:shd w:val="clear" w:color="auto" w:fill="CCECFF"/>
          </w:tcPr>
          <w:p>
            <w:pPr>
              <w:spacing w:after="0"/>
              <w:rPr>
                <w:sz w:val="14"/>
                <w:szCs w:val="14"/>
                <w:color w:val="auto"/>
              </w:rPr>
            </w:pPr>
          </w:p>
        </w:tc>
        <w:tc>
          <w:tcPr>
            <w:tcW w:w="360" w:type="dxa"/>
            <w:vAlign w:val="bottom"/>
            <w:tcBorders>
              <w:bottom w:val="single" w:sz="8" w:color="auto"/>
            </w:tcBorders>
            <w:shd w:val="clear" w:color="auto" w:fill="CCECFF"/>
          </w:tcPr>
          <w:p>
            <w:pPr>
              <w:spacing w:after="0"/>
              <w:rPr>
                <w:sz w:val="14"/>
                <w:szCs w:val="14"/>
                <w:color w:val="auto"/>
              </w:rPr>
            </w:pPr>
          </w:p>
        </w:tc>
        <w:tc>
          <w:tcPr>
            <w:tcW w:w="12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1,575,000</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7720" w:type="dxa"/>
            <w:vAlign w:val="bottom"/>
            <w:tcBorders>
              <w:bottom w:val="single" w:sz="8" w:color="CCECFF"/>
            </w:tcBorders>
          </w:tcPr>
          <w:p>
            <w:pPr>
              <w:ind w:left="260"/>
              <w:spacing w:after="0" w:line="155" w:lineRule="exact"/>
              <w:rPr>
                <w:sz w:val="20"/>
                <w:szCs w:val="20"/>
                <w:color w:val="auto"/>
              </w:rPr>
            </w:pPr>
            <w:r>
              <w:rPr>
                <w:rFonts w:ascii="Arial" w:cs="Arial" w:eastAsia="Arial" w:hAnsi="Arial"/>
                <w:sz w:val="14"/>
                <w:szCs w:val="14"/>
                <w:b w:val="1"/>
                <w:bCs w:val="1"/>
                <w:color w:val="auto"/>
              </w:rPr>
              <w:t>Total investment income</w:t>
            </w:r>
          </w:p>
        </w:tc>
        <w:tc>
          <w:tcPr>
            <w:tcW w:w="34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24,638,674</w:t>
            </w:r>
          </w:p>
        </w:tc>
        <w:tc>
          <w:tcPr>
            <w:tcW w:w="280" w:type="dxa"/>
            <w:vAlign w:val="bottom"/>
            <w:tcBorders>
              <w:bottom w:val="single" w:sz="8" w:color="CCEC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23,184,232</w:t>
            </w:r>
          </w:p>
        </w:tc>
        <w:tc>
          <w:tcPr>
            <w:tcW w:w="120" w:type="dxa"/>
            <w:vAlign w:val="bottom"/>
            <w:tcBorders>
              <w:bottom w:val="single" w:sz="8" w:color="CCECFF"/>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720" w:type="dxa"/>
            <w:vAlign w:val="bottom"/>
            <w:shd w:val="clear" w:color="auto" w:fill="CCECFF"/>
          </w:tcPr>
          <w:p>
            <w:pPr>
              <w:spacing w:after="0" w:line="155" w:lineRule="exact"/>
              <w:rPr>
                <w:sz w:val="20"/>
                <w:szCs w:val="20"/>
                <w:color w:val="auto"/>
              </w:rPr>
            </w:pPr>
            <w:r>
              <w:rPr>
                <w:rFonts w:ascii="Arial" w:cs="Arial" w:eastAsia="Arial" w:hAnsi="Arial"/>
                <w:sz w:val="14"/>
                <w:szCs w:val="14"/>
                <w:b w:val="1"/>
                <w:bCs w:val="1"/>
                <w:color w:val="auto"/>
              </w:rPr>
              <w:t>Expenses:</w:t>
            </w:r>
          </w:p>
        </w:tc>
        <w:tc>
          <w:tcPr>
            <w:tcW w:w="340" w:type="dxa"/>
            <w:vAlign w:val="bottom"/>
            <w:shd w:val="clear" w:color="auto" w:fill="CCECFF"/>
          </w:tcPr>
          <w:p>
            <w:pPr>
              <w:spacing w:after="0"/>
              <w:rPr>
                <w:sz w:val="13"/>
                <w:szCs w:val="13"/>
                <w:color w:val="auto"/>
              </w:rPr>
            </w:pPr>
          </w:p>
        </w:tc>
        <w:tc>
          <w:tcPr>
            <w:tcW w:w="1220" w:type="dxa"/>
            <w:vAlign w:val="bottom"/>
            <w:shd w:val="clear" w:color="auto" w:fill="CCECFF"/>
          </w:tcPr>
          <w:p>
            <w:pPr>
              <w:spacing w:after="0"/>
              <w:rPr>
                <w:sz w:val="13"/>
                <w:szCs w:val="13"/>
                <w:color w:val="auto"/>
              </w:rPr>
            </w:pPr>
          </w:p>
        </w:tc>
        <w:tc>
          <w:tcPr>
            <w:tcW w:w="280" w:type="dxa"/>
            <w:vAlign w:val="bottom"/>
            <w:shd w:val="clear" w:color="auto" w:fill="CCECFF"/>
          </w:tcPr>
          <w:p>
            <w:pPr>
              <w:spacing w:after="0"/>
              <w:rPr>
                <w:sz w:val="13"/>
                <w:szCs w:val="13"/>
                <w:color w:val="auto"/>
              </w:rPr>
            </w:pPr>
          </w:p>
        </w:tc>
        <w:tc>
          <w:tcPr>
            <w:tcW w:w="360" w:type="dxa"/>
            <w:vAlign w:val="bottom"/>
            <w:shd w:val="clear" w:color="auto" w:fill="CCECFF"/>
          </w:tcPr>
          <w:p>
            <w:pPr>
              <w:spacing w:after="0"/>
              <w:rPr>
                <w:sz w:val="13"/>
                <w:szCs w:val="13"/>
                <w:color w:val="auto"/>
              </w:rPr>
            </w:pPr>
          </w:p>
        </w:tc>
        <w:tc>
          <w:tcPr>
            <w:tcW w:w="120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720" w:type="dxa"/>
            <w:vAlign w:val="bottom"/>
          </w:tcPr>
          <w:p>
            <w:pPr>
              <w:ind w:left="260"/>
              <w:spacing w:after="0"/>
              <w:rPr>
                <w:sz w:val="20"/>
                <w:szCs w:val="20"/>
                <w:color w:val="auto"/>
              </w:rPr>
            </w:pPr>
            <w:r>
              <w:rPr>
                <w:rFonts w:ascii="Arial" w:cs="Arial" w:eastAsia="Arial" w:hAnsi="Arial"/>
                <w:sz w:val="14"/>
                <w:szCs w:val="14"/>
                <w:color w:val="auto"/>
              </w:rPr>
              <w:t>Base management fee (See Note 3)</w:t>
            </w:r>
          </w:p>
        </w:tc>
        <w:tc>
          <w:tcPr>
            <w:tcW w:w="34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2,830,159</w:t>
            </w: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2,498,766</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shd w:val="clear" w:color="auto" w:fill="CCECFF"/>
          </w:tcPr>
          <w:p>
            <w:pPr>
              <w:ind w:left="260"/>
              <w:spacing w:after="0"/>
              <w:rPr>
                <w:sz w:val="20"/>
                <w:szCs w:val="20"/>
                <w:color w:val="auto"/>
              </w:rPr>
            </w:pPr>
            <w:r>
              <w:rPr>
                <w:rFonts w:ascii="Arial" w:cs="Arial" w:eastAsia="Arial" w:hAnsi="Arial"/>
                <w:sz w:val="14"/>
                <w:szCs w:val="14"/>
                <w:color w:val="auto"/>
              </w:rPr>
              <w:t>Performance-based incentive fee (See Note 3)</w:t>
            </w:r>
          </w:p>
        </w:tc>
        <w:tc>
          <w:tcPr>
            <w:tcW w:w="340" w:type="dxa"/>
            <w:vAlign w:val="bottom"/>
            <w:shd w:val="clear" w:color="auto" w:fill="CCECFF"/>
          </w:tcPr>
          <w:p>
            <w:pPr>
              <w:spacing w:after="0"/>
              <w:rPr>
                <w:sz w:val="14"/>
                <w:szCs w:val="14"/>
                <w:color w:val="auto"/>
              </w:rPr>
            </w:pPr>
          </w:p>
        </w:tc>
        <w:tc>
          <w:tcPr>
            <w:tcW w:w="12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2,315,834</w:t>
            </w:r>
          </w:p>
        </w:tc>
        <w:tc>
          <w:tcPr>
            <w:tcW w:w="280" w:type="dxa"/>
            <w:vAlign w:val="bottom"/>
            <w:shd w:val="clear" w:color="auto" w:fill="CCECFF"/>
          </w:tcPr>
          <w:p>
            <w:pPr>
              <w:spacing w:after="0"/>
              <w:rPr>
                <w:sz w:val="14"/>
                <w:szCs w:val="14"/>
                <w:color w:val="auto"/>
              </w:rPr>
            </w:pPr>
          </w:p>
        </w:tc>
        <w:tc>
          <w:tcPr>
            <w:tcW w:w="360" w:type="dxa"/>
            <w:vAlign w:val="bottom"/>
            <w:shd w:val="clear" w:color="auto" w:fill="CCECFF"/>
          </w:tcPr>
          <w:p>
            <w:pPr>
              <w:spacing w:after="0"/>
              <w:rPr>
                <w:sz w:val="14"/>
                <w:szCs w:val="14"/>
                <w:color w:val="auto"/>
              </w:rPr>
            </w:pPr>
          </w:p>
        </w:tc>
        <w:tc>
          <w:tcPr>
            <w:tcW w:w="1320" w:type="dxa"/>
            <w:vAlign w:val="bottom"/>
            <w:gridSpan w:val="2"/>
            <w:shd w:val="clear" w:color="auto" w:fill="CCECFF"/>
          </w:tcPr>
          <w:p>
            <w:pPr>
              <w:jc w:val="right"/>
              <w:ind w:right="80"/>
              <w:spacing w:after="0"/>
              <w:rPr>
                <w:sz w:val="20"/>
                <w:szCs w:val="20"/>
                <w:color w:val="auto"/>
              </w:rPr>
            </w:pPr>
            <w:r>
              <w:rPr>
                <w:rFonts w:ascii="Arial" w:cs="Arial" w:eastAsia="Arial" w:hAnsi="Arial"/>
                <w:sz w:val="14"/>
                <w:szCs w:val="14"/>
                <w:color w:val="auto"/>
              </w:rPr>
              <w:t>(1,192,409)</w:t>
            </w:r>
          </w:p>
        </w:tc>
        <w:tc>
          <w:tcPr>
            <w:tcW w:w="0" w:type="dxa"/>
            <w:vAlign w:val="bottom"/>
          </w:tcPr>
          <w:p>
            <w:pPr>
              <w:spacing w:after="0"/>
              <w:rPr>
                <w:sz w:val="1"/>
                <w:szCs w:val="1"/>
                <w:color w:val="auto"/>
              </w:rPr>
            </w:pPr>
          </w:p>
        </w:tc>
      </w:tr>
      <w:tr>
        <w:trPr>
          <w:trHeight w:val="162"/>
        </w:trPr>
        <w:tc>
          <w:tcPr>
            <w:tcW w:w="7720" w:type="dxa"/>
            <w:vAlign w:val="bottom"/>
          </w:tcPr>
          <w:p>
            <w:pPr>
              <w:ind w:left="260"/>
              <w:spacing w:after="0"/>
              <w:rPr>
                <w:sz w:val="20"/>
                <w:szCs w:val="20"/>
                <w:color w:val="auto"/>
              </w:rPr>
            </w:pPr>
            <w:r>
              <w:rPr>
                <w:rFonts w:ascii="Arial" w:cs="Arial" w:eastAsia="Arial" w:hAnsi="Arial"/>
                <w:sz w:val="14"/>
                <w:szCs w:val="14"/>
                <w:color w:val="auto"/>
              </w:rPr>
              <w:t>Interest and expenses on debt (See Note 10)</w:t>
            </w:r>
          </w:p>
        </w:tc>
        <w:tc>
          <w:tcPr>
            <w:tcW w:w="34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7,307,264</w:t>
            </w: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5,305,478</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shd w:val="clear" w:color="auto" w:fill="CCECFF"/>
          </w:tcPr>
          <w:p>
            <w:pPr>
              <w:ind w:left="260"/>
              <w:spacing w:after="0"/>
              <w:rPr>
                <w:sz w:val="20"/>
                <w:szCs w:val="20"/>
                <w:color w:val="auto"/>
              </w:rPr>
            </w:pPr>
            <w:r>
              <w:rPr>
                <w:rFonts w:ascii="Arial" w:cs="Arial" w:eastAsia="Arial" w:hAnsi="Arial"/>
                <w:sz w:val="14"/>
                <w:szCs w:val="14"/>
                <w:color w:val="auto"/>
              </w:rPr>
              <w:t>Administrative services expenses (See Note 3)</w:t>
            </w:r>
          </w:p>
        </w:tc>
        <w:tc>
          <w:tcPr>
            <w:tcW w:w="340" w:type="dxa"/>
            <w:vAlign w:val="bottom"/>
            <w:shd w:val="clear" w:color="auto" w:fill="CCECFF"/>
          </w:tcPr>
          <w:p>
            <w:pPr>
              <w:spacing w:after="0"/>
              <w:rPr>
                <w:sz w:val="14"/>
                <w:szCs w:val="14"/>
                <w:color w:val="auto"/>
              </w:rPr>
            </w:pPr>
          </w:p>
        </w:tc>
        <w:tc>
          <w:tcPr>
            <w:tcW w:w="12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350,000</w:t>
            </w:r>
          </w:p>
        </w:tc>
        <w:tc>
          <w:tcPr>
            <w:tcW w:w="280" w:type="dxa"/>
            <w:vAlign w:val="bottom"/>
            <w:shd w:val="clear" w:color="auto" w:fill="CCECFF"/>
          </w:tcPr>
          <w:p>
            <w:pPr>
              <w:spacing w:after="0"/>
              <w:rPr>
                <w:sz w:val="14"/>
                <w:szCs w:val="14"/>
                <w:color w:val="auto"/>
              </w:rPr>
            </w:pPr>
          </w:p>
        </w:tc>
        <w:tc>
          <w:tcPr>
            <w:tcW w:w="360" w:type="dxa"/>
            <w:vAlign w:val="bottom"/>
            <w:shd w:val="clear" w:color="auto" w:fill="CCECFF"/>
          </w:tcPr>
          <w:p>
            <w:pPr>
              <w:spacing w:after="0"/>
              <w:rPr>
                <w:sz w:val="14"/>
                <w:szCs w:val="14"/>
                <w:color w:val="auto"/>
              </w:rPr>
            </w:pPr>
          </w:p>
        </w:tc>
        <w:tc>
          <w:tcPr>
            <w:tcW w:w="12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500,000</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tcBorders>
              <w:bottom w:val="single" w:sz="8" w:color="CCECFF"/>
            </w:tcBorders>
          </w:tcPr>
          <w:p>
            <w:pPr>
              <w:ind w:left="260"/>
              <w:spacing w:after="0"/>
              <w:rPr>
                <w:sz w:val="20"/>
                <w:szCs w:val="20"/>
                <w:color w:val="auto"/>
              </w:rPr>
            </w:pPr>
            <w:r>
              <w:rPr>
                <w:rFonts w:ascii="Arial" w:cs="Arial" w:eastAsia="Arial" w:hAnsi="Arial"/>
                <w:sz w:val="14"/>
                <w:szCs w:val="14"/>
                <w:color w:val="auto"/>
              </w:rPr>
              <w:t>Other general and administrative expenses</w:t>
            </w:r>
          </w:p>
        </w:tc>
        <w:tc>
          <w:tcPr>
            <w:tcW w:w="34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616,077</w:t>
            </w:r>
          </w:p>
        </w:tc>
        <w:tc>
          <w:tcPr>
            <w:tcW w:w="280" w:type="dxa"/>
            <w:vAlign w:val="bottom"/>
            <w:tcBorders>
              <w:bottom w:val="single" w:sz="8" w:color="CCEC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616,075</w:t>
            </w:r>
          </w:p>
        </w:tc>
        <w:tc>
          <w:tcPr>
            <w:tcW w:w="120" w:type="dxa"/>
            <w:vAlign w:val="bottom"/>
            <w:tcBorders>
              <w:bottom w:val="single" w:sz="8" w:color="CCECFF"/>
            </w:tcBorders>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7720" w:type="dxa"/>
            <w:vAlign w:val="bottom"/>
            <w:shd w:val="clear" w:color="auto" w:fill="CCECFF"/>
          </w:tcPr>
          <w:p>
            <w:pPr>
              <w:ind w:left="260"/>
              <w:spacing w:after="0" w:line="155" w:lineRule="exact"/>
              <w:rPr>
                <w:sz w:val="20"/>
                <w:szCs w:val="20"/>
                <w:color w:val="auto"/>
              </w:rPr>
            </w:pPr>
            <w:r>
              <w:rPr>
                <w:rFonts w:ascii="Arial" w:cs="Arial" w:eastAsia="Arial" w:hAnsi="Arial"/>
                <w:sz w:val="14"/>
                <w:szCs w:val="14"/>
                <w:b w:val="1"/>
                <w:bCs w:val="1"/>
                <w:color w:val="auto"/>
              </w:rPr>
              <w:t>Expenses before amendment costs, debt issuance costs and provision for taxes</w:t>
            </w:r>
          </w:p>
        </w:tc>
        <w:tc>
          <w:tcPr>
            <w:tcW w:w="340" w:type="dxa"/>
            <w:vAlign w:val="bottom"/>
            <w:shd w:val="clear" w:color="auto" w:fill="CCECFF"/>
          </w:tcPr>
          <w:p>
            <w:pPr>
              <w:spacing w:after="0"/>
              <w:rPr>
                <w:sz w:val="13"/>
                <w:szCs w:val="13"/>
                <w:color w:val="auto"/>
              </w:rPr>
            </w:pPr>
          </w:p>
        </w:tc>
        <w:tc>
          <w:tcPr>
            <w:tcW w:w="1220" w:type="dxa"/>
            <w:vAlign w:val="bottom"/>
            <w:shd w:val="clear" w:color="auto" w:fill="CCECFF"/>
          </w:tcPr>
          <w:p>
            <w:pPr>
              <w:jc w:val="right"/>
              <w:spacing w:after="0" w:line="155" w:lineRule="exact"/>
              <w:rPr>
                <w:sz w:val="20"/>
                <w:szCs w:val="20"/>
                <w:color w:val="auto"/>
              </w:rPr>
            </w:pPr>
            <w:r>
              <w:rPr>
                <w:rFonts w:ascii="Arial" w:cs="Arial" w:eastAsia="Arial" w:hAnsi="Arial"/>
                <w:sz w:val="14"/>
                <w:szCs w:val="14"/>
                <w:color w:val="auto"/>
              </w:rPr>
              <w:t>13,419,334</w:t>
            </w:r>
          </w:p>
        </w:tc>
        <w:tc>
          <w:tcPr>
            <w:tcW w:w="280" w:type="dxa"/>
            <w:vAlign w:val="bottom"/>
            <w:shd w:val="clear" w:color="auto" w:fill="CCECFF"/>
          </w:tcPr>
          <w:p>
            <w:pPr>
              <w:spacing w:after="0"/>
              <w:rPr>
                <w:sz w:val="13"/>
                <w:szCs w:val="13"/>
                <w:color w:val="auto"/>
              </w:rPr>
            </w:pPr>
          </w:p>
        </w:tc>
        <w:tc>
          <w:tcPr>
            <w:tcW w:w="360" w:type="dxa"/>
            <w:vAlign w:val="bottom"/>
            <w:shd w:val="clear" w:color="auto" w:fill="CCECFF"/>
          </w:tcPr>
          <w:p>
            <w:pPr>
              <w:spacing w:after="0"/>
              <w:rPr>
                <w:sz w:val="13"/>
                <w:szCs w:val="13"/>
                <w:color w:val="auto"/>
              </w:rPr>
            </w:pPr>
          </w:p>
        </w:tc>
        <w:tc>
          <w:tcPr>
            <w:tcW w:w="1200" w:type="dxa"/>
            <w:vAlign w:val="bottom"/>
            <w:shd w:val="clear" w:color="auto" w:fill="CCECFF"/>
          </w:tcPr>
          <w:p>
            <w:pPr>
              <w:jc w:val="right"/>
              <w:spacing w:after="0" w:line="155" w:lineRule="exact"/>
              <w:rPr>
                <w:sz w:val="20"/>
                <w:szCs w:val="20"/>
                <w:color w:val="auto"/>
              </w:rPr>
            </w:pPr>
            <w:r>
              <w:rPr>
                <w:rFonts w:ascii="Arial" w:cs="Arial" w:eastAsia="Arial" w:hAnsi="Arial"/>
                <w:sz w:val="14"/>
                <w:szCs w:val="14"/>
                <w:color w:val="auto"/>
              </w:rPr>
              <w:t>7,727,910</w:t>
            </w:r>
          </w:p>
        </w:tc>
        <w:tc>
          <w:tcPr>
            <w:tcW w:w="12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720" w:type="dxa"/>
            <w:vAlign w:val="bottom"/>
          </w:tcPr>
          <w:p>
            <w:pPr>
              <w:ind w:left="260"/>
              <w:spacing w:after="0"/>
              <w:rPr>
                <w:sz w:val="20"/>
                <w:szCs w:val="20"/>
                <w:color w:val="auto"/>
              </w:rPr>
            </w:pPr>
            <w:r>
              <w:rPr>
                <w:rFonts w:ascii="Arial" w:cs="Arial" w:eastAsia="Arial" w:hAnsi="Arial"/>
                <w:sz w:val="14"/>
                <w:szCs w:val="14"/>
                <w:color w:val="auto"/>
              </w:rPr>
              <w:t>Credit Facility amendment costs and debt issuance costs (See Notes 5 and 10)</w:t>
            </w:r>
          </w:p>
        </w:tc>
        <w:tc>
          <w:tcPr>
            <w:tcW w:w="340" w:type="dxa"/>
            <w:vAlign w:val="bottom"/>
          </w:tcPr>
          <w:p>
            <w:pPr>
              <w:spacing w:after="0"/>
              <w:rPr>
                <w:sz w:val="14"/>
                <w:szCs w:val="14"/>
                <w:color w:val="auto"/>
              </w:rPr>
            </w:pPr>
          </w:p>
        </w:tc>
        <w:tc>
          <w:tcPr>
            <w:tcW w:w="150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4,512,279</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shd w:val="clear" w:color="auto" w:fill="CCECFF"/>
          </w:tcPr>
          <w:p>
            <w:pPr>
              <w:ind w:left="260"/>
              <w:spacing w:after="0"/>
              <w:rPr>
                <w:sz w:val="20"/>
                <w:szCs w:val="20"/>
                <w:color w:val="auto"/>
              </w:rPr>
            </w:pPr>
            <w:r>
              <w:rPr>
                <w:rFonts w:ascii="Arial" w:cs="Arial" w:eastAsia="Arial" w:hAnsi="Arial"/>
                <w:sz w:val="14"/>
                <w:szCs w:val="14"/>
                <w:color w:val="auto"/>
              </w:rPr>
              <w:t>Provision for taxes</w:t>
            </w:r>
          </w:p>
        </w:tc>
        <w:tc>
          <w:tcPr>
            <w:tcW w:w="340" w:type="dxa"/>
            <w:vAlign w:val="bottom"/>
            <w:shd w:val="clear" w:color="auto" w:fill="CCECFF"/>
          </w:tcPr>
          <w:p>
            <w:pPr>
              <w:spacing w:after="0"/>
              <w:rPr>
                <w:sz w:val="14"/>
                <w:szCs w:val="14"/>
                <w:color w:val="auto"/>
              </w:rPr>
            </w:pPr>
          </w:p>
        </w:tc>
        <w:tc>
          <w:tcPr>
            <w:tcW w:w="12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100,000</w:t>
            </w:r>
          </w:p>
        </w:tc>
        <w:tc>
          <w:tcPr>
            <w:tcW w:w="280" w:type="dxa"/>
            <w:vAlign w:val="bottom"/>
            <w:shd w:val="clear" w:color="auto" w:fill="CCECFF"/>
          </w:tcPr>
          <w:p>
            <w:pPr>
              <w:spacing w:after="0"/>
              <w:rPr>
                <w:sz w:val="14"/>
                <w:szCs w:val="14"/>
                <w:color w:val="auto"/>
              </w:rPr>
            </w:pPr>
          </w:p>
        </w:tc>
        <w:tc>
          <w:tcPr>
            <w:tcW w:w="360" w:type="dxa"/>
            <w:vAlign w:val="bottom"/>
            <w:shd w:val="clear" w:color="auto" w:fill="CCECFF"/>
          </w:tcPr>
          <w:p>
            <w:pPr>
              <w:spacing w:after="0"/>
              <w:rPr>
                <w:sz w:val="14"/>
                <w:szCs w:val="14"/>
                <w:color w:val="auto"/>
              </w:rPr>
            </w:pPr>
          </w:p>
        </w:tc>
        <w:tc>
          <w:tcPr>
            <w:tcW w:w="1320" w:type="dxa"/>
            <w:vAlign w:val="bottom"/>
            <w:gridSpan w:val="2"/>
            <w:shd w:val="clear" w:color="auto" w:fill="CCECFF"/>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6"/>
        </w:trPr>
        <w:tc>
          <w:tcPr>
            <w:tcW w:w="7720" w:type="dxa"/>
            <w:vAlign w:val="bottom"/>
            <w:tcBorders>
              <w:bottom w:val="single" w:sz="8" w:color="CCECFF"/>
            </w:tcBorders>
          </w:tcPr>
          <w:p>
            <w:pPr>
              <w:ind w:left="260"/>
              <w:spacing w:after="0" w:line="155" w:lineRule="exact"/>
              <w:rPr>
                <w:sz w:val="20"/>
                <w:szCs w:val="20"/>
                <w:color w:val="auto"/>
              </w:rPr>
            </w:pPr>
            <w:r>
              <w:rPr>
                <w:rFonts w:ascii="Arial" w:cs="Arial" w:eastAsia="Arial" w:hAnsi="Arial"/>
                <w:sz w:val="14"/>
                <w:szCs w:val="14"/>
                <w:b w:val="1"/>
                <w:bCs w:val="1"/>
                <w:color w:val="auto"/>
              </w:rPr>
              <w:t>Total expenses</w:t>
            </w:r>
          </w:p>
        </w:tc>
        <w:tc>
          <w:tcPr>
            <w:tcW w:w="340" w:type="dxa"/>
            <w:vAlign w:val="bottom"/>
            <w:tcBorders>
              <w:top w:val="single" w:sz="8" w:color="auto"/>
              <w:bottom w:val="single" w:sz="8" w:color="auto"/>
            </w:tcBorders>
          </w:tcPr>
          <w:p>
            <w:pPr>
              <w:spacing w:after="0"/>
              <w:rPr>
                <w:sz w:val="13"/>
                <w:szCs w:val="13"/>
                <w:color w:val="auto"/>
              </w:rPr>
            </w:pPr>
          </w:p>
        </w:tc>
        <w:tc>
          <w:tcPr>
            <w:tcW w:w="12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13,519,334</w:t>
            </w:r>
          </w:p>
        </w:tc>
        <w:tc>
          <w:tcPr>
            <w:tcW w:w="280" w:type="dxa"/>
            <w:vAlign w:val="bottom"/>
            <w:tcBorders>
              <w:bottom w:val="single" w:sz="8" w:color="CCECFF"/>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2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12,240,189</w:t>
            </w:r>
          </w:p>
        </w:tc>
        <w:tc>
          <w:tcPr>
            <w:tcW w:w="120" w:type="dxa"/>
            <w:vAlign w:val="bottom"/>
            <w:tcBorders>
              <w:bottom w:val="single" w:sz="8" w:color="CCECFF"/>
            </w:tcBorders>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7720" w:type="dxa"/>
            <w:vAlign w:val="bottom"/>
            <w:shd w:val="clear" w:color="auto" w:fill="CCECFF"/>
          </w:tcPr>
          <w:p>
            <w:pPr>
              <w:ind w:left="260"/>
              <w:spacing w:after="0" w:line="155" w:lineRule="exact"/>
              <w:rPr>
                <w:sz w:val="20"/>
                <w:szCs w:val="20"/>
                <w:color w:val="auto"/>
              </w:rPr>
            </w:pPr>
            <w:r>
              <w:rPr>
                <w:rFonts w:ascii="Arial" w:cs="Arial" w:eastAsia="Arial" w:hAnsi="Arial"/>
                <w:sz w:val="14"/>
                <w:szCs w:val="14"/>
                <w:b w:val="1"/>
                <w:bCs w:val="1"/>
                <w:color w:val="auto"/>
              </w:rPr>
              <w:t>Net investment income</w:t>
            </w:r>
          </w:p>
        </w:tc>
        <w:tc>
          <w:tcPr>
            <w:tcW w:w="340" w:type="dxa"/>
            <w:vAlign w:val="bottom"/>
            <w:tcBorders>
              <w:bottom w:val="single" w:sz="8" w:color="auto"/>
            </w:tcBorders>
            <w:shd w:val="clear" w:color="auto" w:fill="CCECFF"/>
          </w:tcPr>
          <w:p>
            <w:pPr>
              <w:spacing w:after="0"/>
              <w:rPr>
                <w:sz w:val="13"/>
                <w:szCs w:val="13"/>
                <w:color w:val="auto"/>
              </w:rPr>
            </w:pPr>
          </w:p>
        </w:tc>
        <w:tc>
          <w:tcPr>
            <w:tcW w:w="122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11,119,340</w:t>
            </w:r>
          </w:p>
        </w:tc>
        <w:tc>
          <w:tcPr>
            <w:tcW w:w="280" w:type="dxa"/>
            <w:vAlign w:val="bottom"/>
            <w:shd w:val="clear" w:color="auto" w:fill="CCECFF"/>
          </w:tcPr>
          <w:p>
            <w:pPr>
              <w:spacing w:after="0"/>
              <w:rPr>
                <w:sz w:val="13"/>
                <w:szCs w:val="13"/>
                <w:color w:val="auto"/>
              </w:rPr>
            </w:pPr>
          </w:p>
        </w:tc>
        <w:tc>
          <w:tcPr>
            <w:tcW w:w="360" w:type="dxa"/>
            <w:vAlign w:val="bottom"/>
            <w:tcBorders>
              <w:bottom w:val="single" w:sz="8" w:color="auto"/>
            </w:tcBorders>
            <w:shd w:val="clear" w:color="auto" w:fill="CCECFF"/>
          </w:tcPr>
          <w:p>
            <w:pPr>
              <w:spacing w:after="0"/>
              <w:rPr>
                <w:sz w:val="13"/>
                <w:szCs w:val="13"/>
                <w:color w:val="auto"/>
              </w:rPr>
            </w:pPr>
          </w:p>
        </w:tc>
        <w:tc>
          <w:tcPr>
            <w:tcW w:w="120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10,944,043</w:t>
            </w:r>
          </w:p>
        </w:tc>
        <w:tc>
          <w:tcPr>
            <w:tcW w:w="12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720" w:type="dxa"/>
            <w:vAlign w:val="bottom"/>
          </w:tcPr>
          <w:p>
            <w:pPr>
              <w:spacing w:after="0" w:line="155" w:lineRule="exact"/>
              <w:rPr>
                <w:sz w:val="20"/>
                <w:szCs w:val="20"/>
                <w:color w:val="auto"/>
              </w:rPr>
            </w:pPr>
            <w:r>
              <w:rPr>
                <w:rFonts w:ascii="Arial" w:cs="Arial" w:eastAsia="Arial" w:hAnsi="Arial"/>
                <w:sz w:val="14"/>
                <w:szCs w:val="14"/>
                <w:b w:val="1"/>
                <w:bCs w:val="1"/>
                <w:color w:val="auto"/>
              </w:rPr>
              <w:t>Realized and unrealized loss on investments and debt:</w:t>
            </w:r>
          </w:p>
        </w:tc>
        <w:tc>
          <w:tcPr>
            <w:tcW w:w="3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720" w:type="dxa"/>
            <w:vAlign w:val="bottom"/>
            <w:shd w:val="clear" w:color="auto" w:fill="CCECFF"/>
          </w:tcPr>
          <w:p>
            <w:pPr>
              <w:spacing w:after="0"/>
              <w:rPr>
                <w:sz w:val="20"/>
                <w:szCs w:val="20"/>
                <w:color w:val="auto"/>
              </w:rPr>
            </w:pPr>
            <w:r>
              <w:rPr>
                <w:rFonts w:ascii="Arial" w:cs="Arial" w:eastAsia="Arial" w:hAnsi="Arial"/>
                <w:sz w:val="14"/>
                <w:szCs w:val="14"/>
                <w:color w:val="auto"/>
              </w:rPr>
              <w:t>Net realized gain on investments:</w:t>
            </w:r>
          </w:p>
        </w:tc>
        <w:tc>
          <w:tcPr>
            <w:tcW w:w="340" w:type="dxa"/>
            <w:vAlign w:val="bottom"/>
            <w:shd w:val="clear" w:color="auto" w:fill="CCECFF"/>
          </w:tcPr>
          <w:p>
            <w:pPr>
              <w:spacing w:after="0"/>
              <w:rPr>
                <w:sz w:val="14"/>
                <w:szCs w:val="14"/>
                <w:color w:val="auto"/>
              </w:rPr>
            </w:pPr>
          </w:p>
        </w:tc>
        <w:tc>
          <w:tcPr>
            <w:tcW w:w="1220" w:type="dxa"/>
            <w:vAlign w:val="bottom"/>
            <w:shd w:val="clear" w:color="auto" w:fill="CCECFF"/>
          </w:tcPr>
          <w:p>
            <w:pPr>
              <w:spacing w:after="0"/>
              <w:rPr>
                <w:sz w:val="14"/>
                <w:szCs w:val="14"/>
                <w:color w:val="auto"/>
              </w:rPr>
            </w:pPr>
          </w:p>
        </w:tc>
        <w:tc>
          <w:tcPr>
            <w:tcW w:w="280" w:type="dxa"/>
            <w:vAlign w:val="bottom"/>
            <w:shd w:val="clear" w:color="auto" w:fill="CCECFF"/>
          </w:tcPr>
          <w:p>
            <w:pPr>
              <w:spacing w:after="0"/>
              <w:rPr>
                <w:sz w:val="14"/>
                <w:szCs w:val="14"/>
                <w:color w:val="auto"/>
              </w:rPr>
            </w:pPr>
          </w:p>
        </w:tc>
        <w:tc>
          <w:tcPr>
            <w:tcW w:w="360" w:type="dxa"/>
            <w:vAlign w:val="bottom"/>
            <w:shd w:val="clear" w:color="auto" w:fill="CCECFF"/>
          </w:tcPr>
          <w:p>
            <w:pPr>
              <w:spacing w:after="0"/>
              <w:rPr>
                <w:sz w:val="14"/>
                <w:szCs w:val="14"/>
                <w:color w:val="auto"/>
              </w:rPr>
            </w:pPr>
          </w:p>
        </w:tc>
        <w:tc>
          <w:tcPr>
            <w:tcW w:w="120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tcBorders>
              <w:bottom w:val="single" w:sz="8" w:color="CCECFF"/>
            </w:tcBorders>
          </w:tcPr>
          <w:p>
            <w:pPr>
              <w:ind w:left="260"/>
              <w:spacing w:after="0"/>
              <w:rPr>
                <w:sz w:val="20"/>
                <w:szCs w:val="20"/>
                <w:color w:val="auto"/>
              </w:rPr>
            </w:pPr>
            <w:r>
              <w:rPr>
                <w:rFonts w:ascii="Arial" w:cs="Arial" w:eastAsia="Arial" w:hAnsi="Arial"/>
                <w:sz w:val="14"/>
                <w:szCs w:val="14"/>
                <w:color w:val="auto"/>
              </w:rPr>
              <w:t>Non-controlled, non-affiliated investments</w:t>
            </w:r>
          </w:p>
        </w:tc>
        <w:tc>
          <w:tcPr>
            <w:tcW w:w="34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1,012,313</w:t>
            </w:r>
          </w:p>
        </w:tc>
        <w:tc>
          <w:tcPr>
            <w:tcW w:w="280" w:type="dxa"/>
            <w:vAlign w:val="bottom"/>
            <w:tcBorders>
              <w:bottom w:val="single" w:sz="8" w:color="CCEC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923,466</w:t>
            </w:r>
          </w:p>
        </w:tc>
        <w:tc>
          <w:tcPr>
            <w:tcW w:w="120" w:type="dxa"/>
            <w:vAlign w:val="bottom"/>
            <w:tcBorders>
              <w:bottom w:val="single" w:sz="8" w:color="CCECFF"/>
            </w:tcBorders>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7720" w:type="dxa"/>
            <w:vAlign w:val="bottom"/>
            <w:shd w:val="clear" w:color="auto" w:fill="CCECFF"/>
          </w:tcPr>
          <w:p>
            <w:pPr>
              <w:ind w:left="260"/>
              <w:spacing w:after="0" w:line="155" w:lineRule="exact"/>
              <w:rPr>
                <w:sz w:val="20"/>
                <w:szCs w:val="20"/>
                <w:color w:val="auto"/>
              </w:rPr>
            </w:pPr>
            <w:r>
              <w:rPr>
                <w:rFonts w:ascii="Arial" w:cs="Arial" w:eastAsia="Arial" w:hAnsi="Arial"/>
                <w:sz w:val="14"/>
                <w:szCs w:val="14"/>
                <w:b w:val="1"/>
                <w:bCs w:val="1"/>
                <w:color w:val="auto"/>
              </w:rPr>
              <w:t>Net realized gain on investments</w:t>
            </w:r>
          </w:p>
        </w:tc>
        <w:tc>
          <w:tcPr>
            <w:tcW w:w="340" w:type="dxa"/>
            <w:vAlign w:val="bottom"/>
            <w:tcBorders>
              <w:bottom w:val="single" w:sz="8" w:color="auto"/>
            </w:tcBorders>
            <w:shd w:val="clear" w:color="auto" w:fill="CCECFF"/>
          </w:tcPr>
          <w:p>
            <w:pPr>
              <w:spacing w:after="0"/>
              <w:rPr>
                <w:sz w:val="13"/>
                <w:szCs w:val="13"/>
                <w:color w:val="auto"/>
              </w:rPr>
            </w:pPr>
          </w:p>
        </w:tc>
        <w:tc>
          <w:tcPr>
            <w:tcW w:w="122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1,012,313</w:t>
            </w:r>
          </w:p>
        </w:tc>
        <w:tc>
          <w:tcPr>
            <w:tcW w:w="280" w:type="dxa"/>
            <w:vAlign w:val="bottom"/>
            <w:shd w:val="clear" w:color="auto" w:fill="CCECFF"/>
          </w:tcPr>
          <w:p>
            <w:pPr>
              <w:spacing w:after="0"/>
              <w:rPr>
                <w:sz w:val="13"/>
                <w:szCs w:val="13"/>
                <w:color w:val="auto"/>
              </w:rPr>
            </w:pPr>
          </w:p>
        </w:tc>
        <w:tc>
          <w:tcPr>
            <w:tcW w:w="360" w:type="dxa"/>
            <w:vAlign w:val="bottom"/>
            <w:tcBorders>
              <w:bottom w:val="single" w:sz="8" w:color="auto"/>
            </w:tcBorders>
            <w:shd w:val="clear" w:color="auto" w:fill="CCECFF"/>
          </w:tcPr>
          <w:p>
            <w:pPr>
              <w:spacing w:after="0"/>
              <w:rPr>
                <w:sz w:val="13"/>
                <w:szCs w:val="13"/>
                <w:color w:val="auto"/>
              </w:rPr>
            </w:pPr>
          </w:p>
        </w:tc>
        <w:tc>
          <w:tcPr>
            <w:tcW w:w="120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923,466</w:t>
            </w:r>
          </w:p>
        </w:tc>
        <w:tc>
          <w:tcPr>
            <w:tcW w:w="12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720" w:type="dxa"/>
            <w:vAlign w:val="bottom"/>
          </w:tcPr>
          <w:p>
            <w:pPr>
              <w:spacing w:after="0" w:line="155" w:lineRule="exact"/>
              <w:rPr>
                <w:sz w:val="20"/>
                <w:szCs w:val="20"/>
                <w:color w:val="auto"/>
              </w:rPr>
            </w:pPr>
            <w:r>
              <w:rPr>
                <w:rFonts w:ascii="Arial" w:cs="Arial" w:eastAsia="Arial" w:hAnsi="Arial"/>
                <w:sz w:val="14"/>
                <w:szCs w:val="14"/>
                <w:color w:val="auto"/>
              </w:rPr>
              <w:t>Net change in unrealized depreciation on:</w:t>
            </w:r>
          </w:p>
        </w:tc>
        <w:tc>
          <w:tcPr>
            <w:tcW w:w="3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720" w:type="dxa"/>
            <w:vAlign w:val="bottom"/>
            <w:shd w:val="clear" w:color="auto" w:fill="CCECFF"/>
          </w:tcPr>
          <w:p>
            <w:pPr>
              <w:ind w:left="260"/>
              <w:spacing w:after="0"/>
              <w:rPr>
                <w:sz w:val="20"/>
                <w:szCs w:val="20"/>
                <w:color w:val="auto"/>
              </w:rPr>
            </w:pPr>
            <w:r>
              <w:rPr>
                <w:rFonts w:ascii="Arial" w:cs="Arial" w:eastAsia="Arial" w:hAnsi="Arial"/>
                <w:sz w:val="14"/>
                <w:szCs w:val="14"/>
                <w:color w:val="auto"/>
              </w:rPr>
              <w:t>Non-controlled, non-affiliated investments</w:t>
            </w:r>
          </w:p>
        </w:tc>
        <w:tc>
          <w:tcPr>
            <w:tcW w:w="340" w:type="dxa"/>
            <w:vAlign w:val="bottom"/>
            <w:shd w:val="clear" w:color="auto" w:fill="CCECFF"/>
          </w:tcPr>
          <w:p>
            <w:pPr>
              <w:spacing w:after="0"/>
              <w:rPr>
                <w:sz w:val="14"/>
                <w:szCs w:val="14"/>
                <w:color w:val="auto"/>
              </w:rPr>
            </w:pPr>
          </w:p>
        </w:tc>
        <w:tc>
          <w:tcPr>
            <w:tcW w:w="12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2,379,358</w:t>
            </w:r>
          </w:p>
        </w:tc>
        <w:tc>
          <w:tcPr>
            <w:tcW w:w="280" w:type="dxa"/>
            <w:vAlign w:val="bottom"/>
            <w:shd w:val="clear" w:color="auto" w:fill="CCECFF"/>
          </w:tcPr>
          <w:p>
            <w:pPr>
              <w:spacing w:after="0"/>
              <w:rPr>
                <w:sz w:val="14"/>
                <w:szCs w:val="14"/>
                <w:color w:val="auto"/>
              </w:rPr>
            </w:pPr>
          </w:p>
        </w:tc>
        <w:tc>
          <w:tcPr>
            <w:tcW w:w="360" w:type="dxa"/>
            <w:vAlign w:val="bottom"/>
            <w:shd w:val="clear" w:color="auto" w:fill="CCECFF"/>
          </w:tcPr>
          <w:p>
            <w:pPr>
              <w:spacing w:after="0"/>
              <w:rPr>
                <w:sz w:val="14"/>
                <w:szCs w:val="14"/>
                <w:color w:val="auto"/>
              </w:rPr>
            </w:pPr>
          </w:p>
        </w:tc>
        <w:tc>
          <w:tcPr>
            <w:tcW w:w="1320" w:type="dxa"/>
            <w:vAlign w:val="bottom"/>
            <w:gridSpan w:val="2"/>
            <w:shd w:val="clear" w:color="auto" w:fill="CCECFF"/>
          </w:tcPr>
          <w:p>
            <w:pPr>
              <w:jc w:val="right"/>
              <w:ind w:right="80"/>
              <w:spacing w:after="0"/>
              <w:rPr>
                <w:sz w:val="20"/>
                <w:szCs w:val="20"/>
                <w:color w:val="auto"/>
              </w:rPr>
            </w:pPr>
            <w:r>
              <w:rPr>
                <w:rFonts w:ascii="Arial" w:cs="Arial" w:eastAsia="Arial" w:hAnsi="Arial"/>
                <w:sz w:val="14"/>
                <w:szCs w:val="14"/>
                <w:color w:val="auto"/>
              </w:rPr>
              <w:t>(10,041,539)</w:t>
            </w:r>
          </w:p>
        </w:tc>
        <w:tc>
          <w:tcPr>
            <w:tcW w:w="0" w:type="dxa"/>
            <w:vAlign w:val="bottom"/>
          </w:tcPr>
          <w:p>
            <w:pPr>
              <w:spacing w:after="0"/>
              <w:rPr>
                <w:sz w:val="1"/>
                <w:szCs w:val="1"/>
                <w:color w:val="auto"/>
              </w:rPr>
            </w:pPr>
          </w:p>
        </w:tc>
      </w:tr>
      <w:tr>
        <w:trPr>
          <w:trHeight w:val="162"/>
        </w:trPr>
        <w:tc>
          <w:tcPr>
            <w:tcW w:w="7720" w:type="dxa"/>
            <w:vAlign w:val="bottom"/>
          </w:tcPr>
          <w:p>
            <w:pPr>
              <w:ind w:left="260"/>
              <w:spacing w:after="0"/>
              <w:rPr>
                <w:sz w:val="20"/>
                <w:szCs w:val="20"/>
                <w:color w:val="auto"/>
              </w:rPr>
            </w:pPr>
            <w:r>
              <w:rPr>
                <w:rFonts w:ascii="Arial" w:cs="Arial" w:eastAsia="Arial" w:hAnsi="Arial"/>
                <w:sz w:val="14"/>
                <w:szCs w:val="14"/>
                <w:color w:val="auto"/>
              </w:rPr>
              <w:t>Controlled and non-controlled, affiliated investments</w:t>
            </w:r>
          </w:p>
        </w:tc>
        <w:tc>
          <w:tcPr>
            <w:tcW w:w="340" w:type="dxa"/>
            <w:vAlign w:val="bottom"/>
          </w:tcPr>
          <w:p>
            <w:pPr>
              <w:spacing w:after="0"/>
              <w:rPr>
                <w:sz w:val="14"/>
                <w:szCs w:val="14"/>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4"/>
                <w:szCs w:val="14"/>
                <w:color w:val="auto"/>
              </w:rPr>
              <w:t>(5,899,705)</w:t>
            </w:r>
          </w:p>
        </w:tc>
        <w:tc>
          <w:tcPr>
            <w:tcW w:w="360" w:type="dxa"/>
            <w:vAlign w:val="bottom"/>
          </w:tcPr>
          <w:p>
            <w:pPr>
              <w:spacing w:after="0"/>
              <w:rPr>
                <w:sz w:val="14"/>
                <w:szCs w:val="14"/>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4"/>
                <w:szCs w:val="14"/>
                <w:color w:val="auto"/>
              </w:rPr>
              <w:t>(2,364,468)</w:t>
            </w:r>
          </w:p>
        </w:tc>
        <w:tc>
          <w:tcPr>
            <w:tcW w:w="0" w:type="dxa"/>
            <w:vAlign w:val="bottom"/>
          </w:tcPr>
          <w:p>
            <w:pPr>
              <w:spacing w:after="0"/>
              <w:rPr>
                <w:sz w:val="1"/>
                <w:szCs w:val="1"/>
                <w:color w:val="auto"/>
              </w:rPr>
            </w:pPr>
          </w:p>
        </w:tc>
      </w:tr>
      <w:tr>
        <w:trPr>
          <w:trHeight w:val="162"/>
        </w:trPr>
        <w:tc>
          <w:tcPr>
            <w:tcW w:w="7720" w:type="dxa"/>
            <w:vAlign w:val="bottom"/>
            <w:shd w:val="clear" w:color="auto" w:fill="CCECFF"/>
          </w:tcPr>
          <w:p>
            <w:pPr>
              <w:ind w:left="260"/>
              <w:spacing w:after="0"/>
              <w:rPr>
                <w:sz w:val="20"/>
                <w:szCs w:val="20"/>
                <w:color w:val="auto"/>
              </w:rPr>
            </w:pPr>
            <w:r>
              <w:rPr>
                <w:rFonts w:ascii="Arial" w:cs="Arial" w:eastAsia="Arial" w:hAnsi="Arial"/>
                <w:sz w:val="14"/>
                <w:szCs w:val="14"/>
                <w:color w:val="auto"/>
              </w:rPr>
              <w:t>Debt depreciation (See Notes 5 and 10)</w:t>
            </w:r>
          </w:p>
        </w:tc>
        <w:tc>
          <w:tcPr>
            <w:tcW w:w="340" w:type="dxa"/>
            <w:vAlign w:val="bottom"/>
            <w:tcBorders>
              <w:bottom w:val="single" w:sz="8" w:color="auto"/>
            </w:tcBorders>
            <w:shd w:val="clear" w:color="auto" w:fill="CCECFF"/>
          </w:tcPr>
          <w:p>
            <w:pPr>
              <w:spacing w:after="0"/>
              <w:rPr>
                <w:sz w:val="14"/>
                <w:szCs w:val="14"/>
                <w:color w:val="auto"/>
              </w:rPr>
            </w:pPr>
          </w:p>
        </w:tc>
        <w:tc>
          <w:tcPr>
            <w:tcW w:w="12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1,361,588</w:t>
            </w:r>
          </w:p>
        </w:tc>
        <w:tc>
          <w:tcPr>
            <w:tcW w:w="280" w:type="dxa"/>
            <w:vAlign w:val="bottom"/>
            <w:shd w:val="clear" w:color="auto" w:fill="CCECFF"/>
          </w:tcPr>
          <w:p>
            <w:pPr>
              <w:spacing w:after="0"/>
              <w:rPr>
                <w:sz w:val="14"/>
                <w:szCs w:val="14"/>
                <w:color w:val="auto"/>
              </w:rPr>
            </w:pPr>
          </w:p>
        </w:tc>
        <w:tc>
          <w:tcPr>
            <w:tcW w:w="360" w:type="dxa"/>
            <w:vAlign w:val="bottom"/>
            <w:tcBorders>
              <w:bottom w:val="single" w:sz="8" w:color="auto"/>
            </w:tcBorders>
            <w:shd w:val="clear" w:color="auto" w:fill="CCECFF"/>
          </w:tcPr>
          <w:p>
            <w:pPr>
              <w:spacing w:after="0"/>
              <w:rPr>
                <w:sz w:val="14"/>
                <w:szCs w:val="14"/>
                <w:color w:val="auto"/>
              </w:rPr>
            </w:pPr>
          </w:p>
        </w:tc>
        <w:tc>
          <w:tcPr>
            <w:tcW w:w="12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5,533,693</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7720" w:type="dxa"/>
            <w:vAlign w:val="bottom"/>
            <w:tcBorders>
              <w:bottom w:val="single" w:sz="8" w:color="CCECFF"/>
            </w:tcBorders>
          </w:tcPr>
          <w:p>
            <w:pPr>
              <w:ind w:left="260"/>
              <w:spacing w:after="0" w:line="155" w:lineRule="exact"/>
              <w:rPr>
                <w:sz w:val="20"/>
                <w:szCs w:val="20"/>
                <w:color w:val="auto"/>
              </w:rPr>
            </w:pPr>
            <w:r>
              <w:rPr>
                <w:rFonts w:ascii="Arial" w:cs="Arial" w:eastAsia="Arial" w:hAnsi="Arial"/>
                <w:sz w:val="14"/>
                <w:szCs w:val="14"/>
                <w:b w:val="1"/>
                <w:bCs w:val="1"/>
                <w:color w:val="auto"/>
              </w:rPr>
              <w:t>Net change in unrealized depreciation on investments and debt</w:t>
            </w:r>
          </w:p>
        </w:tc>
        <w:tc>
          <w:tcPr>
            <w:tcW w:w="34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(2,158,759)</w:t>
            </w:r>
          </w:p>
        </w:tc>
        <w:tc>
          <w:tcPr>
            <w:tcW w:w="280" w:type="dxa"/>
            <w:vAlign w:val="bottom"/>
            <w:tcBorders>
              <w:bottom w:val="single" w:sz="8" w:color="CCEC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(6,872,314)</w:t>
            </w:r>
          </w:p>
        </w:tc>
        <w:tc>
          <w:tcPr>
            <w:tcW w:w="120" w:type="dxa"/>
            <w:vAlign w:val="bottom"/>
            <w:tcBorders>
              <w:bottom w:val="single" w:sz="8" w:color="CCECFF"/>
            </w:tcBorders>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7720" w:type="dxa"/>
            <w:vAlign w:val="bottom"/>
            <w:shd w:val="clear" w:color="auto" w:fill="CCECFF"/>
          </w:tcPr>
          <w:p>
            <w:pPr>
              <w:spacing w:after="0" w:line="155" w:lineRule="exact"/>
              <w:rPr>
                <w:sz w:val="20"/>
                <w:szCs w:val="20"/>
                <w:color w:val="auto"/>
              </w:rPr>
            </w:pPr>
            <w:r>
              <w:rPr>
                <w:rFonts w:ascii="Arial" w:cs="Arial" w:eastAsia="Arial" w:hAnsi="Arial"/>
                <w:sz w:val="14"/>
                <w:szCs w:val="14"/>
                <w:b w:val="1"/>
                <w:bCs w:val="1"/>
                <w:color w:val="auto"/>
              </w:rPr>
              <w:t>Net realized and unrealized loss from investments and debt</w:t>
            </w:r>
          </w:p>
        </w:tc>
        <w:tc>
          <w:tcPr>
            <w:tcW w:w="340" w:type="dxa"/>
            <w:vAlign w:val="bottom"/>
            <w:tcBorders>
              <w:bottom w:val="single" w:sz="8" w:color="auto"/>
            </w:tcBorders>
            <w:shd w:val="clear" w:color="auto" w:fill="CCECFF"/>
          </w:tcPr>
          <w:p>
            <w:pPr>
              <w:spacing w:after="0"/>
              <w:rPr>
                <w:sz w:val="13"/>
                <w:szCs w:val="13"/>
                <w:color w:val="auto"/>
              </w:rPr>
            </w:pPr>
          </w:p>
        </w:tc>
        <w:tc>
          <w:tcPr>
            <w:tcW w:w="122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(1,146,446)</w:t>
            </w:r>
          </w:p>
        </w:tc>
        <w:tc>
          <w:tcPr>
            <w:tcW w:w="280" w:type="dxa"/>
            <w:vAlign w:val="bottom"/>
            <w:shd w:val="clear" w:color="auto" w:fill="CCECFF"/>
          </w:tcPr>
          <w:p>
            <w:pPr>
              <w:spacing w:after="0"/>
              <w:rPr>
                <w:sz w:val="13"/>
                <w:szCs w:val="13"/>
                <w:color w:val="auto"/>
              </w:rPr>
            </w:pPr>
          </w:p>
        </w:tc>
        <w:tc>
          <w:tcPr>
            <w:tcW w:w="360" w:type="dxa"/>
            <w:vAlign w:val="bottom"/>
            <w:tcBorders>
              <w:bottom w:val="single" w:sz="8" w:color="auto"/>
            </w:tcBorders>
            <w:shd w:val="clear" w:color="auto" w:fill="CCECFF"/>
          </w:tcPr>
          <w:p>
            <w:pPr>
              <w:spacing w:after="0"/>
              <w:rPr>
                <w:sz w:val="13"/>
                <w:szCs w:val="13"/>
                <w:color w:val="auto"/>
              </w:rPr>
            </w:pPr>
          </w:p>
        </w:tc>
        <w:tc>
          <w:tcPr>
            <w:tcW w:w="120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(5,948,848)</w:t>
            </w:r>
          </w:p>
        </w:tc>
        <w:tc>
          <w:tcPr>
            <w:tcW w:w="12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7720" w:type="dxa"/>
            <w:vAlign w:val="bottom"/>
            <w:tcBorders>
              <w:bottom w:val="single" w:sz="8" w:color="CCECFF"/>
            </w:tcBorders>
          </w:tcPr>
          <w:p>
            <w:pPr>
              <w:spacing w:after="0" w:line="155" w:lineRule="exact"/>
              <w:rPr>
                <w:sz w:val="20"/>
                <w:szCs w:val="20"/>
                <w:color w:val="auto"/>
              </w:rPr>
            </w:pPr>
            <w:r>
              <w:rPr>
                <w:rFonts w:ascii="Arial" w:cs="Arial" w:eastAsia="Arial" w:hAnsi="Arial"/>
                <w:sz w:val="14"/>
                <w:szCs w:val="14"/>
                <w:b w:val="1"/>
                <w:bCs w:val="1"/>
                <w:color w:val="auto"/>
              </w:rPr>
              <w:t>Net increase in net assets resulting from operations</w:t>
            </w:r>
          </w:p>
        </w:tc>
        <w:tc>
          <w:tcPr>
            <w:tcW w:w="340" w:type="dxa"/>
            <w:vAlign w:val="bottom"/>
            <w:tcBorders>
              <w:bottom w:val="single" w:sz="8" w:color="auto"/>
            </w:tcBorders>
          </w:tcPr>
          <w:p>
            <w:pPr>
              <w:jc w:val="right"/>
              <w:ind w:right="188"/>
              <w:spacing w:after="0" w:line="155" w:lineRule="exact"/>
              <w:rPr>
                <w:sz w:val="20"/>
                <w:szCs w:val="20"/>
                <w:color w:val="auto"/>
              </w:rPr>
            </w:pPr>
            <w:r>
              <w:rPr>
                <w:rFonts w:ascii="Arial" w:cs="Arial" w:eastAsia="Arial" w:hAnsi="Arial"/>
                <w:sz w:val="14"/>
                <w:szCs w:val="14"/>
                <w:color w:val="auto"/>
                <w:w w:val="76"/>
              </w:rPr>
              <w:t>$</w:t>
            </w:r>
          </w:p>
        </w:tc>
        <w:tc>
          <w:tcPr>
            <w:tcW w:w="12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9,972,894</w:t>
            </w:r>
          </w:p>
        </w:tc>
        <w:tc>
          <w:tcPr>
            <w:tcW w:w="280" w:type="dxa"/>
            <w:vAlign w:val="bottom"/>
            <w:tcBorders>
              <w:bottom w:val="single" w:sz="8" w:color="CCECFF"/>
            </w:tcBorders>
          </w:tcPr>
          <w:p>
            <w:pPr>
              <w:spacing w:after="0"/>
              <w:rPr>
                <w:sz w:val="17"/>
                <w:szCs w:val="17"/>
                <w:color w:val="auto"/>
              </w:rPr>
            </w:pPr>
          </w:p>
        </w:tc>
        <w:tc>
          <w:tcPr>
            <w:tcW w:w="360" w:type="dxa"/>
            <w:vAlign w:val="bottom"/>
            <w:tcBorders>
              <w:bottom w:val="single" w:sz="8" w:color="auto"/>
            </w:tcBorders>
          </w:tcPr>
          <w:p>
            <w:pPr>
              <w:jc w:val="right"/>
              <w:ind w:right="208"/>
              <w:spacing w:after="0" w:line="155" w:lineRule="exact"/>
              <w:rPr>
                <w:sz w:val="20"/>
                <w:szCs w:val="20"/>
                <w:color w:val="auto"/>
              </w:rPr>
            </w:pPr>
            <w:r>
              <w:rPr>
                <w:rFonts w:ascii="Arial" w:cs="Arial" w:eastAsia="Arial" w:hAnsi="Arial"/>
                <w:sz w:val="14"/>
                <w:szCs w:val="14"/>
                <w:color w:val="auto"/>
                <w:w w:val="76"/>
              </w:rPr>
              <w:t>$</w:t>
            </w:r>
          </w:p>
        </w:tc>
        <w:tc>
          <w:tcPr>
            <w:tcW w:w="12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4,995,195</w:t>
            </w:r>
          </w:p>
        </w:tc>
        <w:tc>
          <w:tcPr>
            <w:tcW w:w="120" w:type="dxa"/>
            <w:vAlign w:val="bottom"/>
            <w:tcBorders>
              <w:bottom w:val="single" w:sz="8" w:color="CCECFF"/>
            </w:tcBorders>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7720" w:type="dxa"/>
            <w:vAlign w:val="bottom"/>
            <w:tcBorders>
              <w:bottom w:val="single" w:sz="8" w:color="CCECFF"/>
            </w:tcBorders>
            <w:shd w:val="clear" w:color="auto" w:fill="CCECFF"/>
          </w:tcPr>
          <w:p>
            <w:pPr>
              <w:spacing w:after="0" w:line="143" w:lineRule="exact"/>
              <w:rPr>
                <w:sz w:val="20"/>
                <w:szCs w:val="20"/>
                <w:color w:val="auto"/>
              </w:rPr>
            </w:pPr>
            <w:r>
              <w:rPr>
                <w:rFonts w:ascii="Arial" w:cs="Arial" w:eastAsia="Arial" w:hAnsi="Arial"/>
                <w:sz w:val="14"/>
                <w:szCs w:val="14"/>
                <w:color w:val="auto"/>
              </w:rPr>
              <w:t>Net increase in net assets resulting from operations per common share (See Note 7)</w:t>
            </w:r>
          </w:p>
        </w:tc>
        <w:tc>
          <w:tcPr>
            <w:tcW w:w="340" w:type="dxa"/>
            <w:vAlign w:val="bottom"/>
            <w:tcBorders>
              <w:bottom w:val="single" w:sz="8" w:color="auto"/>
            </w:tcBorders>
            <w:shd w:val="clear" w:color="auto" w:fill="CCECFF"/>
          </w:tcPr>
          <w:p>
            <w:pPr>
              <w:jc w:val="right"/>
              <w:ind w:right="188"/>
              <w:spacing w:after="0" w:line="143" w:lineRule="exact"/>
              <w:rPr>
                <w:sz w:val="20"/>
                <w:szCs w:val="20"/>
                <w:color w:val="auto"/>
              </w:rPr>
            </w:pPr>
            <w:r>
              <w:rPr>
                <w:rFonts w:ascii="Arial" w:cs="Arial" w:eastAsia="Arial" w:hAnsi="Arial"/>
                <w:sz w:val="14"/>
                <w:szCs w:val="14"/>
                <w:color w:val="auto"/>
                <w:w w:val="76"/>
              </w:rPr>
              <w:t>$</w:t>
            </w:r>
          </w:p>
        </w:tc>
        <w:tc>
          <w:tcPr>
            <w:tcW w:w="1220" w:type="dxa"/>
            <w:vAlign w:val="bottom"/>
            <w:tcBorders>
              <w:bottom w:val="single" w:sz="8" w:color="auto"/>
            </w:tcBorders>
            <w:shd w:val="clear" w:color="auto" w:fill="CCECFF"/>
          </w:tcPr>
          <w:p>
            <w:pPr>
              <w:jc w:val="right"/>
              <w:spacing w:after="0" w:line="143" w:lineRule="exact"/>
              <w:rPr>
                <w:sz w:val="20"/>
                <w:szCs w:val="20"/>
                <w:color w:val="auto"/>
              </w:rPr>
            </w:pPr>
            <w:r>
              <w:rPr>
                <w:rFonts w:ascii="Arial" w:cs="Arial" w:eastAsia="Arial" w:hAnsi="Arial"/>
                <w:sz w:val="14"/>
                <w:szCs w:val="14"/>
                <w:color w:val="auto"/>
              </w:rPr>
              <w:t>0.26</w:t>
            </w:r>
          </w:p>
        </w:tc>
        <w:tc>
          <w:tcPr>
            <w:tcW w:w="280" w:type="dxa"/>
            <w:vAlign w:val="bottom"/>
            <w:tcBorders>
              <w:bottom w:val="single" w:sz="8" w:color="CCECFF"/>
            </w:tcBorders>
            <w:shd w:val="clear" w:color="auto" w:fill="CCECFF"/>
          </w:tcPr>
          <w:p>
            <w:pPr>
              <w:spacing w:after="0"/>
              <w:rPr>
                <w:sz w:val="12"/>
                <w:szCs w:val="12"/>
                <w:color w:val="auto"/>
              </w:rPr>
            </w:pPr>
          </w:p>
        </w:tc>
        <w:tc>
          <w:tcPr>
            <w:tcW w:w="360" w:type="dxa"/>
            <w:vAlign w:val="bottom"/>
            <w:tcBorders>
              <w:bottom w:val="single" w:sz="8" w:color="auto"/>
            </w:tcBorders>
            <w:shd w:val="clear" w:color="auto" w:fill="CCECFF"/>
          </w:tcPr>
          <w:p>
            <w:pPr>
              <w:jc w:val="right"/>
              <w:ind w:right="208"/>
              <w:spacing w:after="0" w:line="143" w:lineRule="exact"/>
              <w:rPr>
                <w:sz w:val="20"/>
                <w:szCs w:val="20"/>
                <w:color w:val="auto"/>
              </w:rPr>
            </w:pPr>
            <w:r>
              <w:rPr>
                <w:rFonts w:ascii="Arial" w:cs="Arial" w:eastAsia="Arial" w:hAnsi="Arial"/>
                <w:sz w:val="14"/>
                <w:szCs w:val="14"/>
                <w:color w:val="auto"/>
                <w:w w:val="76"/>
              </w:rPr>
              <w:t>$</w:t>
            </w:r>
          </w:p>
        </w:tc>
        <w:tc>
          <w:tcPr>
            <w:tcW w:w="1200" w:type="dxa"/>
            <w:vAlign w:val="bottom"/>
            <w:tcBorders>
              <w:bottom w:val="single" w:sz="8" w:color="auto"/>
            </w:tcBorders>
            <w:shd w:val="clear" w:color="auto" w:fill="CCECFF"/>
          </w:tcPr>
          <w:p>
            <w:pPr>
              <w:jc w:val="right"/>
              <w:spacing w:after="0" w:line="143" w:lineRule="exact"/>
              <w:rPr>
                <w:sz w:val="20"/>
                <w:szCs w:val="20"/>
                <w:color w:val="auto"/>
              </w:rPr>
            </w:pPr>
            <w:r>
              <w:rPr>
                <w:rFonts w:ascii="Arial" w:cs="Arial" w:eastAsia="Arial" w:hAnsi="Arial"/>
                <w:sz w:val="14"/>
                <w:szCs w:val="14"/>
                <w:color w:val="auto"/>
              </w:rPr>
              <w:t>0.13</w:t>
            </w:r>
          </w:p>
        </w:tc>
        <w:tc>
          <w:tcPr>
            <w:tcW w:w="120" w:type="dxa"/>
            <w:vAlign w:val="bottom"/>
            <w:tcBorders>
              <w:bottom w:val="single" w:sz="8" w:color="CCECFF"/>
            </w:tcBorders>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7720" w:type="dxa"/>
            <w:vAlign w:val="bottom"/>
            <w:vMerge w:val="restart"/>
          </w:tcPr>
          <w:p>
            <w:pPr>
              <w:spacing w:after="0"/>
              <w:rPr>
                <w:sz w:val="20"/>
                <w:szCs w:val="20"/>
                <w:color w:val="auto"/>
              </w:rPr>
            </w:pPr>
            <w:r>
              <w:rPr>
                <w:rFonts w:ascii="Arial" w:cs="Arial" w:eastAsia="Arial" w:hAnsi="Arial"/>
                <w:sz w:val="14"/>
                <w:szCs w:val="14"/>
                <w:color w:val="auto"/>
              </w:rPr>
              <w:t>Net investment income per common share</w:t>
            </w: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7720" w:type="dxa"/>
            <w:vAlign w:val="bottom"/>
            <w:vMerge w:val="continue"/>
          </w:tcPr>
          <w:p>
            <w:pPr>
              <w:spacing w:after="0"/>
              <w:rPr>
                <w:sz w:val="12"/>
                <w:szCs w:val="12"/>
                <w:color w:val="auto"/>
              </w:rPr>
            </w:pPr>
          </w:p>
        </w:tc>
        <w:tc>
          <w:tcPr>
            <w:tcW w:w="340" w:type="dxa"/>
            <w:vAlign w:val="bottom"/>
            <w:tcBorders>
              <w:bottom w:val="single" w:sz="8" w:color="auto"/>
            </w:tcBorders>
          </w:tcPr>
          <w:p>
            <w:pPr>
              <w:jc w:val="right"/>
              <w:ind w:right="188"/>
              <w:spacing w:after="0" w:line="143" w:lineRule="exact"/>
              <w:rPr>
                <w:sz w:val="20"/>
                <w:szCs w:val="20"/>
                <w:color w:val="auto"/>
              </w:rPr>
            </w:pPr>
            <w:r>
              <w:rPr>
                <w:rFonts w:ascii="Arial" w:cs="Arial" w:eastAsia="Arial" w:hAnsi="Arial"/>
                <w:sz w:val="14"/>
                <w:szCs w:val="14"/>
                <w:color w:val="auto"/>
                <w:w w:val="76"/>
              </w:rPr>
              <w:t>$</w:t>
            </w:r>
          </w:p>
        </w:tc>
        <w:tc>
          <w:tcPr>
            <w:tcW w:w="122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0.29</w:t>
            </w:r>
          </w:p>
        </w:tc>
        <w:tc>
          <w:tcPr>
            <w:tcW w:w="280" w:type="dxa"/>
            <w:vAlign w:val="bottom"/>
          </w:tcPr>
          <w:p>
            <w:pPr>
              <w:spacing w:after="0"/>
              <w:rPr>
                <w:sz w:val="12"/>
                <w:szCs w:val="12"/>
                <w:color w:val="auto"/>
              </w:rPr>
            </w:pPr>
          </w:p>
        </w:tc>
        <w:tc>
          <w:tcPr>
            <w:tcW w:w="360" w:type="dxa"/>
            <w:vAlign w:val="bottom"/>
            <w:tcBorders>
              <w:bottom w:val="single" w:sz="8" w:color="auto"/>
            </w:tcBorders>
          </w:tcPr>
          <w:p>
            <w:pPr>
              <w:jc w:val="right"/>
              <w:ind w:right="208"/>
              <w:spacing w:after="0" w:line="143" w:lineRule="exact"/>
              <w:rPr>
                <w:sz w:val="20"/>
                <w:szCs w:val="20"/>
                <w:color w:val="auto"/>
              </w:rPr>
            </w:pPr>
            <w:r>
              <w:rPr>
                <w:rFonts w:ascii="Arial" w:cs="Arial" w:eastAsia="Arial" w:hAnsi="Arial"/>
                <w:sz w:val="14"/>
                <w:szCs w:val="14"/>
                <w:color w:val="auto"/>
                <w:w w:val="76"/>
              </w:rPr>
              <w:t>$</w:t>
            </w:r>
          </w:p>
        </w:tc>
        <w:tc>
          <w:tcPr>
            <w:tcW w:w="120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0.28</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SEE NOTES TO CONSOLIDATED FINANCIAL STATEMENTS</w:t>
      </w:r>
    </w:p>
    <w:p>
      <w:pPr>
        <w:spacing w:after="0" w:line="5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149465"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4"/>
          <w:szCs w:val="14"/>
          <w:b w:val="1"/>
          <w:bCs w:val="1"/>
          <w:color w:val="auto"/>
        </w:rPr>
        <w:t>PENNANTPARK FLOATING RATE CAPITAL LTD. AND SUBSIDIARIES</w:t>
      </w:r>
    </w:p>
    <w:p>
      <w:pPr>
        <w:jc w:val="center"/>
        <w:spacing w:after="0" w:line="225" w:lineRule="auto"/>
        <w:rPr>
          <w:sz w:val="20"/>
          <w:szCs w:val="20"/>
          <w:color w:val="auto"/>
        </w:rPr>
      </w:pPr>
      <w:r>
        <w:rPr>
          <w:rFonts w:ascii="Arial" w:cs="Arial" w:eastAsia="Arial" w:hAnsi="Arial"/>
          <w:sz w:val="14"/>
          <w:szCs w:val="14"/>
          <w:b w:val="1"/>
          <w:bCs w:val="1"/>
          <w:color w:val="auto"/>
        </w:rPr>
        <w:t>CONSOLIDATED STATEMENTS OF CHANGES IN NET ASSETS</w:t>
      </w:r>
    </w:p>
    <w:p>
      <w:pPr>
        <w:jc w:val="center"/>
        <w:spacing w:after="0"/>
        <w:rPr>
          <w:sz w:val="20"/>
          <w:szCs w:val="20"/>
          <w:color w:val="auto"/>
        </w:rPr>
      </w:pPr>
      <w:r>
        <w:rPr>
          <w:rFonts w:ascii="Arial" w:cs="Arial" w:eastAsia="Arial" w:hAnsi="Arial"/>
          <w:sz w:val="14"/>
          <w:szCs w:val="14"/>
          <w:b w:val="1"/>
          <w:bCs w:val="1"/>
          <w:color w:val="auto"/>
        </w:rPr>
        <w:t>(Unaudited)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180" w:type="dxa"/>
            <w:vAlign w:val="bottom"/>
            <w:gridSpan w:val="5"/>
          </w:tcPr>
          <w:p>
            <w:pPr>
              <w:jc w:val="right"/>
              <w:ind w:right="740"/>
              <w:spacing w:after="0"/>
              <w:rPr>
                <w:sz w:val="20"/>
                <w:szCs w:val="20"/>
                <w:color w:val="auto"/>
              </w:rPr>
            </w:pPr>
            <w:r>
              <w:rPr>
                <w:rFonts w:ascii="Arial" w:cs="Arial" w:eastAsia="Arial" w:hAnsi="Arial"/>
                <w:sz w:val="14"/>
                <w:szCs w:val="14"/>
                <w:b w:val="1"/>
                <w:bCs w:val="1"/>
                <w:color w:val="auto"/>
              </w:rPr>
              <w:t>Three Months Ended December 31,</w:t>
            </w:r>
          </w:p>
        </w:tc>
      </w:tr>
      <w:tr>
        <w:trPr>
          <w:trHeight w:val="155"/>
        </w:trPr>
        <w:tc>
          <w:tcPr>
            <w:tcW w:w="7720" w:type="dxa"/>
            <w:vAlign w:val="bottom"/>
            <w:tcBorders>
              <w:bottom w:val="single" w:sz="8" w:color="CCECFF"/>
            </w:tcBorders>
          </w:tcPr>
          <w:p>
            <w:pPr>
              <w:spacing w:after="0"/>
              <w:rPr>
                <w:sz w:val="13"/>
                <w:szCs w:val="13"/>
                <w:color w:val="auto"/>
              </w:rPr>
            </w:pPr>
          </w:p>
        </w:tc>
        <w:tc>
          <w:tcPr>
            <w:tcW w:w="340" w:type="dxa"/>
            <w:vAlign w:val="bottom"/>
            <w:tcBorders>
              <w:top w:val="single" w:sz="8" w:color="auto"/>
              <w:bottom w:val="single" w:sz="8" w:color="auto"/>
            </w:tcBorders>
          </w:tcPr>
          <w:p>
            <w:pPr>
              <w:spacing w:after="0"/>
              <w:rPr>
                <w:sz w:val="13"/>
                <w:szCs w:val="13"/>
                <w:color w:val="auto"/>
              </w:rPr>
            </w:pPr>
          </w:p>
        </w:tc>
        <w:tc>
          <w:tcPr>
            <w:tcW w:w="1220" w:type="dxa"/>
            <w:vAlign w:val="bottom"/>
            <w:tcBorders>
              <w:top w:val="single" w:sz="8" w:color="auto"/>
              <w:bottom w:val="single" w:sz="8" w:color="auto"/>
            </w:tcBorders>
          </w:tcPr>
          <w:p>
            <w:pPr>
              <w:jc w:val="right"/>
              <w:ind w:right="568"/>
              <w:spacing w:after="0" w:line="155" w:lineRule="exact"/>
              <w:rPr>
                <w:sz w:val="20"/>
                <w:szCs w:val="20"/>
                <w:color w:val="auto"/>
              </w:rPr>
            </w:pPr>
            <w:r>
              <w:rPr>
                <w:rFonts w:ascii="Arial" w:cs="Arial" w:eastAsia="Arial" w:hAnsi="Arial"/>
                <w:sz w:val="14"/>
                <w:szCs w:val="14"/>
                <w:b w:val="1"/>
                <w:bCs w:val="1"/>
                <w:color w:val="auto"/>
              </w:rPr>
              <w:t>2019</w:t>
            </w:r>
          </w:p>
        </w:tc>
        <w:tc>
          <w:tcPr>
            <w:tcW w:w="280" w:type="dxa"/>
            <w:vAlign w:val="bottom"/>
            <w:tcBorders>
              <w:top w:val="single" w:sz="8" w:color="auto"/>
              <w:bottom w:val="single" w:sz="8" w:color="CCECFF"/>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200" w:type="dxa"/>
            <w:vAlign w:val="bottom"/>
            <w:tcBorders>
              <w:top w:val="single" w:sz="8" w:color="auto"/>
              <w:bottom w:val="single" w:sz="8" w:color="auto"/>
            </w:tcBorders>
          </w:tcPr>
          <w:p>
            <w:pPr>
              <w:jc w:val="right"/>
              <w:ind w:right="568"/>
              <w:spacing w:after="0" w:line="155" w:lineRule="exact"/>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CFF"/>
            </w:tcBorders>
          </w:tcPr>
          <w:p>
            <w:pPr>
              <w:spacing w:after="0"/>
              <w:rPr>
                <w:sz w:val="13"/>
                <w:szCs w:val="13"/>
                <w:color w:val="auto"/>
              </w:rPr>
            </w:pPr>
          </w:p>
        </w:tc>
      </w:tr>
      <w:tr>
        <w:trPr>
          <w:trHeight w:val="156"/>
        </w:trPr>
        <w:tc>
          <w:tcPr>
            <w:tcW w:w="7720" w:type="dxa"/>
            <w:vAlign w:val="bottom"/>
            <w:shd w:val="clear" w:color="auto" w:fill="CCECFF"/>
          </w:tcPr>
          <w:p>
            <w:pPr>
              <w:spacing w:after="0" w:line="155" w:lineRule="exact"/>
              <w:rPr>
                <w:sz w:val="20"/>
                <w:szCs w:val="20"/>
                <w:color w:val="auto"/>
              </w:rPr>
            </w:pPr>
            <w:r>
              <w:rPr>
                <w:rFonts w:ascii="Arial" w:cs="Arial" w:eastAsia="Arial" w:hAnsi="Arial"/>
                <w:sz w:val="14"/>
                <w:szCs w:val="14"/>
                <w:b w:val="1"/>
                <w:bCs w:val="1"/>
                <w:color w:val="auto"/>
              </w:rPr>
              <w:t>Net increase in net assets resulting from operations:</w:t>
            </w:r>
          </w:p>
        </w:tc>
        <w:tc>
          <w:tcPr>
            <w:tcW w:w="340" w:type="dxa"/>
            <w:vAlign w:val="bottom"/>
            <w:shd w:val="clear" w:color="auto" w:fill="CCECFF"/>
          </w:tcPr>
          <w:p>
            <w:pPr>
              <w:spacing w:after="0"/>
              <w:rPr>
                <w:sz w:val="13"/>
                <w:szCs w:val="13"/>
                <w:color w:val="auto"/>
              </w:rPr>
            </w:pPr>
          </w:p>
        </w:tc>
        <w:tc>
          <w:tcPr>
            <w:tcW w:w="1220" w:type="dxa"/>
            <w:vAlign w:val="bottom"/>
            <w:shd w:val="clear" w:color="auto" w:fill="CCECFF"/>
          </w:tcPr>
          <w:p>
            <w:pPr>
              <w:spacing w:after="0"/>
              <w:rPr>
                <w:sz w:val="13"/>
                <w:szCs w:val="13"/>
                <w:color w:val="auto"/>
              </w:rPr>
            </w:pPr>
          </w:p>
        </w:tc>
        <w:tc>
          <w:tcPr>
            <w:tcW w:w="280" w:type="dxa"/>
            <w:vAlign w:val="bottom"/>
            <w:shd w:val="clear" w:color="auto" w:fill="CCECFF"/>
          </w:tcPr>
          <w:p>
            <w:pPr>
              <w:spacing w:after="0"/>
              <w:rPr>
                <w:sz w:val="13"/>
                <w:szCs w:val="13"/>
                <w:color w:val="auto"/>
              </w:rPr>
            </w:pPr>
          </w:p>
        </w:tc>
        <w:tc>
          <w:tcPr>
            <w:tcW w:w="360" w:type="dxa"/>
            <w:vAlign w:val="bottom"/>
            <w:shd w:val="clear" w:color="auto" w:fill="CCECFF"/>
          </w:tcPr>
          <w:p>
            <w:pPr>
              <w:spacing w:after="0"/>
              <w:rPr>
                <w:sz w:val="13"/>
                <w:szCs w:val="13"/>
                <w:color w:val="auto"/>
              </w:rPr>
            </w:pPr>
          </w:p>
        </w:tc>
        <w:tc>
          <w:tcPr>
            <w:tcW w:w="120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r>
      <w:tr>
        <w:trPr>
          <w:trHeight w:val="162"/>
        </w:trPr>
        <w:tc>
          <w:tcPr>
            <w:tcW w:w="7720" w:type="dxa"/>
            <w:vAlign w:val="bottom"/>
          </w:tcPr>
          <w:p>
            <w:pPr>
              <w:ind w:left="260"/>
              <w:spacing w:after="0"/>
              <w:rPr>
                <w:sz w:val="20"/>
                <w:szCs w:val="20"/>
                <w:color w:val="auto"/>
              </w:rPr>
            </w:pPr>
            <w:r>
              <w:rPr>
                <w:rFonts w:ascii="Arial" w:cs="Arial" w:eastAsia="Arial" w:hAnsi="Arial"/>
                <w:sz w:val="14"/>
                <w:szCs w:val="14"/>
                <w:color w:val="auto"/>
              </w:rPr>
              <w:t>Net investment income</w:t>
            </w:r>
          </w:p>
        </w:tc>
        <w:tc>
          <w:tcPr>
            <w:tcW w:w="340" w:type="dxa"/>
            <w:vAlign w:val="bottom"/>
          </w:tcPr>
          <w:p>
            <w:pPr>
              <w:jc w:val="right"/>
              <w:ind w:right="188"/>
              <w:spacing w:after="0"/>
              <w:rPr>
                <w:sz w:val="20"/>
                <w:szCs w:val="20"/>
                <w:color w:val="auto"/>
              </w:rPr>
            </w:pPr>
            <w:r>
              <w:rPr>
                <w:rFonts w:ascii="Arial" w:cs="Arial" w:eastAsia="Arial" w:hAnsi="Arial"/>
                <w:sz w:val="14"/>
                <w:szCs w:val="14"/>
                <w:color w:val="auto"/>
                <w:w w:val="76"/>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11,119,340</w:t>
            </w:r>
          </w:p>
        </w:tc>
        <w:tc>
          <w:tcPr>
            <w:tcW w:w="280" w:type="dxa"/>
            <w:vAlign w:val="bottom"/>
          </w:tcPr>
          <w:p>
            <w:pPr>
              <w:spacing w:after="0"/>
              <w:rPr>
                <w:sz w:val="14"/>
                <w:szCs w:val="14"/>
                <w:color w:val="auto"/>
              </w:rPr>
            </w:pPr>
          </w:p>
        </w:tc>
        <w:tc>
          <w:tcPr>
            <w:tcW w:w="360" w:type="dxa"/>
            <w:vAlign w:val="bottom"/>
          </w:tcPr>
          <w:p>
            <w:pPr>
              <w:jc w:val="right"/>
              <w:ind w:right="208"/>
              <w:spacing w:after="0"/>
              <w:rPr>
                <w:sz w:val="20"/>
                <w:szCs w:val="20"/>
                <w:color w:val="auto"/>
              </w:rPr>
            </w:pPr>
            <w:r>
              <w:rPr>
                <w:rFonts w:ascii="Arial" w:cs="Arial" w:eastAsia="Arial" w:hAnsi="Arial"/>
                <w:sz w:val="14"/>
                <w:szCs w:val="14"/>
                <w:color w:val="auto"/>
                <w:w w:val="76"/>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10,944,043</w:t>
            </w:r>
          </w:p>
        </w:tc>
        <w:tc>
          <w:tcPr>
            <w:tcW w:w="120" w:type="dxa"/>
            <w:vAlign w:val="bottom"/>
          </w:tcPr>
          <w:p>
            <w:pPr>
              <w:spacing w:after="0"/>
              <w:rPr>
                <w:sz w:val="14"/>
                <w:szCs w:val="14"/>
                <w:color w:val="auto"/>
              </w:rPr>
            </w:pPr>
          </w:p>
        </w:tc>
      </w:tr>
      <w:tr>
        <w:trPr>
          <w:trHeight w:val="162"/>
        </w:trPr>
        <w:tc>
          <w:tcPr>
            <w:tcW w:w="7720" w:type="dxa"/>
            <w:vAlign w:val="bottom"/>
            <w:shd w:val="clear" w:color="auto" w:fill="CCECFF"/>
          </w:tcPr>
          <w:p>
            <w:pPr>
              <w:ind w:left="260"/>
              <w:spacing w:after="0"/>
              <w:rPr>
                <w:sz w:val="20"/>
                <w:szCs w:val="20"/>
                <w:color w:val="auto"/>
              </w:rPr>
            </w:pPr>
            <w:r>
              <w:rPr>
                <w:rFonts w:ascii="Arial" w:cs="Arial" w:eastAsia="Arial" w:hAnsi="Arial"/>
                <w:sz w:val="14"/>
                <w:szCs w:val="14"/>
                <w:color w:val="auto"/>
              </w:rPr>
              <w:t>Net realized gain on investments</w:t>
            </w:r>
          </w:p>
        </w:tc>
        <w:tc>
          <w:tcPr>
            <w:tcW w:w="340" w:type="dxa"/>
            <w:vAlign w:val="bottom"/>
            <w:shd w:val="clear" w:color="auto" w:fill="CCECFF"/>
          </w:tcPr>
          <w:p>
            <w:pPr>
              <w:spacing w:after="0"/>
              <w:rPr>
                <w:sz w:val="14"/>
                <w:szCs w:val="14"/>
                <w:color w:val="auto"/>
              </w:rPr>
            </w:pPr>
          </w:p>
        </w:tc>
        <w:tc>
          <w:tcPr>
            <w:tcW w:w="12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1,012,313</w:t>
            </w:r>
          </w:p>
        </w:tc>
        <w:tc>
          <w:tcPr>
            <w:tcW w:w="280" w:type="dxa"/>
            <w:vAlign w:val="bottom"/>
            <w:shd w:val="clear" w:color="auto" w:fill="CCECFF"/>
          </w:tcPr>
          <w:p>
            <w:pPr>
              <w:spacing w:after="0"/>
              <w:rPr>
                <w:sz w:val="14"/>
                <w:szCs w:val="14"/>
                <w:color w:val="auto"/>
              </w:rPr>
            </w:pPr>
          </w:p>
        </w:tc>
        <w:tc>
          <w:tcPr>
            <w:tcW w:w="360" w:type="dxa"/>
            <w:vAlign w:val="bottom"/>
            <w:shd w:val="clear" w:color="auto" w:fill="CCECFF"/>
          </w:tcPr>
          <w:p>
            <w:pPr>
              <w:spacing w:after="0"/>
              <w:rPr>
                <w:sz w:val="14"/>
                <w:szCs w:val="14"/>
                <w:color w:val="auto"/>
              </w:rPr>
            </w:pPr>
          </w:p>
        </w:tc>
        <w:tc>
          <w:tcPr>
            <w:tcW w:w="12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923,466</w:t>
            </w:r>
          </w:p>
        </w:tc>
        <w:tc>
          <w:tcPr>
            <w:tcW w:w="120" w:type="dxa"/>
            <w:vAlign w:val="bottom"/>
            <w:shd w:val="clear" w:color="auto" w:fill="CCECFF"/>
          </w:tcPr>
          <w:p>
            <w:pPr>
              <w:spacing w:after="0"/>
              <w:rPr>
                <w:sz w:val="14"/>
                <w:szCs w:val="14"/>
                <w:color w:val="auto"/>
              </w:rPr>
            </w:pPr>
          </w:p>
        </w:tc>
      </w:tr>
      <w:tr>
        <w:trPr>
          <w:trHeight w:val="162"/>
        </w:trPr>
        <w:tc>
          <w:tcPr>
            <w:tcW w:w="7720" w:type="dxa"/>
            <w:vAlign w:val="bottom"/>
          </w:tcPr>
          <w:p>
            <w:pPr>
              <w:ind w:left="260"/>
              <w:spacing w:after="0"/>
              <w:rPr>
                <w:sz w:val="20"/>
                <w:szCs w:val="20"/>
                <w:color w:val="auto"/>
              </w:rPr>
            </w:pPr>
            <w:r>
              <w:rPr>
                <w:rFonts w:ascii="Arial" w:cs="Arial" w:eastAsia="Arial" w:hAnsi="Arial"/>
                <w:sz w:val="14"/>
                <w:szCs w:val="14"/>
                <w:color w:val="auto"/>
              </w:rPr>
              <w:t>Net change in unrealized depreciation on investments</w:t>
            </w:r>
          </w:p>
        </w:tc>
        <w:tc>
          <w:tcPr>
            <w:tcW w:w="340" w:type="dxa"/>
            <w:vAlign w:val="bottom"/>
          </w:tcPr>
          <w:p>
            <w:pPr>
              <w:spacing w:after="0"/>
              <w:rPr>
                <w:sz w:val="14"/>
                <w:szCs w:val="14"/>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4"/>
                <w:szCs w:val="14"/>
                <w:color w:val="auto"/>
              </w:rPr>
              <w:t>(3,520,347)</w:t>
            </w:r>
          </w:p>
        </w:tc>
        <w:tc>
          <w:tcPr>
            <w:tcW w:w="360" w:type="dxa"/>
            <w:vAlign w:val="bottom"/>
          </w:tcPr>
          <w:p>
            <w:pPr>
              <w:spacing w:after="0"/>
              <w:rPr>
                <w:sz w:val="14"/>
                <w:szCs w:val="14"/>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4"/>
                <w:szCs w:val="14"/>
                <w:color w:val="auto"/>
              </w:rPr>
              <w:t>(12,406,007)</w:t>
            </w:r>
          </w:p>
        </w:tc>
      </w:tr>
      <w:tr>
        <w:trPr>
          <w:trHeight w:val="162"/>
        </w:trPr>
        <w:tc>
          <w:tcPr>
            <w:tcW w:w="7720" w:type="dxa"/>
            <w:vAlign w:val="bottom"/>
            <w:shd w:val="clear" w:color="auto" w:fill="CCECFF"/>
          </w:tcPr>
          <w:p>
            <w:pPr>
              <w:ind w:left="260"/>
              <w:spacing w:after="0"/>
              <w:rPr>
                <w:sz w:val="20"/>
                <w:szCs w:val="20"/>
                <w:color w:val="auto"/>
              </w:rPr>
            </w:pPr>
            <w:r>
              <w:rPr>
                <w:rFonts w:ascii="Arial" w:cs="Arial" w:eastAsia="Arial" w:hAnsi="Arial"/>
                <w:sz w:val="14"/>
                <w:szCs w:val="14"/>
                <w:color w:val="auto"/>
              </w:rPr>
              <w:t>Net change in unrealized depreciation on debt</w:t>
            </w:r>
          </w:p>
        </w:tc>
        <w:tc>
          <w:tcPr>
            <w:tcW w:w="340" w:type="dxa"/>
            <w:vAlign w:val="bottom"/>
            <w:tcBorders>
              <w:bottom w:val="single" w:sz="8" w:color="auto"/>
            </w:tcBorders>
            <w:shd w:val="clear" w:color="auto" w:fill="CCECFF"/>
          </w:tcPr>
          <w:p>
            <w:pPr>
              <w:spacing w:after="0"/>
              <w:rPr>
                <w:sz w:val="14"/>
                <w:szCs w:val="14"/>
                <w:color w:val="auto"/>
              </w:rPr>
            </w:pPr>
          </w:p>
        </w:tc>
        <w:tc>
          <w:tcPr>
            <w:tcW w:w="12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1,361,588</w:t>
            </w:r>
          </w:p>
        </w:tc>
        <w:tc>
          <w:tcPr>
            <w:tcW w:w="280" w:type="dxa"/>
            <w:vAlign w:val="bottom"/>
            <w:shd w:val="clear" w:color="auto" w:fill="CCECFF"/>
          </w:tcPr>
          <w:p>
            <w:pPr>
              <w:spacing w:after="0"/>
              <w:rPr>
                <w:sz w:val="14"/>
                <w:szCs w:val="14"/>
                <w:color w:val="auto"/>
              </w:rPr>
            </w:pPr>
          </w:p>
        </w:tc>
        <w:tc>
          <w:tcPr>
            <w:tcW w:w="360" w:type="dxa"/>
            <w:vAlign w:val="bottom"/>
            <w:tcBorders>
              <w:bottom w:val="single" w:sz="8" w:color="auto"/>
            </w:tcBorders>
            <w:shd w:val="clear" w:color="auto" w:fill="CCECFF"/>
          </w:tcPr>
          <w:p>
            <w:pPr>
              <w:spacing w:after="0"/>
              <w:rPr>
                <w:sz w:val="14"/>
                <w:szCs w:val="14"/>
                <w:color w:val="auto"/>
              </w:rPr>
            </w:pPr>
          </w:p>
        </w:tc>
        <w:tc>
          <w:tcPr>
            <w:tcW w:w="12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5,533,693</w:t>
            </w:r>
          </w:p>
        </w:tc>
        <w:tc>
          <w:tcPr>
            <w:tcW w:w="120" w:type="dxa"/>
            <w:vAlign w:val="bottom"/>
            <w:shd w:val="clear" w:color="auto" w:fill="CCECFF"/>
          </w:tcPr>
          <w:p>
            <w:pPr>
              <w:spacing w:after="0"/>
              <w:rPr>
                <w:sz w:val="14"/>
                <w:szCs w:val="14"/>
                <w:color w:val="auto"/>
              </w:rPr>
            </w:pPr>
          </w:p>
        </w:tc>
      </w:tr>
      <w:tr>
        <w:trPr>
          <w:trHeight w:val="156"/>
        </w:trPr>
        <w:tc>
          <w:tcPr>
            <w:tcW w:w="7720" w:type="dxa"/>
            <w:vAlign w:val="bottom"/>
            <w:tcBorders>
              <w:bottom w:val="single" w:sz="8" w:color="CCECFF"/>
            </w:tcBorders>
          </w:tcPr>
          <w:p>
            <w:pPr>
              <w:ind w:left="260"/>
              <w:spacing w:after="0" w:line="155" w:lineRule="exact"/>
              <w:rPr>
                <w:sz w:val="20"/>
                <w:szCs w:val="20"/>
                <w:color w:val="auto"/>
              </w:rPr>
            </w:pPr>
            <w:r>
              <w:rPr>
                <w:rFonts w:ascii="Arial" w:cs="Arial" w:eastAsia="Arial" w:hAnsi="Arial"/>
                <w:sz w:val="14"/>
                <w:szCs w:val="14"/>
                <w:b w:val="1"/>
                <w:bCs w:val="1"/>
                <w:color w:val="auto"/>
              </w:rPr>
              <w:t>Net increase in net assets resulting from operations</w:t>
            </w:r>
          </w:p>
        </w:tc>
        <w:tc>
          <w:tcPr>
            <w:tcW w:w="34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9,972,894</w:t>
            </w:r>
          </w:p>
        </w:tc>
        <w:tc>
          <w:tcPr>
            <w:tcW w:w="280" w:type="dxa"/>
            <w:vAlign w:val="bottom"/>
            <w:tcBorders>
              <w:bottom w:val="single" w:sz="8" w:color="CCEC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4,995,195</w:t>
            </w:r>
          </w:p>
        </w:tc>
        <w:tc>
          <w:tcPr>
            <w:tcW w:w="120" w:type="dxa"/>
            <w:vAlign w:val="bottom"/>
            <w:tcBorders>
              <w:bottom w:val="single" w:sz="8" w:color="CCECFF"/>
            </w:tcBorders>
          </w:tcPr>
          <w:p>
            <w:pPr>
              <w:spacing w:after="0"/>
              <w:rPr>
                <w:sz w:val="13"/>
                <w:szCs w:val="13"/>
                <w:color w:val="auto"/>
              </w:rPr>
            </w:pPr>
          </w:p>
        </w:tc>
      </w:tr>
      <w:tr>
        <w:trPr>
          <w:trHeight w:val="155"/>
        </w:trPr>
        <w:tc>
          <w:tcPr>
            <w:tcW w:w="7720" w:type="dxa"/>
            <w:vAlign w:val="bottom"/>
            <w:shd w:val="clear" w:color="auto" w:fill="CCECFF"/>
          </w:tcPr>
          <w:p>
            <w:pPr>
              <w:spacing w:after="0" w:line="155" w:lineRule="exact"/>
              <w:rPr>
                <w:sz w:val="20"/>
                <w:szCs w:val="20"/>
                <w:color w:val="auto"/>
              </w:rPr>
            </w:pPr>
            <w:r>
              <w:rPr>
                <w:rFonts w:ascii="Arial" w:cs="Arial" w:eastAsia="Arial" w:hAnsi="Arial"/>
                <w:sz w:val="14"/>
                <w:szCs w:val="14"/>
                <w:b w:val="1"/>
                <w:bCs w:val="1"/>
                <w:color w:val="auto"/>
              </w:rPr>
              <w:t>Distributions to stockholders</w:t>
            </w:r>
          </w:p>
        </w:tc>
        <w:tc>
          <w:tcPr>
            <w:tcW w:w="340" w:type="dxa"/>
            <w:vAlign w:val="bottom"/>
            <w:tcBorders>
              <w:bottom w:val="single" w:sz="8" w:color="auto"/>
            </w:tcBorders>
            <w:shd w:val="clear" w:color="auto" w:fill="CCECFF"/>
          </w:tcPr>
          <w:p>
            <w:pPr>
              <w:spacing w:after="0"/>
              <w:rPr>
                <w:sz w:val="13"/>
                <w:szCs w:val="13"/>
                <w:color w:val="auto"/>
              </w:rPr>
            </w:pPr>
          </w:p>
        </w:tc>
        <w:tc>
          <w:tcPr>
            <w:tcW w:w="122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(11,050,041)</w:t>
            </w:r>
          </w:p>
        </w:tc>
        <w:tc>
          <w:tcPr>
            <w:tcW w:w="280" w:type="dxa"/>
            <w:vAlign w:val="bottom"/>
            <w:shd w:val="clear" w:color="auto" w:fill="CCECFF"/>
          </w:tcPr>
          <w:p>
            <w:pPr>
              <w:spacing w:after="0"/>
              <w:rPr>
                <w:sz w:val="13"/>
                <w:szCs w:val="13"/>
                <w:color w:val="auto"/>
              </w:rPr>
            </w:pPr>
          </w:p>
        </w:tc>
        <w:tc>
          <w:tcPr>
            <w:tcW w:w="360" w:type="dxa"/>
            <w:vAlign w:val="bottom"/>
            <w:tcBorders>
              <w:bottom w:val="single" w:sz="8" w:color="auto"/>
            </w:tcBorders>
            <w:shd w:val="clear" w:color="auto" w:fill="CCECFF"/>
          </w:tcPr>
          <w:p>
            <w:pPr>
              <w:spacing w:after="0"/>
              <w:rPr>
                <w:sz w:val="13"/>
                <w:szCs w:val="13"/>
                <w:color w:val="auto"/>
              </w:rPr>
            </w:pPr>
          </w:p>
        </w:tc>
        <w:tc>
          <w:tcPr>
            <w:tcW w:w="120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(11,050,041)</w:t>
            </w:r>
          </w:p>
        </w:tc>
        <w:tc>
          <w:tcPr>
            <w:tcW w:w="120" w:type="dxa"/>
            <w:vAlign w:val="bottom"/>
            <w:shd w:val="clear" w:color="auto" w:fill="CCECFF"/>
          </w:tcPr>
          <w:p>
            <w:pPr>
              <w:spacing w:after="0"/>
              <w:rPr>
                <w:sz w:val="13"/>
                <w:szCs w:val="13"/>
                <w:color w:val="auto"/>
              </w:rPr>
            </w:pPr>
          </w:p>
        </w:tc>
      </w:tr>
      <w:tr>
        <w:trPr>
          <w:trHeight w:val="156"/>
        </w:trPr>
        <w:tc>
          <w:tcPr>
            <w:tcW w:w="7720" w:type="dxa"/>
            <w:vAlign w:val="bottom"/>
            <w:tcBorders>
              <w:bottom w:val="single" w:sz="8" w:color="CCECFF"/>
            </w:tcBorders>
          </w:tcPr>
          <w:p>
            <w:pPr>
              <w:spacing w:after="0" w:line="155" w:lineRule="exact"/>
              <w:rPr>
                <w:sz w:val="20"/>
                <w:szCs w:val="20"/>
                <w:color w:val="auto"/>
              </w:rPr>
            </w:pPr>
            <w:r>
              <w:rPr>
                <w:rFonts w:ascii="Arial" w:cs="Arial" w:eastAsia="Arial" w:hAnsi="Arial"/>
                <w:sz w:val="14"/>
                <w:szCs w:val="14"/>
                <w:b w:val="1"/>
                <w:bCs w:val="1"/>
                <w:color w:val="auto"/>
              </w:rPr>
              <w:t>Net decrease in net assets</w:t>
            </w:r>
          </w:p>
        </w:tc>
        <w:tc>
          <w:tcPr>
            <w:tcW w:w="34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(1,077,147)</w:t>
            </w:r>
          </w:p>
        </w:tc>
        <w:tc>
          <w:tcPr>
            <w:tcW w:w="280" w:type="dxa"/>
            <w:vAlign w:val="bottom"/>
            <w:tcBorders>
              <w:bottom w:val="single" w:sz="8" w:color="CCEC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(6,054,846)</w:t>
            </w:r>
          </w:p>
        </w:tc>
        <w:tc>
          <w:tcPr>
            <w:tcW w:w="120" w:type="dxa"/>
            <w:vAlign w:val="bottom"/>
            <w:tcBorders>
              <w:bottom w:val="single" w:sz="8" w:color="CCECFF"/>
            </w:tcBorders>
          </w:tcPr>
          <w:p>
            <w:pPr>
              <w:spacing w:after="0"/>
              <w:rPr>
                <w:sz w:val="13"/>
                <w:szCs w:val="13"/>
                <w:color w:val="auto"/>
              </w:rPr>
            </w:pPr>
          </w:p>
        </w:tc>
      </w:tr>
      <w:tr>
        <w:trPr>
          <w:trHeight w:val="156"/>
        </w:trPr>
        <w:tc>
          <w:tcPr>
            <w:tcW w:w="7720" w:type="dxa"/>
            <w:vAlign w:val="bottom"/>
            <w:shd w:val="clear" w:color="auto" w:fill="CCECFF"/>
          </w:tcPr>
          <w:p>
            <w:pPr>
              <w:spacing w:after="0" w:line="155" w:lineRule="exact"/>
              <w:rPr>
                <w:sz w:val="20"/>
                <w:szCs w:val="20"/>
                <w:color w:val="auto"/>
              </w:rPr>
            </w:pPr>
            <w:r>
              <w:rPr>
                <w:rFonts w:ascii="Arial" w:cs="Arial" w:eastAsia="Arial" w:hAnsi="Arial"/>
                <w:sz w:val="14"/>
                <w:szCs w:val="14"/>
                <w:b w:val="1"/>
                <w:bCs w:val="1"/>
                <w:color w:val="auto"/>
              </w:rPr>
              <w:t>Net assets:</w:t>
            </w:r>
          </w:p>
        </w:tc>
        <w:tc>
          <w:tcPr>
            <w:tcW w:w="340" w:type="dxa"/>
            <w:vAlign w:val="bottom"/>
            <w:shd w:val="clear" w:color="auto" w:fill="CCECFF"/>
          </w:tcPr>
          <w:p>
            <w:pPr>
              <w:spacing w:after="0"/>
              <w:rPr>
                <w:sz w:val="13"/>
                <w:szCs w:val="13"/>
                <w:color w:val="auto"/>
              </w:rPr>
            </w:pPr>
          </w:p>
        </w:tc>
        <w:tc>
          <w:tcPr>
            <w:tcW w:w="1220" w:type="dxa"/>
            <w:vAlign w:val="bottom"/>
            <w:shd w:val="clear" w:color="auto" w:fill="CCECFF"/>
          </w:tcPr>
          <w:p>
            <w:pPr>
              <w:spacing w:after="0"/>
              <w:rPr>
                <w:sz w:val="13"/>
                <w:szCs w:val="13"/>
                <w:color w:val="auto"/>
              </w:rPr>
            </w:pPr>
          </w:p>
        </w:tc>
        <w:tc>
          <w:tcPr>
            <w:tcW w:w="280" w:type="dxa"/>
            <w:vAlign w:val="bottom"/>
            <w:shd w:val="clear" w:color="auto" w:fill="CCECFF"/>
          </w:tcPr>
          <w:p>
            <w:pPr>
              <w:spacing w:after="0"/>
              <w:rPr>
                <w:sz w:val="13"/>
                <w:szCs w:val="13"/>
                <w:color w:val="auto"/>
              </w:rPr>
            </w:pPr>
          </w:p>
        </w:tc>
        <w:tc>
          <w:tcPr>
            <w:tcW w:w="360" w:type="dxa"/>
            <w:vAlign w:val="bottom"/>
            <w:shd w:val="clear" w:color="auto" w:fill="CCECFF"/>
          </w:tcPr>
          <w:p>
            <w:pPr>
              <w:spacing w:after="0"/>
              <w:rPr>
                <w:sz w:val="13"/>
                <w:szCs w:val="13"/>
                <w:color w:val="auto"/>
              </w:rPr>
            </w:pPr>
          </w:p>
        </w:tc>
        <w:tc>
          <w:tcPr>
            <w:tcW w:w="120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r>
      <w:tr>
        <w:trPr>
          <w:trHeight w:val="162"/>
        </w:trPr>
        <w:tc>
          <w:tcPr>
            <w:tcW w:w="7720" w:type="dxa"/>
            <w:vAlign w:val="bottom"/>
            <w:tcBorders>
              <w:bottom w:val="single" w:sz="8" w:color="CCECFF"/>
            </w:tcBorders>
          </w:tcPr>
          <w:p>
            <w:pPr>
              <w:ind w:left="260"/>
              <w:spacing w:after="0"/>
              <w:rPr>
                <w:sz w:val="20"/>
                <w:szCs w:val="20"/>
                <w:color w:val="auto"/>
              </w:rPr>
            </w:pPr>
            <w:r>
              <w:rPr>
                <w:rFonts w:ascii="Arial" w:cs="Arial" w:eastAsia="Arial" w:hAnsi="Arial"/>
                <w:sz w:val="14"/>
                <w:szCs w:val="14"/>
                <w:color w:val="auto"/>
              </w:rPr>
              <w:t>Beginning of period</w:t>
            </w:r>
          </w:p>
        </w:tc>
        <w:tc>
          <w:tcPr>
            <w:tcW w:w="34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503,057,511</w:t>
            </w:r>
          </w:p>
        </w:tc>
        <w:tc>
          <w:tcPr>
            <w:tcW w:w="280" w:type="dxa"/>
            <w:vAlign w:val="bottom"/>
            <w:tcBorders>
              <w:bottom w:val="single" w:sz="8" w:color="CCEC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535,841,568</w:t>
            </w:r>
          </w:p>
        </w:tc>
        <w:tc>
          <w:tcPr>
            <w:tcW w:w="120" w:type="dxa"/>
            <w:vAlign w:val="bottom"/>
            <w:tcBorders>
              <w:bottom w:val="single" w:sz="8" w:color="CCECFF"/>
            </w:tcBorders>
          </w:tcPr>
          <w:p>
            <w:pPr>
              <w:spacing w:after="0"/>
              <w:rPr>
                <w:sz w:val="14"/>
                <w:szCs w:val="14"/>
                <w:color w:val="auto"/>
              </w:rPr>
            </w:pPr>
          </w:p>
        </w:tc>
      </w:tr>
      <w:tr>
        <w:trPr>
          <w:trHeight w:val="156"/>
        </w:trPr>
        <w:tc>
          <w:tcPr>
            <w:tcW w:w="7720" w:type="dxa"/>
            <w:vAlign w:val="bottom"/>
            <w:tcBorders>
              <w:bottom w:val="single" w:sz="8" w:color="CCECFF"/>
            </w:tcBorders>
            <w:shd w:val="clear" w:color="auto" w:fill="CCECFF"/>
          </w:tcPr>
          <w:p>
            <w:pPr>
              <w:ind w:left="260"/>
              <w:spacing w:after="0" w:line="155" w:lineRule="exact"/>
              <w:rPr>
                <w:sz w:val="20"/>
                <w:szCs w:val="20"/>
                <w:color w:val="auto"/>
              </w:rPr>
            </w:pPr>
            <w:r>
              <w:rPr>
                <w:rFonts w:ascii="Arial" w:cs="Arial" w:eastAsia="Arial" w:hAnsi="Arial"/>
                <w:sz w:val="14"/>
                <w:szCs w:val="14"/>
                <w:color w:val="auto"/>
              </w:rPr>
              <w:t>End of period</w:t>
            </w:r>
          </w:p>
        </w:tc>
        <w:tc>
          <w:tcPr>
            <w:tcW w:w="340" w:type="dxa"/>
            <w:vAlign w:val="bottom"/>
            <w:tcBorders>
              <w:bottom w:val="single" w:sz="8" w:color="auto"/>
            </w:tcBorders>
            <w:shd w:val="clear" w:color="auto" w:fill="CCECFF"/>
          </w:tcPr>
          <w:p>
            <w:pPr>
              <w:jc w:val="right"/>
              <w:ind w:right="188"/>
              <w:spacing w:after="0" w:line="155" w:lineRule="exact"/>
              <w:rPr>
                <w:sz w:val="20"/>
                <w:szCs w:val="20"/>
                <w:color w:val="auto"/>
              </w:rPr>
            </w:pPr>
            <w:r>
              <w:rPr>
                <w:rFonts w:ascii="Arial" w:cs="Arial" w:eastAsia="Arial" w:hAnsi="Arial"/>
                <w:sz w:val="14"/>
                <w:szCs w:val="14"/>
                <w:color w:val="auto"/>
                <w:w w:val="76"/>
              </w:rPr>
              <w:t>$</w:t>
            </w:r>
          </w:p>
        </w:tc>
        <w:tc>
          <w:tcPr>
            <w:tcW w:w="122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501,980,364</w:t>
            </w:r>
          </w:p>
        </w:tc>
        <w:tc>
          <w:tcPr>
            <w:tcW w:w="280" w:type="dxa"/>
            <w:vAlign w:val="bottom"/>
            <w:tcBorders>
              <w:bottom w:val="single" w:sz="8" w:color="CCECFF"/>
            </w:tcBorders>
            <w:shd w:val="clear" w:color="auto" w:fill="CCECFF"/>
          </w:tcPr>
          <w:p>
            <w:pPr>
              <w:spacing w:after="0"/>
              <w:rPr>
                <w:sz w:val="13"/>
                <w:szCs w:val="13"/>
                <w:color w:val="auto"/>
              </w:rPr>
            </w:pPr>
          </w:p>
        </w:tc>
        <w:tc>
          <w:tcPr>
            <w:tcW w:w="360" w:type="dxa"/>
            <w:vAlign w:val="bottom"/>
            <w:tcBorders>
              <w:bottom w:val="single" w:sz="8" w:color="auto"/>
            </w:tcBorders>
            <w:shd w:val="clear" w:color="auto" w:fill="CCECFF"/>
          </w:tcPr>
          <w:p>
            <w:pPr>
              <w:jc w:val="right"/>
              <w:ind w:right="208"/>
              <w:spacing w:after="0" w:line="155" w:lineRule="exact"/>
              <w:rPr>
                <w:sz w:val="20"/>
                <w:szCs w:val="20"/>
                <w:color w:val="auto"/>
              </w:rPr>
            </w:pPr>
            <w:r>
              <w:rPr>
                <w:rFonts w:ascii="Arial" w:cs="Arial" w:eastAsia="Arial" w:hAnsi="Arial"/>
                <w:sz w:val="14"/>
                <w:szCs w:val="14"/>
                <w:color w:val="auto"/>
                <w:w w:val="76"/>
              </w:rPr>
              <w:t>$</w:t>
            </w:r>
          </w:p>
        </w:tc>
        <w:tc>
          <w:tcPr>
            <w:tcW w:w="120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529,786,722</w:t>
            </w:r>
          </w:p>
        </w:tc>
        <w:tc>
          <w:tcPr>
            <w:tcW w:w="120" w:type="dxa"/>
            <w:vAlign w:val="bottom"/>
            <w:tcBorders>
              <w:bottom w:val="single" w:sz="8" w:color="CCECFF"/>
            </w:tcBorders>
            <w:shd w:val="clear" w:color="auto" w:fill="CCECFF"/>
          </w:tcPr>
          <w:p>
            <w:pPr>
              <w:spacing w:after="0"/>
              <w:rPr>
                <w:sz w:val="13"/>
                <w:szCs w:val="13"/>
                <w:color w:val="auto"/>
              </w:rPr>
            </w:pPr>
          </w:p>
        </w:tc>
      </w:tr>
      <w:tr>
        <w:trPr>
          <w:trHeight w:val="20"/>
        </w:trPr>
        <w:tc>
          <w:tcPr>
            <w:tcW w:w="77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5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SEE NOTES TO CONSOLIDATED FINANCIAL STATEMENTS</w:t>
      </w:r>
    </w:p>
    <w:p>
      <w:pPr>
        <w:spacing w:after="0" w:line="5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149465"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4"/>
          <w:szCs w:val="14"/>
          <w:b w:val="1"/>
          <w:bCs w:val="1"/>
          <w:color w:val="auto"/>
        </w:rPr>
        <w:t>PENNANTPARK FLOATING RATE CAPITAL LTD. AND SUBSIDIARIES</w:t>
      </w:r>
    </w:p>
    <w:p>
      <w:pPr>
        <w:jc w:val="center"/>
        <w:spacing w:after="0" w:line="225" w:lineRule="auto"/>
        <w:rPr>
          <w:sz w:val="20"/>
          <w:szCs w:val="20"/>
          <w:color w:val="auto"/>
        </w:rPr>
      </w:pPr>
      <w:r>
        <w:rPr>
          <w:rFonts w:ascii="Arial" w:cs="Arial" w:eastAsia="Arial" w:hAnsi="Arial"/>
          <w:sz w:val="14"/>
          <w:szCs w:val="14"/>
          <w:b w:val="1"/>
          <w:bCs w:val="1"/>
          <w:color w:val="auto"/>
        </w:rPr>
        <w:t>CONSOLIDATED STATEMENTS OF CASH FLOWS</w:t>
      </w:r>
    </w:p>
    <w:p>
      <w:pPr>
        <w:jc w:val="center"/>
        <w:spacing w:after="0"/>
        <w:rPr>
          <w:sz w:val="20"/>
          <w:szCs w:val="20"/>
          <w:color w:val="auto"/>
        </w:rPr>
      </w:pPr>
      <w:r>
        <w:rPr>
          <w:rFonts w:ascii="Arial" w:cs="Arial" w:eastAsia="Arial" w:hAnsi="Arial"/>
          <w:sz w:val="14"/>
          <w:szCs w:val="14"/>
          <w:b w:val="1"/>
          <w:bCs w:val="1"/>
          <w:color w:val="auto"/>
        </w:rPr>
        <w:t>(Unaudited)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180" w:type="dxa"/>
            <w:vAlign w:val="bottom"/>
            <w:gridSpan w:val="5"/>
          </w:tcPr>
          <w:p>
            <w:pPr>
              <w:jc w:val="right"/>
              <w:ind w:right="740"/>
              <w:spacing w:after="0"/>
              <w:rPr>
                <w:sz w:val="20"/>
                <w:szCs w:val="20"/>
                <w:color w:val="auto"/>
              </w:rPr>
            </w:pPr>
            <w:r>
              <w:rPr>
                <w:rFonts w:ascii="Arial" w:cs="Arial" w:eastAsia="Arial" w:hAnsi="Arial"/>
                <w:sz w:val="14"/>
                <w:szCs w:val="14"/>
                <w:b w:val="1"/>
                <w:bCs w:val="1"/>
                <w:color w:val="auto"/>
              </w:rPr>
              <w:t>Three Months Ended December 31,</w:t>
            </w:r>
          </w:p>
        </w:tc>
        <w:tc>
          <w:tcPr>
            <w:tcW w:w="0" w:type="dxa"/>
            <w:vAlign w:val="bottom"/>
          </w:tcPr>
          <w:p>
            <w:pPr>
              <w:spacing w:after="0"/>
              <w:rPr>
                <w:sz w:val="1"/>
                <w:szCs w:val="1"/>
                <w:color w:val="auto"/>
              </w:rPr>
            </w:pPr>
          </w:p>
        </w:tc>
      </w:tr>
      <w:tr>
        <w:trPr>
          <w:trHeight w:val="155"/>
        </w:trPr>
        <w:tc>
          <w:tcPr>
            <w:tcW w:w="7720" w:type="dxa"/>
            <w:vAlign w:val="bottom"/>
            <w:tcBorders>
              <w:bottom w:val="single" w:sz="8" w:color="CCECFF"/>
            </w:tcBorders>
          </w:tcPr>
          <w:p>
            <w:pPr>
              <w:spacing w:after="0"/>
              <w:rPr>
                <w:sz w:val="13"/>
                <w:szCs w:val="13"/>
                <w:color w:val="auto"/>
              </w:rPr>
            </w:pPr>
          </w:p>
        </w:tc>
        <w:tc>
          <w:tcPr>
            <w:tcW w:w="340" w:type="dxa"/>
            <w:vAlign w:val="bottom"/>
            <w:tcBorders>
              <w:top w:val="single" w:sz="8" w:color="auto"/>
              <w:bottom w:val="single" w:sz="8" w:color="auto"/>
            </w:tcBorders>
          </w:tcPr>
          <w:p>
            <w:pPr>
              <w:spacing w:after="0"/>
              <w:rPr>
                <w:sz w:val="13"/>
                <w:szCs w:val="13"/>
                <w:color w:val="auto"/>
              </w:rPr>
            </w:pPr>
          </w:p>
        </w:tc>
        <w:tc>
          <w:tcPr>
            <w:tcW w:w="1220" w:type="dxa"/>
            <w:vAlign w:val="bottom"/>
            <w:tcBorders>
              <w:top w:val="single" w:sz="8" w:color="auto"/>
              <w:bottom w:val="single" w:sz="8" w:color="auto"/>
            </w:tcBorders>
          </w:tcPr>
          <w:p>
            <w:pPr>
              <w:jc w:val="right"/>
              <w:ind w:right="568"/>
              <w:spacing w:after="0" w:line="155" w:lineRule="exact"/>
              <w:rPr>
                <w:sz w:val="20"/>
                <w:szCs w:val="20"/>
                <w:color w:val="auto"/>
              </w:rPr>
            </w:pPr>
            <w:r>
              <w:rPr>
                <w:rFonts w:ascii="Arial" w:cs="Arial" w:eastAsia="Arial" w:hAnsi="Arial"/>
                <w:sz w:val="14"/>
                <w:szCs w:val="14"/>
                <w:b w:val="1"/>
                <w:bCs w:val="1"/>
                <w:color w:val="auto"/>
              </w:rPr>
              <w:t>2019</w:t>
            </w:r>
          </w:p>
        </w:tc>
        <w:tc>
          <w:tcPr>
            <w:tcW w:w="280" w:type="dxa"/>
            <w:vAlign w:val="bottom"/>
            <w:tcBorders>
              <w:top w:val="single" w:sz="8" w:color="auto"/>
              <w:bottom w:val="single" w:sz="8" w:color="CCECFF"/>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200" w:type="dxa"/>
            <w:vAlign w:val="bottom"/>
            <w:tcBorders>
              <w:top w:val="single" w:sz="8" w:color="auto"/>
              <w:bottom w:val="single" w:sz="8" w:color="auto"/>
            </w:tcBorders>
          </w:tcPr>
          <w:p>
            <w:pPr>
              <w:jc w:val="right"/>
              <w:ind w:right="568"/>
              <w:spacing w:after="0" w:line="155" w:lineRule="exact"/>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CFF"/>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720" w:type="dxa"/>
            <w:vAlign w:val="bottom"/>
            <w:shd w:val="clear" w:color="auto" w:fill="CCECFF"/>
          </w:tcPr>
          <w:p>
            <w:pPr>
              <w:spacing w:after="0" w:line="155" w:lineRule="exact"/>
              <w:rPr>
                <w:sz w:val="20"/>
                <w:szCs w:val="20"/>
                <w:color w:val="auto"/>
              </w:rPr>
            </w:pPr>
            <w:r>
              <w:rPr>
                <w:rFonts w:ascii="Arial" w:cs="Arial" w:eastAsia="Arial" w:hAnsi="Arial"/>
                <w:sz w:val="14"/>
                <w:szCs w:val="14"/>
                <w:b w:val="1"/>
                <w:bCs w:val="1"/>
                <w:color w:val="auto"/>
              </w:rPr>
              <w:t>Cash flows from operating activities:</w:t>
            </w:r>
          </w:p>
        </w:tc>
        <w:tc>
          <w:tcPr>
            <w:tcW w:w="340" w:type="dxa"/>
            <w:vAlign w:val="bottom"/>
            <w:shd w:val="clear" w:color="auto" w:fill="CCECFF"/>
          </w:tcPr>
          <w:p>
            <w:pPr>
              <w:spacing w:after="0"/>
              <w:rPr>
                <w:sz w:val="13"/>
                <w:szCs w:val="13"/>
                <w:color w:val="auto"/>
              </w:rPr>
            </w:pPr>
          </w:p>
        </w:tc>
        <w:tc>
          <w:tcPr>
            <w:tcW w:w="1220" w:type="dxa"/>
            <w:vAlign w:val="bottom"/>
            <w:shd w:val="clear" w:color="auto" w:fill="CCECFF"/>
          </w:tcPr>
          <w:p>
            <w:pPr>
              <w:spacing w:after="0"/>
              <w:rPr>
                <w:sz w:val="13"/>
                <w:szCs w:val="13"/>
                <w:color w:val="auto"/>
              </w:rPr>
            </w:pPr>
          </w:p>
        </w:tc>
        <w:tc>
          <w:tcPr>
            <w:tcW w:w="280" w:type="dxa"/>
            <w:vAlign w:val="bottom"/>
            <w:shd w:val="clear" w:color="auto" w:fill="CCECFF"/>
          </w:tcPr>
          <w:p>
            <w:pPr>
              <w:spacing w:after="0"/>
              <w:rPr>
                <w:sz w:val="13"/>
                <w:szCs w:val="13"/>
                <w:color w:val="auto"/>
              </w:rPr>
            </w:pPr>
          </w:p>
        </w:tc>
        <w:tc>
          <w:tcPr>
            <w:tcW w:w="360" w:type="dxa"/>
            <w:vAlign w:val="bottom"/>
            <w:shd w:val="clear" w:color="auto" w:fill="CCECFF"/>
          </w:tcPr>
          <w:p>
            <w:pPr>
              <w:spacing w:after="0"/>
              <w:rPr>
                <w:sz w:val="13"/>
                <w:szCs w:val="13"/>
                <w:color w:val="auto"/>
              </w:rPr>
            </w:pPr>
          </w:p>
        </w:tc>
        <w:tc>
          <w:tcPr>
            <w:tcW w:w="120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720" w:type="dxa"/>
            <w:vAlign w:val="bottom"/>
          </w:tcPr>
          <w:p>
            <w:pPr>
              <w:ind w:left="260"/>
              <w:spacing w:after="0"/>
              <w:rPr>
                <w:sz w:val="20"/>
                <w:szCs w:val="20"/>
                <w:color w:val="auto"/>
              </w:rPr>
            </w:pPr>
            <w:r>
              <w:rPr>
                <w:rFonts w:ascii="Arial" w:cs="Arial" w:eastAsia="Arial" w:hAnsi="Arial"/>
                <w:sz w:val="14"/>
                <w:szCs w:val="14"/>
                <w:color w:val="auto"/>
              </w:rPr>
              <w:t>Net increase in net assets resulting from operations</w:t>
            </w:r>
          </w:p>
        </w:tc>
        <w:tc>
          <w:tcPr>
            <w:tcW w:w="340" w:type="dxa"/>
            <w:vAlign w:val="bottom"/>
          </w:tcPr>
          <w:p>
            <w:pPr>
              <w:jc w:val="right"/>
              <w:ind w:right="188"/>
              <w:spacing w:after="0"/>
              <w:rPr>
                <w:sz w:val="20"/>
                <w:szCs w:val="20"/>
                <w:color w:val="auto"/>
              </w:rPr>
            </w:pPr>
            <w:r>
              <w:rPr>
                <w:rFonts w:ascii="Arial" w:cs="Arial" w:eastAsia="Arial" w:hAnsi="Arial"/>
                <w:sz w:val="14"/>
                <w:szCs w:val="14"/>
                <w:color w:val="auto"/>
                <w:w w:val="76"/>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9,972,894</w:t>
            </w:r>
          </w:p>
        </w:tc>
        <w:tc>
          <w:tcPr>
            <w:tcW w:w="280" w:type="dxa"/>
            <w:vAlign w:val="bottom"/>
          </w:tcPr>
          <w:p>
            <w:pPr>
              <w:spacing w:after="0"/>
              <w:rPr>
                <w:sz w:val="14"/>
                <w:szCs w:val="14"/>
                <w:color w:val="auto"/>
              </w:rPr>
            </w:pPr>
          </w:p>
        </w:tc>
        <w:tc>
          <w:tcPr>
            <w:tcW w:w="360" w:type="dxa"/>
            <w:vAlign w:val="bottom"/>
          </w:tcPr>
          <w:p>
            <w:pPr>
              <w:jc w:val="right"/>
              <w:ind w:right="208"/>
              <w:spacing w:after="0"/>
              <w:rPr>
                <w:sz w:val="20"/>
                <w:szCs w:val="20"/>
                <w:color w:val="auto"/>
              </w:rPr>
            </w:pPr>
            <w:r>
              <w:rPr>
                <w:rFonts w:ascii="Arial" w:cs="Arial" w:eastAsia="Arial" w:hAnsi="Arial"/>
                <w:sz w:val="14"/>
                <w:szCs w:val="14"/>
                <w:color w:val="auto"/>
                <w:w w:val="76"/>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4,995,195</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7720" w:type="dxa"/>
            <w:vAlign w:val="bottom"/>
            <w:shd w:val="clear" w:color="auto" w:fill="CCECFF"/>
          </w:tcPr>
          <w:p>
            <w:pPr>
              <w:ind w:left="260"/>
              <w:spacing w:after="0" w:line="143" w:lineRule="exact"/>
              <w:rPr>
                <w:sz w:val="20"/>
                <w:szCs w:val="20"/>
                <w:color w:val="auto"/>
              </w:rPr>
            </w:pPr>
            <w:r>
              <w:rPr>
                <w:rFonts w:ascii="Arial" w:cs="Arial" w:eastAsia="Arial" w:hAnsi="Arial"/>
                <w:sz w:val="14"/>
                <w:szCs w:val="14"/>
                <w:color w:val="auto"/>
              </w:rPr>
              <w:t>Adjustments to reconcile net increase in net assets resulting from operations to net cash</w:t>
            </w:r>
          </w:p>
        </w:tc>
        <w:tc>
          <w:tcPr>
            <w:tcW w:w="340" w:type="dxa"/>
            <w:vAlign w:val="bottom"/>
            <w:shd w:val="clear" w:color="auto" w:fill="CCECFF"/>
          </w:tcPr>
          <w:p>
            <w:pPr>
              <w:spacing w:after="0"/>
              <w:rPr>
                <w:sz w:val="12"/>
                <w:szCs w:val="12"/>
                <w:color w:val="auto"/>
              </w:rPr>
            </w:pPr>
          </w:p>
        </w:tc>
        <w:tc>
          <w:tcPr>
            <w:tcW w:w="1220" w:type="dxa"/>
            <w:vAlign w:val="bottom"/>
            <w:shd w:val="clear" w:color="auto" w:fill="CCECFF"/>
          </w:tcPr>
          <w:p>
            <w:pPr>
              <w:spacing w:after="0"/>
              <w:rPr>
                <w:sz w:val="12"/>
                <w:szCs w:val="12"/>
                <w:color w:val="auto"/>
              </w:rPr>
            </w:pPr>
          </w:p>
        </w:tc>
        <w:tc>
          <w:tcPr>
            <w:tcW w:w="280" w:type="dxa"/>
            <w:vAlign w:val="bottom"/>
            <w:shd w:val="clear" w:color="auto" w:fill="CCECFF"/>
          </w:tcPr>
          <w:p>
            <w:pPr>
              <w:spacing w:after="0"/>
              <w:rPr>
                <w:sz w:val="12"/>
                <w:szCs w:val="12"/>
                <w:color w:val="auto"/>
              </w:rPr>
            </w:pPr>
          </w:p>
        </w:tc>
        <w:tc>
          <w:tcPr>
            <w:tcW w:w="360" w:type="dxa"/>
            <w:vAlign w:val="bottom"/>
            <w:shd w:val="clear" w:color="auto" w:fill="CCECFF"/>
          </w:tcPr>
          <w:p>
            <w:pPr>
              <w:spacing w:after="0"/>
              <w:rPr>
                <w:sz w:val="12"/>
                <w:szCs w:val="12"/>
                <w:color w:val="auto"/>
              </w:rPr>
            </w:pPr>
          </w:p>
        </w:tc>
        <w:tc>
          <w:tcPr>
            <w:tcW w:w="120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7720" w:type="dxa"/>
            <w:vAlign w:val="bottom"/>
            <w:shd w:val="clear" w:color="auto" w:fill="CCECFF"/>
          </w:tcPr>
          <w:p>
            <w:pPr>
              <w:ind w:left="360"/>
              <w:spacing w:after="0"/>
              <w:rPr>
                <w:sz w:val="20"/>
                <w:szCs w:val="20"/>
                <w:color w:val="auto"/>
              </w:rPr>
            </w:pPr>
            <w:r>
              <w:rPr>
                <w:rFonts w:ascii="Arial" w:cs="Arial" w:eastAsia="Arial" w:hAnsi="Arial"/>
                <w:sz w:val="14"/>
                <w:szCs w:val="14"/>
                <w:color w:val="auto"/>
              </w:rPr>
              <w:t>used in operating activities:</w:t>
            </w:r>
          </w:p>
        </w:tc>
        <w:tc>
          <w:tcPr>
            <w:tcW w:w="340" w:type="dxa"/>
            <w:vAlign w:val="bottom"/>
            <w:shd w:val="clear" w:color="auto" w:fill="CCECFF"/>
          </w:tcPr>
          <w:p>
            <w:pPr>
              <w:spacing w:after="0"/>
              <w:rPr>
                <w:sz w:val="14"/>
                <w:szCs w:val="14"/>
                <w:color w:val="auto"/>
              </w:rPr>
            </w:pPr>
          </w:p>
        </w:tc>
        <w:tc>
          <w:tcPr>
            <w:tcW w:w="1220" w:type="dxa"/>
            <w:vAlign w:val="bottom"/>
            <w:shd w:val="clear" w:color="auto" w:fill="CCECFF"/>
          </w:tcPr>
          <w:p>
            <w:pPr>
              <w:spacing w:after="0"/>
              <w:rPr>
                <w:sz w:val="14"/>
                <w:szCs w:val="14"/>
                <w:color w:val="auto"/>
              </w:rPr>
            </w:pPr>
          </w:p>
        </w:tc>
        <w:tc>
          <w:tcPr>
            <w:tcW w:w="280" w:type="dxa"/>
            <w:vAlign w:val="bottom"/>
            <w:shd w:val="clear" w:color="auto" w:fill="CCECFF"/>
          </w:tcPr>
          <w:p>
            <w:pPr>
              <w:spacing w:after="0"/>
              <w:rPr>
                <w:sz w:val="14"/>
                <w:szCs w:val="14"/>
                <w:color w:val="auto"/>
              </w:rPr>
            </w:pPr>
          </w:p>
        </w:tc>
        <w:tc>
          <w:tcPr>
            <w:tcW w:w="360" w:type="dxa"/>
            <w:vAlign w:val="bottom"/>
            <w:shd w:val="clear" w:color="auto" w:fill="CCECFF"/>
          </w:tcPr>
          <w:p>
            <w:pPr>
              <w:spacing w:after="0"/>
              <w:rPr>
                <w:sz w:val="14"/>
                <w:szCs w:val="14"/>
                <w:color w:val="auto"/>
              </w:rPr>
            </w:pPr>
          </w:p>
        </w:tc>
        <w:tc>
          <w:tcPr>
            <w:tcW w:w="120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tcPr>
          <w:p>
            <w:pPr>
              <w:ind w:left="500"/>
              <w:spacing w:after="0"/>
              <w:rPr>
                <w:sz w:val="20"/>
                <w:szCs w:val="20"/>
                <w:color w:val="auto"/>
              </w:rPr>
            </w:pPr>
            <w:r>
              <w:rPr>
                <w:rFonts w:ascii="Arial" w:cs="Arial" w:eastAsia="Arial" w:hAnsi="Arial"/>
                <w:sz w:val="14"/>
                <w:szCs w:val="14"/>
                <w:color w:val="auto"/>
              </w:rPr>
              <w:t>Net change in unrealized depreciation on investments</w:t>
            </w:r>
          </w:p>
        </w:tc>
        <w:tc>
          <w:tcPr>
            <w:tcW w:w="34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3,520,347</w:t>
            </w: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12,406,007</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shd w:val="clear" w:color="auto" w:fill="CCECFF"/>
          </w:tcPr>
          <w:p>
            <w:pPr>
              <w:ind w:left="500"/>
              <w:spacing w:after="0"/>
              <w:rPr>
                <w:sz w:val="20"/>
                <w:szCs w:val="20"/>
                <w:color w:val="auto"/>
              </w:rPr>
            </w:pPr>
            <w:r>
              <w:rPr>
                <w:rFonts w:ascii="Arial" w:cs="Arial" w:eastAsia="Arial" w:hAnsi="Arial"/>
                <w:sz w:val="14"/>
                <w:szCs w:val="14"/>
                <w:color w:val="auto"/>
              </w:rPr>
              <w:t>Net change in unrealized depreciation on debt</w:t>
            </w:r>
          </w:p>
        </w:tc>
        <w:tc>
          <w:tcPr>
            <w:tcW w:w="340" w:type="dxa"/>
            <w:vAlign w:val="bottom"/>
            <w:shd w:val="clear" w:color="auto" w:fill="CCECFF"/>
          </w:tcPr>
          <w:p>
            <w:pPr>
              <w:spacing w:after="0"/>
              <w:rPr>
                <w:sz w:val="14"/>
                <w:szCs w:val="14"/>
                <w:color w:val="auto"/>
              </w:rPr>
            </w:pPr>
          </w:p>
        </w:tc>
        <w:tc>
          <w:tcPr>
            <w:tcW w:w="1500" w:type="dxa"/>
            <w:vAlign w:val="bottom"/>
            <w:gridSpan w:val="2"/>
            <w:shd w:val="clear" w:color="auto" w:fill="CCECFF"/>
          </w:tcPr>
          <w:p>
            <w:pPr>
              <w:jc w:val="right"/>
              <w:ind w:right="220"/>
              <w:spacing w:after="0"/>
              <w:rPr>
                <w:sz w:val="20"/>
                <w:szCs w:val="20"/>
                <w:color w:val="auto"/>
              </w:rPr>
            </w:pPr>
            <w:r>
              <w:rPr>
                <w:rFonts w:ascii="Arial" w:cs="Arial" w:eastAsia="Arial" w:hAnsi="Arial"/>
                <w:sz w:val="14"/>
                <w:szCs w:val="14"/>
                <w:color w:val="auto"/>
              </w:rPr>
              <w:t>(1,361,588)</w:t>
            </w:r>
          </w:p>
        </w:tc>
        <w:tc>
          <w:tcPr>
            <w:tcW w:w="360" w:type="dxa"/>
            <w:vAlign w:val="bottom"/>
            <w:shd w:val="clear" w:color="auto" w:fill="CCECFF"/>
          </w:tcPr>
          <w:p>
            <w:pPr>
              <w:spacing w:after="0"/>
              <w:rPr>
                <w:sz w:val="14"/>
                <w:szCs w:val="14"/>
                <w:color w:val="auto"/>
              </w:rPr>
            </w:pPr>
          </w:p>
        </w:tc>
        <w:tc>
          <w:tcPr>
            <w:tcW w:w="1320" w:type="dxa"/>
            <w:vAlign w:val="bottom"/>
            <w:gridSpan w:val="2"/>
            <w:shd w:val="clear" w:color="auto" w:fill="CCECFF"/>
          </w:tcPr>
          <w:p>
            <w:pPr>
              <w:jc w:val="right"/>
              <w:ind w:right="80"/>
              <w:spacing w:after="0"/>
              <w:rPr>
                <w:sz w:val="20"/>
                <w:szCs w:val="20"/>
                <w:color w:val="auto"/>
              </w:rPr>
            </w:pPr>
            <w:r>
              <w:rPr>
                <w:rFonts w:ascii="Arial" w:cs="Arial" w:eastAsia="Arial" w:hAnsi="Arial"/>
                <w:sz w:val="14"/>
                <w:szCs w:val="14"/>
                <w:color w:val="auto"/>
              </w:rPr>
              <w:t>(5,533,693)</w:t>
            </w:r>
          </w:p>
        </w:tc>
        <w:tc>
          <w:tcPr>
            <w:tcW w:w="0" w:type="dxa"/>
            <w:vAlign w:val="bottom"/>
          </w:tcPr>
          <w:p>
            <w:pPr>
              <w:spacing w:after="0"/>
              <w:rPr>
                <w:sz w:val="1"/>
                <w:szCs w:val="1"/>
                <w:color w:val="auto"/>
              </w:rPr>
            </w:pPr>
          </w:p>
        </w:tc>
      </w:tr>
      <w:tr>
        <w:trPr>
          <w:trHeight w:val="162"/>
        </w:trPr>
        <w:tc>
          <w:tcPr>
            <w:tcW w:w="7720" w:type="dxa"/>
            <w:vAlign w:val="bottom"/>
          </w:tcPr>
          <w:p>
            <w:pPr>
              <w:ind w:left="500"/>
              <w:spacing w:after="0"/>
              <w:rPr>
                <w:sz w:val="20"/>
                <w:szCs w:val="20"/>
                <w:color w:val="auto"/>
              </w:rPr>
            </w:pPr>
            <w:r>
              <w:rPr>
                <w:rFonts w:ascii="Arial" w:cs="Arial" w:eastAsia="Arial" w:hAnsi="Arial"/>
                <w:sz w:val="14"/>
                <w:szCs w:val="14"/>
                <w:color w:val="auto"/>
              </w:rPr>
              <w:t>Net realized gain on investments</w:t>
            </w:r>
          </w:p>
        </w:tc>
        <w:tc>
          <w:tcPr>
            <w:tcW w:w="340" w:type="dxa"/>
            <w:vAlign w:val="bottom"/>
          </w:tcPr>
          <w:p>
            <w:pPr>
              <w:spacing w:after="0"/>
              <w:rPr>
                <w:sz w:val="14"/>
                <w:szCs w:val="14"/>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4"/>
                <w:szCs w:val="14"/>
                <w:color w:val="auto"/>
              </w:rPr>
              <w:t>(1,012,313)</w:t>
            </w:r>
          </w:p>
        </w:tc>
        <w:tc>
          <w:tcPr>
            <w:tcW w:w="360" w:type="dxa"/>
            <w:vAlign w:val="bottom"/>
          </w:tcPr>
          <w:p>
            <w:pPr>
              <w:spacing w:after="0"/>
              <w:rPr>
                <w:sz w:val="14"/>
                <w:szCs w:val="14"/>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4"/>
                <w:szCs w:val="14"/>
                <w:color w:val="auto"/>
              </w:rPr>
              <w:t>(923,466)</w:t>
            </w:r>
          </w:p>
        </w:tc>
        <w:tc>
          <w:tcPr>
            <w:tcW w:w="0" w:type="dxa"/>
            <w:vAlign w:val="bottom"/>
          </w:tcPr>
          <w:p>
            <w:pPr>
              <w:spacing w:after="0"/>
              <w:rPr>
                <w:sz w:val="1"/>
                <w:szCs w:val="1"/>
                <w:color w:val="auto"/>
              </w:rPr>
            </w:pPr>
          </w:p>
        </w:tc>
      </w:tr>
      <w:tr>
        <w:trPr>
          <w:trHeight w:val="162"/>
        </w:trPr>
        <w:tc>
          <w:tcPr>
            <w:tcW w:w="7720" w:type="dxa"/>
            <w:vAlign w:val="bottom"/>
            <w:shd w:val="clear" w:color="auto" w:fill="CCECFF"/>
          </w:tcPr>
          <w:p>
            <w:pPr>
              <w:ind w:left="500"/>
              <w:spacing w:after="0"/>
              <w:rPr>
                <w:sz w:val="20"/>
                <w:szCs w:val="20"/>
                <w:color w:val="auto"/>
              </w:rPr>
            </w:pPr>
            <w:r>
              <w:rPr>
                <w:rFonts w:ascii="Arial" w:cs="Arial" w:eastAsia="Arial" w:hAnsi="Arial"/>
                <w:sz w:val="14"/>
                <w:szCs w:val="14"/>
                <w:color w:val="auto"/>
              </w:rPr>
              <w:t>Net accretion of discount and amortization of premium</w:t>
            </w:r>
          </w:p>
        </w:tc>
        <w:tc>
          <w:tcPr>
            <w:tcW w:w="340" w:type="dxa"/>
            <w:vAlign w:val="bottom"/>
            <w:shd w:val="clear" w:color="auto" w:fill="CCECFF"/>
          </w:tcPr>
          <w:p>
            <w:pPr>
              <w:spacing w:after="0"/>
              <w:rPr>
                <w:sz w:val="14"/>
                <w:szCs w:val="14"/>
                <w:color w:val="auto"/>
              </w:rPr>
            </w:pPr>
          </w:p>
        </w:tc>
        <w:tc>
          <w:tcPr>
            <w:tcW w:w="1500" w:type="dxa"/>
            <w:vAlign w:val="bottom"/>
            <w:gridSpan w:val="2"/>
            <w:shd w:val="clear" w:color="auto" w:fill="CCECFF"/>
          </w:tcPr>
          <w:p>
            <w:pPr>
              <w:jc w:val="right"/>
              <w:ind w:right="220"/>
              <w:spacing w:after="0"/>
              <w:rPr>
                <w:sz w:val="20"/>
                <w:szCs w:val="20"/>
                <w:color w:val="auto"/>
              </w:rPr>
            </w:pPr>
            <w:r>
              <w:rPr>
                <w:rFonts w:ascii="Arial" w:cs="Arial" w:eastAsia="Arial" w:hAnsi="Arial"/>
                <w:sz w:val="14"/>
                <w:szCs w:val="14"/>
                <w:color w:val="auto"/>
              </w:rPr>
              <w:t>(486,937)</w:t>
            </w:r>
          </w:p>
        </w:tc>
        <w:tc>
          <w:tcPr>
            <w:tcW w:w="360" w:type="dxa"/>
            <w:vAlign w:val="bottom"/>
            <w:shd w:val="clear" w:color="auto" w:fill="CCECFF"/>
          </w:tcPr>
          <w:p>
            <w:pPr>
              <w:spacing w:after="0"/>
              <w:rPr>
                <w:sz w:val="14"/>
                <w:szCs w:val="14"/>
                <w:color w:val="auto"/>
              </w:rPr>
            </w:pPr>
          </w:p>
        </w:tc>
        <w:tc>
          <w:tcPr>
            <w:tcW w:w="1320" w:type="dxa"/>
            <w:vAlign w:val="bottom"/>
            <w:gridSpan w:val="2"/>
            <w:shd w:val="clear" w:color="auto" w:fill="CCECFF"/>
          </w:tcPr>
          <w:p>
            <w:pPr>
              <w:jc w:val="right"/>
              <w:ind w:right="80"/>
              <w:spacing w:after="0"/>
              <w:rPr>
                <w:sz w:val="20"/>
                <w:szCs w:val="20"/>
                <w:color w:val="auto"/>
              </w:rPr>
            </w:pPr>
            <w:r>
              <w:rPr>
                <w:rFonts w:ascii="Arial" w:cs="Arial" w:eastAsia="Arial" w:hAnsi="Arial"/>
                <w:sz w:val="14"/>
                <w:szCs w:val="14"/>
                <w:color w:val="auto"/>
              </w:rPr>
              <w:t>(416,480)</w:t>
            </w:r>
          </w:p>
        </w:tc>
        <w:tc>
          <w:tcPr>
            <w:tcW w:w="0" w:type="dxa"/>
            <w:vAlign w:val="bottom"/>
          </w:tcPr>
          <w:p>
            <w:pPr>
              <w:spacing w:after="0"/>
              <w:rPr>
                <w:sz w:val="1"/>
                <w:szCs w:val="1"/>
                <w:color w:val="auto"/>
              </w:rPr>
            </w:pPr>
          </w:p>
        </w:tc>
      </w:tr>
      <w:tr>
        <w:trPr>
          <w:trHeight w:val="162"/>
        </w:trPr>
        <w:tc>
          <w:tcPr>
            <w:tcW w:w="7720" w:type="dxa"/>
            <w:vAlign w:val="bottom"/>
          </w:tcPr>
          <w:p>
            <w:pPr>
              <w:ind w:left="500"/>
              <w:spacing w:after="0"/>
              <w:rPr>
                <w:sz w:val="20"/>
                <w:szCs w:val="20"/>
                <w:color w:val="auto"/>
              </w:rPr>
            </w:pPr>
            <w:r>
              <w:rPr>
                <w:rFonts w:ascii="Arial" w:cs="Arial" w:eastAsia="Arial" w:hAnsi="Arial"/>
                <w:sz w:val="14"/>
                <w:szCs w:val="14"/>
                <w:color w:val="auto"/>
              </w:rPr>
              <w:t>Purchases of investments</w:t>
            </w:r>
          </w:p>
        </w:tc>
        <w:tc>
          <w:tcPr>
            <w:tcW w:w="340" w:type="dxa"/>
            <w:vAlign w:val="bottom"/>
          </w:tcPr>
          <w:p>
            <w:pPr>
              <w:spacing w:after="0"/>
              <w:rPr>
                <w:sz w:val="14"/>
                <w:szCs w:val="14"/>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4"/>
                <w:szCs w:val="14"/>
                <w:color w:val="auto"/>
              </w:rPr>
              <w:t>(239,443,417)</w:t>
            </w:r>
          </w:p>
        </w:tc>
        <w:tc>
          <w:tcPr>
            <w:tcW w:w="360" w:type="dxa"/>
            <w:vAlign w:val="bottom"/>
          </w:tcPr>
          <w:p>
            <w:pPr>
              <w:spacing w:after="0"/>
              <w:rPr>
                <w:sz w:val="14"/>
                <w:szCs w:val="14"/>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4"/>
                <w:szCs w:val="14"/>
                <w:color w:val="auto"/>
              </w:rPr>
              <w:t>(180,731,899)</w:t>
            </w:r>
          </w:p>
        </w:tc>
        <w:tc>
          <w:tcPr>
            <w:tcW w:w="0" w:type="dxa"/>
            <w:vAlign w:val="bottom"/>
          </w:tcPr>
          <w:p>
            <w:pPr>
              <w:spacing w:after="0"/>
              <w:rPr>
                <w:sz w:val="1"/>
                <w:szCs w:val="1"/>
                <w:color w:val="auto"/>
              </w:rPr>
            </w:pPr>
          </w:p>
        </w:tc>
      </w:tr>
      <w:tr>
        <w:trPr>
          <w:trHeight w:val="162"/>
        </w:trPr>
        <w:tc>
          <w:tcPr>
            <w:tcW w:w="7720" w:type="dxa"/>
            <w:vAlign w:val="bottom"/>
            <w:shd w:val="clear" w:color="auto" w:fill="CCECFF"/>
          </w:tcPr>
          <w:p>
            <w:pPr>
              <w:ind w:left="500"/>
              <w:spacing w:after="0"/>
              <w:rPr>
                <w:sz w:val="20"/>
                <w:szCs w:val="20"/>
                <w:color w:val="auto"/>
              </w:rPr>
            </w:pPr>
            <w:r>
              <w:rPr>
                <w:rFonts w:ascii="Arial" w:cs="Arial" w:eastAsia="Arial" w:hAnsi="Arial"/>
                <w:sz w:val="14"/>
                <w:szCs w:val="14"/>
                <w:color w:val="auto"/>
              </w:rPr>
              <w:t>Payment-in-kind interest</w:t>
            </w:r>
          </w:p>
        </w:tc>
        <w:tc>
          <w:tcPr>
            <w:tcW w:w="340" w:type="dxa"/>
            <w:vAlign w:val="bottom"/>
            <w:shd w:val="clear" w:color="auto" w:fill="CCECFF"/>
          </w:tcPr>
          <w:p>
            <w:pPr>
              <w:spacing w:after="0"/>
              <w:rPr>
                <w:sz w:val="14"/>
                <w:szCs w:val="14"/>
                <w:color w:val="auto"/>
              </w:rPr>
            </w:pPr>
          </w:p>
        </w:tc>
        <w:tc>
          <w:tcPr>
            <w:tcW w:w="1500" w:type="dxa"/>
            <w:vAlign w:val="bottom"/>
            <w:gridSpan w:val="2"/>
            <w:shd w:val="clear" w:color="auto" w:fill="CCECFF"/>
          </w:tcPr>
          <w:p>
            <w:pPr>
              <w:jc w:val="right"/>
              <w:ind w:right="220"/>
              <w:spacing w:after="0"/>
              <w:rPr>
                <w:sz w:val="20"/>
                <w:szCs w:val="20"/>
                <w:color w:val="auto"/>
              </w:rPr>
            </w:pPr>
            <w:r>
              <w:rPr>
                <w:rFonts w:ascii="Arial" w:cs="Arial" w:eastAsia="Arial" w:hAnsi="Arial"/>
                <w:sz w:val="14"/>
                <w:szCs w:val="14"/>
                <w:color w:val="auto"/>
              </w:rPr>
              <w:t>(822,850)</w:t>
            </w:r>
          </w:p>
        </w:tc>
        <w:tc>
          <w:tcPr>
            <w:tcW w:w="360" w:type="dxa"/>
            <w:vAlign w:val="bottom"/>
            <w:shd w:val="clear" w:color="auto" w:fill="CCECFF"/>
          </w:tcPr>
          <w:p>
            <w:pPr>
              <w:spacing w:after="0"/>
              <w:rPr>
                <w:sz w:val="14"/>
                <w:szCs w:val="14"/>
                <w:color w:val="auto"/>
              </w:rPr>
            </w:pPr>
          </w:p>
        </w:tc>
        <w:tc>
          <w:tcPr>
            <w:tcW w:w="1320" w:type="dxa"/>
            <w:vAlign w:val="bottom"/>
            <w:gridSpan w:val="2"/>
            <w:shd w:val="clear" w:color="auto" w:fill="CCECFF"/>
          </w:tcPr>
          <w:p>
            <w:pPr>
              <w:jc w:val="right"/>
              <w:ind w:right="80"/>
              <w:spacing w:after="0"/>
              <w:rPr>
                <w:sz w:val="20"/>
                <w:szCs w:val="20"/>
                <w:color w:val="auto"/>
              </w:rPr>
            </w:pPr>
            <w:r>
              <w:rPr>
                <w:rFonts w:ascii="Arial" w:cs="Arial" w:eastAsia="Arial" w:hAnsi="Arial"/>
                <w:sz w:val="14"/>
                <w:szCs w:val="14"/>
                <w:color w:val="auto"/>
              </w:rPr>
              <w:t>(90,696)</w:t>
            </w:r>
          </w:p>
        </w:tc>
        <w:tc>
          <w:tcPr>
            <w:tcW w:w="0" w:type="dxa"/>
            <w:vAlign w:val="bottom"/>
          </w:tcPr>
          <w:p>
            <w:pPr>
              <w:spacing w:after="0"/>
              <w:rPr>
                <w:sz w:val="1"/>
                <w:szCs w:val="1"/>
                <w:color w:val="auto"/>
              </w:rPr>
            </w:pPr>
          </w:p>
        </w:tc>
      </w:tr>
      <w:tr>
        <w:trPr>
          <w:trHeight w:val="162"/>
        </w:trPr>
        <w:tc>
          <w:tcPr>
            <w:tcW w:w="7720" w:type="dxa"/>
            <w:vAlign w:val="bottom"/>
          </w:tcPr>
          <w:p>
            <w:pPr>
              <w:ind w:left="500"/>
              <w:spacing w:after="0"/>
              <w:rPr>
                <w:sz w:val="20"/>
                <w:szCs w:val="20"/>
                <w:color w:val="auto"/>
              </w:rPr>
            </w:pPr>
            <w:r>
              <w:rPr>
                <w:rFonts w:ascii="Arial" w:cs="Arial" w:eastAsia="Arial" w:hAnsi="Arial"/>
                <w:sz w:val="14"/>
                <w:szCs w:val="14"/>
                <w:color w:val="auto"/>
              </w:rPr>
              <w:t>Proceeds from dispositions of investments</w:t>
            </w:r>
          </w:p>
        </w:tc>
        <w:tc>
          <w:tcPr>
            <w:tcW w:w="34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143,743,301</w:t>
            </w: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190,294,479</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shd w:val="clear" w:color="auto" w:fill="CCECFF"/>
          </w:tcPr>
          <w:p>
            <w:pPr>
              <w:ind w:left="500"/>
              <w:spacing w:after="0"/>
              <w:rPr>
                <w:sz w:val="20"/>
                <w:szCs w:val="20"/>
                <w:color w:val="auto"/>
              </w:rPr>
            </w:pPr>
            <w:r>
              <w:rPr>
                <w:rFonts w:ascii="Arial" w:cs="Arial" w:eastAsia="Arial" w:hAnsi="Arial"/>
                <w:sz w:val="14"/>
                <w:szCs w:val="14"/>
                <w:color w:val="auto"/>
              </w:rPr>
              <w:t>Amortization of deferred financing costs</w:t>
            </w:r>
          </w:p>
        </w:tc>
        <w:tc>
          <w:tcPr>
            <w:tcW w:w="340" w:type="dxa"/>
            <w:vAlign w:val="bottom"/>
            <w:shd w:val="clear" w:color="auto" w:fill="CCECFF"/>
          </w:tcPr>
          <w:p>
            <w:pPr>
              <w:spacing w:after="0"/>
              <w:rPr>
                <w:sz w:val="14"/>
                <w:szCs w:val="14"/>
                <w:color w:val="auto"/>
              </w:rPr>
            </w:pPr>
          </w:p>
        </w:tc>
        <w:tc>
          <w:tcPr>
            <w:tcW w:w="12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72,101</w:t>
            </w:r>
          </w:p>
        </w:tc>
        <w:tc>
          <w:tcPr>
            <w:tcW w:w="280" w:type="dxa"/>
            <w:vAlign w:val="bottom"/>
            <w:shd w:val="clear" w:color="auto" w:fill="CCECFF"/>
          </w:tcPr>
          <w:p>
            <w:pPr>
              <w:spacing w:after="0"/>
              <w:rPr>
                <w:sz w:val="14"/>
                <w:szCs w:val="14"/>
                <w:color w:val="auto"/>
              </w:rPr>
            </w:pPr>
          </w:p>
        </w:tc>
        <w:tc>
          <w:tcPr>
            <w:tcW w:w="360" w:type="dxa"/>
            <w:vAlign w:val="bottom"/>
            <w:shd w:val="clear" w:color="auto" w:fill="CCECFF"/>
          </w:tcPr>
          <w:p>
            <w:pPr>
              <w:spacing w:after="0"/>
              <w:rPr>
                <w:sz w:val="14"/>
                <w:szCs w:val="14"/>
                <w:color w:val="auto"/>
              </w:rPr>
            </w:pPr>
          </w:p>
        </w:tc>
        <w:tc>
          <w:tcPr>
            <w:tcW w:w="1320" w:type="dxa"/>
            <w:vAlign w:val="bottom"/>
            <w:gridSpan w:val="2"/>
            <w:shd w:val="clear" w:color="auto" w:fill="CCECFF"/>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7720" w:type="dxa"/>
            <w:vAlign w:val="bottom"/>
          </w:tcPr>
          <w:p>
            <w:pPr>
              <w:ind w:left="500"/>
              <w:spacing w:after="0"/>
              <w:rPr>
                <w:sz w:val="20"/>
                <w:szCs w:val="20"/>
                <w:color w:val="auto"/>
              </w:rPr>
            </w:pPr>
            <w:r>
              <w:rPr>
                <w:rFonts w:ascii="Arial" w:cs="Arial" w:eastAsia="Arial" w:hAnsi="Arial"/>
                <w:sz w:val="14"/>
                <w:szCs w:val="14"/>
                <w:color w:val="auto"/>
              </w:rPr>
              <w:t>Decrease (increase) in interest receivable</w:t>
            </w:r>
          </w:p>
        </w:tc>
        <w:tc>
          <w:tcPr>
            <w:tcW w:w="34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747,597</w:t>
            </w: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4"/>
                <w:szCs w:val="14"/>
                <w:color w:val="auto"/>
              </w:rPr>
              <w:t>(368,312)</w:t>
            </w:r>
          </w:p>
        </w:tc>
        <w:tc>
          <w:tcPr>
            <w:tcW w:w="0" w:type="dxa"/>
            <w:vAlign w:val="bottom"/>
          </w:tcPr>
          <w:p>
            <w:pPr>
              <w:spacing w:after="0"/>
              <w:rPr>
                <w:sz w:val="1"/>
                <w:szCs w:val="1"/>
                <w:color w:val="auto"/>
              </w:rPr>
            </w:pPr>
          </w:p>
        </w:tc>
      </w:tr>
      <w:tr>
        <w:trPr>
          <w:trHeight w:val="162"/>
        </w:trPr>
        <w:tc>
          <w:tcPr>
            <w:tcW w:w="7720" w:type="dxa"/>
            <w:vAlign w:val="bottom"/>
            <w:shd w:val="clear" w:color="auto" w:fill="CCECFF"/>
          </w:tcPr>
          <w:p>
            <w:pPr>
              <w:ind w:left="500"/>
              <w:spacing w:after="0"/>
              <w:rPr>
                <w:sz w:val="20"/>
                <w:szCs w:val="20"/>
                <w:color w:val="auto"/>
              </w:rPr>
            </w:pPr>
            <w:r>
              <w:rPr>
                <w:rFonts w:ascii="Arial" w:cs="Arial" w:eastAsia="Arial" w:hAnsi="Arial"/>
                <w:sz w:val="14"/>
                <w:szCs w:val="14"/>
                <w:color w:val="auto"/>
              </w:rPr>
              <w:t>Increase in receivable for investments sold</w:t>
            </w:r>
          </w:p>
        </w:tc>
        <w:tc>
          <w:tcPr>
            <w:tcW w:w="340" w:type="dxa"/>
            <w:vAlign w:val="bottom"/>
            <w:shd w:val="clear" w:color="auto" w:fill="CCECFF"/>
          </w:tcPr>
          <w:p>
            <w:pPr>
              <w:spacing w:after="0"/>
              <w:rPr>
                <w:sz w:val="14"/>
                <w:szCs w:val="14"/>
                <w:color w:val="auto"/>
              </w:rPr>
            </w:pPr>
          </w:p>
        </w:tc>
        <w:tc>
          <w:tcPr>
            <w:tcW w:w="1500" w:type="dxa"/>
            <w:vAlign w:val="bottom"/>
            <w:gridSpan w:val="2"/>
            <w:shd w:val="clear" w:color="auto" w:fill="CCECFF"/>
          </w:tcPr>
          <w:p>
            <w:pPr>
              <w:jc w:val="right"/>
              <w:ind w:right="220"/>
              <w:spacing w:after="0"/>
              <w:rPr>
                <w:sz w:val="20"/>
                <w:szCs w:val="20"/>
                <w:color w:val="auto"/>
              </w:rPr>
            </w:pPr>
            <w:r>
              <w:rPr>
                <w:rFonts w:ascii="Arial" w:cs="Arial" w:eastAsia="Arial" w:hAnsi="Arial"/>
                <w:sz w:val="14"/>
                <w:szCs w:val="14"/>
                <w:color w:val="auto"/>
              </w:rPr>
              <w:t>(55,428,416)</w:t>
            </w:r>
          </w:p>
        </w:tc>
        <w:tc>
          <w:tcPr>
            <w:tcW w:w="360" w:type="dxa"/>
            <w:vAlign w:val="bottom"/>
            <w:shd w:val="clear" w:color="auto" w:fill="CCECFF"/>
          </w:tcPr>
          <w:p>
            <w:pPr>
              <w:spacing w:after="0"/>
              <w:rPr>
                <w:sz w:val="14"/>
                <w:szCs w:val="14"/>
                <w:color w:val="auto"/>
              </w:rPr>
            </w:pPr>
          </w:p>
        </w:tc>
        <w:tc>
          <w:tcPr>
            <w:tcW w:w="1320" w:type="dxa"/>
            <w:vAlign w:val="bottom"/>
            <w:gridSpan w:val="2"/>
            <w:shd w:val="clear" w:color="auto" w:fill="CCECFF"/>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7720" w:type="dxa"/>
            <w:vAlign w:val="bottom"/>
          </w:tcPr>
          <w:p>
            <w:pPr>
              <w:ind w:left="500"/>
              <w:spacing w:after="0"/>
              <w:rPr>
                <w:sz w:val="20"/>
                <w:szCs w:val="20"/>
                <w:color w:val="auto"/>
              </w:rPr>
            </w:pPr>
            <w:r>
              <w:rPr>
                <w:rFonts w:ascii="Arial" w:cs="Arial" w:eastAsia="Arial" w:hAnsi="Arial"/>
                <w:sz w:val="14"/>
                <w:szCs w:val="14"/>
                <w:color w:val="auto"/>
              </w:rPr>
              <w:t>Decrease in prepaid expenses and other assets</w:t>
            </w:r>
          </w:p>
        </w:tc>
        <w:tc>
          <w:tcPr>
            <w:tcW w:w="34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38,577</w:t>
            </w: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140,442</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shd w:val="clear" w:color="auto" w:fill="CCECFF"/>
          </w:tcPr>
          <w:p>
            <w:pPr>
              <w:ind w:left="500"/>
              <w:spacing w:after="0"/>
              <w:rPr>
                <w:sz w:val="20"/>
                <w:szCs w:val="20"/>
                <w:color w:val="auto"/>
              </w:rPr>
            </w:pPr>
            <w:r>
              <w:rPr>
                <w:rFonts w:ascii="Arial" w:cs="Arial" w:eastAsia="Arial" w:hAnsi="Arial"/>
                <w:sz w:val="14"/>
                <w:szCs w:val="14"/>
                <w:color w:val="auto"/>
              </w:rPr>
              <w:t>Increase (decrease) in payable for investments purchased</w:t>
            </w:r>
          </w:p>
        </w:tc>
        <w:tc>
          <w:tcPr>
            <w:tcW w:w="340" w:type="dxa"/>
            <w:vAlign w:val="bottom"/>
            <w:shd w:val="clear" w:color="auto" w:fill="CCECFF"/>
          </w:tcPr>
          <w:p>
            <w:pPr>
              <w:spacing w:after="0"/>
              <w:rPr>
                <w:sz w:val="14"/>
                <w:szCs w:val="14"/>
                <w:color w:val="auto"/>
              </w:rPr>
            </w:pPr>
          </w:p>
        </w:tc>
        <w:tc>
          <w:tcPr>
            <w:tcW w:w="12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73,423,853</w:t>
            </w:r>
          </w:p>
        </w:tc>
        <w:tc>
          <w:tcPr>
            <w:tcW w:w="280" w:type="dxa"/>
            <w:vAlign w:val="bottom"/>
            <w:shd w:val="clear" w:color="auto" w:fill="CCECFF"/>
          </w:tcPr>
          <w:p>
            <w:pPr>
              <w:spacing w:after="0"/>
              <w:rPr>
                <w:sz w:val="14"/>
                <w:szCs w:val="14"/>
                <w:color w:val="auto"/>
              </w:rPr>
            </w:pPr>
          </w:p>
        </w:tc>
        <w:tc>
          <w:tcPr>
            <w:tcW w:w="360" w:type="dxa"/>
            <w:vAlign w:val="bottom"/>
            <w:shd w:val="clear" w:color="auto" w:fill="CCECFF"/>
          </w:tcPr>
          <w:p>
            <w:pPr>
              <w:spacing w:after="0"/>
              <w:rPr>
                <w:sz w:val="14"/>
                <w:szCs w:val="14"/>
                <w:color w:val="auto"/>
              </w:rPr>
            </w:pPr>
          </w:p>
        </w:tc>
        <w:tc>
          <w:tcPr>
            <w:tcW w:w="1320" w:type="dxa"/>
            <w:vAlign w:val="bottom"/>
            <w:gridSpan w:val="2"/>
            <w:shd w:val="clear" w:color="auto" w:fill="CCECFF"/>
          </w:tcPr>
          <w:p>
            <w:pPr>
              <w:jc w:val="right"/>
              <w:ind w:right="80"/>
              <w:spacing w:after="0"/>
              <w:rPr>
                <w:sz w:val="20"/>
                <w:szCs w:val="20"/>
                <w:color w:val="auto"/>
              </w:rPr>
            </w:pPr>
            <w:r>
              <w:rPr>
                <w:rFonts w:ascii="Arial" w:cs="Arial" w:eastAsia="Arial" w:hAnsi="Arial"/>
                <w:sz w:val="14"/>
                <w:szCs w:val="14"/>
                <w:color w:val="auto"/>
              </w:rPr>
              <w:t>(59,425,597)</w:t>
            </w:r>
          </w:p>
        </w:tc>
        <w:tc>
          <w:tcPr>
            <w:tcW w:w="0" w:type="dxa"/>
            <w:vAlign w:val="bottom"/>
          </w:tcPr>
          <w:p>
            <w:pPr>
              <w:spacing w:after="0"/>
              <w:rPr>
                <w:sz w:val="1"/>
                <w:szCs w:val="1"/>
                <w:color w:val="auto"/>
              </w:rPr>
            </w:pPr>
          </w:p>
        </w:tc>
      </w:tr>
      <w:tr>
        <w:trPr>
          <w:trHeight w:val="162"/>
        </w:trPr>
        <w:tc>
          <w:tcPr>
            <w:tcW w:w="7720" w:type="dxa"/>
            <w:vAlign w:val="bottom"/>
          </w:tcPr>
          <w:p>
            <w:pPr>
              <w:ind w:left="500"/>
              <w:spacing w:after="0"/>
              <w:rPr>
                <w:sz w:val="20"/>
                <w:szCs w:val="20"/>
                <w:color w:val="auto"/>
              </w:rPr>
            </w:pPr>
            <w:r>
              <w:rPr>
                <w:rFonts w:ascii="Arial" w:cs="Arial" w:eastAsia="Arial" w:hAnsi="Arial"/>
                <w:sz w:val="14"/>
                <w:szCs w:val="14"/>
                <w:color w:val="auto"/>
              </w:rPr>
              <w:t>Increase (decrease) in interest payable on debt</w:t>
            </w:r>
          </w:p>
        </w:tc>
        <w:tc>
          <w:tcPr>
            <w:tcW w:w="34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809,575</w:t>
            </w: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4"/>
                <w:szCs w:val="14"/>
                <w:color w:val="auto"/>
              </w:rPr>
              <w:t>(1,017,444)</w:t>
            </w:r>
          </w:p>
        </w:tc>
        <w:tc>
          <w:tcPr>
            <w:tcW w:w="0" w:type="dxa"/>
            <w:vAlign w:val="bottom"/>
          </w:tcPr>
          <w:p>
            <w:pPr>
              <w:spacing w:after="0"/>
              <w:rPr>
                <w:sz w:val="1"/>
                <w:szCs w:val="1"/>
                <w:color w:val="auto"/>
              </w:rPr>
            </w:pPr>
          </w:p>
        </w:tc>
      </w:tr>
      <w:tr>
        <w:trPr>
          <w:trHeight w:val="162"/>
        </w:trPr>
        <w:tc>
          <w:tcPr>
            <w:tcW w:w="7720" w:type="dxa"/>
            <w:vAlign w:val="bottom"/>
            <w:shd w:val="clear" w:color="auto" w:fill="CCECFF"/>
          </w:tcPr>
          <w:p>
            <w:pPr>
              <w:ind w:left="500"/>
              <w:spacing w:after="0"/>
              <w:rPr>
                <w:sz w:val="20"/>
                <w:szCs w:val="20"/>
                <w:color w:val="auto"/>
              </w:rPr>
            </w:pPr>
            <w:r>
              <w:rPr>
                <w:rFonts w:ascii="Arial" w:cs="Arial" w:eastAsia="Arial" w:hAnsi="Arial"/>
                <w:sz w:val="14"/>
                <w:szCs w:val="14"/>
                <w:color w:val="auto"/>
              </w:rPr>
              <w:t>Increase in base management fee payable</w:t>
            </w:r>
          </w:p>
        </w:tc>
        <w:tc>
          <w:tcPr>
            <w:tcW w:w="340" w:type="dxa"/>
            <w:vAlign w:val="bottom"/>
            <w:shd w:val="clear" w:color="auto" w:fill="CCECFF"/>
          </w:tcPr>
          <w:p>
            <w:pPr>
              <w:spacing w:after="0"/>
              <w:rPr>
                <w:sz w:val="14"/>
                <w:szCs w:val="14"/>
                <w:color w:val="auto"/>
              </w:rPr>
            </w:pPr>
          </w:p>
        </w:tc>
        <w:tc>
          <w:tcPr>
            <w:tcW w:w="12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102,140</w:t>
            </w:r>
          </w:p>
        </w:tc>
        <w:tc>
          <w:tcPr>
            <w:tcW w:w="280" w:type="dxa"/>
            <w:vAlign w:val="bottom"/>
            <w:shd w:val="clear" w:color="auto" w:fill="CCECFF"/>
          </w:tcPr>
          <w:p>
            <w:pPr>
              <w:spacing w:after="0"/>
              <w:rPr>
                <w:sz w:val="14"/>
                <w:szCs w:val="14"/>
                <w:color w:val="auto"/>
              </w:rPr>
            </w:pPr>
          </w:p>
        </w:tc>
        <w:tc>
          <w:tcPr>
            <w:tcW w:w="360" w:type="dxa"/>
            <w:vAlign w:val="bottom"/>
            <w:shd w:val="clear" w:color="auto" w:fill="CCECFF"/>
          </w:tcPr>
          <w:p>
            <w:pPr>
              <w:spacing w:after="0"/>
              <w:rPr>
                <w:sz w:val="14"/>
                <w:szCs w:val="14"/>
                <w:color w:val="auto"/>
              </w:rPr>
            </w:pPr>
          </w:p>
        </w:tc>
        <w:tc>
          <w:tcPr>
            <w:tcW w:w="12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79,137</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tcPr>
          <w:p>
            <w:pPr>
              <w:ind w:left="500"/>
              <w:spacing w:after="0"/>
              <w:rPr>
                <w:sz w:val="20"/>
                <w:szCs w:val="20"/>
                <w:color w:val="auto"/>
              </w:rPr>
            </w:pPr>
            <w:r>
              <w:rPr>
                <w:rFonts w:ascii="Arial" w:cs="Arial" w:eastAsia="Arial" w:hAnsi="Arial"/>
                <w:sz w:val="14"/>
                <w:szCs w:val="14"/>
                <w:color w:val="auto"/>
              </w:rPr>
              <w:t>Decrease in performance-based incentive fee payable</w:t>
            </w:r>
          </w:p>
        </w:tc>
        <w:tc>
          <w:tcPr>
            <w:tcW w:w="340" w:type="dxa"/>
            <w:vAlign w:val="bottom"/>
          </w:tcPr>
          <w:p>
            <w:pPr>
              <w:spacing w:after="0"/>
              <w:rPr>
                <w:sz w:val="14"/>
                <w:szCs w:val="14"/>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4"/>
                <w:szCs w:val="14"/>
                <w:color w:val="auto"/>
              </w:rPr>
              <w:t>(216,371)</w:t>
            </w:r>
          </w:p>
        </w:tc>
        <w:tc>
          <w:tcPr>
            <w:tcW w:w="360" w:type="dxa"/>
            <w:vAlign w:val="bottom"/>
          </w:tcPr>
          <w:p>
            <w:pPr>
              <w:spacing w:after="0"/>
              <w:rPr>
                <w:sz w:val="14"/>
                <w:szCs w:val="14"/>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4"/>
                <w:szCs w:val="14"/>
                <w:color w:val="auto"/>
              </w:rPr>
              <w:t>(3,111,202)</w:t>
            </w:r>
          </w:p>
        </w:tc>
        <w:tc>
          <w:tcPr>
            <w:tcW w:w="0" w:type="dxa"/>
            <w:vAlign w:val="bottom"/>
          </w:tcPr>
          <w:p>
            <w:pPr>
              <w:spacing w:after="0"/>
              <w:rPr>
                <w:sz w:val="1"/>
                <w:szCs w:val="1"/>
                <w:color w:val="auto"/>
              </w:rPr>
            </w:pPr>
          </w:p>
        </w:tc>
      </w:tr>
      <w:tr>
        <w:trPr>
          <w:trHeight w:val="162"/>
        </w:trPr>
        <w:tc>
          <w:tcPr>
            <w:tcW w:w="7720" w:type="dxa"/>
            <w:vAlign w:val="bottom"/>
            <w:shd w:val="clear" w:color="auto" w:fill="CCECFF"/>
          </w:tcPr>
          <w:p>
            <w:pPr>
              <w:ind w:left="500"/>
              <w:spacing w:after="0"/>
              <w:rPr>
                <w:sz w:val="20"/>
                <w:szCs w:val="20"/>
                <w:color w:val="auto"/>
              </w:rPr>
            </w:pPr>
            <w:r>
              <w:rPr>
                <w:rFonts w:ascii="Arial" w:cs="Arial" w:eastAsia="Arial" w:hAnsi="Arial"/>
                <w:sz w:val="14"/>
                <w:szCs w:val="14"/>
                <w:color w:val="auto"/>
              </w:rPr>
              <w:t>Increase in accrued other expenses</w:t>
            </w:r>
          </w:p>
        </w:tc>
        <w:tc>
          <w:tcPr>
            <w:tcW w:w="340" w:type="dxa"/>
            <w:vAlign w:val="bottom"/>
            <w:tcBorders>
              <w:bottom w:val="single" w:sz="8" w:color="auto"/>
            </w:tcBorders>
            <w:shd w:val="clear" w:color="auto" w:fill="CCECFF"/>
          </w:tcPr>
          <w:p>
            <w:pPr>
              <w:spacing w:after="0"/>
              <w:rPr>
                <w:sz w:val="14"/>
                <w:szCs w:val="14"/>
                <w:color w:val="auto"/>
              </w:rPr>
            </w:pPr>
          </w:p>
        </w:tc>
        <w:tc>
          <w:tcPr>
            <w:tcW w:w="12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253,496</w:t>
            </w:r>
          </w:p>
        </w:tc>
        <w:tc>
          <w:tcPr>
            <w:tcW w:w="280" w:type="dxa"/>
            <w:vAlign w:val="bottom"/>
            <w:shd w:val="clear" w:color="auto" w:fill="CCECFF"/>
          </w:tcPr>
          <w:p>
            <w:pPr>
              <w:spacing w:after="0"/>
              <w:rPr>
                <w:sz w:val="14"/>
                <w:szCs w:val="14"/>
                <w:color w:val="auto"/>
              </w:rPr>
            </w:pPr>
          </w:p>
        </w:tc>
        <w:tc>
          <w:tcPr>
            <w:tcW w:w="360" w:type="dxa"/>
            <w:vAlign w:val="bottom"/>
            <w:tcBorders>
              <w:bottom w:val="single" w:sz="8" w:color="auto"/>
            </w:tcBorders>
            <w:shd w:val="clear" w:color="auto" w:fill="CCECFF"/>
          </w:tcPr>
          <w:p>
            <w:pPr>
              <w:spacing w:after="0"/>
              <w:rPr>
                <w:sz w:val="14"/>
                <w:szCs w:val="14"/>
                <w:color w:val="auto"/>
              </w:rPr>
            </w:pPr>
          </w:p>
        </w:tc>
        <w:tc>
          <w:tcPr>
            <w:tcW w:w="12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117,770</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7720" w:type="dxa"/>
            <w:vAlign w:val="bottom"/>
            <w:tcBorders>
              <w:bottom w:val="single" w:sz="8" w:color="CCECFF"/>
            </w:tcBorders>
          </w:tcPr>
          <w:p>
            <w:pPr>
              <w:ind w:left="740"/>
              <w:spacing w:after="0" w:line="155" w:lineRule="exact"/>
              <w:rPr>
                <w:sz w:val="20"/>
                <w:szCs w:val="20"/>
                <w:color w:val="auto"/>
              </w:rPr>
            </w:pPr>
            <w:r>
              <w:rPr>
                <w:rFonts w:ascii="Arial" w:cs="Arial" w:eastAsia="Arial" w:hAnsi="Arial"/>
                <w:sz w:val="14"/>
                <w:szCs w:val="14"/>
                <w:color w:val="auto"/>
              </w:rPr>
              <w:t>Net cash used in operating activities</w:t>
            </w:r>
          </w:p>
        </w:tc>
        <w:tc>
          <w:tcPr>
            <w:tcW w:w="34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(66,088,011)</w:t>
            </w:r>
          </w:p>
        </w:tc>
        <w:tc>
          <w:tcPr>
            <w:tcW w:w="280" w:type="dxa"/>
            <w:vAlign w:val="bottom"/>
            <w:tcBorders>
              <w:bottom w:val="single" w:sz="8" w:color="CCEC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(43,585,759)</w:t>
            </w:r>
          </w:p>
        </w:tc>
        <w:tc>
          <w:tcPr>
            <w:tcW w:w="120" w:type="dxa"/>
            <w:vAlign w:val="bottom"/>
            <w:tcBorders>
              <w:bottom w:val="single" w:sz="8" w:color="CCECFF"/>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720" w:type="dxa"/>
            <w:vAlign w:val="bottom"/>
            <w:shd w:val="clear" w:color="auto" w:fill="CCECFF"/>
          </w:tcPr>
          <w:p>
            <w:pPr>
              <w:spacing w:after="0" w:line="155" w:lineRule="exact"/>
              <w:rPr>
                <w:sz w:val="20"/>
                <w:szCs w:val="20"/>
                <w:color w:val="auto"/>
              </w:rPr>
            </w:pPr>
            <w:r>
              <w:rPr>
                <w:rFonts w:ascii="Arial" w:cs="Arial" w:eastAsia="Arial" w:hAnsi="Arial"/>
                <w:sz w:val="14"/>
                <w:szCs w:val="14"/>
                <w:b w:val="1"/>
                <w:bCs w:val="1"/>
                <w:color w:val="auto"/>
              </w:rPr>
              <w:t>Cash flows from financing activities:</w:t>
            </w:r>
          </w:p>
        </w:tc>
        <w:tc>
          <w:tcPr>
            <w:tcW w:w="340" w:type="dxa"/>
            <w:vAlign w:val="bottom"/>
            <w:shd w:val="clear" w:color="auto" w:fill="CCECFF"/>
          </w:tcPr>
          <w:p>
            <w:pPr>
              <w:spacing w:after="0"/>
              <w:rPr>
                <w:sz w:val="13"/>
                <w:szCs w:val="13"/>
                <w:color w:val="auto"/>
              </w:rPr>
            </w:pPr>
          </w:p>
        </w:tc>
        <w:tc>
          <w:tcPr>
            <w:tcW w:w="1220" w:type="dxa"/>
            <w:vAlign w:val="bottom"/>
            <w:shd w:val="clear" w:color="auto" w:fill="CCECFF"/>
          </w:tcPr>
          <w:p>
            <w:pPr>
              <w:spacing w:after="0"/>
              <w:rPr>
                <w:sz w:val="13"/>
                <w:szCs w:val="13"/>
                <w:color w:val="auto"/>
              </w:rPr>
            </w:pPr>
          </w:p>
        </w:tc>
        <w:tc>
          <w:tcPr>
            <w:tcW w:w="280" w:type="dxa"/>
            <w:vAlign w:val="bottom"/>
            <w:shd w:val="clear" w:color="auto" w:fill="CCECFF"/>
          </w:tcPr>
          <w:p>
            <w:pPr>
              <w:spacing w:after="0"/>
              <w:rPr>
                <w:sz w:val="13"/>
                <w:szCs w:val="13"/>
                <w:color w:val="auto"/>
              </w:rPr>
            </w:pPr>
          </w:p>
        </w:tc>
        <w:tc>
          <w:tcPr>
            <w:tcW w:w="360" w:type="dxa"/>
            <w:vAlign w:val="bottom"/>
            <w:shd w:val="clear" w:color="auto" w:fill="CCECFF"/>
          </w:tcPr>
          <w:p>
            <w:pPr>
              <w:spacing w:after="0"/>
              <w:rPr>
                <w:sz w:val="13"/>
                <w:szCs w:val="13"/>
                <w:color w:val="auto"/>
              </w:rPr>
            </w:pPr>
          </w:p>
        </w:tc>
        <w:tc>
          <w:tcPr>
            <w:tcW w:w="120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720" w:type="dxa"/>
            <w:vAlign w:val="bottom"/>
          </w:tcPr>
          <w:p>
            <w:pPr>
              <w:ind w:left="500"/>
              <w:spacing w:after="0"/>
              <w:rPr>
                <w:sz w:val="20"/>
                <w:szCs w:val="20"/>
                <w:color w:val="auto"/>
              </w:rPr>
            </w:pPr>
            <w:r>
              <w:rPr>
                <w:rFonts w:ascii="Arial" w:cs="Arial" w:eastAsia="Arial" w:hAnsi="Arial"/>
                <w:sz w:val="14"/>
                <w:szCs w:val="14"/>
                <w:color w:val="auto"/>
              </w:rPr>
              <w:t>Distributions paid to stockholders</w:t>
            </w:r>
          </w:p>
        </w:tc>
        <w:tc>
          <w:tcPr>
            <w:tcW w:w="340" w:type="dxa"/>
            <w:vAlign w:val="bottom"/>
          </w:tcPr>
          <w:p>
            <w:pPr>
              <w:spacing w:after="0"/>
              <w:rPr>
                <w:sz w:val="14"/>
                <w:szCs w:val="14"/>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4"/>
                <w:szCs w:val="14"/>
                <w:color w:val="auto"/>
              </w:rPr>
              <w:t>(11,050,041)</w:t>
            </w:r>
          </w:p>
        </w:tc>
        <w:tc>
          <w:tcPr>
            <w:tcW w:w="360" w:type="dxa"/>
            <w:vAlign w:val="bottom"/>
          </w:tcPr>
          <w:p>
            <w:pPr>
              <w:spacing w:after="0"/>
              <w:rPr>
                <w:sz w:val="14"/>
                <w:szCs w:val="14"/>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4"/>
                <w:szCs w:val="14"/>
                <w:color w:val="auto"/>
              </w:rPr>
              <w:t>(11,050,041)</w:t>
            </w:r>
          </w:p>
        </w:tc>
        <w:tc>
          <w:tcPr>
            <w:tcW w:w="0" w:type="dxa"/>
            <w:vAlign w:val="bottom"/>
          </w:tcPr>
          <w:p>
            <w:pPr>
              <w:spacing w:after="0"/>
              <w:rPr>
                <w:sz w:val="1"/>
                <w:szCs w:val="1"/>
                <w:color w:val="auto"/>
              </w:rPr>
            </w:pPr>
          </w:p>
        </w:tc>
      </w:tr>
      <w:tr>
        <w:trPr>
          <w:trHeight w:val="162"/>
        </w:trPr>
        <w:tc>
          <w:tcPr>
            <w:tcW w:w="7720" w:type="dxa"/>
            <w:vAlign w:val="bottom"/>
            <w:shd w:val="clear" w:color="auto" w:fill="CCECFF"/>
          </w:tcPr>
          <w:p>
            <w:pPr>
              <w:ind w:left="500"/>
              <w:spacing w:after="0"/>
              <w:rPr>
                <w:sz w:val="20"/>
                <w:szCs w:val="20"/>
                <w:color w:val="auto"/>
              </w:rPr>
            </w:pPr>
            <w:r>
              <w:rPr>
                <w:rFonts w:ascii="Arial" w:cs="Arial" w:eastAsia="Arial" w:hAnsi="Arial"/>
                <w:sz w:val="14"/>
                <w:szCs w:val="14"/>
                <w:color w:val="auto"/>
              </w:rPr>
              <w:t>Borrowings under Credit Facility (See Notes 5 and 10)</w:t>
            </w:r>
          </w:p>
        </w:tc>
        <w:tc>
          <w:tcPr>
            <w:tcW w:w="340" w:type="dxa"/>
            <w:vAlign w:val="bottom"/>
            <w:shd w:val="clear" w:color="auto" w:fill="CCECFF"/>
          </w:tcPr>
          <w:p>
            <w:pPr>
              <w:spacing w:after="0"/>
              <w:rPr>
                <w:sz w:val="14"/>
                <w:szCs w:val="14"/>
                <w:color w:val="auto"/>
              </w:rPr>
            </w:pPr>
          </w:p>
        </w:tc>
        <w:tc>
          <w:tcPr>
            <w:tcW w:w="12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86,000,000</w:t>
            </w:r>
          </w:p>
        </w:tc>
        <w:tc>
          <w:tcPr>
            <w:tcW w:w="280" w:type="dxa"/>
            <w:vAlign w:val="bottom"/>
            <w:shd w:val="clear" w:color="auto" w:fill="CCECFF"/>
          </w:tcPr>
          <w:p>
            <w:pPr>
              <w:spacing w:after="0"/>
              <w:rPr>
                <w:sz w:val="14"/>
                <w:szCs w:val="14"/>
                <w:color w:val="auto"/>
              </w:rPr>
            </w:pPr>
          </w:p>
        </w:tc>
        <w:tc>
          <w:tcPr>
            <w:tcW w:w="360" w:type="dxa"/>
            <w:vAlign w:val="bottom"/>
            <w:shd w:val="clear" w:color="auto" w:fill="CCECFF"/>
          </w:tcPr>
          <w:p>
            <w:pPr>
              <w:spacing w:after="0"/>
              <w:rPr>
                <w:sz w:val="14"/>
                <w:szCs w:val="14"/>
                <w:color w:val="auto"/>
              </w:rPr>
            </w:pPr>
          </w:p>
        </w:tc>
        <w:tc>
          <w:tcPr>
            <w:tcW w:w="12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104,500,000</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tcPr>
          <w:p>
            <w:pPr>
              <w:ind w:left="500"/>
              <w:spacing w:after="0"/>
              <w:rPr>
                <w:sz w:val="20"/>
                <w:szCs w:val="20"/>
                <w:color w:val="auto"/>
              </w:rPr>
            </w:pPr>
            <w:r>
              <w:rPr>
                <w:rFonts w:ascii="Arial" w:cs="Arial" w:eastAsia="Arial" w:hAnsi="Arial"/>
                <w:sz w:val="14"/>
                <w:szCs w:val="14"/>
                <w:color w:val="auto"/>
              </w:rPr>
              <w:t>Repayments under Credit Facility (See Notes 5 and 10)</w:t>
            </w:r>
          </w:p>
        </w:tc>
        <w:tc>
          <w:tcPr>
            <w:tcW w:w="340" w:type="dxa"/>
            <w:vAlign w:val="bottom"/>
          </w:tcPr>
          <w:p>
            <w:pPr>
              <w:spacing w:after="0"/>
              <w:rPr>
                <w:sz w:val="14"/>
                <w:szCs w:val="14"/>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4"/>
                <w:szCs w:val="14"/>
                <w:color w:val="auto"/>
              </w:rPr>
              <w:t>(16,000,000)</w:t>
            </w:r>
          </w:p>
        </w:tc>
        <w:tc>
          <w:tcPr>
            <w:tcW w:w="360" w:type="dxa"/>
            <w:vAlign w:val="bottom"/>
          </w:tcPr>
          <w:p>
            <w:pPr>
              <w:spacing w:after="0"/>
              <w:rPr>
                <w:sz w:val="14"/>
                <w:szCs w:val="14"/>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4"/>
                <w:szCs w:val="14"/>
                <w:color w:val="auto"/>
              </w:rPr>
              <w:t>(87,320,020)</w:t>
            </w:r>
          </w:p>
        </w:tc>
        <w:tc>
          <w:tcPr>
            <w:tcW w:w="0" w:type="dxa"/>
            <w:vAlign w:val="bottom"/>
          </w:tcPr>
          <w:p>
            <w:pPr>
              <w:spacing w:after="0"/>
              <w:rPr>
                <w:sz w:val="1"/>
                <w:szCs w:val="1"/>
                <w:color w:val="auto"/>
              </w:rPr>
            </w:pPr>
          </w:p>
        </w:tc>
      </w:tr>
      <w:tr>
        <w:trPr>
          <w:trHeight w:val="156"/>
        </w:trPr>
        <w:tc>
          <w:tcPr>
            <w:tcW w:w="7720" w:type="dxa"/>
            <w:vAlign w:val="bottom"/>
            <w:tcBorders>
              <w:top w:val="single" w:sz="8" w:color="CCECFF"/>
            </w:tcBorders>
            <w:shd w:val="clear" w:color="auto" w:fill="CCECFF"/>
          </w:tcPr>
          <w:p>
            <w:pPr>
              <w:ind w:left="740"/>
              <w:spacing w:after="0" w:line="155" w:lineRule="exact"/>
              <w:rPr>
                <w:sz w:val="20"/>
                <w:szCs w:val="20"/>
                <w:color w:val="auto"/>
              </w:rPr>
            </w:pPr>
            <w:r>
              <w:rPr>
                <w:rFonts w:ascii="Arial" w:cs="Arial" w:eastAsia="Arial" w:hAnsi="Arial"/>
                <w:sz w:val="14"/>
                <w:szCs w:val="14"/>
                <w:color w:val="auto"/>
              </w:rPr>
              <w:t>Net cash provided by financing activities</w:t>
            </w:r>
          </w:p>
        </w:tc>
        <w:tc>
          <w:tcPr>
            <w:tcW w:w="340" w:type="dxa"/>
            <w:vAlign w:val="bottom"/>
            <w:tcBorders>
              <w:top w:val="single" w:sz="8" w:color="auto"/>
              <w:bottom w:val="single" w:sz="8" w:color="auto"/>
            </w:tcBorders>
            <w:shd w:val="clear" w:color="auto" w:fill="CCECFF"/>
          </w:tcPr>
          <w:p>
            <w:pPr>
              <w:spacing w:after="0"/>
              <w:rPr>
                <w:sz w:val="13"/>
                <w:szCs w:val="13"/>
                <w:color w:val="auto"/>
              </w:rPr>
            </w:pPr>
          </w:p>
        </w:tc>
        <w:tc>
          <w:tcPr>
            <w:tcW w:w="122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58,949,959</w:t>
            </w:r>
          </w:p>
        </w:tc>
        <w:tc>
          <w:tcPr>
            <w:tcW w:w="280" w:type="dxa"/>
            <w:vAlign w:val="bottom"/>
            <w:tcBorders>
              <w:top w:val="single" w:sz="8" w:color="CCECFF"/>
            </w:tcBorders>
            <w:shd w:val="clear" w:color="auto" w:fill="CCECFF"/>
          </w:tcPr>
          <w:p>
            <w:pPr>
              <w:spacing w:after="0"/>
              <w:rPr>
                <w:sz w:val="13"/>
                <w:szCs w:val="13"/>
                <w:color w:val="auto"/>
              </w:rPr>
            </w:pPr>
          </w:p>
        </w:tc>
        <w:tc>
          <w:tcPr>
            <w:tcW w:w="360" w:type="dxa"/>
            <w:vAlign w:val="bottom"/>
            <w:tcBorders>
              <w:top w:val="single" w:sz="8" w:color="auto"/>
              <w:bottom w:val="single" w:sz="8" w:color="auto"/>
            </w:tcBorders>
            <w:shd w:val="clear" w:color="auto" w:fill="CCECFF"/>
          </w:tcPr>
          <w:p>
            <w:pPr>
              <w:spacing w:after="0"/>
              <w:rPr>
                <w:sz w:val="13"/>
                <w:szCs w:val="13"/>
                <w:color w:val="auto"/>
              </w:rPr>
            </w:pPr>
          </w:p>
        </w:tc>
        <w:tc>
          <w:tcPr>
            <w:tcW w:w="120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6,129,939</w:t>
            </w:r>
          </w:p>
        </w:tc>
        <w:tc>
          <w:tcPr>
            <w:tcW w:w="120" w:type="dxa"/>
            <w:vAlign w:val="bottom"/>
            <w:tcBorders>
              <w:top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7720" w:type="dxa"/>
            <w:vAlign w:val="bottom"/>
          </w:tcPr>
          <w:p>
            <w:pPr>
              <w:spacing w:after="0" w:line="155" w:lineRule="exact"/>
              <w:rPr>
                <w:sz w:val="20"/>
                <w:szCs w:val="20"/>
                <w:color w:val="auto"/>
              </w:rPr>
            </w:pPr>
            <w:r>
              <w:rPr>
                <w:rFonts w:ascii="Arial" w:cs="Arial" w:eastAsia="Arial" w:hAnsi="Arial"/>
                <w:sz w:val="14"/>
                <w:szCs w:val="14"/>
                <w:b w:val="1"/>
                <w:bCs w:val="1"/>
                <w:color w:val="auto"/>
              </w:rPr>
              <w:t>Net decrease in cash and cash equivalents</w:t>
            </w:r>
          </w:p>
        </w:tc>
        <w:tc>
          <w:tcPr>
            <w:tcW w:w="340" w:type="dxa"/>
            <w:vAlign w:val="bottom"/>
          </w:tcPr>
          <w:p>
            <w:pPr>
              <w:spacing w:after="0"/>
              <w:rPr>
                <w:sz w:val="13"/>
                <w:szCs w:val="13"/>
                <w:color w:val="auto"/>
              </w:rPr>
            </w:pPr>
          </w:p>
        </w:tc>
        <w:tc>
          <w:tcPr>
            <w:tcW w:w="1220" w:type="dxa"/>
            <w:vAlign w:val="bottom"/>
          </w:tcPr>
          <w:p>
            <w:pPr>
              <w:jc w:val="right"/>
              <w:spacing w:after="0" w:line="155" w:lineRule="exact"/>
              <w:rPr>
                <w:sz w:val="20"/>
                <w:szCs w:val="20"/>
                <w:color w:val="auto"/>
              </w:rPr>
            </w:pPr>
            <w:r>
              <w:rPr>
                <w:rFonts w:ascii="Arial" w:cs="Arial" w:eastAsia="Arial" w:hAnsi="Arial"/>
                <w:sz w:val="14"/>
                <w:szCs w:val="14"/>
                <w:color w:val="auto"/>
              </w:rPr>
              <w:t>(7,138,052)</w:t>
            </w:r>
          </w:p>
        </w:tc>
        <w:tc>
          <w:tcPr>
            <w:tcW w:w="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0" w:type="dxa"/>
            <w:vAlign w:val="bottom"/>
          </w:tcPr>
          <w:p>
            <w:pPr>
              <w:jc w:val="right"/>
              <w:spacing w:after="0" w:line="155" w:lineRule="exact"/>
              <w:rPr>
                <w:sz w:val="20"/>
                <w:szCs w:val="20"/>
                <w:color w:val="auto"/>
              </w:rPr>
            </w:pPr>
            <w:r>
              <w:rPr>
                <w:rFonts w:ascii="Arial" w:cs="Arial" w:eastAsia="Arial" w:hAnsi="Arial"/>
                <w:sz w:val="14"/>
                <w:szCs w:val="14"/>
                <w:color w:val="auto"/>
              </w:rPr>
              <w:t>(37,455,820)</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720" w:type="dxa"/>
            <w:vAlign w:val="bottom"/>
            <w:shd w:val="clear" w:color="auto" w:fill="CCECFF"/>
          </w:tcPr>
          <w:p>
            <w:pPr>
              <w:spacing w:after="0"/>
              <w:rPr>
                <w:sz w:val="20"/>
                <w:szCs w:val="20"/>
                <w:color w:val="auto"/>
              </w:rPr>
            </w:pPr>
            <w:r>
              <w:rPr>
                <w:rFonts w:ascii="Arial" w:cs="Arial" w:eastAsia="Arial" w:hAnsi="Arial"/>
                <w:sz w:val="14"/>
                <w:szCs w:val="14"/>
                <w:color w:val="auto"/>
              </w:rPr>
              <w:t>Effect of exchange rate changes on cash</w:t>
            </w:r>
          </w:p>
        </w:tc>
        <w:tc>
          <w:tcPr>
            <w:tcW w:w="340" w:type="dxa"/>
            <w:vAlign w:val="bottom"/>
            <w:shd w:val="clear" w:color="auto" w:fill="CCECFF"/>
          </w:tcPr>
          <w:p>
            <w:pPr>
              <w:spacing w:after="0"/>
              <w:rPr>
                <w:sz w:val="14"/>
                <w:szCs w:val="14"/>
                <w:color w:val="auto"/>
              </w:rPr>
            </w:pPr>
          </w:p>
        </w:tc>
        <w:tc>
          <w:tcPr>
            <w:tcW w:w="12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92,865</w:t>
            </w:r>
          </w:p>
        </w:tc>
        <w:tc>
          <w:tcPr>
            <w:tcW w:w="280" w:type="dxa"/>
            <w:vAlign w:val="bottom"/>
            <w:shd w:val="clear" w:color="auto" w:fill="CCECFF"/>
          </w:tcPr>
          <w:p>
            <w:pPr>
              <w:spacing w:after="0"/>
              <w:rPr>
                <w:sz w:val="14"/>
                <w:szCs w:val="14"/>
                <w:color w:val="auto"/>
              </w:rPr>
            </w:pPr>
          </w:p>
        </w:tc>
        <w:tc>
          <w:tcPr>
            <w:tcW w:w="360" w:type="dxa"/>
            <w:vAlign w:val="bottom"/>
            <w:shd w:val="clear" w:color="auto" w:fill="CCECFF"/>
          </w:tcPr>
          <w:p>
            <w:pPr>
              <w:spacing w:after="0"/>
              <w:rPr>
                <w:sz w:val="14"/>
                <w:szCs w:val="14"/>
                <w:color w:val="auto"/>
              </w:rPr>
            </w:pPr>
          </w:p>
        </w:tc>
        <w:tc>
          <w:tcPr>
            <w:tcW w:w="12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412,033</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tcBorders>
              <w:bottom w:val="single" w:sz="8" w:color="CCECFF"/>
            </w:tcBorders>
          </w:tcPr>
          <w:p>
            <w:pPr>
              <w:spacing w:after="0"/>
              <w:rPr>
                <w:sz w:val="20"/>
                <w:szCs w:val="20"/>
                <w:color w:val="auto"/>
              </w:rPr>
            </w:pPr>
            <w:r>
              <w:rPr>
                <w:rFonts w:ascii="Arial" w:cs="Arial" w:eastAsia="Arial" w:hAnsi="Arial"/>
                <w:sz w:val="14"/>
                <w:szCs w:val="14"/>
                <w:b w:val="1"/>
                <w:bCs w:val="1"/>
                <w:color w:val="auto"/>
              </w:rPr>
              <w:t>Cash and cash equivalents, beginning of period</w:t>
            </w:r>
          </w:p>
        </w:tc>
        <w:tc>
          <w:tcPr>
            <w:tcW w:w="34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63,337,728</w:t>
            </w:r>
          </w:p>
        </w:tc>
        <w:tc>
          <w:tcPr>
            <w:tcW w:w="280" w:type="dxa"/>
            <w:vAlign w:val="bottom"/>
            <w:tcBorders>
              <w:bottom w:val="single" w:sz="8" w:color="CCEC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72,224,183</w:t>
            </w:r>
          </w:p>
        </w:tc>
        <w:tc>
          <w:tcPr>
            <w:tcW w:w="120" w:type="dxa"/>
            <w:vAlign w:val="bottom"/>
            <w:tcBorders>
              <w:bottom w:val="single" w:sz="8" w:color="CCECFF"/>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7720" w:type="dxa"/>
            <w:vAlign w:val="bottom"/>
            <w:tcBorders>
              <w:bottom w:val="single" w:sz="8" w:color="CCECFF"/>
            </w:tcBorders>
            <w:shd w:val="clear" w:color="auto" w:fill="CCECFF"/>
          </w:tcPr>
          <w:p>
            <w:pPr>
              <w:spacing w:after="0" w:line="155" w:lineRule="exact"/>
              <w:rPr>
                <w:sz w:val="20"/>
                <w:szCs w:val="20"/>
                <w:color w:val="auto"/>
              </w:rPr>
            </w:pPr>
            <w:r>
              <w:rPr>
                <w:rFonts w:ascii="Arial" w:cs="Arial" w:eastAsia="Arial" w:hAnsi="Arial"/>
                <w:sz w:val="14"/>
                <w:szCs w:val="14"/>
                <w:b w:val="1"/>
                <w:bCs w:val="1"/>
                <w:color w:val="auto"/>
              </w:rPr>
              <w:t>Cash and cash equivalents, end of period</w:t>
            </w:r>
          </w:p>
        </w:tc>
        <w:tc>
          <w:tcPr>
            <w:tcW w:w="340" w:type="dxa"/>
            <w:vAlign w:val="bottom"/>
            <w:tcBorders>
              <w:bottom w:val="single" w:sz="8" w:color="auto"/>
            </w:tcBorders>
            <w:shd w:val="clear" w:color="auto" w:fill="CCECFF"/>
          </w:tcPr>
          <w:p>
            <w:pPr>
              <w:jc w:val="right"/>
              <w:ind w:right="188"/>
              <w:spacing w:after="0" w:line="155" w:lineRule="exact"/>
              <w:rPr>
                <w:sz w:val="20"/>
                <w:szCs w:val="20"/>
                <w:color w:val="auto"/>
              </w:rPr>
            </w:pPr>
            <w:r>
              <w:rPr>
                <w:rFonts w:ascii="Arial" w:cs="Arial" w:eastAsia="Arial" w:hAnsi="Arial"/>
                <w:sz w:val="14"/>
                <w:szCs w:val="14"/>
                <w:color w:val="auto"/>
                <w:w w:val="76"/>
              </w:rPr>
              <w:t>$</w:t>
            </w:r>
          </w:p>
        </w:tc>
        <w:tc>
          <w:tcPr>
            <w:tcW w:w="122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56,292,541</w:t>
            </w:r>
          </w:p>
        </w:tc>
        <w:tc>
          <w:tcPr>
            <w:tcW w:w="280" w:type="dxa"/>
            <w:vAlign w:val="bottom"/>
            <w:tcBorders>
              <w:bottom w:val="single" w:sz="8" w:color="CCECFF"/>
            </w:tcBorders>
            <w:shd w:val="clear" w:color="auto" w:fill="CCECFF"/>
          </w:tcPr>
          <w:p>
            <w:pPr>
              <w:spacing w:after="0"/>
              <w:rPr>
                <w:sz w:val="13"/>
                <w:szCs w:val="13"/>
                <w:color w:val="auto"/>
              </w:rPr>
            </w:pPr>
          </w:p>
        </w:tc>
        <w:tc>
          <w:tcPr>
            <w:tcW w:w="360" w:type="dxa"/>
            <w:vAlign w:val="bottom"/>
            <w:tcBorders>
              <w:bottom w:val="single" w:sz="8" w:color="auto"/>
            </w:tcBorders>
            <w:shd w:val="clear" w:color="auto" w:fill="CCECFF"/>
          </w:tcPr>
          <w:p>
            <w:pPr>
              <w:jc w:val="right"/>
              <w:ind w:right="208"/>
              <w:spacing w:after="0" w:line="155" w:lineRule="exact"/>
              <w:rPr>
                <w:sz w:val="20"/>
                <w:szCs w:val="20"/>
                <w:color w:val="auto"/>
              </w:rPr>
            </w:pPr>
            <w:r>
              <w:rPr>
                <w:rFonts w:ascii="Arial" w:cs="Arial" w:eastAsia="Arial" w:hAnsi="Arial"/>
                <w:sz w:val="14"/>
                <w:szCs w:val="14"/>
                <w:color w:val="auto"/>
                <w:w w:val="76"/>
              </w:rPr>
              <w:t>$</w:t>
            </w:r>
          </w:p>
        </w:tc>
        <w:tc>
          <w:tcPr>
            <w:tcW w:w="120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35,180,396</w:t>
            </w:r>
          </w:p>
        </w:tc>
        <w:tc>
          <w:tcPr>
            <w:tcW w:w="120" w:type="dxa"/>
            <w:vAlign w:val="bottom"/>
            <w:tcBorders>
              <w:bottom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720" w:type="dxa"/>
            <w:vAlign w:val="bottom"/>
            <w:vMerge w:val="restart"/>
          </w:tcPr>
          <w:p>
            <w:pPr>
              <w:spacing w:after="0"/>
              <w:rPr>
                <w:sz w:val="20"/>
                <w:szCs w:val="20"/>
                <w:color w:val="auto"/>
              </w:rPr>
            </w:pPr>
            <w:r>
              <w:rPr>
                <w:rFonts w:ascii="Arial" w:cs="Arial" w:eastAsia="Arial" w:hAnsi="Arial"/>
                <w:sz w:val="14"/>
                <w:szCs w:val="14"/>
                <w:b w:val="1"/>
                <w:bCs w:val="1"/>
                <w:color w:val="auto"/>
              </w:rPr>
              <w:t>Supplemental disclosure of cash flow information:</w:t>
            </w: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772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7720" w:type="dxa"/>
            <w:vAlign w:val="bottom"/>
            <w:tcBorders>
              <w:bottom w:val="single" w:sz="8" w:color="CCECFF"/>
            </w:tcBorders>
            <w:shd w:val="clear" w:color="auto" w:fill="CCECFF"/>
          </w:tcPr>
          <w:p>
            <w:pPr>
              <w:ind w:left="260"/>
              <w:spacing w:after="0"/>
              <w:rPr>
                <w:sz w:val="20"/>
                <w:szCs w:val="20"/>
                <w:color w:val="auto"/>
              </w:rPr>
            </w:pPr>
            <w:r>
              <w:rPr>
                <w:rFonts w:ascii="Arial" w:cs="Arial" w:eastAsia="Arial" w:hAnsi="Arial"/>
                <w:sz w:val="14"/>
                <w:szCs w:val="14"/>
                <w:color w:val="auto"/>
              </w:rPr>
              <w:t>Interest paid</w:t>
            </w:r>
          </w:p>
        </w:tc>
        <w:tc>
          <w:tcPr>
            <w:tcW w:w="340" w:type="dxa"/>
            <w:vAlign w:val="bottom"/>
            <w:tcBorders>
              <w:bottom w:val="single" w:sz="8" w:color="auto"/>
            </w:tcBorders>
            <w:shd w:val="clear" w:color="auto" w:fill="CCECFF"/>
          </w:tcPr>
          <w:p>
            <w:pPr>
              <w:jc w:val="right"/>
              <w:ind w:right="188"/>
              <w:spacing w:after="0"/>
              <w:rPr>
                <w:sz w:val="20"/>
                <w:szCs w:val="20"/>
                <w:color w:val="auto"/>
              </w:rPr>
            </w:pPr>
            <w:r>
              <w:rPr>
                <w:rFonts w:ascii="Arial" w:cs="Arial" w:eastAsia="Arial" w:hAnsi="Arial"/>
                <w:sz w:val="14"/>
                <w:szCs w:val="14"/>
                <w:color w:val="auto"/>
                <w:w w:val="76"/>
              </w:rPr>
              <w:t>$</w:t>
            </w:r>
          </w:p>
        </w:tc>
        <w:tc>
          <w:tcPr>
            <w:tcW w:w="12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6,425,587</w:t>
            </w:r>
          </w:p>
        </w:tc>
        <w:tc>
          <w:tcPr>
            <w:tcW w:w="280" w:type="dxa"/>
            <w:vAlign w:val="bottom"/>
            <w:tcBorders>
              <w:bottom w:val="single" w:sz="8" w:color="CCECFF"/>
            </w:tcBorders>
            <w:shd w:val="clear" w:color="auto" w:fill="CCECFF"/>
          </w:tcPr>
          <w:p>
            <w:pPr>
              <w:spacing w:after="0"/>
              <w:rPr>
                <w:sz w:val="14"/>
                <w:szCs w:val="14"/>
                <w:color w:val="auto"/>
              </w:rPr>
            </w:pPr>
          </w:p>
        </w:tc>
        <w:tc>
          <w:tcPr>
            <w:tcW w:w="360" w:type="dxa"/>
            <w:vAlign w:val="bottom"/>
            <w:tcBorders>
              <w:bottom w:val="single" w:sz="8" w:color="auto"/>
            </w:tcBorders>
            <w:shd w:val="clear" w:color="auto" w:fill="CCECFF"/>
          </w:tcPr>
          <w:p>
            <w:pPr>
              <w:jc w:val="right"/>
              <w:ind w:right="208"/>
              <w:spacing w:after="0"/>
              <w:rPr>
                <w:sz w:val="20"/>
                <w:szCs w:val="20"/>
                <w:color w:val="auto"/>
              </w:rPr>
            </w:pPr>
            <w:r>
              <w:rPr>
                <w:rFonts w:ascii="Arial" w:cs="Arial" w:eastAsia="Arial" w:hAnsi="Arial"/>
                <w:sz w:val="14"/>
                <w:szCs w:val="14"/>
                <w:color w:val="auto"/>
                <w:w w:val="76"/>
              </w:rPr>
              <w:t>$</w:t>
            </w:r>
          </w:p>
        </w:tc>
        <w:tc>
          <w:tcPr>
            <w:tcW w:w="12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6,322,922</w:t>
            </w:r>
          </w:p>
        </w:tc>
        <w:tc>
          <w:tcPr>
            <w:tcW w:w="120" w:type="dxa"/>
            <w:vAlign w:val="bottom"/>
            <w:tcBorders>
              <w:bottom w:val="single" w:sz="8" w:color="CCECFF"/>
            </w:tcBorders>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720" w:type="dxa"/>
            <w:vAlign w:val="bottom"/>
            <w:vMerge w:val="restart"/>
          </w:tcPr>
          <w:p>
            <w:pPr>
              <w:ind w:left="260"/>
              <w:spacing w:after="0"/>
              <w:rPr>
                <w:sz w:val="20"/>
                <w:szCs w:val="20"/>
                <w:color w:val="auto"/>
              </w:rPr>
            </w:pPr>
            <w:r>
              <w:rPr>
                <w:rFonts w:ascii="Arial" w:cs="Arial" w:eastAsia="Arial" w:hAnsi="Arial"/>
                <w:sz w:val="14"/>
                <w:szCs w:val="14"/>
                <w:color w:val="auto"/>
              </w:rPr>
              <w:t>Taxes paid</w:t>
            </w:r>
          </w:p>
        </w:tc>
        <w:tc>
          <w:tcPr>
            <w:tcW w:w="3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720" w:type="dxa"/>
            <w:vAlign w:val="bottom"/>
            <w:tcBorders>
              <w:bottom w:val="single" w:sz="8" w:color="CCECFF"/>
            </w:tcBorders>
            <w:vMerge w:val="continue"/>
          </w:tcPr>
          <w:p>
            <w:pPr>
              <w:spacing w:after="0"/>
              <w:rPr>
                <w:sz w:val="15"/>
                <w:szCs w:val="15"/>
                <w:color w:val="auto"/>
              </w:rPr>
            </w:pPr>
          </w:p>
        </w:tc>
        <w:tc>
          <w:tcPr>
            <w:tcW w:w="340" w:type="dxa"/>
            <w:vAlign w:val="bottom"/>
            <w:tcBorders>
              <w:top w:val="single" w:sz="8" w:color="auto"/>
              <w:bottom w:val="single" w:sz="8" w:color="auto"/>
            </w:tcBorders>
          </w:tcPr>
          <w:p>
            <w:pPr>
              <w:jc w:val="right"/>
              <w:ind w:right="188"/>
              <w:spacing w:after="0" w:line="143" w:lineRule="exact"/>
              <w:rPr>
                <w:sz w:val="20"/>
                <w:szCs w:val="20"/>
                <w:color w:val="auto"/>
              </w:rPr>
            </w:pPr>
            <w:r>
              <w:rPr>
                <w:rFonts w:ascii="Arial" w:cs="Arial" w:eastAsia="Arial" w:hAnsi="Arial"/>
                <w:sz w:val="14"/>
                <w:szCs w:val="14"/>
                <w:color w:val="auto"/>
                <w:w w:val="76"/>
              </w:rPr>
              <w:t>$</w:t>
            </w:r>
          </w:p>
        </w:tc>
        <w:tc>
          <w:tcPr>
            <w:tcW w:w="122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37,086</w:t>
            </w:r>
          </w:p>
        </w:tc>
        <w:tc>
          <w:tcPr>
            <w:tcW w:w="280" w:type="dxa"/>
            <w:vAlign w:val="bottom"/>
            <w:tcBorders>
              <w:bottom w:val="single" w:sz="8" w:color="CCECFF"/>
            </w:tcBorders>
          </w:tcPr>
          <w:p>
            <w:pPr>
              <w:spacing w:after="0"/>
              <w:rPr>
                <w:sz w:val="15"/>
                <w:szCs w:val="15"/>
                <w:color w:val="auto"/>
              </w:rPr>
            </w:pPr>
          </w:p>
        </w:tc>
        <w:tc>
          <w:tcPr>
            <w:tcW w:w="360" w:type="dxa"/>
            <w:vAlign w:val="bottom"/>
            <w:tcBorders>
              <w:top w:val="single" w:sz="8" w:color="auto"/>
              <w:bottom w:val="single" w:sz="8" w:color="auto"/>
            </w:tcBorders>
          </w:tcPr>
          <w:p>
            <w:pPr>
              <w:jc w:val="right"/>
              <w:ind w:right="208"/>
              <w:spacing w:after="0" w:line="143" w:lineRule="exact"/>
              <w:rPr>
                <w:sz w:val="20"/>
                <w:szCs w:val="20"/>
                <w:color w:val="auto"/>
              </w:rPr>
            </w:pPr>
            <w:r>
              <w:rPr>
                <w:rFonts w:ascii="Arial" w:cs="Arial" w:eastAsia="Arial" w:hAnsi="Arial"/>
                <w:sz w:val="14"/>
                <w:szCs w:val="14"/>
                <w:color w:val="auto"/>
                <w:w w:val="76"/>
              </w:rPr>
              <w:t>$</w:t>
            </w:r>
          </w:p>
        </w:tc>
        <w:tc>
          <w:tcPr>
            <w:tcW w:w="120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w:t>
            </w:r>
          </w:p>
        </w:tc>
        <w:tc>
          <w:tcPr>
            <w:tcW w:w="120" w:type="dxa"/>
            <w:vAlign w:val="bottom"/>
            <w:tcBorders>
              <w:bottom w:val="single" w:sz="8" w:color="CCECFF"/>
            </w:tcBorders>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7720" w:type="dxa"/>
            <w:vAlign w:val="bottom"/>
            <w:tcBorders>
              <w:bottom w:val="single" w:sz="8" w:color="CCECFF"/>
            </w:tcBorders>
            <w:shd w:val="clear" w:color="auto" w:fill="CCECFF"/>
          </w:tcPr>
          <w:p>
            <w:pPr>
              <w:ind w:left="260"/>
              <w:spacing w:after="0" w:line="143" w:lineRule="exact"/>
              <w:rPr>
                <w:sz w:val="20"/>
                <w:szCs w:val="20"/>
                <w:color w:val="auto"/>
              </w:rPr>
            </w:pPr>
            <w:r>
              <w:rPr>
                <w:rFonts w:ascii="Arial" w:cs="Arial" w:eastAsia="Arial" w:hAnsi="Arial"/>
                <w:sz w:val="14"/>
                <w:szCs w:val="14"/>
                <w:color w:val="auto"/>
              </w:rPr>
              <w:t>Non-cash exchanges and conversions</w:t>
            </w:r>
          </w:p>
        </w:tc>
        <w:tc>
          <w:tcPr>
            <w:tcW w:w="340" w:type="dxa"/>
            <w:vAlign w:val="bottom"/>
            <w:tcBorders>
              <w:bottom w:val="single" w:sz="8" w:color="auto"/>
            </w:tcBorders>
            <w:shd w:val="clear" w:color="auto" w:fill="CCECFF"/>
          </w:tcPr>
          <w:p>
            <w:pPr>
              <w:jc w:val="right"/>
              <w:ind w:right="188"/>
              <w:spacing w:after="0" w:line="143" w:lineRule="exact"/>
              <w:rPr>
                <w:sz w:val="20"/>
                <w:szCs w:val="20"/>
                <w:color w:val="auto"/>
              </w:rPr>
            </w:pPr>
            <w:r>
              <w:rPr>
                <w:rFonts w:ascii="Arial" w:cs="Arial" w:eastAsia="Arial" w:hAnsi="Arial"/>
                <w:sz w:val="14"/>
                <w:szCs w:val="14"/>
                <w:color w:val="auto"/>
                <w:w w:val="76"/>
              </w:rPr>
              <w:t>$</w:t>
            </w:r>
          </w:p>
        </w:tc>
        <w:tc>
          <w:tcPr>
            <w:tcW w:w="1220" w:type="dxa"/>
            <w:vAlign w:val="bottom"/>
            <w:tcBorders>
              <w:bottom w:val="single" w:sz="8" w:color="auto"/>
            </w:tcBorders>
            <w:shd w:val="clear" w:color="auto" w:fill="CCECFF"/>
          </w:tcPr>
          <w:p>
            <w:pPr>
              <w:jc w:val="right"/>
              <w:spacing w:after="0" w:line="143" w:lineRule="exact"/>
              <w:rPr>
                <w:sz w:val="20"/>
                <w:szCs w:val="20"/>
                <w:color w:val="auto"/>
              </w:rPr>
            </w:pPr>
            <w:r>
              <w:rPr>
                <w:rFonts w:ascii="Arial" w:cs="Arial" w:eastAsia="Arial" w:hAnsi="Arial"/>
                <w:sz w:val="14"/>
                <w:szCs w:val="14"/>
                <w:color w:val="auto"/>
              </w:rPr>
              <w:t>—</w:t>
            </w:r>
          </w:p>
        </w:tc>
        <w:tc>
          <w:tcPr>
            <w:tcW w:w="280" w:type="dxa"/>
            <w:vAlign w:val="bottom"/>
            <w:tcBorders>
              <w:bottom w:val="single" w:sz="8" w:color="CCECFF"/>
            </w:tcBorders>
            <w:shd w:val="clear" w:color="auto" w:fill="CCECFF"/>
          </w:tcPr>
          <w:p>
            <w:pPr>
              <w:spacing w:after="0"/>
              <w:rPr>
                <w:sz w:val="12"/>
                <w:szCs w:val="12"/>
                <w:color w:val="auto"/>
              </w:rPr>
            </w:pPr>
          </w:p>
        </w:tc>
        <w:tc>
          <w:tcPr>
            <w:tcW w:w="360" w:type="dxa"/>
            <w:vAlign w:val="bottom"/>
            <w:tcBorders>
              <w:bottom w:val="single" w:sz="8" w:color="auto"/>
            </w:tcBorders>
            <w:shd w:val="clear" w:color="auto" w:fill="CCECFF"/>
          </w:tcPr>
          <w:p>
            <w:pPr>
              <w:jc w:val="right"/>
              <w:ind w:right="208"/>
              <w:spacing w:after="0" w:line="143" w:lineRule="exact"/>
              <w:rPr>
                <w:sz w:val="20"/>
                <w:szCs w:val="20"/>
                <w:color w:val="auto"/>
              </w:rPr>
            </w:pPr>
            <w:r>
              <w:rPr>
                <w:rFonts w:ascii="Arial" w:cs="Arial" w:eastAsia="Arial" w:hAnsi="Arial"/>
                <w:sz w:val="14"/>
                <w:szCs w:val="14"/>
                <w:color w:val="auto"/>
                <w:w w:val="76"/>
              </w:rPr>
              <w:t>$</w:t>
            </w:r>
          </w:p>
        </w:tc>
        <w:tc>
          <w:tcPr>
            <w:tcW w:w="1200" w:type="dxa"/>
            <w:vAlign w:val="bottom"/>
            <w:tcBorders>
              <w:bottom w:val="single" w:sz="8" w:color="auto"/>
            </w:tcBorders>
            <w:shd w:val="clear" w:color="auto" w:fill="CCECFF"/>
          </w:tcPr>
          <w:p>
            <w:pPr>
              <w:jc w:val="right"/>
              <w:spacing w:after="0" w:line="143" w:lineRule="exact"/>
              <w:rPr>
                <w:sz w:val="20"/>
                <w:szCs w:val="20"/>
                <w:color w:val="auto"/>
              </w:rPr>
            </w:pPr>
            <w:r>
              <w:rPr>
                <w:rFonts w:ascii="Arial" w:cs="Arial" w:eastAsia="Arial" w:hAnsi="Arial"/>
                <w:sz w:val="14"/>
                <w:szCs w:val="14"/>
                <w:color w:val="auto"/>
              </w:rPr>
              <w:t>—</w:t>
            </w:r>
          </w:p>
        </w:tc>
        <w:tc>
          <w:tcPr>
            <w:tcW w:w="120" w:type="dxa"/>
            <w:vAlign w:val="bottom"/>
            <w:tcBorders>
              <w:bottom w:val="single" w:sz="8" w:color="CCECFF"/>
            </w:tcBorders>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SEE NOTES TO CONSOLIDATED FINANCIAL STATEMENTS</w:t>
      </w:r>
    </w:p>
    <w:p>
      <w:pPr>
        <w:spacing w:after="0" w:line="5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149465"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4"/>
          <w:szCs w:val="14"/>
          <w:b w:val="1"/>
          <w:bCs w:val="1"/>
          <w:color w:val="auto"/>
        </w:rPr>
        <w:t>PENNANTPARK FLOATING RATE CAPITAL LTD. AND SUBSIDIARIES</w:t>
      </w:r>
    </w:p>
    <w:p>
      <w:pPr>
        <w:jc w:val="center"/>
        <w:spacing w:after="0" w:line="225" w:lineRule="auto"/>
        <w:rPr>
          <w:sz w:val="20"/>
          <w:szCs w:val="20"/>
          <w:color w:val="auto"/>
        </w:rPr>
      </w:pPr>
      <w:r>
        <w:rPr>
          <w:rFonts w:ascii="Arial" w:cs="Arial" w:eastAsia="Arial" w:hAnsi="Arial"/>
          <w:sz w:val="14"/>
          <w:szCs w:val="14"/>
          <w:b w:val="1"/>
          <w:bCs w:val="1"/>
          <w:color w:val="auto"/>
        </w:rPr>
        <w:t>CONSOLIDATED SCHEDULE OF INVESTMENTS</w:t>
      </w:r>
    </w:p>
    <w:p>
      <w:pPr>
        <w:jc w:val="center"/>
        <w:spacing w:after="0" w:line="221" w:lineRule="auto"/>
        <w:rPr>
          <w:sz w:val="20"/>
          <w:szCs w:val="20"/>
          <w:color w:val="auto"/>
        </w:rPr>
      </w:pPr>
      <w:r>
        <w:rPr>
          <w:rFonts w:ascii="Arial" w:cs="Arial" w:eastAsia="Arial" w:hAnsi="Arial"/>
          <w:sz w:val="14"/>
          <w:szCs w:val="14"/>
          <w:b w:val="1"/>
          <w:bCs w:val="1"/>
          <w:color w:val="auto"/>
        </w:rPr>
        <w:t>DECEMBER 31, 2019</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34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82"/>
              </w:rPr>
              <w:t>Basis Point</w:t>
            </w: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4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gridSpan w:val="2"/>
          </w:tcPr>
          <w:p>
            <w:pPr>
              <w:jc w:val="center"/>
              <w:ind w:right="260"/>
              <w:spacing w:after="0" w:line="135" w:lineRule="exact"/>
              <w:rPr>
                <w:sz w:val="20"/>
                <w:szCs w:val="20"/>
                <w:color w:val="auto"/>
              </w:rPr>
            </w:pPr>
            <w:r>
              <w:rPr>
                <w:rFonts w:ascii="Arial" w:cs="Arial" w:eastAsia="Arial" w:hAnsi="Arial"/>
                <w:sz w:val="12"/>
                <w:szCs w:val="12"/>
                <w:b w:val="1"/>
                <w:bCs w:val="1"/>
                <w:color w:val="auto"/>
                <w:w w:val="88"/>
              </w:rPr>
              <w:t>Spread</w:t>
            </w: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34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gridSpan w:val="2"/>
          </w:tcPr>
          <w:p>
            <w:pPr>
              <w:jc w:val="right"/>
              <w:ind w:right="380"/>
              <w:spacing w:after="0" w:line="126" w:lineRule="exact"/>
              <w:rPr>
                <w:sz w:val="20"/>
                <w:szCs w:val="20"/>
                <w:color w:val="auto"/>
              </w:rPr>
            </w:pPr>
            <w:r>
              <w:rPr>
                <w:rFonts w:ascii="Arial" w:cs="Arial" w:eastAsia="Arial" w:hAnsi="Arial"/>
                <w:sz w:val="12"/>
                <w:szCs w:val="12"/>
                <w:b w:val="1"/>
                <w:bCs w:val="1"/>
                <w:color w:val="auto"/>
              </w:rPr>
              <w:t>Current</w:t>
            </w:r>
          </w:p>
        </w:tc>
        <w:tc>
          <w:tcPr>
            <w:tcW w:w="900" w:type="dxa"/>
            <w:vAlign w:val="bottom"/>
            <w:gridSpan w:val="2"/>
          </w:tcPr>
          <w:p>
            <w:pPr>
              <w:jc w:val="center"/>
              <w:ind w:right="260"/>
              <w:spacing w:after="0" w:line="126" w:lineRule="exact"/>
              <w:rPr>
                <w:sz w:val="20"/>
                <w:szCs w:val="20"/>
                <w:color w:val="auto"/>
              </w:rPr>
            </w:pPr>
            <w:r>
              <w:rPr>
                <w:rFonts w:ascii="Arial" w:cs="Arial" w:eastAsia="Arial" w:hAnsi="Arial"/>
                <w:sz w:val="12"/>
                <w:szCs w:val="12"/>
                <w:b w:val="1"/>
                <w:bCs w:val="1"/>
                <w:color w:val="auto"/>
                <w:w w:val="87"/>
              </w:rPr>
              <w:t>Above</w:t>
            </w:r>
          </w:p>
        </w:tc>
        <w:tc>
          <w:tcPr>
            <w:tcW w:w="660" w:type="dxa"/>
            <w:vAlign w:val="bottom"/>
          </w:tcPr>
          <w:p>
            <w:pPr>
              <w:jc w:val="right"/>
              <w:ind w:right="162"/>
              <w:spacing w:after="0" w:line="126" w:lineRule="exact"/>
              <w:rPr>
                <w:sz w:val="20"/>
                <w:szCs w:val="20"/>
                <w:color w:val="auto"/>
              </w:rPr>
            </w:pPr>
            <w:r>
              <w:rPr>
                <w:rFonts w:ascii="Arial" w:cs="Arial" w:eastAsia="Arial" w:hAnsi="Arial"/>
                <w:sz w:val="12"/>
                <w:szCs w:val="12"/>
                <w:b w:val="1"/>
                <w:bCs w:val="1"/>
                <w:color w:val="auto"/>
              </w:rPr>
              <w:t>Par /</w:t>
            </w:r>
          </w:p>
        </w:tc>
        <w:tc>
          <w:tcPr>
            <w:tcW w:w="2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3400" w:type="dxa"/>
            <w:vAlign w:val="bottom"/>
          </w:tcPr>
          <w:p>
            <w:pPr>
              <w:spacing w:after="0"/>
              <w:rPr>
                <w:sz w:val="20"/>
                <w:szCs w:val="20"/>
                <w:color w:val="auto"/>
              </w:rPr>
            </w:pPr>
            <w:r>
              <w:rPr>
                <w:rFonts w:ascii="Arial" w:cs="Arial" w:eastAsia="Arial" w:hAnsi="Arial"/>
                <w:sz w:val="12"/>
                <w:szCs w:val="12"/>
                <w:b w:val="1"/>
                <w:bCs w:val="1"/>
                <w:color w:val="auto"/>
              </w:rPr>
              <w:t>Issuer Name</w:t>
            </w:r>
          </w:p>
        </w:tc>
        <w:tc>
          <w:tcPr>
            <w:tcW w:w="960" w:type="dxa"/>
            <w:vAlign w:val="bottom"/>
          </w:tcPr>
          <w:p>
            <w:pPr>
              <w:jc w:val="center"/>
              <w:ind w:left="82"/>
              <w:spacing w:after="0"/>
              <w:rPr>
                <w:sz w:val="20"/>
                <w:szCs w:val="20"/>
                <w:color w:val="auto"/>
              </w:rPr>
            </w:pPr>
            <w:r>
              <w:rPr>
                <w:rFonts w:ascii="Arial" w:cs="Arial" w:eastAsia="Arial" w:hAnsi="Arial"/>
                <w:sz w:val="12"/>
                <w:szCs w:val="12"/>
                <w:b w:val="1"/>
                <w:bCs w:val="1"/>
                <w:color w:val="auto"/>
                <w:w w:val="98"/>
              </w:rPr>
              <w:t>Maturity</w:t>
            </w:r>
          </w:p>
        </w:tc>
        <w:tc>
          <w:tcPr>
            <w:tcW w:w="248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w w:val="88"/>
              </w:rPr>
              <w:t>Industry</w:t>
            </w:r>
          </w:p>
        </w:tc>
        <w:tc>
          <w:tcPr>
            <w:tcW w:w="900" w:type="dxa"/>
            <w:vAlign w:val="bottom"/>
            <w:gridSpan w:val="2"/>
          </w:tcPr>
          <w:p>
            <w:pPr>
              <w:jc w:val="right"/>
              <w:ind w:right="380"/>
              <w:spacing w:after="0"/>
              <w:rPr>
                <w:sz w:val="20"/>
                <w:szCs w:val="20"/>
                <w:color w:val="auto"/>
              </w:rPr>
            </w:pPr>
            <w:r>
              <w:rPr>
                <w:rFonts w:ascii="Arial" w:cs="Arial" w:eastAsia="Arial" w:hAnsi="Arial"/>
                <w:sz w:val="12"/>
                <w:szCs w:val="12"/>
                <w:b w:val="1"/>
                <w:bCs w:val="1"/>
                <w:color w:val="auto"/>
              </w:rPr>
              <w:t>Coupon</w:t>
            </w:r>
          </w:p>
        </w:tc>
        <w:tc>
          <w:tcPr>
            <w:tcW w:w="900" w:type="dxa"/>
            <w:vAlign w:val="bottom"/>
            <w:gridSpan w:val="2"/>
          </w:tcPr>
          <w:p>
            <w:pPr>
              <w:jc w:val="center"/>
              <w:ind w:right="240"/>
              <w:spacing w:after="0" w:line="153" w:lineRule="exact"/>
              <w:rPr>
                <w:sz w:val="20"/>
                <w:szCs w:val="20"/>
                <w:color w:val="auto"/>
              </w:rPr>
            </w:pPr>
            <w:r>
              <w:rPr>
                <w:rFonts w:ascii="Arial" w:cs="Arial" w:eastAsia="Arial" w:hAnsi="Arial"/>
                <w:sz w:val="11"/>
                <w:szCs w:val="11"/>
                <w:b w:val="1"/>
                <w:bCs w:val="1"/>
                <w:color w:val="auto"/>
                <w:w w:val="91"/>
              </w:rPr>
              <w:t xml:space="preserve">Index </w:t>
            </w:r>
            <w:r>
              <w:rPr>
                <w:rFonts w:ascii="Arial" w:cs="Arial" w:eastAsia="Arial" w:hAnsi="Arial"/>
                <w:sz w:val="17"/>
                <w:szCs w:val="17"/>
                <w:b w:val="1"/>
                <w:bCs w:val="1"/>
                <w:color w:val="auto"/>
                <w:w w:val="91"/>
                <w:vertAlign w:val="superscript"/>
              </w:rPr>
              <w:t>(1)</w:t>
            </w:r>
          </w:p>
        </w:tc>
        <w:tc>
          <w:tcPr>
            <w:tcW w:w="660" w:type="dxa"/>
            <w:vAlign w:val="bottom"/>
          </w:tcPr>
          <w:p>
            <w:pPr>
              <w:jc w:val="right"/>
              <w:ind w:right="122"/>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3"/>
                <w:szCs w:val="13"/>
                <w:color w:val="auto"/>
              </w:rPr>
            </w:pPr>
          </w:p>
        </w:tc>
        <w:tc>
          <w:tcPr>
            <w:tcW w:w="900" w:type="dxa"/>
            <w:vAlign w:val="bottom"/>
            <w:gridSpan w:val="2"/>
          </w:tcPr>
          <w:p>
            <w:pPr>
              <w:ind w:left="220"/>
              <w:spacing w:after="0"/>
              <w:rPr>
                <w:sz w:val="20"/>
                <w:szCs w:val="20"/>
                <w:color w:val="auto"/>
              </w:rPr>
            </w:pPr>
            <w:r>
              <w:rPr>
                <w:rFonts w:ascii="Arial" w:cs="Arial" w:eastAsia="Arial" w:hAnsi="Arial"/>
                <w:sz w:val="12"/>
                <w:szCs w:val="12"/>
                <w:b w:val="1"/>
                <w:bCs w:val="1"/>
                <w:color w:val="auto"/>
              </w:rPr>
              <w:t>Cost</w:t>
            </w:r>
          </w:p>
        </w:tc>
        <w:tc>
          <w:tcPr>
            <w:tcW w:w="820" w:type="dxa"/>
            <w:vAlign w:val="bottom"/>
            <w:gridSpan w:val="2"/>
          </w:tcPr>
          <w:p>
            <w:pPr>
              <w:jc w:val="right"/>
              <w:ind w:right="140"/>
              <w:spacing w:after="0" w:line="153" w:lineRule="exact"/>
              <w:rPr>
                <w:sz w:val="20"/>
                <w:szCs w:val="20"/>
                <w:color w:val="auto"/>
              </w:rPr>
            </w:pPr>
            <w:r>
              <w:rPr>
                <w:rFonts w:ascii="Arial" w:cs="Arial" w:eastAsia="Arial" w:hAnsi="Arial"/>
                <w:sz w:val="11"/>
                <w:szCs w:val="11"/>
                <w:b w:val="1"/>
                <w:bCs w:val="1"/>
                <w:color w:val="auto"/>
                <w:w w:val="94"/>
              </w:rPr>
              <w:t xml:space="preserve">Fair Value </w:t>
            </w:r>
            <w:r>
              <w:rPr>
                <w:rFonts w:ascii="Arial" w:cs="Arial" w:eastAsia="Arial" w:hAnsi="Arial"/>
                <w:sz w:val="17"/>
                <w:szCs w:val="17"/>
                <w:b w:val="1"/>
                <w:bCs w:val="1"/>
                <w:color w:val="auto"/>
                <w:w w:val="94"/>
                <w:vertAlign w:val="superscript"/>
              </w:rPr>
              <w:t>(2)</w:t>
            </w:r>
          </w:p>
        </w:tc>
        <w:tc>
          <w:tcPr>
            <w:tcW w:w="0" w:type="dxa"/>
            <w:vAlign w:val="bottom"/>
          </w:tcPr>
          <w:p>
            <w:pPr>
              <w:spacing w:after="0"/>
              <w:rPr>
                <w:sz w:val="1"/>
                <w:szCs w:val="1"/>
                <w:color w:val="auto"/>
              </w:rPr>
            </w:pPr>
          </w:p>
        </w:tc>
      </w:tr>
      <w:tr>
        <w:trPr>
          <w:trHeight w:val="142"/>
        </w:trPr>
        <w:tc>
          <w:tcPr>
            <w:tcW w:w="4360" w:type="dxa"/>
            <w:vAlign w:val="bottom"/>
            <w:tcBorders>
              <w:top w:val="single" w:sz="8" w:color="auto"/>
            </w:tcBorders>
            <w:gridSpan w:val="2"/>
            <w:shd w:val="clear" w:color="auto" w:fill="CCECFF"/>
          </w:tcPr>
          <w:p>
            <w:pPr>
              <w:spacing w:after="0" w:line="142" w:lineRule="exact"/>
              <w:rPr>
                <w:sz w:val="20"/>
                <w:szCs w:val="20"/>
                <w:color w:val="auto"/>
              </w:rPr>
            </w:pPr>
            <w:r>
              <w:rPr>
                <w:rFonts w:ascii="Arial" w:cs="Arial" w:eastAsia="Arial" w:hAnsi="Arial"/>
                <w:sz w:val="10"/>
                <w:szCs w:val="10"/>
                <w:b w:val="1"/>
                <w:bCs w:val="1"/>
                <w:color w:val="auto"/>
              </w:rPr>
              <w:t xml:space="preserve">Investments in Non-Controlled, Non-Affiliated Portfolio Companies—196.9% </w:t>
            </w:r>
            <w:r>
              <w:rPr>
                <w:rFonts w:ascii="Arial" w:cs="Arial" w:eastAsia="Arial" w:hAnsi="Arial"/>
                <w:sz w:val="16"/>
                <w:szCs w:val="16"/>
                <w:b w:val="1"/>
                <w:bCs w:val="1"/>
                <w:color w:val="auto"/>
                <w:vertAlign w:val="superscript"/>
              </w:rPr>
              <w:t>(3), (4)</w:t>
            </w:r>
          </w:p>
        </w:tc>
        <w:tc>
          <w:tcPr>
            <w:tcW w:w="2360" w:type="dxa"/>
            <w:vAlign w:val="bottom"/>
            <w:tcBorders>
              <w:top w:val="single" w:sz="8" w:color="auto"/>
            </w:tcBorders>
            <w:shd w:val="clear" w:color="auto" w:fill="CCECFF"/>
          </w:tcPr>
          <w:p>
            <w:pPr>
              <w:spacing w:after="0"/>
              <w:rPr>
                <w:sz w:val="12"/>
                <w:szCs w:val="12"/>
                <w:color w:val="auto"/>
              </w:rPr>
            </w:pPr>
          </w:p>
        </w:tc>
        <w:tc>
          <w:tcPr>
            <w:tcW w:w="120" w:type="dxa"/>
            <w:vAlign w:val="bottom"/>
            <w:tcBorders>
              <w:top w:val="single" w:sz="8" w:color="CCECFF"/>
            </w:tcBorders>
            <w:shd w:val="clear" w:color="auto" w:fill="CCECFF"/>
          </w:tcPr>
          <w:p>
            <w:pPr>
              <w:spacing w:after="0"/>
              <w:rPr>
                <w:sz w:val="12"/>
                <w:szCs w:val="12"/>
                <w:color w:val="auto"/>
              </w:rPr>
            </w:pPr>
          </w:p>
        </w:tc>
        <w:tc>
          <w:tcPr>
            <w:tcW w:w="660" w:type="dxa"/>
            <w:vAlign w:val="bottom"/>
            <w:tcBorders>
              <w:top w:val="single" w:sz="8" w:color="auto"/>
            </w:tcBorders>
            <w:shd w:val="clear" w:color="auto" w:fill="CCECFF"/>
          </w:tcPr>
          <w:p>
            <w:pPr>
              <w:spacing w:after="0"/>
              <w:rPr>
                <w:sz w:val="12"/>
                <w:szCs w:val="12"/>
                <w:color w:val="auto"/>
              </w:rPr>
            </w:pPr>
          </w:p>
        </w:tc>
        <w:tc>
          <w:tcPr>
            <w:tcW w:w="240" w:type="dxa"/>
            <w:vAlign w:val="bottom"/>
            <w:tcBorders>
              <w:top w:val="single" w:sz="8" w:color="CCECFF"/>
            </w:tcBorders>
            <w:shd w:val="clear" w:color="auto" w:fill="CCECFF"/>
          </w:tcPr>
          <w:p>
            <w:pPr>
              <w:spacing w:after="0"/>
              <w:rPr>
                <w:sz w:val="12"/>
                <w:szCs w:val="12"/>
                <w:color w:val="auto"/>
              </w:rPr>
            </w:pPr>
          </w:p>
        </w:tc>
        <w:tc>
          <w:tcPr>
            <w:tcW w:w="660" w:type="dxa"/>
            <w:vAlign w:val="bottom"/>
            <w:tcBorders>
              <w:top w:val="single" w:sz="8" w:color="auto"/>
            </w:tcBorders>
            <w:shd w:val="clear" w:color="auto" w:fill="CCECFF"/>
          </w:tcPr>
          <w:p>
            <w:pPr>
              <w:spacing w:after="0"/>
              <w:rPr>
                <w:sz w:val="12"/>
                <w:szCs w:val="12"/>
                <w:color w:val="auto"/>
              </w:rPr>
            </w:pPr>
          </w:p>
        </w:tc>
        <w:tc>
          <w:tcPr>
            <w:tcW w:w="240" w:type="dxa"/>
            <w:vAlign w:val="bottom"/>
            <w:tcBorders>
              <w:top w:val="single" w:sz="8" w:color="CCECFF"/>
            </w:tcBorders>
            <w:shd w:val="clear" w:color="auto" w:fill="CCECFF"/>
          </w:tcPr>
          <w:p>
            <w:pPr>
              <w:spacing w:after="0"/>
              <w:rPr>
                <w:sz w:val="12"/>
                <w:szCs w:val="12"/>
                <w:color w:val="auto"/>
              </w:rPr>
            </w:pPr>
          </w:p>
        </w:tc>
        <w:tc>
          <w:tcPr>
            <w:tcW w:w="660" w:type="dxa"/>
            <w:vAlign w:val="bottom"/>
            <w:tcBorders>
              <w:top w:val="single" w:sz="8" w:color="auto"/>
            </w:tcBorders>
            <w:shd w:val="clear" w:color="auto" w:fill="CCECFF"/>
          </w:tcPr>
          <w:p>
            <w:pPr>
              <w:spacing w:after="0"/>
              <w:rPr>
                <w:sz w:val="12"/>
                <w:szCs w:val="12"/>
                <w:color w:val="auto"/>
              </w:rPr>
            </w:pPr>
          </w:p>
        </w:tc>
        <w:tc>
          <w:tcPr>
            <w:tcW w:w="220" w:type="dxa"/>
            <w:vAlign w:val="bottom"/>
            <w:tcBorders>
              <w:top w:val="single" w:sz="8" w:color="CCECFF"/>
            </w:tcBorders>
            <w:shd w:val="clear" w:color="auto" w:fill="CCECFF"/>
          </w:tcPr>
          <w:p>
            <w:pPr>
              <w:spacing w:after="0"/>
              <w:rPr>
                <w:sz w:val="12"/>
                <w:szCs w:val="12"/>
                <w:color w:val="auto"/>
              </w:rPr>
            </w:pPr>
          </w:p>
        </w:tc>
        <w:tc>
          <w:tcPr>
            <w:tcW w:w="680" w:type="dxa"/>
            <w:vAlign w:val="bottom"/>
            <w:tcBorders>
              <w:top w:val="single" w:sz="8" w:color="auto"/>
            </w:tcBorders>
            <w:shd w:val="clear" w:color="auto" w:fill="CCECFF"/>
          </w:tcPr>
          <w:p>
            <w:pPr>
              <w:spacing w:after="0"/>
              <w:rPr>
                <w:sz w:val="12"/>
                <w:szCs w:val="12"/>
                <w:color w:val="auto"/>
              </w:rPr>
            </w:pPr>
          </w:p>
        </w:tc>
        <w:tc>
          <w:tcPr>
            <w:tcW w:w="220" w:type="dxa"/>
            <w:vAlign w:val="bottom"/>
            <w:tcBorders>
              <w:top w:val="single" w:sz="8" w:color="CCECFF"/>
            </w:tcBorders>
            <w:shd w:val="clear" w:color="auto" w:fill="CCECFF"/>
          </w:tcPr>
          <w:p>
            <w:pPr>
              <w:spacing w:after="0"/>
              <w:rPr>
                <w:sz w:val="12"/>
                <w:szCs w:val="12"/>
                <w:color w:val="auto"/>
              </w:rPr>
            </w:pPr>
          </w:p>
        </w:tc>
        <w:tc>
          <w:tcPr>
            <w:tcW w:w="720" w:type="dxa"/>
            <w:vAlign w:val="bottom"/>
            <w:tcBorders>
              <w:top w:val="single" w:sz="8" w:color="auto"/>
            </w:tcBorders>
            <w:shd w:val="clear" w:color="auto" w:fill="CCECFF"/>
          </w:tcPr>
          <w:p>
            <w:pPr>
              <w:spacing w:after="0"/>
              <w:rPr>
                <w:sz w:val="12"/>
                <w:szCs w:val="12"/>
                <w:color w:val="auto"/>
              </w:rPr>
            </w:pPr>
          </w:p>
        </w:tc>
        <w:tc>
          <w:tcPr>
            <w:tcW w:w="100" w:type="dxa"/>
            <w:vAlign w:val="bottom"/>
            <w:tcBorders>
              <w:top w:val="single" w:sz="8" w:color="CCECFF"/>
            </w:tcBorders>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400" w:type="dxa"/>
            <w:vAlign w:val="bottom"/>
          </w:tcPr>
          <w:p>
            <w:pPr>
              <w:spacing w:after="0"/>
              <w:rPr>
                <w:sz w:val="20"/>
                <w:szCs w:val="20"/>
                <w:color w:val="auto"/>
              </w:rPr>
            </w:pPr>
            <w:r>
              <w:rPr>
                <w:rFonts w:ascii="Arial" w:cs="Arial" w:eastAsia="Arial" w:hAnsi="Arial"/>
                <w:sz w:val="12"/>
                <w:szCs w:val="12"/>
                <w:b w:val="1"/>
                <w:bCs w:val="1"/>
                <w:color w:val="auto"/>
              </w:rPr>
              <w:t>First Lien Secured Debt—182.3%</w:t>
            </w:r>
          </w:p>
        </w:tc>
        <w:tc>
          <w:tcPr>
            <w:tcW w:w="96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400" w:type="dxa"/>
            <w:vAlign w:val="bottom"/>
            <w:shd w:val="clear" w:color="auto" w:fill="CCECFF"/>
          </w:tcPr>
          <w:p>
            <w:pPr>
              <w:spacing w:after="0"/>
              <w:rPr>
                <w:sz w:val="20"/>
                <w:szCs w:val="20"/>
                <w:color w:val="auto"/>
              </w:rPr>
            </w:pPr>
            <w:r>
              <w:rPr>
                <w:rFonts w:ascii="Arial" w:cs="Arial" w:eastAsia="Arial" w:hAnsi="Arial"/>
                <w:sz w:val="12"/>
                <w:szCs w:val="12"/>
                <w:color w:val="auto"/>
              </w:rPr>
              <w:t>18 Freemont Street Acquisition, LLC</w:t>
            </w:r>
          </w:p>
        </w:tc>
        <w:tc>
          <w:tcPr>
            <w:tcW w:w="960" w:type="dxa"/>
            <w:vAlign w:val="bottom"/>
            <w:shd w:val="clear" w:color="auto" w:fill="CCECFF"/>
          </w:tcPr>
          <w:p>
            <w:pPr>
              <w:jc w:val="center"/>
              <w:ind w:left="102"/>
              <w:spacing w:after="0"/>
              <w:rPr>
                <w:sz w:val="20"/>
                <w:szCs w:val="20"/>
                <w:color w:val="auto"/>
              </w:rPr>
            </w:pPr>
            <w:r>
              <w:rPr>
                <w:rFonts w:ascii="Arial" w:cs="Arial" w:eastAsia="Arial" w:hAnsi="Arial"/>
                <w:sz w:val="12"/>
                <w:szCs w:val="12"/>
                <w:color w:val="auto"/>
                <w:w w:val="86"/>
              </w:rPr>
              <w:t>08/11/2025</w:t>
            </w:r>
          </w:p>
        </w:tc>
        <w:tc>
          <w:tcPr>
            <w:tcW w:w="2480" w:type="dxa"/>
            <w:vAlign w:val="bottom"/>
            <w:gridSpan w:val="2"/>
            <w:shd w:val="clear" w:color="auto" w:fill="CCECFF"/>
          </w:tcPr>
          <w:p>
            <w:pPr>
              <w:jc w:val="center"/>
              <w:ind w:right="100"/>
              <w:spacing w:after="0"/>
              <w:rPr>
                <w:sz w:val="20"/>
                <w:szCs w:val="20"/>
                <w:color w:val="auto"/>
              </w:rPr>
            </w:pPr>
            <w:r>
              <w:rPr>
                <w:rFonts w:ascii="Arial" w:cs="Arial" w:eastAsia="Arial" w:hAnsi="Arial"/>
                <w:sz w:val="12"/>
                <w:szCs w:val="12"/>
                <w:color w:val="auto"/>
                <w:w w:val="87"/>
              </w:rPr>
              <w:t>Hotels, Restaurants and Leisure</w:t>
            </w:r>
          </w:p>
        </w:tc>
        <w:tc>
          <w:tcPr>
            <w:tcW w:w="90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10.04%</w:t>
            </w: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1M L+800</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15,000,000</w:t>
            </w:r>
          </w:p>
        </w:tc>
        <w:tc>
          <w:tcPr>
            <w:tcW w:w="90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  14,709,949</w:t>
            </w:r>
          </w:p>
        </w:tc>
        <w:tc>
          <w:tcPr>
            <w:tcW w:w="220" w:type="dxa"/>
            <w:vAlign w:val="bottom"/>
            <w:shd w:val="clear" w:color="auto" w:fill="CCECFF"/>
          </w:tcPr>
          <w:p>
            <w:pPr>
              <w:spacing w:after="0"/>
              <w:rPr>
                <w:sz w:val="12"/>
                <w:szCs w:val="12"/>
                <w:color w:val="auto"/>
              </w:rPr>
            </w:pPr>
          </w:p>
        </w:tc>
        <w:tc>
          <w:tcPr>
            <w:tcW w:w="72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2"/>
              </w:rPr>
              <w:t>$  15,075,000</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400" w:type="dxa"/>
            <w:vAlign w:val="bottom"/>
          </w:tcPr>
          <w:p>
            <w:pPr>
              <w:spacing w:after="0"/>
              <w:rPr>
                <w:sz w:val="20"/>
                <w:szCs w:val="20"/>
                <w:color w:val="auto"/>
              </w:rPr>
            </w:pPr>
            <w:r>
              <w:rPr>
                <w:rFonts w:ascii="Arial" w:cs="Arial" w:eastAsia="Arial" w:hAnsi="Arial"/>
                <w:sz w:val="12"/>
                <w:szCs w:val="12"/>
                <w:color w:val="auto"/>
              </w:rPr>
              <w:t>Advantage Sales &amp; Marketing</w:t>
            </w:r>
          </w:p>
        </w:tc>
        <w:tc>
          <w:tcPr>
            <w:tcW w:w="960" w:type="dxa"/>
            <w:vAlign w:val="bottom"/>
          </w:tcPr>
          <w:p>
            <w:pPr>
              <w:jc w:val="center"/>
              <w:ind w:left="102"/>
              <w:spacing w:after="0"/>
              <w:rPr>
                <w:sz w:val="20"/>
                <w:szCs w:val="20"/>
                <w:color w:val="auto"/>
              </w:rPr>
            </w:pPr>
            <w:r>
              <w:rPr>
                <w:rFonts w:ascii="Arial" w:cs="Arial" w:eastAsia="Arial" w:hAnsi="Arial"/>
                <w:sz w:val="12"/>
                <w:szCs w:val="12"/>
                <w:color w:val="auto"/>
                <w:w w:val="86"/>
              </w:rPr>
              <w:t>07/23/2021</w:t>
            </w:r>
          </w:p>
        </w:tc>
        <w:tc>
          <w:tcPr>
            <w:tcW w:w="2480" w:type="dxa"/>
            <w:vAlign w:val="bottom"/>
            <w:gridSpan w:val="2"/>
          </w:tcPr>
          <w:p>
            <w:pPr>
              <w:jc w:val="center"/>
              <w:ind w:right="100"/>
              <w:spacing w:after="0"/>
              <w:rPr>
                <w:sz w:val="20"/>
                <w:szCs w:val="20"/>
                <w:color w:val="auto"/>
              </w:rPr>
            </w:pPr>
            <w:r>
              <w:rPr>
                <w:rFonts w:ascii="Arial" w:cs="Arial" w:eastAsia="Arial" w:hAnsi="Arial"/>
                <w:sz w:val="12"/>
                <w:szCs w:val="12"/>
                <w:color w:val="auto"/>
                <w:w w:val="87"/>
              </w:rPr>
              <w:t>Food and Staples Retailing</w:t>
            </w:r>
          </w:p>
        </w:tc>
        <w:tc>
          <w:tcPr>
            <w:tcW w:w="900" w:type="dxa"/>
            <w:vAlign w:val="bottom"/>
            <w:gridSpan w:val="2"/>
          </w:tcPr>
          <w:p>
            <w:pPr>
              <w:jc w:val="right"/>
              <w:ind w:right="140"/>
              <w:spacing w:after="0"/>
              <w:rPr>
                <w:sz w:val="20"/>
                <w:szCs w:val="20"/>
                <w:color w:val="auto"/>
              </w:rPr>
            </w:pPr>
            <w:r>
              <w:rPr>
                <w:rFonts w:ascii="Arial" w:cs="Arial" w:eastAsia="Arial" w:hAnsi="Arial"/>
                <w:sz w:val="12"/>
                <w:szCs w:val="12"/>
                <w:color w:val="auto"/>
              </w:rPr>
              <w:t>4.98%</w:t>
            </w:r>
          </w:p>
        </w:tc>
        <w:tc>
          <w:tcPr>
            <w:tcW w:w="900" w:type="dxa"/>
            <w:vAlign w:val="bottom"/>
            <w:gridSpan w:val="2"/>
          </w:tcPr>
          <w:p>
            <w:pPr>
              <w:jc w:val="right"/>
              <w:ind w:right="240"/>
              <w:spacing w:after="0"/>
              <w:rPr>
                <w:sz w:val="20"/>
                <w:szCs w:val="20"/>
                <w:color w:val="auto"/>
              </w:rPr>
            </w:pPr>
            <w:r>
              <w:rPr>
                <w:rFonts w:ascii="Arial" w:cs="Arial" w:eastAsia="Arial" w:hAnsi="Arial"/>
                <w:sz w:val="12"/>
                <w:szCs w:val="12"/>
                <w:color w:val="auto"/>
              </w:rPr>
              <w:t>1M L+325</w:t>
            </w:r>
          </w:p>
        </w:tc>
        <w:tc>
          <w:tcPr>
            <w:tcW w:w="660" w:type="dxa"/>
            <w:vAlign w:val="bottom"/>
          </w:tcPr>
          <w:p>
            <w:pPr>
              <w:jc w:val="right"/>
              <w:spacing w:after="0"/>
              <w:rPr>
                <w:sz w:val="20"/>
                <w:szCs w:val="20"/>
                <w:color w:val="auto"/>
              </w:rPr>
            </w:pPr>
            <w:r>
              <w:rPr>
                <w:rFonts w:ascii="Arial" w:cs="Arial" w:eastAsia="Arial" w:hAnsi="Arial"/>
                <w:sz w:val="12"/>
                <w:szCs w:val="12"/>
                <w:color w:val="auto"/>
              </w:rPr>
              <w:t>11,324,401</w:t>
            </w:r>
          </w:p>
        </w:tc>
        <w:tc>
          <w:tcPr>
            <w:tcW w:w="900" w:type="dxa"/>
            <w:vAlign w:val="bottom"/>
            <w:gridSpan w:val="2"/>
          </w:tcPr>
          <w:p>
            <w:pPr>
              <w:jc w:val="right"/>
              <w:spacing w:after="0"/>
              <w:rPr>
                <w:sz w:val="20"/>
                <w:szCs w:val="20"/>
                <w:color w:val="auto"/>
              </w:rPr>
            </w:pPr>
            <w:r>
              <w:rPr>
                <w:rFonts w:ascii="Arial" w:cs="Arial" w:eastAsia="Arial" w:hAnsi="Arial"/>
                <w:sz w:val="12"/>
                <w:szCs w:val="12"/>
                <w:color w:val="auto"/>
              </w:rPr>
              <w:t>10,826,427</w:t>
            </w:r>
          </w:p>
        </w:tc>
        <w:tc>
          <w:tcPr>
            <w:tcW w:w="22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10,923,291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400" w:type="dxa"/>
            <w:vAlign w:val="bottom"/>
            <w:shd w:val="clear" w:color="auto" w:fill="CCECFF"/>
          </w:tcPr>
          <w:p>
            <w:pPr>
              <w:spacing w:after="0"/>
              <w:rPr>
                <w:sz w:val="20"/>
                <w:szCs w:val="20"/>
                <w:color w:val="auto"/>
              </w:rPr>
            </w:pPr>
            <w:r>
              <w:rPr>
                <w:rFonts w:ascii="Arial" w:cs="Arial" w:eastAsia="Arial" w:hAnsi="Arial"/>
                <w:sz w:val="12"/>
                <w:szCs w:val="12"/>
                <w:color w:val="auto"/>
              </w:rPr>
              <w:t>Altamira Technologies, LLC</w:t>
            </w:r>
          </w:p>
        </w:tc>
        <w:tc>
          <w:tcPr>
            <w:tcW w:w="960" w:type="dxa"/>
            <w:vAlign w:val="bottom"/>
            <w:shd w:val="clear" w:color="auto" w:fill="CCECFF"/>
          </w:tcPr>
          <w:p>
            <w:pPr>
              <w:jc w:val="center"/>
              <w:ind w:left="102"/>
              <w:spacing w:after="0"/>
              <w:rPr>
                <w:sz w:val="20"/>
                <w:szCs w:val="20"/>
                <w:color w:val="auto"/>
              </w:rPr>
            </w:pPr>
            <w:r>
              <w:rPr>
                <w:rFonts w:ascii="Arial" w:cs="Arial" w:eastAsia="Arial" w:hAnsi="Arial"/>
                <w:sz w:val="12"/>
                <w:szCs w:val="12"/>
                <w:color w:val="auto"/>
                <w:w w:val="86"/>
              </w:rPr>
              <w:t>07/24/2025</w:t>
            </w:r>
          </w:p>
        </w:tc>
        <w:tc>
          <w:tcPr>
            <w:tcW w:w="2480" w:type="dxa"/>
            <w:vAlign w:val="bottom"/>
            <w:gridSpan w:val="2"/>
            <w:shd w:val="clear" w:color="auto" w:fill="CCECFF"/>
          </w:tcPr>
          <w:p>
            <w:pPr>
              <w:jc w:val="center"/>
              <w:ind w:right="100"/>
              <w:spacing w:after="0"/>
              <w:rPr>
                <w:sz w:val="20"/>
                <w:szCs w:val="20"/>
                <w:color w:val="auto"/>
              </w:rPr>
            </w:pPr>
            <w:r>
              <w:rPr>
                <w:rFonts w:ascii="Arial" w:cs="Arial" w:eastAsia="Arial" w:hAnsi="Arial"/>
                <w:sz w:val="12"/>
                <w:szCs w:val="12"/>
                <w:color w:val="auto"/>
                <w:w w:val="89"/>
              </w:rPr>
              <w:t>IT Services</w:t>
            </w:r>
          </w:p>
        </w:tc>
        <w:tc>
          <w:tcPr>
            <w:tcW w:w="90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7.93%</w:t>
            </w: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3M L+600</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6,459,375</w:t>
            </w:r>
          </w:p>
        </w:tc>
        <w:tc>
          <w:tcPr>
            <w:tcW w:w="90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6,366,284</w:t>
            </w:r>
          </w:p>
        </w:tc>
        <w:tc>
          <w:tcPr>
            <w:tcW w:w="220" w:type="dxa"/>
            <w:vAlign w:val="bottom"/>
            <w:shd w:val="clear" w:color="auto" w:fill="CCECFF"/>
          </w:tcPr>
          <w:p>
            <w:pPr>
              <w:spacing w:after="0"/>
              <w:rPr>
                <w:sz w:val="12"/>
                <w:szCs w:val="12"/>
                <w:color w:val="auto"/>
              </w:rPr>
            </w:pPr>
          </w:p>
        </w:tc>
        <w:tc>
          <w:tcPr>
            <w:tcW w:w="7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6,459,375</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400" w:type="dxa"/>
            <w:vAlign w:val="bottom"/>
          </w:tcPr>
          <w:p>
            <w:pPr>
              <w:spacing w:after="0" w:line="149" w:lineRule="exact"/>
              <w:rPr>
                <w:sz w:val="20"/>
                <w:szCs w:val="20"/>
                <w:color w:val="auto"/>
              </w:rPr>
            </w:pPr>
            <w:r>
              <w:rPr>
                <w:rFonts w:ascii="Arial" w:cs="Arial" w:eastAsia="Arial" w:hAnsi="Arial"/>
                <w:sz w:val="11"/>
                <w:szCs w:val="11"/>
                <w:color w:val="auto"/>
              </w:rPr>
              <w:t xml:space="preserve">Altamira Technologies, LLC (Revolver) </w:t>
            </w:r>
            <w:r>
              <w:rPr>
                <w:rFonts w:ascii="Arial" w:cs="Arial" w:eastAsia="Arial" w:hAnsi="Arial"/>
                <w:sz w:val="17"/>
                <w:szCs w:val="17"/>
                <w:color w:val="auto"/>
                <w:vertAlign w:val="superscript"/>
              </w:rPr>
              <w:t>(7), (9)</w:t>
            </w:r>
          </w:p>
        </w:tc>
        <w:tc>
          <w:tcPr>
            <w:tcW w:w="960" w:type="dxa"/>
            <w:vAlign w:val="bottom"/>
          </w:tcPr>
          <w:p>
            <w:pPr>
              <w:jc w:val="center"/>
              <w:ind w:left="102"/>
              <w:spacing w:after="0"/>
              <w:rPr>
                <w:sz w:val="20"/>
                <w:szCs w:val="20"/>
                <w:color w:val="auto"/>
              </w:rPr>
            </w:pPr>
            <w:r>
              <w:rPr>
                <w:rFonts w:ascii="Arial" w:cs="Arial" w:eastAsia="Arial" w:hAnsi="Arial"/>
                <w:sz w:val="12"/>
                <w:szCs w:val="12"/>
                <w:color w:val="auto"/>
                <w:w w:val="86"/>
              </w:rPr>
              <w:t>07/24/2025</w:t>
            </w:r>
          </w:p>
        </w:tc>
        <w:tc>
          <w:tcPr>
            <w:tcW w:w="2480" w:type="dxa"/>
            <w:vAlign w:val="bottom"/>
            <w:gridSpan w:val="2"/>
          </w:tcPr>
          <w:p>
            <w:pPr>
              <w:jc w:val="center"/>
              <w:ind w:right="100"/>
              <w:spacing w:after="0"/>
              <w:rPr>
                <w:sz w:val="20"/>
                <w:szCs w:val="20"/>
                <w:color w:val="auto"/>
              </w:rPr>
            </w:pPr>
            <w:r>
              <w:rPr>
                <w:rFonts w:ascii="Arial" w:cs="Arial" w:eastAsia="Arial" w:hAnsi="Arial"/>
                <w:sz w:val="12"/>
                <w:szCs w:val="12"/>
                <w:color w:val="auto"/>
                <w:w w:val="89"/>
              </w:rPr>
              <w:t>IT Services</w:t>
            </w:r>
          </w:p>
        </w:tc>
        <w:tc>
          <w:tcPr>
            <w:tcW w:w="90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9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tcPr>
          <w:p>
            <w:pPr>
              <w:jc w:val="right"/>
              <w:spacing w:after="0"/>
              <w:rPr>
                <w:sz w:val="20"/>
                <w:szCs w:val="20"/>
                <w:color w:val="auto"/>
              </w:rPr>
            </w:pPr>
            <w:r>
              <w:rPr>
                <w:rFonts w:ascii="Arial" w:cs="Arial" w:eastAsia="Arial" w:hAnsi="Arial"/>
                <w:sz w:val="12"/>
                <w:szCs w:val="12"/>
                <w:color w:val="auto"/>
              </w:rPr>
              <w:t>2,156,250</w:t>
            </w:r>
          </w:p>
        </w:tc>
        <w:tc>
          <w:tcPr>
            <w:tcW w:w="220" w:type="dxa"/>
            <w:vAlign w:val="bottom"/>
          </w:tcPr>
          <w:p>
            <w:pPr>
              <w:spacing w:after="0"/>
              <w:rPr>
                <w:sz w:val="12"/>
                <w:szCs w:val="12"/>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82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9"/>
        </w:trPr>
        <w:tc>
          <w:tcPr>
            <w:tcW w:w="3400" w:type="dxa"/>
            <w:vAlign w:val="bottom"/>
            <w:shd w:val="clear" w:color="auto" w:fill="CCECFF"/>
          </w:tcPr>
          <w:p>
            <w:pPr>
              <w:spacing w:after="0"/>
              <w:rPr>
                <w:sz w:val="20"/>
                <w:szCs w:val="20"/>
                <w:color w:val="auto"/>
              </w:rPr>
            </w:pPr>
            <w:r>
              <w:rPr>
                <w:rFonts w:ascii="Arial" w:cs="Arial" w:eastAsia="Arial" w:hAnsi="Arial"/>
                <w:sz w:val="12"/>
                <w:szCs w:val="12"/>
                <w:color w:val="auto"/>
              </w:rPr>
              <w:t>American Auto Auction Group, LLC</w:t>
            </w:r>
          </w:p>
        </w:tc>
        <w:tc>
          <w:tcPr>
            <w:tcW w:w="960" w:type="dxa"/>
            <w:vAlign w:val="bottom"/>
            <w:shd w:val="clear" w:color="auto" w:fill="CCECFF"/>
          </w:tcPr>
          <w:p>
            <w:pPr>
              <w:jc w:val="center"/>
              <w:ind w:left="102"/>
              <w:spacing w:after="0"/>
              <w:rPr>
                <w:sz w:val="20"/>
                <w:szCs w:val="20"/>
                <w:color w:val="auto"/>
              </w:rPr>
            </w:pPr>
            <w:r>
              <w:rPr>
                <w:rFonts w:ascii="Arial" w:cs="Arial" w:eastAsia="Arial" w:hAnsi="Arial"/>
                <w:sz w:val="12"/>
                <w:szCs w:val="12"/>
                <w:color w:val="auto"/>
                <w:w w:val="86"/>
              </w:rPr>
              <w:t>01/02/2024</w:t>
            </w:r>
          </w:p>
        </w:tc>
        <w:tc>
          <w:tcPr>
            <w:tcW w:w="2480" w:type="dxa"/>
            <w:vAlign w:val="bottom"/>
            <w:gridSpan w:val="2"/>
            <w:shd w:val="clear" w:color="auto" w:fill="CCECFF"/>
          </w:tcPr>
          <w:p>
            <w:pPr>
              <w:jc w:val="center"/>
              <w:ind w:right="100"/>
              <w:spacing w:after="0"/>
              <w:rPr>
                <w:sz w:val="20"/>
                <w:szCs w:val="20"/>
                <w:color w:val="auto"/>
              </w:rPr>
            </w:pPr>
            <w:r>
              <w:rPr>
                <w:rFonts w:ascii="Arial" w:cs="Arial" w:eastAsia="Arial" w:hAnsi="Arial"/>
                <w:sz w:val="12"/>
                <w:szCs w:val="12"/>
                <w:color w:val="auto"/>
                <w:w w:val="87"/>
              </w:rPr>
              <w:t>Transportation: Consumer</w:t>
            </w:r>
          </w:p>
        </w:tc>
        <w:tc>
          <w:tcPr>
            <w:tcW w:w="90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6.60%</w:t>
            </w: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3M L+475</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7,446,285</w:t>
            </w:r>
          </w:p>
        </w:tc>
        <w:tc>
          <w:tcPr>
            <w:tcW w:w="90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7,366,113</w:t>
            </w:r>
          </w:p>
        </w:tc>
        <w:tc>
          <w:tcPr>
            <w:tcW w:w="220" w:type="dxa"/>
            <w:vAlign w:val="bottom"/>
            <w:shd w:val="clear" w:color="auto" w:fill="CCECFF"/>
          </w:tcPr>
          <w:p>
            <w:pPr>
              <w:spacing w:after="0"/>
              <w:rPr>
                <w:sz w:val="12"/>
                <w:szCs w:val="12"/>
                <w:color w:val="auto"/>
              </w:rPr>
            </w:pPr>
          </w:p>
        </w:tc>
        <w:tc>
          <w:tcPr>
            <w:tcW w:w="7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7,371,822</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400" w:type="dxa"/>
            <w:vAlign w:val="bottom"/>
          </w:tcPr>
          <w:p>
            <w:pPr>
              <w:spacing w:after="0"/>
              <w:rPr>
                <w:sz w:val="20"/>
                <w:szCs w:val="20"/>
                <w:color w:val="auto"/>
              </w:rPr>
            </w:pPr>
            <w:r>
              <w:rPr>
                <w:rFonts w:ascii="Arial" w:cs="Arial" w:eastAsia="Arial" w:hAnsi="Arial"/>
                <w:sz w:val="12"/>
                <w:szCs w:val="12"/>
                <w:color w:val="auto"/>
              </w:rPr>
              <w:t>American Insulated Glass, LLC</w:t>
            </w:r>
          </w:p>
        </w:tc>
        <w:tc>
          <w:tcPr>
            <w:tcW w:w="960" w:type="dxa"/>
            <w:vAlign w:val="bottom"/>
          </w:tcPr>
          <w:p>
            <w:pPr>
              <w:jc w:val="center"/>
              <w:ind w:left="102"/>
              <w:spacing w:after="0"/>
              <w:rPr>
                <w:sz w:val="20"/>
                <w:szCs w:val="20"/>
                <w:color w:val="auto"/>
              </w:rPr>
            </w:pPr>
            <w:r>
              <w:rPr>
                <w:rFonts w:ascii="Arial" w:cs="Arial" w:eastAsia="Arial" w:hAnsi="Arial"/>
                <w:sz w:val="12"/>
                <w:szCs w:val="12"/>
                <w:color w:val="auto"/>
                <w:w w:val="86"/>
              </w:rPr>
              <w:t>12/21/2023</w:t>
            </w:r>
          </w:p>
        </w:tc>
        <w:tc>
          <w:tcPr>
            <w:tcW w:w="2480" w:type="dxa"/>
            <w:vAlign w:val="bottom"/>
            <w:gridSpan w:val="2"/>
          </w:tcPr>
          <w:p>
            <w:pPr>
              <w:jc w:val="center"/>
              <w:ind w:right="100"/>
              <w:spacing w:after="0"/>
              <w:rPr>
                <w:sz w:val="20"/>
                <w:szCs w:val="20"/>
                <w:color w:val="auto"/>
              </w:rPr>
            </w:pPr>
            <w:r>
              <w:rPr>
                <w:rFonts w:ascii="Arial" w:cs="Arial" w:eastAsia="Arial" w:hAnsi="Arial"/>
                <w:sz w:val="12"/>
                <w:szCs w:val="12"/>
                <w:color w:val="auto"/>
                <w:w w:val="92"/>
              </w:rPr>
              <w:t>Building Products</w:t>
            </w:r>
          </w:p>
        </w:tc>
        <w:tc>
          <w:tcPr>
            <w:tcW w:w="900" w:type="dxa"/>
            <w:vAlign w:val="bottom"/>
            <w:gridSpan w:val="2"/>
          </w:tcPr>
          <w:p>
            <w:pPr>
              <w:jc w:val="right"/>
              <w:ind w:right="140"/>
              <w:spacing w:after="0"/>
              <w:rPr>
                <w:sz w:val="20"/>
                <w:szCs w:val="20"/>
                <w:color w:val="auto"/>
              </w:rPr>
            </w:pPr>
            <w:r>
              <w:rPr>
                <w:rFonts w:ascii="Arial" w:cs="Arial" w:eastAsia="Arial" w:hAnsi="Arial"/>
                <w:sz w:val="12"/>
                <w:szCs w:val="12"/>
                <w:color w:val="auto"/>
              </w:rPr>
              <w:t>7.79%</w:t>
            </w:r>
          </w:p>
        </w:tc>
        <w:tc>
          <w:tcPr>
            <w:tcW w:w="900" w:type="dxa"/>
            <w:vAlign w:val="bottom"/>
            <w:gridSpan w:val="2"/>
          </w:tcPr>
          <w:p>
            <w:pPr>
              <w:jc w:val="right"/>
              <w:ind w:right="240"/>
              <w:spacing w:after="0"/>
              <w:rPr>
                <w:sz w:val="20"/>
                <w:szCs w:val="20"/>
                <w:color w:val="auto"/>
              </w:rPr>
            </w:pPr>
            <w:r>
              <w:rPr>
                <w:rFonts w:ascii="Arial" w:cs="Arial" w:eastAsia="Arial" w:hAnsi="Arial"/>
                <w:sz w:val="12"/>
                <w:szCs w:val="12"/>
                <w:color w:val="auto"/>
              </w:rPr>
              <w:t>3M L+550</w:t>
            </w:r>
          </w:p>
        </w:tc>
        <w:tc>
          <w:tcPr>
            <w:tcW w:w="660" w:type="dxa"/>
            <w:vAlign w:val="bottom"/>
          </w:tcPr>
          <w:p>
            <w:pPr>
              <w:jc w:val="right"/>
              <w:spacing w:after="0"/>
              <w:rPr>
                <w:sz w:val="20"/>
                <w:szCs w:val="20"/>
                <w:color w:val="auto"/>
              </w:rPr>
            </w:pPr>
            <w:r>
              <w:rPr>
                <w:rFonts w:ascii="Arial" w:cs="Arial" w:eastAsia="Arial" w:hAnsi="Arial"/>
                <w:sz w:val="12"/>
                <w:szCs w:val="12"/>
                <w:color w:val="auto"/>
              </w:rPr>
              <w:t>14,887,500</w:t>
            </w:r>
          </w:p>
        </w:tc>
        <w:tc>
          <w:tcPr>
            <w:tcW w:w="900" w:type="dxa"/>
            <w:vAlign w:val="bottom"/>
            <w:gridSpan w:val="2"/>
          </w:tcPr>
          <w:p>
            <w:pPr>
              <w:jc w:val="right"/>
              <w:spacing w:after="0"/>
              <w:rPr>
                <w:sz w:val="20"/>
                <w:szCs w:val="20"/>
                <w:color w:val="auto"/>
              </w:rPr>
            </w:pPr>
            <w:r>
              <w:rPr>
                <w:rFonts w:ascii="Arial" w:cs="Arial" w:eastAsia="Arial" w:hAnsi="Arial"/>
                <w:sz w:val="12"/>
                <w:szCs w:val="12"/>
                <w:color w:val="auto"/>
              </w:rPr>
              <w:t>14,645,994</w:t>
            </w:r>
          </w:p>
        </w:tc>
        <w:tc>
          <w:tcPr>
            <w:tcW w:w="22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14,589,750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400" w:type="dxa"/>
            <w:vAlign w:val="bottom"/>
            <w:shd w:val="clear" w:color="auto" w:fill="CCECFF"/>
          </w:tcPr>
          <w:p>
            <w:pPr>
              <w:spacing w:after="0" w:line="149" w:lineRule="exact"/>
              <w:rPr>
                <w:sz w:val="20"/>
                <w:szCs w:val="20"/>
                <w:color w:val="auto"/>
              </w:rPr>
            </w:pPr>
            <w:r>
              <w:rPr>
                <w:rFonts w:ascii="Arial" w:cs="Arial" w:eastAsia="Arial" w:hAnsi="Arial"/>
                <w:sz w:val="11"/>
                <w:szCs w:val="11"/>
                <w:color w:val="auto"/>
              </w:rPr>
              <w:t xml:space="preserve">American Insulated Glass, LLC </w:t>
            </w:r>
            <w:r>
              <w:rPr>
                <w:rFonts w:ascii="Arial" w:cs="Arial" w:eastAsia="Arial" w:hAnsi="Arial"/>
                <w:sz w:val="17"/>
                <w:szCs w:val="17"/>
                <w:color w:val="auto"/>
                <w:vertAlign w:val="superscript"/>
              </w:rPr>
              <w:t>(7), (9)</w:t>
            </w:r>
          </w:p>
        </w:tc>
        <w:tc>
          <w:tcPr>
            <w:tcW w:w="960" w:type="dxa"/>
            <w:vAlign w:val="bottom"/>
            <w:shd w:val="clear" w:color="auto" w:fill="CCECFF"/>
          </w:tcPr>
          <w:p>
            <w:pPr>
              <w:jc w:val="center"/>
              <w:ind w:left="102"/>
              <w:spacing w:after="0"/>
              <w:rPr>
                <w:sz w:val="20"/>
                <w:szCs w:val="20"/>
                <w:color w:val="auto"/>
              </w:rPr>
            </w:pPr>
            <w:r>
              <w:rPr>
                <w:rFonts w:ascii="Arial" w:cs="Arial" w:eastAsia="Arial" w:hAnsi="Arial"/>
                <w:sz w:val="12"/>
                <w:szCs w:val="12"/>
                <w:color w:val="auto"/>
                <w:w w:val="86"/>
              </w:rPr>
              <w:t>12/21/2023</w:t>
            </w:r>
          </w:p>
        </w:tc>
        <w:tc>
          <w:tcPr>
            <w:tcW w:w="2480" w:type="dxa"/>
            <w:vAlign w:val="bottom"/>
            <w:gridSpan w:val="2"/>
            <w:shd w:val="clear" w:color="auto" w:fill="CCECFF"/>
          </w:tcPr>
          <w:p>
            <w:pPr>
              <w:jc w:val="center"/>
              <w:ind w:right="100"/>
              <w:spacing w:after="0"/>
              <w:rPr>
                <w:sz w:val="20"/>
                <w:szCs w:val="20"/>
                <w:color w:val="auto"/>
              </w:rPr>
            </w:pPr>
            <w:r>
              <w:rPr>
                <w:rFonts w:ascii="Arial" w:cs="Arial" w:eastAsia="Arial" w:hAnsi="Arial"/>
                <w:sz w:val="12"/>
                <w:szCs w:val="12"/>
                <w:color w:val="auto"/>
                <w:w w:val="92"/>
              </w:rPr>
              <w:t>Building Products</w:t>
            </w:r>
          </w:p>
        </w:tc>
        <w:tc>
          <w:tcPr>
            <w:tcW w:w="900" w:type="dxa"/>
            <w:vAlign w:val="bottom"/>
            <w:gridSpan w:val="2"/>
            <w:shd w:val="clear" w:color="auto" w:fill="CCECFF"/>
          </w:tcPr>
          <w:p>
            <w:pPr>
              <w:jc w:val="right"/>
              <w:ind w:right="260"/>
              <w:spacing w:after="0"/>
              <w:rPr>
                <w:sz w:val="20"/>
                <w:szCs w:val="20"/>
                <w:color w:val="auto"/>
              </w:rPr>
            </w:pPr>
            <w:r>
              <w:rPr>
                <w:rFonts w:ascii="Arial" w:cs="Arial" w:eastAsia="Arial" w:hAnsi="Arial"/>
                <w:sz w:val="12"/>
                <w:szCs w:val="12"/>
                <w:color w:val="auto"/>
              </w:rPr>
              <w:t>—</w:t>
            </w: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649,351</w:t>
            </w:r>
          </w:p>
        </w:tc>
        <w:tc>
          <w:tcPr>
            <w:tcW w:w="220" w:type="dxa"/>
            <w:vAlign w:val="bottom"/>
            <w:shd w:val="clear" w:color="auto" w:fill="CCECFF"/>
          </w:tcPr>
          <w:p>
            <w:pPr>
              <w:spacing w:after="0"/>
              <w:rPr>
                <w:sz w:val="12"/>
                <w:szCs w:val="12"/>
                <w:color w:val="auto"/>
              </w:rPr>
            </w:pP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820" w:type="dxa"/>
            <w:vAlign w:val="bottom"/>
            <w:gridSpan w:val="2"/>
            <w:shd w:val="clear" w:color="auto" w:fill="CCECFF"/>
          </w:tcPr>
          <w:p>
            <w:pPr>
              <w:jc w:val="right"/>
              <w:ind w:right="60"/>
              <w:spacing w:after="0"/>
              <w:rPr>
                <w:sz w:val="20"/>
                <w:szCs w:val="20"/>
                <w:color w:val="auto"/>
              </w:rPr>
            </w:pPr>
            <w:r>
              <w:rPr>
                <w:rFonts w:ascii="Arial" w:cs="Arial" w:eastAsia="Arial" w:hAnsi="Arial"/>
                <w:sz w:val="12"/>
                <w:szCs w:val="12"/>
                <w:color w:val="auto"/>
              </w:rPr>
              <w:t>(12,987)</w:t>
            </w:r>
          </w:p>
        </w:tc>
        <w:tc>
          <w:tcPr>
            <w:tcW w:w="0" w:type="dxa"/>
            <w:vAlign w:val="bottom"/>
          </w:tcPr>
          <w:p>
            <w:pPr>
              <w:spacing w:after="0"/>
              <w:rPr>
                <w:sz w:val="1"/>
                <w:szCs w:val="1"/>
                <w:color w:val="auto"/>
              </w:rPr>
            </w:pPr>
          </w:p>
        </w:tc>
      </w:tr>
      <w:tr>
        <w:trPr>
          <w:trHeight w:val="148"/>
        </w:trPr>
        <w:tc>
          <w:tcPr>
            <w:tcW w:w="3400" w:type="dxa"/>
            <w:vAlign w:val="bottom"/>
          </w:tcPr>
          <w:p>
            <w:pPr>
              <w:spacing w:after="0"/>
              <w:rPr>
                <w:sz w:val="20"/>
                <w:szCs w:val="20"/>
                <w:color w:val="auto"/>
              </w:rPr>
            </w:pPr>
            <w:r>
              <w:rPr>
                <w:rFonts w:ascii="Arial" w:cs="Arial" w:eastAsia="Arial" w:hAnsi="Arial"/>
                <w:sz w:val="12"/>
                <w:szCs w:val="12"/>
                <w:color w:val="auto"/>
              </w:rPr>
              <w:t>American Teleconferencing Services, Ltd.</w:t>
            </w:r>
          </w:p>
        </w:tc>
        <w:tc>
          <w:tcPr>
            <w:tcW w:w="960" w:type="dxa"/>
            <w:vAlign w:val="bottom"/>
          </w:tcPr>
          <w:p>
            <w:pPr>
              <w:jc w:val="center"/>
              <w:ind w:left="102"/>
              <w:spacing w:after="0"/>
              <w:rPr>
                <w:sz w:val="20"/>
                <w:szCs w:val="20"/>
                <w:color w:val="auto"/>
              </w:rPr>
            </w:pPr>
            <w:r>
              <w:rPr>
                <w:rFonts w:ascii="Arial" w:cs="Arial" w:eastAsia="Arial" w:hAnsi="Arial"/>
                <w:sz w:val="12"/>
                <w:szCs w:val="12"/>
                <w:color w:val="auto"/>
                <w:w w:val="86"/>
              </w:rPr>
              <w:t>12/08/2021</w:t>
            </w:r>
          </w:p>
        </w:tc>
        <w:tc>
          <w:tcPr>
            <w:tcW w:w="2480" w:type="dxa"/>
            <w:vAlign w:val="bottom"/>
            <w:gridSpan w:val="2"/>
          </w:tcPr>
          <w:p>
            <w:pPr>
              <w:jc w:val="center"/>
              <w:ind w:right="100"/>
              <w:spacing w:after="0"/>
              <w:rPr>
                <w:sz w:val="20"/>
                <w:szCs w:val="20"/>
                <w:color w:val="auto"/>
              </w:rPr>
            </w:pPr>
            <w:r>
              <w:rPr>
                <w:rFonts w:ascii="Arial" w:cs="Arial" w:eastAsia="Arial" w:hAnsi="Arial"/>
                <w:sz w:val="12"/>
                <w:szCs w:val="12"/>
                <w:color w:val="auto"/>
                <w:w w:val="89"/>
              </w:rPr>
              <w:t>Telecommunications</w:t>
            </w:r>
          </w:p>
        </w:tc>
        <w:tc>
          <w:tcPr>
            <w:tcW w:w="900" w:type="dxa"/>
            <w:vAlign w:val="bottom"/>
            <w:gridSpan w:val="2"/>
          </w:tcPr>
          <w:p>
            <w:pPr>
              <w:jc w:val="right"/>
              <w:ind w:right="140"/>
              <w:spacing w:after="0"/>
              <w:rPr>
                <w:sz w:val="20"/>
                <w:szCs w:val="20"/>
                <w:color w:val="auto"/>
              </w:rPr>
            </w:pPr>
            <w:r>
              <w:rPr>
                <w:rFonts w:ascii="Arial" w:cs="Arial" w:eastAsia="Arial" w:hAnsi="Arial"/>
                <w:sz w:val="12"/>
                <w:szCs w:val="12"/>
                <w:color w:val="auto"/>
              </w:rPr>
              <w:t>8.40%</w:t>
            </w:r>
          </w:p>
        </w:tc>
        <w:tc>
          <w:tcPr>
            <w:tcW w:w="900" w:type="dxa"/>
            <w:vAlign w:val="bottom"/>
            <w:gridSpan w:val="2"/>
          </w:tcPr>
          <w:p>
            <w:pPr>
              <w:jc w:val="right"/>
              <w:ind w:right="240"/>
              <w:spacing w:after="0"/>
              <w:rPr>
                <w:sz w:val="20"/>
                <w:szCs w:val="20"/>
                <w:color w:val="auto"/>
              </w:rPr>
            </w:pPr>
            <w:r>
              <w:rPr>
                <w:rFonts w:ascii="Arial" w:cs="Arial" w:eastAsia="Arial" w:hAnsi="Arial"/>
                <w:sz w:val="12"/>
                <w:szCs w:val="12"/>
                <w:color w:val="auto"/>
              </w:rPr>
              <w:t>3M L+650</w:t>
            </w:r>
          </w:p>
        </w:tc>
        <w:tc>
          <w:tcPr>
            <w:tcW w:w="660" w:type="dxa"/>
            <w:vAlign w:val="bottom"/>
          </w:tcPr>
          <w:p>
            <w:pPr>
              <w:jc w:val="right"/>
              <w:spacing w:after="0"/>
              <w:rPr>
                <w:sz w:val="20"/>
                <w:szCs w:val="20"/>
                <w:color w:val="auto"/>
              </w:rPr>
            </w:pPr>
            <w:r>
              <w:rPr>
                <w:rFonts w:ascii="Arial" w:cs="Arial" w:eastAsia="Arial" w:hAnsi="Arial"/>
                <w:sz w:val="12"/>
                <w:szCs w:val="12"/>
                <w:color w:val="auto"/>
              </w:rPr>
              <w:t>9,664,269</w:t>
            </w:r>
          </w:p>
        </w:tc>
        <w:tc>
          <w:tcPr>
            <w:tcW w:w="900" w:type="dxa"/>
            <w:vAlign w:val="bottom"/>
            <w:gridSpan w:val="2"/>
          </w:tcPr>
          <w:p>
            <w:pPr>
              <w:jc w:val="right"/>
              <w:spacing w:after="0"/>
              <w:rPr>
                <w:sz w:val="20"/>
                <w:szCs w:val="20"/>
                <w:color w:val="auto"/>
              </w:rPr>
            </w:pPr>
            <w:r>
              <w:rPr>
                <w:rFonts w:ascii="Arial" w:cs="Arial" w:eastAsia="Arial" w:hAnsi="Arial"/>
                <w:sz w:val="12"/>
                <w:szCs w:val="12"/>
                <w:color w:val="auto"/>
              </w:rPr>
              <w:t>9,590,682</w:t>
            </w:r>
          </w:p>
        </w:tc>
        <w:tc>
          <w:tcPr>
            <w:tcW w:w="22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6,958,274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400" w:type="dxa"/>
            <w:vAlign w:val="bottom"/>
            <w:shd w:val="clear" w:color="auto" w:fill="CCECFF"/>
          </w:tcPr>
          <w:p>
            <w:pPr>
              <w:spacing w:after="0"/>
              <w:rPr>
                <w:sz w:val="20"/>
                <w:szCs w:val="20"/>
                <w:color w:val="auto"/>
              </w:rPr>
            </w:pPr>
            <w:r>
              <w:rPr>
                <w:rFonts w:ascii="Arial" w:cs="Arial" w:eastAsia="Arial" w:hAnsi="Arial"/>
                <w:sz w:val="12"/>
                <w:szCs w:val="12"/>
                <w:color w:val="auto"/>
              </w:rPr>
              <w:t>API Holdings III Corp.</w:t>
            </w:r>
          </w:p>
        </w:tc>
        <w:tc>
          <w:tcPr>
            <w:tcW w:w="960" w:type="dxa"/>
            <w:vAlign w:val="bottom"/>
            <w:shd w:val="clear" w:color="auto" w:fill="CCECFF"/>
          </w:tcPr>
          <w:p>
            <w:pPr>
              <w:jc w:val="center"/>
              <w:ind w:left="102"/>
              <w:spacing w:after="0"/>
              <w:rPr>
                <w:sz w:val="20"/>
                <w:szCs w:val="20"/>
                <w:color w:val="auto"/>
              </w:rPr>
            </w:pPr>
            <w:r>
              <w:rPr>
                <w:rFonts w:ascii="Arial" w:cs="Arial" w:eastAsia="Arial" w:hAnsi="Arial"/>
                <w:sz w:val="12"/>
                <w:szCs w:val="12"/>
                <w:color w:val="auto"/>
                <w:w w:val="86"/>
              </w:rPr>
              <w:t>05/11/2026</w:t>
            </w:r>
          </w:p>
        </w:tc>
        <w:tc>
          <w:tcPr>
            <w:tcW w:w="2480" w:type="dxa"/>
            <w:vAlign w:val="bottom"/>
            <w:gridSpan w:val="2"/>
            <w:shd w:val="clear" w:color="auto" w:fill="CCECFF"/>
          </w:tcPr>
          <w:p>
            <w:pPr>
              <w:jc w:val="center"/>
              <w:ind w:right="100"/>
              <w:spacing w:after="0"/>
              <w:rPr>
                <w:sz w:val="20"/>
                <w:szCs w:val="20"/>
                <w:color w:val="auto"/>
              </w:rPr>
            </w:pPr>
            <w:r>
              <w:rPr>
                <w:rFonts w:ascii="Arial" w:cs="Arial" w:eastAsia="Arial" w:hAnsi="Arial"/>
                <w:sz w:val="12"/>
                <w:szCs w:val="12"/>
                <w:color w:val="auto"/>
                <w:w w:val="88"/>
              </w:rPr>
              <w:t>Electronic Equipment, Instruments, and</w:t>
            </w:r>
          </w:p>
        </w:tc>
        <w:tc>
          <w:tcPr>
            <w:tcW w:w="66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66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66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7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3400" w:type="dxa"/>
            <w:vAlign w:val="bottom"/>
            <w:shd w:val="clear" w:color="auto" w:fill="CCECFF"/>
          </w:tcPr>
          <w:p>
            <w:pPr>
              <w:spacing w:after="0"/>
              <w:rPr>
                <w:sz w:val="12"/>
                <w:szCs w:val="12"/>
                <w:color w:val="auto"/>
              </w:rPr>
            </w:pPr>
          </w:p>
        </w:tc>
        <w:tc>
          <w:tcPr>
            <w:tcW w:w="960" w:type="dxa"/>
            <w:vAlign w:val="bottom"/>
            <w:shd w:val="clear" w:color="auto" w:fill="CCECFF"/>
          </w:tcPr>
          <w:p>
            <w:pPr>
              <w:spacing w:after="0"/>
              <w:rPr>
                <w:sz w:val="12"/>
                <w:szCs w:val="12"/>
                <w:color w:val="auto"/>
              </w:rPr>
            </w:pPr>
          </w:p>
        </w:tc>
        <w:tc>
          <w:tcPr>
            <w:tcW w:w="2480" w:type="dxa"/>
            <w:vAlign w:val="bottom"/>
            <w:gridSpan w:val="2"/>
            <w:shd w:val="clear" w:color="auto" w:fill="CCECFF"/>
          </w:tcPr>
          <w:p>
            <w:pPr>
              <w:jc w:val="center"/>
              <w:ind w:right="100"/>
              <w:spacing w:after="0"/>
              <w:rPr>
                <w:sz w:val="20"/>
                <w:szCs w:val="20"/>
                <w:color w:val="auto"/>
              </w:rPr>
            </w:pPr>
            <w:r>
              <w:rPr>
                <w:rFonts w:ascii="Arial" w:cs="Arial" w:eastAsia="Arial" w:hAnsi="Arial"/>
                <w:sz w:val="12"/>
                <w:szCs w:val="12"/>
                <w:color w:val="auto"/>
                <w:w w:val="85"/>
              </w:rPr>
              <w:t>Components</w:t>
            </w:r>
          </w:p>
        </w:tc>
        <w:tc>
          <w:tcPr>
            <w:tcW w:w="90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6.05%</w:t>
            </w: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1M L+425</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5,970,000</w:t>
            </w:r>
          </w:p>
        </w:tc>
        <w:tc>
          <w:tcPr>
            <w:tcW w:w="90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5,940,568</w:t>
            </w:r>
          </w:p>
        </w:tc>
        <w:tc>
          <w:tcPr>
            <w:tcW w:w="220" w:type="dxa"/>
            <w:vAlign w:val="bottom"/>
            <w:shd w:val="clear" w:color="auto" w:fill="CCECFF"/>
          </w:tcPr>
          <w:p>
            <w:pPr>
              <w:spacing w:after="0"/>
              <w:rPr>
                <w:sz w:val="12"/>
                <w:szCs w:val="12"/>
                <w:color w:val="auto"/>
              </w:rPr>
            </w:pPr>
          </w:p>
        </w:tc>
        <w:tc>
          <w:tcPr>
            <w:tcW w:w="7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5,940,150</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400" w:type="dxa"/>
            <w:vAlign w:val="bottom"/>
          </w:tcPr>
          <w:p>
            <w:pPr>
              <w:spacing w:after="0"/>
              <w:rPr>
                <w:sz w:val="20"/>
                <w:szCs w:val="20"/>
                <w:color w:val="auto"/>
              </w:rPr>
            </w:pPr>
            <w:r>
              <w:rPr>
                <w:rFonts w:ascii="Arial" w:cs="Arial" w:eastAsia="Arial" w:hAnsi="Arial"/>
                <w:sz w:val="12"/>
                <w:szCs w:val="12"/>
                <w:color w:val="auto"/>
              </w:rPr>
              <w:t>BEI Precision Systems &amp; Space Company, Inc.</w:t>
            </w:r>
          </w:p>
        </w:tc>
        <w:tc>
          <w:tcPr>
            <w:tcW w:w="960" w:type="dxa"/>
            <w:vAlign w:val="bottom"/>
          </w:tcPr>
          <w:p>
            <w:pPr>
              <w:jc w:val="center"/>
              <w:ind w:left="102"/>
              <w:spacing w:after="0"/>
              <w:rPr>
                <w:sz w:val="20"/>
                <w:szCs w:val="20"/>
                <w:color w:val="auto"/>
              </w:rPr>
            </w:pPr>
            <w:r>
              <w:rPr>
                <w:rFonts w:ascii="Arial" w:cs="Arial" w:eastAsia="Arial" w:hAnsi="Arial"/>
                <w:sz w:val="12"/>
                <w:szCs w:val="12"/>
                <w:color w:val="auto"/>
                <w:w w:val="86"/>
              </w:rPr>
              <w:t>04/28/2023</w:t>
            </w:r>
          </w:p>
        </w:tc>
        <w:tc>
          <w:tcPr>
            <w:tcW w:w="2480" w:type="dxa"/>
            <w:vAlign w:val="bottom"/>
            <w:gridSpan w:val="2"/>
          </w:tcPr>
          <w:p>
            <w:pPr>
              <w:jc w:val="center"/>
              <w:ind w:right="100"/>
              <w:spacing w:after="0"/>
              <w:rPr>
                <w:sz w:val="20"/>
                <w:szCs w:val="20"/>
                <w:color w:val="auto"/>
              </w:rPr>
            </w:pPr>
            <w:r>
              <w:rPr>
                <w:rFonts w:ascii="Arial" w:cs="Arial" w:eastAsia="Arial" w:hAnsi="Arial"/>
                <w:sz w:val="12"/>
                <w:szCs w:val="12"/>
                <w:color w:val="auto"/>
                <w:w w:val="85"/>
              </w:rPr>
              <w:t>Aerospace and Defense</w:t>
            </w:r>
          </w:p>
        </w:tc>
        <w:tc>
          <w:tcPr>
            <w:tcW w:w="900" w:type="dxa"/>
            <w:vAlign w:val="bottom"/>
            <w:gridSpan w:val="2"/>
          </w:tcPr>
          <w:p>
            <w:pPr>
              <w:jc w:val="right"/>
              <w:ind w:right="140"/>
              <w:spacing w:after="0"/>
              <w:rPr>
                <w:sz w:val="20"/>
                <w:szCs w:val="20"/>
                <w:color w:val="auto"/>
              </w:rPr>
            </w:pPr>
            <w:r>
              <w:rPr>
                <w:rFonts w:ascii="Arial" w:cs="Arial" w:eastAsia="Arial" w:hAnsi="Arial"/>
                <w:sz w:val="12"/>
                <w:szCs w:val="12"/>
                <w:color w:val="auto"/>
              </w:rPr>
              <w:t>7.45%</w:t>
            </w:r>
          </w:p>
        </w:tc>
        <w:tc>
          <w:tcPr>
            <w:tcW w:w="900" w:type="dxa"/>
            <w:vAlign w:val="bottom"/>
            <w:gridSpan w:val="2"/>
          </w:tcPr>
          <w:p>
            <w:pPr>
              <w:jc w:val="right"/>
              <w:ind w:right="240"/>
              <w:spacing w:after="0"/>
              <w:rPr>
                <w:sz w:val="20"/>
                <w:szCs w:val="20"/>
                <w:color w:val="auto"/>
              </w:rPr>
            </w:pPr>
            <w:r>
              <w:rPr>
                <w:rFonts w:ascii="Arial" w:cs="Arial" w:eastAsia="Arial" w:hAnsi="Arial"/>
                <w:sz w:val="12"/>
                <w:szCs w:val="12"/>
                <w:color w:val="auto"/>
              </w:rPr>
              <w:t>3M L+550</w:t>
            </w:r>
          </w:p>
        </w:tc>
        <w:tc>
          <w:tcPr>
            <w:tcW w:w="660" w:type="dxa"/>
            <w:vAlign w:val="bottom"/>
          </w:tcPr>
          <w:p>
            <w:pPr>
              <w:jc w:val="right"/>
              <w:spacing w:after="0"/>
              <w:rPr>
                <w:sz w:val="20"/>
                <w:szCs w:val="20"/>
                <w:color w:val="auto"/>
              </w:rPr>
            </w:pPr>
            <w:r>
              <w:rPr>
                <w:rFonts w:ascii="Arial" w:cs="Arial" w:eastAsia="Arial" w:hAnsi="Arial"/>
                <w:sz w:val="12"/>
                <w:szCs w:val="12"/>
                <w:color w:val="auto"/>
              </w:rPr>
              <w:t>11,695,406</w:t>
            </w:r>
          </w:p>
        </w:tc>
        <w:tc>
          <w:tcPr>
            <w:tcW w:w="900" w:type="dxa"/>
            <w:vAlign w:val="bottom"/>
            <w:gridSpan w:val="2"/>
          </w:tcPr>
          <w:p>
            <w:pPr>
              <w:jc w:val="right"/>
              <w:spacing w:after="0"/>
              <w:rPr>
                <w:sz w:val="20"/>
                <w:szCs w:val="20"/>
                <w:color w:val="auto"/>
              </w:rPr>
            </w:pPr>
            <w:r>
              <w:rPr>
                <w:rFonts w:ascii="Arial" w:cs="Arial" w:eastAsia="Arial" w:hAnsi="Arial"/>
                <w:sz w:val="12"/>
                <w:szCs w:val="12"/>
                <w:color w:val="auto"/>
              </w:rPr>
              <w:t>11,621,807</w:t>
            </w:r>
          </w:p>
        </w:tc>
        <w:tc>
          <w:tcPr>
            <w:tcW w:w="22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11,578,452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400" w:type="dxa"/>
            <w:vAlign w:val="bottom"/>
            <w:shd w:val="clear" w:color="auto" w:fill="CCECFF"/>
          </w:tcPr>
          <w:p>
            <w:pPr>
              <w:spacing w:after="0"/>
              <w:rPr>
                <w:sz w:val="20"/>
                <w:szCs w:val="20"/>
                <w:color w:val="auto"/>
              </w:rPr>
            </w:pPr>
            <w:r>
              <w:rPr>
                <w:rFonts w:ascii="Arial" w:cs="Arial" w:eastAsia="Arial" w:hAnsi="Arial"/>
                <w:sz w:val="12"/>
                <w:szCs w:val="12"/>
                <w:color w:val="auto"/>
              </w:rPr>
              <w:t>By Light Professional IT Services, LLC</w:t>
            </w:r>
          </w:p>
        </w:tc>
        <w:tc>
          <w:tcPr>
            <w:tcW w:w="960" w:type="dxa"/>
            <w:vAlign w:val="bottom"/>
            <w:shd w:val="clear" w:color="auto" w:fill="CCECFF"/>
          </w:tcPr>
          <w:p>
            <w:pPr>
              <w:jc w:val="center"/>
              <w:ind w:left="102"/>
              <w:spacing w:after="0"/>
              <w:rPr>
                <w:sz w:val="20"/>
                <w:szCs w:val="20"/>
                <w:color w:val="auto"/>
              </w:rPr>
            </w:pPr>
            <w:r>
              <w:rPr>
                <w:rFonts w:ascii="Arial" w:cs="Arial" w:eastAsia="Arial" w:hAnsi="Arial"/>
                <w:sz w:val="12"/>
                <w:szCs w:val="12"/>
                <w:color w:val="auto"/>
                <w:w w:val="86"/>
              </w:rPr>
              <w:t>05/16/2022</w:t>
            </w:r>
          </w:p>
        </w:tc>
        <w:tc>
          <w:tcPr>
            <w:tcW w:w="2480" w:type="dxa"/>
            <w:vAlign w:val="bottom"/>
            <w:gridSpan w:val="2"/>
            <w:shd w:val="clear" w:color="auto" w:fill="CCECFF"/>
          </w:tcPr>
          <w:p>
            <w:pPr>
              <w:jc w:val="center"/>
              <w:ind w:right="100"/>
              <w:spacing w:after="0"/>
              <w:rPr>
                <w:sz w:val="20"/>
                <w:szCs w:val="20"/>
                <w:color w:val="auto"/>
              </w:rPr>
            </w:pPr>
            <w:r>
              <w:rPr>
                <w:rFonts w:ascii="Arial" w:cs="Arial" w:eastAsia="Arial" w:hAnsi="Arial"/>
                <w:sz w:val="12"/>
                <w:szCs w:val="12"/>
                <w:color w:val="auto"/>
                <w:w w:val="89"/>
              </w:rPr>
              <w:t>High Tech Industries</w:t>
            </w:r>
          </w:p>
        </w:tc>
        <w:tc>
          <w:tcPr>
            <w:tcW w:w="90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7.98%</w:t>
            </w: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3M L+625</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29,597,884</w:t>
            </w:r>
          </w:p>
        </w:tc>
        <w:tc>
          <w:tcPr>
            <w:tcW w:w="90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29,384,020</w:t>
            </w:r>
          </w:p>
        </w:tc>
        <w:tc>
          <w:tcPr>
            <w:tcW w:w="220" w:type="dxa"/>
            <w:vAlign w:val="bottom"/>
            <w:shd w:val="clear" w:color="auto" w:fill="CCECFF"/>
          </w:tcPr>
          <w:p>
            <w:pPr>
              <w:spacing w:after="0"/>
              <w:rPr>
                <w:sz w:val="12"/>
                <w:szCs w:val="12"/>
                <w:color w:val="auto"/>
              </w:rPr>
            </w:pPr>
          </w:p>
        </w:tc>
        <w:tc>
          <w:tcPr>
            <w:tcW w:w="7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29,597,884</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400" w:type="dxa"/>
            <w:vAlign w:val="bottom"/>
          </w:tcPr>
          <w:p>
            <w:pPr>
              <w:spacing w:after="0" w:line="149" w:lineRule="exact"/>
              <w:rPr>
                <w:sz w:val="20"/>
                <w:szCs w:val="20"/>
                <w:color w:val="auto"/>
              </w:rPr>
            </w:pPr>
            <w:r>
              <w:rPr>
                <w:rFonts w:ascii="Arial" w:cs="Arial" w:eastAsia="Arial" w:hAnsi="Arial"/>
                <w:sz w:val="11"/>
                <w:szCs w:val="11"/>
                <w:color w:val="auto"/>
              </w:rPr>
              <w:t xml:space="preserve">By Light Professional IT Services, LLC (Revolver) </w:t>
            </w:r>
            <w:r>
              <w:rPr>
                <w:rFonts w:ascii="Arial" w:cs="Arial" w:eastAsia="Arial" w:hAnsi="Arial"/>
                <w:sz w:val="17"/>
                <w:szCs w:val="17"/>
                <w:color w:val="auto"/>
                <w:vertAlign w:val="superscript"/>
              </w:rPr>
              <w:t>(7), (9)</w:t>
            </w:r>
          </w:p>
        </w:tc>
        <w:tc>
          <w:tcPr>
            <w:tcW w:w="960" w:type="dxa"/>
            <w:vAlign w:val="bottom"/>
          </w:tcPr>
          <w:p>
            <w:pPr>
              <w:jc w:val="center"/>
              <w:ind w:left="102"/>
              <w:spacing w:after="0"/>
              <w:rPr>
                <w:sz w:val="20"/>
                <w:szCs w:val="20"/>
                <w:color w:val="auto"/>
              </w:rPr>
            </w:pPr>
            <w:r>
              <w:rPr>
                <w:rFonts w:ascii="Arial" w:cs="Arial" w:eastAsia="Arial" w:hAnsi="Arial"/>
                <w:sz w:val="12"/>
                <w:szCs w:val="12"/>
                <w:color w:val="auto"/>
                <w:w w:val="86"/>
              </w:rPr>
              <w:t>05/16/2022</w:t>
            </w:r>
          </w:p>
        </w:tc>
        <w:tc>
          <w:tcPr>
            <w:tcW w:w="2480" w:type="dxa"/>
            <w:vAlign w:val="bottom"/>
            <w:gridSpan w:val="2"/>
          </w:tcPr>
          <w:p>
            <w:pPr>
              <w:jc w:val="center"/>
              <w:ind w:right="100"/>
              <w:spacing w:after="0"/>
              <w:rPr>
                <w:sz w:val="20"/>
                <w:szCs w:val="20"/>
                <w:color w:val="auto"/>
              </w:rPr>
            </w:pPr>
            <w:r>
              <w:rPr>
                <w:rFonts w:ascii="Arial" w:cs="Arial" w:eastAsia="Arial" w:hAnsi="Arial"/>
                <w:sz w:val="12"/>
                <w:szCs w:val="12"/>
                <w:color w:val="auto"/>
                <w:w w:val="89"/>
              </w:rPr>
              <w:t>High Tech Industries</w:t>
            </w:r>
          </w:p>
        </w:tc>
        <w:tc>
          <w:tcPr>
            <w:tcW w:w="90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9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tcPr>
          <w:p>
            <w:pPr>
              <w:jc w:val="right"/>
              <w:spacing w:after="0"/>
              <w:rPr>
                <w:sz w:val="20"/>
                <w:szCs w:val="20"/>
                <w:color w:val="auto"/>
              </w:rPr>
            </w:pPr>
            <w:r>
              <w:rPr>
                <w:rFonts w:ascii="Arial" w:cs="Arial" w:eastAsia="Arial" w:hAnsi="Arial"/>
                <w:sz w:val="12"/>
                <w:szCs w:val="12"/>
                <w:color w:val="auto"/>
              </w:rPr>
              <w:t>2,504,092</w:t>
            </w:r>
          </w:p>
        </w:tc>
        <w:tc>
          <w:tcPr>
            <w:tcW w:w="220" w:type="dxa"/>
            <w:vAlign w:val="bottom"/>
          </w:tcPr>
          <w:p>
            <w:pPr>
              <w:spacing w:after="0"/>
              <w:rPr>
                <w:sz w:val="12"/>
                <w:szCs w:val="12"/>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82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8"/>
        </w:trPr>
        <w:tc>
          <w:tcPr>
            <w:tcW w:w="3400" w:type="dxa"/>
            <w:vAlign w:val="bottom"/>
            <w:shd w:val="clear" w:color="auto" w:fill="CCECFF"/>
          </w:tcPr>
          <w:p>
            <w:pPr>
              <w:spacing w:after="0"/>
              <w:rPr>
                <w:sz w:val="20"/>
                <w:szCs w:val="20"/>
                <w:color w:val="auto"/>
              </w:rPr>
            </w:pPr>
            <w:r>
              <w:rPr>
                <w:rFonts w:ascii="Arial" w:cs="Arial" w:eastAsia="Arial" w:hAnsi="Arial"/>
                <w:sz w:val="12"/>
                <w:szCs w:val="12"/>
                <w:color w:val="auto"/>
              </w:rPr>
              <w:t>Cadence Aerospace, LLC</w:t>
            </w:r>
          </w:p>
        </w:tc>
        <w:tc>
          <w:tcPr>
            <w:tcW w:w="960" w:type="dxa"/>
            <w:vAlign w:val="bottom"/>
            <w:shd w:val="clear" w:color="auto" w:fill="CCECFF"/>
          </w:tcPr>
          <w:p>
            <w:pPr>
              <w:jc w:val="center"/>
              <w:ind w:left="102"/>
              <w:spacing w:after="0"/>
              <w:rPr>
                <w:sz w:val="20"/>
                <w:szCs w:val="20"/>
                <w:color w:val="auto"/>
              </w:rPr>
            </w:pPr>
            <w:r>
              <w:rPr>
                <w:rFonts w:ascii="Arial" w:cs="Arial" w:eastAsia="Arial" w:hAnsi="Arial"/>
                <w:sz w:val="12"/>
                <w:szCs w:val="12"/>
                <w:color w:val="auto"/>
                <w:w w:val="86"/>
              </w:rPr>
              <w:t>11/14/2023</w:t>
            </w:r>
          </w:p>
        </w:tc>
        <w:tc>
          <w:tcPr>
            <w:tcW w:w="2480" w:type="dxa"/>
            <w:vAlign w:val="bottom"/>
            <w:gridSpan w:val="2"/>
            <w:shd w:val="clear" w:color="auto" w:fill="CCECFF"/>
          </w:tcPr>
          <w:p>
            <w:pPr>
              <w:jc w:val="center"/>
              <w:ind w:right="100"/>
              <w:spacing w:after="0"/>
              <w:rPr>
                <w:sz w:val="20"/>
                <w:szCs w:val="20"/>
                <w:color w:val="auto"/>
              </w:rPr>
            </w:pPr>
            <w:r>
              <w:rPr>
                <w:rFonts w:ascii="Arial" w:cs="Arial" w:eastAsia="Arial" w:hAnsi="Arial"/>
                <w:sz w:val="12"/>
                <w:szCs w:val="12"/>
                <w:color w:val="auto"/>
                <w:w w:val="85"/>
              </w:rPr>
              <w:t>Aerospace and Defense</w:t>
            </w:r>
          </w:p>
        </w:tc>
        <w:tc>
          <w:tcPr>
            <w:tcW w:w="90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8.43%</w:t>
            </w: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3M L+650</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2,860,808</w:t>
            </w:r>
          </w:p>
        </w:tc>
        <w:tc>
          <w:tcPr>
            <w:tcW w:w="90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2,842,366</w:t>
            </w:r>
          </w:p>
        </w:tc>
        <w:tc>
          <w:tcPr>
            <w:tcW w:w="220" w:type="dxa"/>
            <w:vAlign w:val="bottom"/>
            <w:shd w:val="clear" w:color="auto" w:fill="CCECFF"/>
          </w:tcPr>
          <w:p>
            <w:pPr>
              <w:spacing w:after="0"/>
              <w:rPr>
                <w:sz w:val="12"/>
                <w:szCs w:val="12"/>
                <w:color w:val="auto"/>
              </w:rPr>
            </w:pPr>
          </w:p>
        </w:tc>
        <w:tc>
          <w:tcPr>
            <w:tcW w:w="7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2,857,375</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400" w:type="dxa"/>
            <w:vAlign w:val="bottom"/>
          </w:tcPr>
          <w:p>
            <w:pPr>
              <w:spacing w:after="0"/>
              <w:rPr>
                <w:sz w:val="20"/>
                <w:szCs w:val="20"/>
                <w:color w:val="auto"/>
              </w:rPr>
            </w:pPr>
            <w:r>
              <w:rPr>
                <w:rFonts w:ascii="Arial" w:cs="Arial" w:eastAsia="Arial" w:hAnsi="Arial"/>
                <w:sz w:val="12"/>
                <w:szCs w:val="12"/>
                <w:color w:val="auto"/>
              </w:rPr>
              <w:t>Cano Health, LLC</w:t>
            </w:r>
          </w:p>
        </w:tc>
        <w:tc>
          <w:tcPr>
            <w:tcW w:w="960" w:type="dxa"/>
            <w:vAlign w:val="bottom"/>
          </w:tcPr>
          <w:p>
            <w:pPr>
              <w:jc w:val="center"/>
              <w:ind w:left="102"/>
              <w:spacing w:after="0"/>
              <w:rPr>
                <w:sz w:val="20"/>
                <w:szCs w:val="20"/>
                <w:color w:val="auto"/>
              </w:rPr>
            </w:pPr>
            <w:r>
              <w:rPr>
                <w:rFonts w:ascii="Arial" w:cs="Arial" w:eastAsia="Arial" w:hAnsi="Arial"/>
                <w:sz w:val="12"/>
                <w:szCs w:val="12"/>
                <w:color w:val="auto"/>
                <w:w w:val="86"/>
              </w:rPr>
              <w:t>12/23/2021</w:t>
            </w:r>
          </w:p>
        </w:tc>
        <w:tc>
          <w:tcPr>
            <w:tcW w:w="2480" w:type="dxa"/>
            <w:vAlign w:val="bottom"/>
            <w:gridSpan w:val="2"/>
          </w:tcPr>
          <w:p>
            <w:pPr>
              <w:jc w:val="center"/>
              <w:ind w:right="100"/>
              <w:spacing w:after="0"/>
              <w:rPr>
                <w:sz w:val="20"/>
                <w:szCs w:val="20"/>
                <w:color w:val="auto"/>
              </w:rPr>
            </w:pPr>
            <w:r>
              <w:rPr>
                <w:rFonts w:ascii="Arial" w:cs="Arial" w:eastAsia="Arial" w:hAnsi="Arial"/>
                <w:sz w:val="12"/>
                <w:szCs w:val="12"/>
                <w:color w:val="auto"/>
                <w:w w:val="86"/>
              </w:rPr>
              <w:t>Healthcare and Pharmaceuticals</w:t>
            </w:r>
          </w:p>
        </w:tc>
        <w:tc>
          <w:tcPr>
            <w:tcW w:w="900" w:type="dxa"/>
            <w:vAlign w:val="bottom"/>
            <w:gridSpan w:val="2"/>
          </w:tcPr>
          <w:p>
            <w:pPr>
              <w:jc w:val="right"/>
              <w:ind w:right="140"/>
              <w:spacing w:after="0"/>
              <w:rPr>
                <w:sz w:val="20"/>
                <w:szCs w:val="20"/>
                <w:color w:val="auto"/>
              </w:rPr>
            </w:pPr>
            <w:r>
              <w:rPr>
                <w:rFonts w:ascii="Arial" w:cs="Arial" w:eastAsia="Arial" w:hAnsi="Arial"/>
                <w:sz w:val="12"/>
                <w:szCs w:val="12"/>
                <w:color w:val="auto"/>
              </w:rPr>
              <w:t>7.98%</w:t>
            </w:r>
          </w:p>
        </w:tc>
        <w:tc>
          <w:tcPr>
            <w:tcW w:w="900" w:type="dxa"/>
            <w:vAlign w:val="bottom"/>
            <w:gridSpan w:val="2"/>
          </w:tcPr>
          <w:p>
            <w:pPr>
              <w:jc w:val="right"/>
              <w:ind w:right="240"/>
              <w:spacing w:after="0"/>
              <w:rPr>
                <w:sz w:val="20"/>
                <w:szCs w:val="20"/>
                <w:color w:val="auto"/>
              </w:rPr>
            </w:pPr>
            <w:r>
              <w:rPr>
                <w:rFonts w:ascii="Arial" w:cs="Arial" w:eastAsia="Arial" w:hAnsi="Arial"/>
                <w:sz w:val="12"/>
                <w:szCs w:val="12"/>
                <w:color w:val="auto"/>
              </w:rPr>
              <w:t>1M L+650</w:t>
            </w:r>
          </w:p>
        </w:tc>
        <w:tc>
          <w:tcPr>
            <w:tcW w:w="660" w:type="dxa"/>
            <w:vAlign w:val="bottom"/>
          </w:tcPr>
          <w:p>
            <w:pPr>
              <w:jc w:val="right"/>
              <w:spacing w:after="0"/>
              <w:rPr>
                <w:sz w:val="20"/>
                <w:szCs w:val="20"/>
                <w:color w:val="auto"/>
              </w:rPr>
            </w:pPr>
            <w:r>
              <w:rPr>
                <w:rFonts w:ascii="Arial" w:cs="Arial" w:eastAsia="Arial" w:hAnsi="Arial"/>
                <w:sz w:val="12"/>
                <w:szCs w:val="12"/>
                <w:color w:val="auto"/>
              </w:rPr>
              <w:t>33,743,008</w:t>
            </w:r>
          </w:p>
        </w:tc>
        <w:tc>
          <w:tcPr>
            <w:tcW w:w="900" w:type="dxa"/>
            <w:vAlign w:val="bottom"/>
            <w:gridSpan w:val="2"/>
          </w:tcPr>
          <w:p>
            <w:pPr>
              <w:jc w:val="right"/>
              <w:spacing w:after="0"/>
              <w:rPr>
                <w:sz w:val="20"/>
                <w:szCs w:val="20"/>
                <w:color w:val="auto"/>
              </w:rPr>
            </w:pPr>
            <w:r>
              <w:rPr>
                <w:rFonts w:ascii="Arial" w:cs="Arial" w:eastAsia="Arial" w:hAnsi="Arial"/>
                <w:sz w:val="12"/>
                <w:szCs w:val="12"/>
                <w:color w:val="auto"/>
              </w:rPr>
              <w:t>33,449,063</w:t>
            </w:r>
          </w:p>
        </w:tc>
        <w:tc>
          <w:tcPr>
            <w:tcW w:w="22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33,743,008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400" w:type="dxa"/>
            <w:vAlign w:val="bottom"/>
            <w:shd w:val="clear" w:color="auto" w:fill="CCECFF"/>
          </w:tcPr>
          <w:p>
            <w:pPr>
              <w:spacing w:after="0"/>
              <w:rPr>
                <w:sz w:val="20"/>
                <w:szCs w:val="20"/>
                <w:color w:val="auto"/>
              </w:rPr>
            </w:pPr>
            <w:r>
              <w:rPr>
                <w:rFonts w:ascii="Arial" w:cs="Arial" w:eastAsia="Arial" w:hAnsi="Arial"/>
                <w:sz w:val="12"/>
                <w:szCs w:val="12"/>
                <w:color w:val="auto"/>
              </w:rPr>
              <w:t>Cardenas Markets LLC</w:t>
            </w:r>
          </w:p>
        </w:tc>
        <w:tc>
          <w:tcPr>
            <w:tcW w:w="960" w:type="dxa"/>
            <w:vAlign w:val="bottom"/>
            <w:shd w:val="clear" w:color="auto" w:fill="CCECFF"/>
          </w:tcPr>
          <w:p>
            <w:pPr>
              <w:jc w:val="center"/>
              <w:ind w:left="102"/>
              <w:spacing w:after="0"/>
              <w:rPr>
                <w:sz w:val="20"/>
                <w:szCs w:val="20"/>
                <w:color w:val="auto"/>
              </w:rPr>
            </w:pPr>
            <w:r>
              <w:rPr>
                <w:rFonts w:ascii="Arial" w:cs="Arial" w:eastAsia="Arial" w:hAnsi="Arial"/>
                <w:sz w:val="12"/>
                <w:szCs w:val="12"/>
                <w:color w:val="auto"/>
                <w:w w:val="86"/>
              </w:rPr>
              <w:t>11/29/2023</w:t>
            </w:r>
          </w:p>
        </w:tc>
        <w:tc>
          <w:tcPr>
            <w:tcW w:w="2480" w:type="dxa"/>
            <w:vAlign w:val="bottom"/>
            <w:gridSpan w:val="2"/>
            <w:shd w:val="clear" w:color="auto" w:fill="CCECFF"/>
          </w:tcPr>
          <w:p>
            <w:pPr>
              <w:jc w:val="center"/>
              <w:ind w:right="100"/>
              <w:spacing w:after="0"/>
              <w:rPr>
                <w:sz w:val="20"/>
                <w:szCs w:val="20"/>
                <w:color w:val="auto"/>
              </w:rPr>
            </w:pPr>
            <w:r>
              <w:rPr>
                <w:rFonts w:ascii="Arial" w:cs="Arial" w:eastAsia="Arial" w:hAnsi="Arial"/>
                <w:sz w:val="12"/>
                <w:szCs w:val="12"/>
                <w:color w:val="auto"/>
                <w:w w:val="87"/>
              </w:rPr>
              <w:t>Beverage, Food and Tobacco</w:t>
            </w:r>
          </w:p>
        </w:tc>
        <w:tc>
          <w:tcPr>
            <w:tcW w:w="90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7.45%</w:t>
            </w: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1M L+575</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3,825,025</w:t>
            </w:r>
          </w:p>
        </w:tc>
        <w:tc>
          <w:tcPr>
            <w:tcW w:w="90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3,829,551</w:t>
            </w:r>
          </w:p>
        </w:tc>
        <w:tc>
          <w:tcPr>
            <w:tcW w:w="220" w:type="dxa"/>
            <w:vAlign w:val="bottom"/>
            <w:shd w:val="clear" w:color="auto" w:fill="CCECFF"/>
          </w:tcPr>
          <w:p>
            <w:pPr>
              <w:spacing w:after="0"/>
              <w:rPr>
                <w:sz w:val="12"/>
                <w:szCs w:val="12"/>
                <w:color w:val="auto"/>
              </w:rPr>
            </w:pPr>
          </w:p>
        </w:tc>
        <w:tc>
          <w:tcPr>
            <w:tcW w:w="7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3,672,024</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400" w:type="dxa"/>
            <w:vAlign w:val="bottom"/>
          </w:tcPr>
          <w:p>
            <w:pPr>
              <w:spacing w:after="0"/>
              <w:rPr>
                <w:sz w:val="20"/>
                <w:szCs w:val="20"/>
                <w:color w:val="auto"/>
              </w:rPr>
            </w:pPr>
            <w:r>
              <w:rPr>
                <w:rFonts w:ascii="Arial" w:cs="Arial" w:eastAsia="Arial" w:hAnsi="Arial"/>
                <w:sz w:val="12"/>
                <w:szCs w:val="12"/>
                <w:color w:val="auto"/>
              </w:rPr>
              <w:t>Centauri Group Holdings, LLC</w:t>
            </w:r>
          </w:p>
        </w:tc>
        <w:tc>
          <w:tcPr>
            <w:tcW w:w="960" w:type="dxa"/>
            <w:vAlign w:val="bottom"/>
          </w:tcPr>
          <w:p>
            <w:pPr>
              <w:jc w:val="center"/>
              <w:ind w:left="102"/>
              <w:spacing w:after="0"/>
              <w:rPr>
                <w:sz w:val="20"/>
                <w:szCs w:val="20"/>
                <w:color w:val="auto"/>
              </w:rPr>
            </w:pPr>
            <w:r>
              <w:rPr>
                <w:rFonts w:ascii="Arial" w:cs="Arial" w:eastAsia="Arial" w:hAnsi="Arial"/>
                <w:sz w:val="12"/>
                <w:szCs w:val="12"/>
                <w:color w:val="auto"/>
                <w:w w:val="86"/>
              </w:rPr>
              <w:t>02/12/2024</w:t>
            </w:r>
          </w:p>
        </w:tc>
        <w:tc>
          <w:tcPr>
            <w:tcW w:w="2480" w:type="dxa"/>
            <w:vAlign w:val="bottom"/>
            <w:gridSpan w:val="2"/>
          </w:tcPr>
          <w:p>
            <w:pPr>
              <w:jc w:val="center"/>
              <w:ind w:right="100"/>
              <w:spacing w:after="0"/>
              <w:rPr>
                <w:sz w:val="20"/>
                <w:szCs w:val="20"/>
                <w:color w:val="auto"/>
              </w:rPr>
            </w:pPr>
            <w:r>
              <w:rPr>
                <w:rFonts w:ascii="Arial" w:cs="Arial" w:eastAsia="Arial" w:hAnsi="Arial"/>
                <w:sz w:val="12"/>
                <w:szCs w:val="12"/>
                <w:color w:val="auto"/>
                <w:w w:val="85"/>
              </w:rPr>
              <w:t>Aerospace and Defense</w:t>
            </w:r>
          </w:p>
        </w:tc>
        <w:tc>
          <w:tcPr>
            <w:tcW w:w="900" w:type="dxa"/>
            <w:vAlign w:val="bottom"/>
            <w:gridSpan w:val="2"/>
          </w:tcPr>
          <w:p>
            <w:pPr>
              <w:jc w:val="right"/>
              <w:ind w:right="140"/>
              <w:spacing w:after="0"/>
              <w:rPr>
                <w:sz w:val="20"/>
                <w:szCs w:val="20"/>
                <w:color w:val="auto"/>
              </w:rPr>
            </w:pPr>
            <w:r>
              <w:rPr>
                <w:rFonts w:ascii="Arial" w:cs="Arial" w:eastAsia="Arial" w:hAnsi="Arial"/>
                <w:sz w:val="12"/>
                <w:szCs w:val="12"/>
                <w:color w:val="auto"/>
              </w:rPr>
              <w:t>7.20%</w:t>
            </w:r>
          </w:p>
        </w:tc>
        <w:tc>
          <w:tcPr>
            <w:tcW w:w="900" w:type="dxa"/>
            <w:vAlign w:val="bottom"/>
            <w:gridSpan w:val="2"/>
          </w:tcPr>
          <w:p>
            <w:pPr>
              <w:jc w:val="right"/>
              <w:ind w:right="240"/>
              <w:spacing w:after="0"/>
              <w:rPr>
                <w:sz w:val="20"/>
                <w:szCs w:val="20"/>
                <w:color w:val="auto"/>
              </w:rPr>
            </w:pPr>
            <w:r>
              <w:rPr>
                <w:rFonts w:ascii="Arial" w:cs="Arial" w:eastAsia="Arial" w:hAnsi="Arial"/>
                <w:sz w:val="12"/>
                <w:szCs w:val="12"/>
                <w:color w:val="auto"/>
              </w:rPr>
              <w:t>3M L+525</w:t>
            </w:r>
          </w:p>
        </w:tc>
        <w:tc>
          <w:tcPr>
            <w:tcW w:w="660" w:type="dxa"/>
            <w:vAlign w:val="bottom"/>
          </w:tcPr>
          <w:p>
            <w:pPr>
              <w:jc w:val="right"/>
              <w:spacing w:after="0"/>
              <w:rPr>
                <w:sz w:val="20"/>
                <w:szCs w:val="20"/>
                <w:color w:val="auto"/>
              </w:rPr>
            </w:pPr>
            <w:r>
              <w:rPr>
                <w:rFonts w:ascii="Arial" w:cs="Arial" w:eastAsia="Arial" w:hAnsi="Arial"/>
                <w:sz w:val="12"/>
                <w:szCs w:val="12"/>
                <w:color w:val="auto"/>
              </w:rPr>
              <w:t>3,273,579</w:t>
            </w:r>
          </w:p>
        </w:tc>
        <w:tc>
          <w:tcPr>
            <w:tcW w:w="900" w:type="dxa"/>
            <w:vAlign w:val="bottom"/>
            <w:gridSpan w:val="2"/>
          </w:tcPr>
          <w:p>
            <w:pPr>
              <w:jc w:val="right"/>
              <w:spacing w:after="0"/>
              <w:rPr>
                <w:sz w:val="20"/>
                <w:szCs w:val="20"/>
                <w:color w:val="auto"/>
              </w:rPr>
            </w:pPr>
            <w:r>
              <w:rPr>
                <w:rFonts w:ascii="Arial" w:cs="Arial" w:eastAsia="Arial" w:hAnsi="Arial"/>
                <w:sz w:val="12"/>
                <w:szCs w:val="12"/>
                <w:color w:val="auto"/>
              </w:rPr>
              <w:t>3,267,972</w:t>
            </w:r>
          </w:p>
        </w:tc>
        <w:tc>
          <w:tcPr>
            <w:tcW w:w="22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3,257,212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400" w:type="dxa"/>
            <w:vAlign w:val="bottom"/>
            <w:shd w:val="clear" w:color="auto" w:fill="CCECFF"/>
          </w:tcPr>
          <w:p>
            <w:pPr>
              <w:spacing w:after="0"/>
              <w:rPr>
                <w:sz w:val="20"/>
                <w:szCs w:val="20"/>
                <w:color w:val="auto"/>
              </w:rPr>
            </w:pPr>
            <w:r>
              <w:rPr>
                <w:rFonts w:ascii="Arial" w:cs="Arial" w:eastAsia="Arial" w:hAnsi="Arial"/>
                <w:sz w:val="12"/>
                <w:szCs w:val="12"/>
                <w:color w:val="auto"/>
              </w:rPr>
              <w:t>CHA Holdings, Inc.</w:t>
            </w:r>
          </w:p>
        </w:tc>
        <w:tc>
          <w:tcPr>
            <w:tcW w:w="960" w:type="dxa"/>
            <w:vAlign w:val="bottom"/>
            <w:shd w:val="clear" w:color="auto" w:fill="CCECFF"/>
          </w:tcPr>
          <w:p>
            <w:pPr>
              <w:jc w:val="center"/>
              <w:ind w:left="102"/>
              <w:spacing w:after="0"/>
              <w:rPr>
                <w:sz w:val="20"/>
                <w:szCs w:val="20"/>
                <w:color w:val="auto"/>
              </w:rPr>
            </w:pPr>
            <w:r>
              <w:rPr>
                <w:rFonts w:ascii="Arial" w:cs="Arial" w:eastAsia="Arial" w:hAnsi="Arial"/>
                <w:sz w:val="12"/>
                <w:szCs w:val="12"/>
                <w:color w:val="auto"/>
                <w:w w:val="86"/>
              </w:rPr>
              <w:t>04/10/2025</w:t>
            </w:r>
          </w:p>
        </w:tc>
        <w:tc>
          <w:tcPr>
            <w:tcW w:w="2480" w:type="dxa"/>
            <w:vAlign w:val="bottom"/>
            <w:gridSpan w:val="2"/>
            <w:shd w:val="clear" w:color="auto" w:fill="CCECFF"/>
          </w:tcPr>
          <w:p>
            <w:pPr>
              <w:jc w:val="center"/>
              <w:ind w:right="100"/>
              <w:spacing w:after="0"/>
              <w:rPr>
                <w:sz w:val="20"/>
                <w:szCs w:val="20"/>
                <w:color w:val="auto"/>
              </w:rPr>
            </w:pPr>
            <w:r>
              <w:rPr>
                <w:rFonts w:ascii="Arial" w:cs="Arial" w:eastAsia="Arial" w:hAnsi="Arial"/>
                <w:sz w:val="12"/>
                <w:szCs w:val="12"/>
                <w:color w:val="auto"/>
                <w:w w:val="89"/>
              </w:rPr>
              <w:t>Environmental Industries</w:t>
            </w:r>
          </w:p>
        </w:tc>
        <w:tc>
          <w:tcPr>
            <w:tcW w:w="90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6.46%</w:t>
            </w: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3M L+450</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7,347,589</w:t>
            </w:r>
          </w:p>
        </w:tc>
        <w:tc>
          <w:tcPr>
            <w:tcW w:w="90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7,321,580</w:t>
            </w:r>
          </w:p>
        </w:tc>
        <w:tc>
          <w:tcPr>
            <w:tcW w:w="220" w:type="dxa"/>
            <w:vAlign w:val="bottom"/>
            <w:shd w:val="clear" w:color="auto" w:fill="CCECFF"/>
          </w:tcPr>
          <w:p>
            <w:pPr>
              <w:spacing w:after="0"/>
              <w:rPr>
                <w:sz w:val="12"/>
                <w:szCs w:val="12"/>
                <w:color w:val="auto"/>
              </w:rPr>
            </w:pPr>
          </w:p>
        </w:tc>
        <w:tc>
          <w:tcPr>
            <w:tcW w:w="7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7,310,851</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400" w:type="dxa"/>
            <w:vAlign w:val="bottom"/>
          </w:tcPr>
          <w:p>
            <w:pPr>
              <w:spacing w:after="0" w:line="149" w:lineRule="exact"/>
              <w:rPr>
                <w:sz w:val="20"/>
                <w:szCs w:val="20"/>
                <w:color w:val="auto"/>
              </w:rPr>
            </w:pPr>
            <w:r>
              <w:rPr>
                <w:rFonts w:ascii="Arial" w:cs="Arial" w:eastAsia="Arial" w:hAnsi="Arial"/>
                <w:sz w:val="11"/>
                <w:szCs w:val="11"/>
                <w:color w:val="auto"/>
              </w:rPr>
              <w:t xml:space="preserve">CHA Holdings, Inc. </w:t>
            </w:r>
            <w:r>
              <w:rPr>
                <w:rFonts w:ascii="Arial" w:cs="Arial" w:eastAsia="Arial" w:hAnsi="Arial"/>
                <w:sz w:val="17"/>
                <w:szCs w:val="17"/>
                <w:color w:val="auto"/>
                <w:vertAlign w:val="superscript"/>
              </w:rPr>
              <w:t>(7), (9)</w:t>
            </w:r>
          </w:p>
        </w:tc>
        <w:tc>
          <w:tcPr>
            <w:tcW w:w="960" w:type="dxa"/>
            <w:vAlign w:val="bottom"/>
          </w:tcPr>
          <w:p>
            <w:pPr>
              <w:jc w:val="center"/>
              <w:ind w:left="102"/>
              <w:spacing w:after="0"/>
              <w:rPr>
                <w:sz w:val="20"/>
                <w:szCs w:val="20"/>
                <w:color w:val="auto"/>
              </w:rPr>
            </w:pPr>
            <w:r>
              <w:rPr>
                <w:rFonts w:ascii="Arial" w:cs="Arial" w:eastAsia="Arial" w:hAnsi="Arial"/>
                <w:sz w:val="12"/>
                <w:szCs w:val="12"/>
                <w:color w:val="auto"/>
                <w:w w:val="86"/>
              </w:rPr>
              <w:t>04/10/2025</w:t>
            </w:r>
          </w:p>
        </w:tc>
        <w:tc>
          <w:tcPr>
            <w:tcW w:w="2480" w:type="dxa"/>
            <w:vAlign w:val="bottom"/>
            <w:gridSpan w:val="2"/>
          </w:tcPr>
          <w:p>
            <w:pPr>
              <w:jc w:val="center"/>
              <w:ind w:right="100"/>
              <w:spacing w:after="0"/>
              <w:rPr>
                <w:sz w:val="20"/>
                <w:szCs w:val="20"/>
                <w:color w:val="auto"/>
              </w:rPr>
            </w:pPr>
            <w:r>
              <w:rPr>
                <w:rFonts w:ascii="Arial" w:cs="Arial" w:eastAsia="Arial" w:hAnsi="Arial"/>
                <w:sz w:val="12"/>
                <w:szCs w:val="12"/>
                <w:color w:val="auto"/>
                <w:w w:val="89"/>
              </w:rPr>
              <w:t>Environmental Industries</w:t>
            </w:r>
          </w:p>
        </w:tc>
        <w:tc>
          <w:tcPr>
            <w:tcW w:w="90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9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tcPr>
          <w:p>
            <w:pPr>
              <w:jc w:val="right"/>
              <w:spacing w:after="0"/>
              <w:rPr>
                <w:sz w:val="20"/>
                <w:szCs w:val="20"/>
                <w:color w:val="auto"/>
              </w:rPr>
            </w:pPr>
            <w:r>
              <w:rPr>
                <w:rFonts w:ascii="Arial" w:cs="Arial" w:eastAsia="Arial" w:hAnsi="Arial"/>
                <w:sz w:val="12"/>
                <w:szCs w:val="12"/>
                <w:color w:val="auto"/>
              </w:rPr>
              <w:t>53,571</w:t>
            </w:r>
          </w:p>
        </w:tc>
        <w:tc>
          <w:tcPr>
            <w:tcW w:w="220" w:type="dxa"/>
            <w:vAlign w:val="bottom"/>
          </w:tcPr>
          <w:p>
            <w:pPr>
              <w:spacing w:after="0"/>
              <w:rPr>
                <w:sz w:val="12"/>
                <w:szCs w:val="12"/>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820" w:type="dxa"/>
            <w:vAlign w:val="bottom"/>
            <w:gridSpan w:val="2"/>
          </w:tcPr>
          <w:p>
            <w:pPr>
              <w:jc w:val="right"/>
              <w:ind w:right="60"/>
              <w:spacing w:after="0"/>
              <w:rPr>
                <w:sz w:val="20"/>
                <w:szCs w:val="20"/>
                <w:color w:val="auto"/>
              </w:rPr>
            </w:pPr>
            <w:r>
              <w:rPr>
                <w:rFonts w:ascii="Arial" w:cs="Arial" w:eastAsia="Arial" w:hAnsi="Arial"/>
                <w:sz w:val="12"/>
                <w:szCs w:val="12"/>
                <w:color w:val="auto"/>
              </w:rPr>
              <w:t>(268)</w:t>
            </w:r>
          </w:p>
        </w:tc>
        <w:tc>
          <w:tcPr>
            <w:tcW w:w="0" w:type="dxa"/>
            <w:vAlign w:val="bottom"/>
          </w:tcPr>
          <w:p>
            <w:pPr>
              <w:spacing w:after="0"/>
              <w:rPr>
                <w:sz w:val="1"/>
                <w:szCs w:val="1"/>
                <w:color w:val="auto"/>
              </w:rPr>
            </w:pPr>
          </w:p>
        </w:tc>
      </w:tr>
      <w:tr>
        <w:trPr>
          <w:trHeight w:val="148"/>
        </w:trPr>
        <w:tc>
          <w:tcPr>
            <w:tcW w:w="3400" w:type="dxa"/>
            <w:vAlign w:val="bottom"/>
            <w:shd w:val="clear" w:color="auto" w:fill="CCECFF"/>
          </w:tcPr>
          <w:p>
            <w:pPr>
              <w:spacing w:after="0" w:line="149" w:lineRule="exact"/>
              <w:rPr>
                <w:sz w:val="20"/>
                <w:szCs w:val="20"/>
                <w:color w:val="auto"/>
              </w:rPr>
            </w:pPr>
            <w:r>
              <w:rPr>
                <w:rFonts w:ascii="Arial" w:cs="Arial" w:eastAsia="Arial" w:hAnsi="Arial"/>
                <w:sz w:val="11"/>
                <w:szCs w:val="11"/>
                <w:color w:val="auto"/>
              </w:rPr>
              <w:t xml:space="preserve">Challenger Performance Optimization, Inc. (Revolver) </w:t>
            </w:r>
            <w:r>
              <w:rPr>
                <w:rFonts w:ascii="Arial" w:cs="Arial" w:eastAsia="Arial" w:hAnsi="Arial"/>
                <w:sz w:val="17"/>
                <w:szCs w:val="17"/>
                <w:color w:val="auto"/>
                <w:vertAlign w:val="superscript"/>
              </w:rPr>
              <w:t>(7)</w:t>
            </w:r>
          </w:p>
        </w:tc>
        <w:tc>
          <w:tcPr>
            <w:tcW w:w="960" w:type="dxa"/>
            <w:vAlign w:val="bottom"/>
            <w:shd w:val="clear" w:color="auto" w:fill="CCECFF"/>
          </w:tcPr>
          <w:p>
            <w:pPr>
              <w:jc w:val="center"/>
              <w:ind w:left="102"/>
              <w:spacing w:after="0"/>
              <w:rPr>
                <w:sz w:val="20"/>
                <w:szCs w:val="20"/>
                <w:color w:val="auto"/>
              </w:rPr>
            </w:pPr>
            <w:r>
              <w:rPr>
                <w:rFonts w:ascii="Arial" w:cs="Arial" w:eastAsia="Arial" w:hAnsi="Arial"/>
                <w:sz w:val="12"/>
                <w:szCs w:val="12"/>
                <w:color w:val="auto"/>
                <w:w w:val="86"/>
              </w:rPr>
              <w:t>08/31/2023</w:t>
            </w:r>
          </w:p>
        </w:tc>
        <w:tc>
          <w:tcPr>
            <w:tcW w:w="2480" w:type="dxa"/>
            <w:vAlign w:val="bottom"/>
            <w:gridSpan w:val="2"/>
            <w:shd w:val="clear" w:color="auto" w:fill="CCECFF"/>
          </w:tcPr>
          <w:p>
            <w:pPr>
              <w:jc w:val="center"/>
              <w:ind w:right="100"/>
              <w:spacing w:after="0"/>
              <w:rPr>
                <w:sz w:val="20"/>
                <w:szCs w:val="20"/>
                <w:color w:val="auto"/>
              </w:rPr>
            </w:pPr>
            <w:r>
              <w:rPr>
                <w:rFonts w:ascii="Arial" w:cs="Arial" w:eastAsia="Arial" w:hAnsi="Arial"/>
                <w:sz w:val="12"/>
                <w:szCs w:val="12"/>
                <w:color w:val="auto"/>
                <w:w w:val="87"/>
              </w:rPr>
              <w:t>Business Services</w:t>
            </w:r>
          </w:p>
        </w:tc>
        <w:tc>
          <w:tcPr>
            <w:tcW w:w="90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7.51%</w:t>
            </w: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1M L+575</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569,158</w:t>
            </w:r>
          </w:p>
        </w:tc>
        <w:tc>
          <w:tcPr>
            <w:tcW w:w="90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569,158</w:t>
            </w:r>
          </w:p>
        </w:tc>
        <w:tc>
          <w:tcPr>
            <w:tcW w:w="220" w:type="dxa"/>
            <w:vAlign w:val="bottom"/>
            <w:shd w:val="clear" w:color="auto" w:fill="CCECFF"/>
          </w:tcPr>
          <w:p>
            <w:pPr>
              <w:spacing w:after="0"/>
              <w:rPr>
                <w:sz w:val="12"/>
                <w:szCs w:val="12"/>
                <w:color w:val="auto"/>
              </w:rPr>
            </w:pPr>
          </w:p>
        </w:tc>
        <w:tc>
          <w:tcPr>
            <w:tcW w:w="7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549,237</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400" w:type="dxa"/>
            <w:vAlign w:val="bottom"/>
          </w:tcPr>
          <w:p>
            <w:pPr>
              <w:spacing w:after="0" w:line="149" w:lineRule="exact"/>
              <w:rPr>
                <w:sz w:val="20"/>
                <w:szCs w:val="20"/>
                <w:color w:val="auto"/>
              </w:rPr>
            </w:pPr>
            <w:r>
              <w:rPr>
                <w:rFonts w:ascii="Arial" w:cs="Arial" w:eastAsia="Arial" w:hAnsi="Arial"/>
                <w:sz w:val="11"/>
                <w:szCs w:val="11"/>
                <w:color w:val="auto"/>
              </w:rPr>
              <w:t xml:space="preserve">Challenger Performance Optimization, Inc. (Revolver) </w:t>
            </w:r>
            <w:r>
              <w:rPr>
                <w:rFonts w:ascii="Arial" w:cs="Arial" w:eastAsia="Arial" w:hAnsi="Arial"/>
                <w:sz w:val="17"/>
                <w:szCs w:val="17"/>
                <w:color w:val="auto"/>
                <w:vertAlign w:val="superscript"/>
              </w:rPr>
              <w:t>(7), (9)</w:t>
            </w:r>
          </w:p>
        </w:tc>
        <w:tc>
          <w:tcPr>
            <w:tcW w:w="960" w:type="dxa"/>
            <w:vAlign w:val="bottom"/>
          </w:tcPr>
          <w:p>
            <w:pPr>
              <w:jc w:val="center"/>
              <w:ind w:left="102"/>
              <w:spacing w:after="0"/>
              <w:rPr>
                <w:sz w:val="20"/>
                <w:szCs w:val="20"/>
                <w:color w:val="auto"/>
              </w:rPr>
            </w:pPr>
            <w:r>
              <w:rPr>
                <w:rFonts w:ascii="Arial" w:cs="Arial" w:eastAsia="Arial" w:hAnsi="Arial"/>
                <w:sz w:val="12"/>
                <w:szCs w:val="12"/>
                <w:color w:val="auto"/>
                <w:w w:val="86"/>
              </w:rPr>
              <w:t>08/31/2023</w:t>
            </w:r>
          </w:p>
        </w:tc>
        <w:tc>
          <w:tcPr>
            <w:tcW w:w="2480" w:type="dxa"/>
            <w:vAlign w:val="bottom"/>
            <w:gridSpan w:val="2"/>
          </w:tcPr>
          <w:p>
            <w:pPr>
              <w:jc w:val="center"/>
              <w:ind w:right="100"/>
              <w:spacing w:after="0"/>
              <w:rPr>
                <w:sz w:val="20"/>
                <w:szCs w:val="20"/>
                <w:color w:val="auto"/>
              </w:rPr>
            </w:pPr>
            <w:r>
              <w:rPr>
                <w:rFonts w:ascii="Arial" w:cs="Arial" w:eastAsia="Arial" w:hAnsi="Arial"/>
                <w:sz w:val="12"/>
                <w:szCs w:val="12"/>
                <w:color w:val="auto"/>
                <w:w w:val="87"/>
              </w:rPr>
              <w:t>Business Services</w:t>
            </w:r>
          </w:p>
        </w:tc>
        <w:tc>
          <w:tcPr>
            <w:tcW w:w="90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9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tcPr>
          <w:p>
            <w:pPr>
              <w:jc w:val="right"/>
              <w:spacing w:after="0"/>
              <w:rPr>
                <w:sz w:val="20"/>
                <w:szCs w:val="20"/>
                <w:color w:val="auto"/>
              </w:rPr>
            </w:pPr>
            <w:r>
              <w:rPr>
                <w:rFonts w:ascii="Arial" w:cs="Arial" w:eastAsia="Arial" w:hAnsi="Arial"/>
                <w:sz w:val="12"/>
                <w:szCs w:val="12"/>
                <w:color w:val="auto"/>
              </w:rPr>
              <w:t>142,289</w:t>
            </w:r>
          </w:p>
        </w:tc>
        <w:tc>
          <w:tcPr>
            <w:tcW w:w="220" w:type="dxa"/>
            <w:vAlign w:val="bottom"/>
          </w:tcPr>
          <w:p>
            <w:pPr>
              <w:spacing w:after="0"/>
              <w:rPr>
                <w:sz w:val="12"/>
                <w:szCs w:val="12"/>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820" w:type="dxa"/>
            <w:vAlign w:val="bottom"/>
            <w:gridSpan w:val="2"/>
          </w:tcPr>
          <w:p>
            <w:pPr>
              <w:jc w:val="right"/>
              <w:ind w:right="60"/>
              <w:spacing w:after="0"/>
              <w:rPr>
                <w:sz w:val="20"/>
                <w:szCs w:val="20"/>
                <w:color w:val="auto"/>
              </w:rPr>
            </w:pPr>
            <w:r>
              <w:rPr>
                <w:rFonts w:ascii="Arial" w:cs="Arial" w:eastAsia="Arial" w:hAnsi="Arial"/>
                <w:sz w:val="12"/>
                <w:szCs w:val="12"/>
                <w:color w:val="auto"/>
              </w:rPr>
              <w:t>(4,980)</w:t>
            </w:r>
          </w:p>
        </w:tc>
        <w:tc>
          <w:tcPr>
            <w:tcW w:w="0" w:type="dxa"/>
            <w:vAlign w:val="bottom"/>
          </w:tcPr>
          <w:p>
            <w:pPr>
              <w:spacing w:after="0"/>
              <w:rPr>
                <w:sz w:val="1"/>
                <w:szCs w:val="1"/>
                <w:color w:val="auto"/>
              </w:rPr>
            </w:pPr>
          </w:p>
        </w:tc>
      </w:tr>
      <w:tr>
        <w:trPr>
          <w:trHeight w:val="148"/>
        </w:trPr>
        <w:tc>
          <w:tcPr>
            <w:tcW w:w="3400" w:type="dxa"/>
            <w:vAlign w:val="bottom"/>
            <w:shd w:val="clear" w:color="auto" w:fill="CCECFF"/>
          </w:tcPr>
          <w:p>
            <w:pPr>
              <w:spacing w:after="0"/>
              <w:rPr>
                <w:sz w:val="20"/>
                <w:szCs w:val="20"/>
                <w:color w:val="auto"/>
              </w:rPr>
            </w:pPr>
            <w:r>
              <w:rPr>
                <w:rFonts w:ascii="Arial" w:cs="Arial" w:eastAsia="Arial" w:hAnsi="Arial"/>
                <w:sz w:val="12"/>
                <w:szCs w:val="12"/>
                <w:color w:val="auto"/>
              </w:rPr>
              <w:t>Confluent Health, LLC</w:t>
            </w:r>
          </w:p>
        </w:tc>
        <w:tc>
          <w:tcPr>
            <w:tcW w:w="960" w:type="dxa"/>
            <w:vAlign w:val="bottom"/>
            <w:shd w:val="clear" w:color="auto" w:fill="CCECFF"/>
          </w:tcPr>
          <w:p>
            <w:pPr>
              <w:jc w:val="center"/>
              <w:ind w:left="102"/>
              <w:spacing w:after="0"/>
              <w:rPr>
                <w:sz w:val="20"/>
                <w:szCs w:val="20"/>
                <w:color w:val="auto"/>
              </w:rPr>
            </w:pPr>
            <w:r>
              <w:rPr>
                <w:rFonts w:ascii="Arial" w:cs="Arial" w:eastAsia="Arial" w:hAnsi="Arial"/>
                <w:sz w:val="12"/>
                <w:szCs w:val="12"/>
                <w:color w:val="auto"/>
                <w:w w:val="86"/>
              </w:rPr>
              <w:t>06/24/2026</w:t>
            </w:r>
          </w:p>
        </w:tc>
        <w:tc>
          <w:tcPr>
            <w:tcW w:w="2480" w:type="dxa"/>
            <w:vAlign w:val="bottom"/>
            <w:gridSpan w:val="2"/>
            <w:shd w:val="clear" w:color="auto" w:fill="CCECFF"/>
          </w:tcPr>
          <w:p>
            <w:pPr>
              <w:jc w:val="center"/>
              <w:ind w:right="100"/>
              <w:spacing w:after="0"/>
              <w:rPr>
                <w:sz w:val="20"/>
                <w:szCs w:val="20"/>
                <w:color w:val="auto"/>
              </w:rPr>
            </w:pPr>
            <w:r>
              <w:rPr>
                <w:rFonts w:ascii="Arial" w:cs="Arial" w:eastAsia="Arial" w:hAnsi="Arial"/>
                <w:sz w:val="12"/>
                <w:szCs w:val="12"/>
                <w:color w:val="auto"/>
                <w:w w:val="87"/>
              </w:rPr>
              <w:t>Health Providers and Services</w:t>
            </w:r>
          </w:p>
        </w:tc>
        <w:tc>
          <w:tcPr>
            <w:tcW w:w="90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6.80%</w:t>
            </w: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1M L+500</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3,980,000</w:t>
            </w:r>
          </w:p>
        </w:tc>
        <w:tc>
          <w:tcPr>
            <w:tcW w:w="90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3,940,819</w:t>
            </w:r>
          </w:p>
        </w:tc>
        <w:tc>
          <w:tcPr>
            <w:tcW w:w="220" w:type="dxa"/>
            <w:vAlign w:val="bottom"/>
            <w:shd w:val="clear" w:color="auto" w:fill="CCECFF"/>
          </w:tcPr>
          <w:p>
            <w:pPr>
              <w:spacing w:after="0"/>
              <w:rPr>
                <w:sz w:val="12"/>
                <w:szCs w:val="12"/>
                <w:color w:val="auto"/>
              </w:rPr>
            </w:pPr>
          </w:p>
        </w:tc>
        <w:tc>
          <w:tcPr>
            <w:tcW w:w="7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3,960,100</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3400" w:type="dxa"/>
            <w:vAlign w:val="bottom"/>
          </w:tcPr>
          <w:p>
            <w:pPr>
              <w:spacing w:after="0"/>
              <w:rPr>
                <w:sz w:val="20"/>
                <w:szCs w:val="20"/>
                <w:color w:val="auto"/>
              </w:rPr>
            </w:pPr>
            <w:r>
              <w:rPr>
                <w:rFonts w:ascii="Arial" w:cs="Arial" w:eastAsia="Arial" w:hAnsi="Arial"/>
                <w:sz w:val="12"/>
                <w:szCs w:val="12"/>
                <w:color w:val="auto"/>
              </w:rPr>
              <w:t>Digital Room Holdings, Inc.</w:t>
            </w:r>
          </w:p>
        </w:tc>
        <w:tc>
          <w:tcPr>
            <w:tcW w:w="960" w:type="dxa"/>
            <w:vAlign w:val="bottom"/>
          </w:tcPr>
          <w:p>
            <w:pPr>
              <w:jc w:val="center"/>
              <w:ind w:left="102"/>
              <w:spacing w:after="0"/>
              <w:rPr>
                <w:sz w:val="20"/>
                <w:szCs w:val="20"/>
                <w:color w:val="auto"/>
              </w:rPr>
            </w:pPr>
            <w:r>
              <w:rPr>
                <w:rFonts w:ascii="Arial" w:cs="Arial" w:eastAsia="Arial" w:hAnsi="Arial"/>
                <w:sz w:val="12"/>
                <w:szCs w:val="12"/>
                <w:color w:val="auto"/>
                <w:w w:val="86"/>
              </w:rPr>
              <w:t>05/22/2026</w:t>
            </w:r>
          </w:p>
        </w:tc>
        <w:tc>
          <w:tcPr>
            <w:tcW w:w="2480" w:type="dxa"/>
            <w:vAlign w:val="bottom"/>
            <w:gridSpan w:val="2"/>
          </w:tcPr>
          <w:p>
            <w:pPr>
              <w:jc w:val="center"/>
              <w:ind w:right="100"/>
              <w:spacing w:after="0"/>
              <w:rPr>
                <w:sz w:val="20"/>
                <w:szCs w:val="20"/>
                <w:color w:val="auto"/>
              </w:rPr>
            </w:pPr>
            <w:r>
              <w:rPr>
                <w:rFonts w:ascii="Arial" w:cs="Arial" w:eastAsia="Arial" w:hAnsi="Arial"/>
                <w:sz w:val="12"/>
                <w:szCs w:val="12"/>
                <w:color w:val="auto"/>
                <w:w w:val="90"/>
              </w:rPr>
              <w:t>Media: Advertising, Printing and Publishing</w:t>
            </w:r>
          </w:p>
        </w:tc>
        <w:tc>
          <w:tcPr>
            <w:tcW w:w="900" w:type="dxa"/>
            <w:vAlign w:val="bottom"/>
            <w:gridSpan w:val="2"/>
            <w:vMerge w:val="restart"/>
          </w:tcPr>
          <w:p>
            <w:pPr>
              <w:jc w:val="right"/>
              <w:ind w:right="140"/>
              <w:spacing w:after="0"/>
              <w:rPr>
                <w:sz w:val="20"/>
                <w:szCs w:val="20"/>
                <w:color w:val="auto"/>
              </w:rPr>
            </w:pPr>
            <w:r>
              <w:rPr>
                <w:rFonts w:ascii="Arial" w:cs="Arial" w:eastAsia="Arial" w:hAnsi="Arial"/>
                <w:sz w:val="12"/>
                <w:szCs w:val="12"/>
                <w:color w:val="auto"/>
              </w:rPr>
              <w:t>6.80%</w:t>
            </w:r>
          </w:p>
        </w:tc>
        <w:tc>
          <w:tcPr>
            <w:tcW w:w="900" w:type="dxa"/>
            <w:vAlign w:val="bottom"/>
            <w:gridSpan w:val="2"/>
            <w:vMerge w:val="restart"/>
          </w:tcPr>
          <w:p>
            <w:pPr>
              <w:jc w:val="right"/>
              <w:ind w:right="240"/>
              <w:spacing w:after="0"/>
              <w:rPr>
                <w:sz w:val="20"/>
                <w:szCs w:val="20"/>
                <w:color w:val="auto"/>
              </w:rPr>
            </w:pPr>
            <w:r>
              <w:rPr>
                <w:rFonts w:ascii="Arial" w:cs="Arial" w:eastAsia="Arial" w:hAnsi="Arial"/>
                <w:sz w:val="12"/>
                <w:szCs w:val="12"/>
                <w:color w:val="auto"/>
              </w:rPr>
              <w:t>1M L+500</w:t>
            </w:r>
          </w:p>
        </w:tc>
        <w:tc>
          <w:tcPr>
            <w:tcW w:w="660" w:type="dxa"/>
            <w:vAlign w:val="bottom"/>
            <w:vMerge w:val="restart"/>
          </w:tcPr>
          <w:p>
            <w:pPr>
              <w:jc w:val="right"/>
              <w:spacing w:after="0"/>
              <w:rPr>
                <w:sz w:val="20"/>
                <w:szCs w:val="20"/>
                <w:color w:val="auto"/>
              </w:rPr>
            </w:pPr>
            <w:r>
              <w:rPr>
                <w:rFonts w:ascii="Arial" w:cs="Arial" w:eastAsia="Arial" w:hAnsi="Arial"/>
                <w:sz w:val="12"/>
                <w:szCs w:val="12"/>
                <w:color w:val="auto"/>
              </w:rPr>
              <w:t>9,950,000</w:t>
            </w:r>
          </w:p>
        </w:tc>
        <w:tc>
          <w:tcPr>
            <w:tcW w:w="900" w:type="dxa"/>
            <w:vAlign w:val="bottom"/>
            <w:gridSpan w:val="2"/>
            <w:vMerge w:val="restart"/>
          </w:tcPr>
          <w:p>
            <w:pPr>
              <w:jc w:val="right"/>
              <w:spacing w:after="0"/>
              <w:rPr>
                <w:sz w:val="20"/>
                <w:szCs w:val="20"/>
                <w:color w:val="auto"/>
              </w:rPr>
            </w:pPr>
            <w:r>
              <w:rPr>
                <w:rFonts w:ascii="Arial" w:cs="Arial" w:eastAsia="Arial" w:hAnsi="Arial"/>
                <w:sz w:val="12"/>
                <w:szCs w:val="12"/>
                <w:color w:val="auto"/>
              </w:rPr>
              <w:t>9,806,465</w:t>
            </w:r>
          </w:p>
        </w:tc>
        <w:tc>
          <w:tcPr>
            <w:tcW w:w="220" w:type="dxa"/>
            <w:vAlign w:val="bottom"/>
          </w:tcPr>
          <w:p>
            <w:pPr>
              <w:spacing w:after="0"/>
              <w:rPr>
                <w:sz w:val="13"/>
                <w:szCs w:val="13"/>
                <w:color w:val="auto"/>
              </w:rPr>
            </w:pPr>
          </w:p>
        </w:tc>
        <w:tc>
          <w:tcPr>
            <w:tcW w:w="720" w:type="dxa"/>
            <w:vAlign w:val="bottom"/>
            <w:vMerge w:val="restart"/>
          </w:tcPr>
          <w:p>
            <w:pPr>
              <w:jc w:val="right"/>
              <w:spacing w:after="0"/>
              <w:rPr>
                <w:sz w:val="20"/>
                <w:szCs w:val="20"/>
                <w:color w:val="auto"/>
              </w:rPr>
            </w:pPr>
            <w:r>
              <w:rPr>
                <w:rFonts w:ascii="Arial" w:cs="Arial" w:eastAsia="Arial" w:hAnsi="Arial"/>
                <w:sz w:val="12"/>
                <w:szCs w:val="12"/>
                <w:color w:val="auto"/>
              </w:rPr>
              <w:t>9,800,750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8"/>
        </w:trPr>
        <w:tc>
          <w:tcPr>
            <w:tcW w:w="34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gridSpan w:val="2"/>
            <w:vMerge w:val="continue"/>
          </w:tcPr>
          <w:p>
            <w:pPr>
              <w:spacing w:after="0"/>
              <w:rPr>
                <w:sz w:val="11"/>
                <w:szCs w:val="11"/>
                <w:color w:val="auto"/>
              </w:rPr>
            </w:pPr>
          </w:p>
        </w:tc>
        <w:tc>
          <w:tcPr>
            <w:tcW w:w="900" w:type="dxa"/>
            <w:vAlign w:val="bottom"/>
            <w:gridSpan w:val="2"/>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900" w:type="dxa"/>
            <w:vAlign w:val="bottom"/>
            <w:gridSpan w:val="2"/>
            <w:vMerge w:val="continue"/>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400" w:type="dxa"/>
            <w:vAlign w:val="bottom"/>
            <w:shd w:val="clear" w:color="auto" w:fill="CCECFF"/>
          </w:tcPr>
          <w:p>
            <w:pPr>
              <w:spacing w:after="0"/>
              <w:rPr>
                <w:sz w:val="20"/>
                <w:szCs w:val="20"/>
                <w:color w:val="auto"/>
              </w:rPr>
            </w:pPr>
            <w:r>
              <w:rPr>
                <w:rFonts w:ascii="Arial" w:cs="Arial" w:eastAsia="Arial" w:hAnsi="Arial"/>
                <w:sz w:val="12"/>
                <w:szCs w:val="12"/>
                <w:color w:val="auto"/>
              </w:rPr>
              <w:t>Douglas Products and Packaging Company LLC</w:t>
            </w:r>
          </w:p>
        </w:tc>
        <w:tc>
          <w:tcPr>
            <w:tcW w:w="960" w:type="dxa"/>
            <w:vAlign w:val="bottom"/>
            <w:shd w:val="clear" w:color="auto" w:fill="CCECFF"/>
          </w:tcPr>
          <w:p>
            <w:pPr>
              <w:jc w:val="center"/>
              <w:ind w:left="102"/>
              <w:spacing w:after="0"/>
              <w:rPr>
                <w:sz w:val="20"/>
                <w:szCs w:val="20"/>
                <w:color w:val="auto"/>
              </w:rPr>
            </w:pPr>
            <w:r>
              <w:rPr>
                <w:rFonts w:ascii="Arial" w:cs="Arial" w:eastAsia="Arial" w:hAnsi="Arial"/>
                <w:sz w:val="12"/>
                <w:szCs w:val="12"/>
                <w:color w:val="auto"/>
                <w:w w:val="86"/>
              </w:rPr>
              <w:t>10/19/2022</w:t>
            </w:r>
          </w:p>
        </w:tc>
        <w:tc>
          <w:tcPr>
            <w:tcW w:w="2480" w:type="dxa"/>
            <w:vAlign w:val="bottom"/>
            <w:gridSpan w:val="2"/>
            <w:shd w:val="clear" w:color="auto" w:fill="CCECFF"/>
          </w:tcPr>
          <w:p>
            <w:pPr>
              <w:jc w:val="center"/>
              <w:ind w:right="120"/>
              <w:spacing w:after="0"/>
              <w:rPr>
                <w:sz w:val="20"/>
                <w:szCs w:val="20"/>
                <w:color w:val="auto"/>
              </w:rPr>
            </w:pPr>
            <w:r>
              <w:rPr>
                <w:rFonts w:ascii="Arial" w:cs="Arial" w:eastAsia="Arial" w:hAnsi="Arial"/>
                <w:sz w:val="12"/>
                <w:szCs w:val="12"/>
                <w:color w:val="auto"/>
                <w:w w:val="87"/>
              </w:rPr>
              <w:t>Chemicals, Plastics and Rubber</w:t>
            </w:r>
          </w:p>
        </w:tc>
        <w:tc>
          <w:tcPr>
            <w:tcW w:w="90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7.69%</w:t>
            </w: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3M L+575</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14,304,044</w:t>
            </w:r>
          </w:p>
        </w:tc>
        <w:tc>
          <w:tcPr>
            <w:tcW w:w="90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14,135,098</w:t>
            </w:r>
          </w:p>
        </w:tc>
        <w:tc>
          <w:tcPr>
            <w:tcW w:w="220" w:type="dxa"/>
            <w:vAlign w:val="bottom"/>
            <w:shd w:val="clear" w:color="auto" w:fill="CCECFF"/>
          </w:tcPr>
          <w:p>
            <w:pPr>
              <w:spacing w:after="0"/>
              <w:rPr>
                <w:sz w:val="12"/>
                <w:szCs w:val="12"/>
                <w:color w:val="auto"/>
              </w:rPr>
            </w:pPr>
          </w:p>
        </w:tc>
        <w:tc>
          <w:tcPr>
            <w:tcW w:w="7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14,161,004</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400" w:type="dxa"/>
            <w:vAlign w:val="bottom"/>
          </w:tcPr>
          <w:p>
            <w:pPr>
              <w:spacing w:after="0" w:line="149" w:lineRule="exact"/>
              <w:rPr>
                <w:sz w:val="20"/>
                <w:szCs w:val="20"/>
                <w:color w:val="auto"/>
              </w:rPr>
            </w:pPr>
            <w:r>
              <w:rPr>
                <w:rFonts w:ascii="Arial" w:cs="Arial" w:eastAsia="Arial" w:hAnsi="Arial"/>
                <w:sz w:val="11"/>
                <w:szCs w:val="11"/>
                <w:color w:val="auto"/>
              </w:rPr>
              <w:t xml:space="preserve">Douglas Products and Packaging Company LLC (Revolver) </w:t>
            </w:r>
            <w:r>
              <w:rPr>
                <w:rFonts w:ascii="Arial" w:cs="Arial" w:eastAsia="Arial" w:hAnsi="Arial"/>
                <w:sz w:val="17"/>
                <w:szCs w:val="17"/>
                <w:color w:val="auto"/>
                <w:vertAlign w:val="superscript"/>
              </w:rPr>
              <w:t>(7)</w:t>
            </w:r>
          </w:p>
        </w:tc>
        <w:tc>
          <w:tcPr>
            <w:tcW w:w="960" w:type="dxa"/>
            <w:vAlign w:val="bottom"/>
          </w:tcPr>
          <w:p>
            <w:pPr>
              <w:jc w:val="center"/>
              <w:ind w:left="102"/>
              <w:spacing w:after="0"/>
              <w:rPr>
                <w:sz w:val="20"/>
                <w:szCs w:val="20"/>
                <w:color w:val="auto"/>
              </w:rPr>
            </w:pPr>
            <w:r>
              <w:rPr>
                <w:rFonts w:ascii="Arial" w:cs="Arial" w:eastAsia="Arial" w:hAnsi="Arial"/>
                <w:sz w:val="12"/>
                <w:szCs w:val="12"/>
                <w:color w:val="auto"/>
                <w:w w:val="86"/>
              </w:rPr>
              <w:t>10/19/2022</w:t>
            </w:r>
          </w:p>
        </w:tc>
        <w:tc>
          <w:tcPr>
            <w:tcW w:w="2480" w:type="dxa"/>
            <w:vAlign w:val="bottom"/>
            <w:gridSpan w:val="2"/>
          </w:tcPr>
          <w:p>
            <w:pPr>
              <w:jc w:val="center"/>
              <w:ind w:right="120"/>
              <w:spacing w:after="0"/>
              <w:rPr>
                <w:sz w:val="20"/>
                <w:szCs w:val="20"/>
                <w:color w:val="auto"/>
              </w:rPr>
            </w:pPr>
            <w:r>
              <w:rPr>
                <w:rFonts w:ascii="Arial" w:cs="Arial" w:eastAsia="Arial" w:hAnsi="Arial"/>
                <w:sz w:val="12"/>
                <w:szCs w:val="12"/>
                <w:color w:val="auto"/>
                <w:w w:val="87"/>
              </w:rPr>
              <w:t>Chemicals, Plastics and Rubber</w:t>
            </w:r>
          </w:p>
        </w:tc>
        <w:tc>
          <w:tcPr>
            <w:tcW w:w="900" w:type="dxa"/>
            <w:vAlign w:val="bottom"/>
            <w:gridSpan w:val="2"/>
          </w:tcPr>
          <w:p>
            <w:pPr>
              <w:jc w:val="right"/>
              <w:ind w:right="140"/>
              <w:spacing w:after="0"/>
              <w:rPr>
                <w:sz w:val="20"/>
                <w:szCs w:val="20"/>
                <w:color w:val="auto"/>
              </w:rPr>
            </w:pPr>
            <w:r>
              <w:rPr>
                <w:rFonts w:ascii="Arial" w:cs="Arial" w:eastAsia="Arial" w:hAnsi="Arial"/>
                <w:sz w:val="12"/>
                <w:szCs w:val="12"/>
                <w:color w:val="auto"/>
              </w:rPr>
              <w:t>9.50%</w:t>
            </w:r>
          </w:p>
        </w:tc>
        <w:tc>
          <w:tcPr>
            <w:tcW w:w="900" w:type="dxa"/>
            <w:vAlign w:val="bottom"/>
            <w:gridSpan w:val="2"/>
          </w:tcPr>
          <w:p>
            <w:pPr>
              <w:jc w:val="right"/>
              <w:ind w:right="240"/>
              <w:spacing w:after="0"/>
              <w:rPr>
                <w:sz w:val="20"/>
                <w:szCs w:val="20"/>
                <w:color w:val="auto"/>
              </w:rPr>
            </w:pPr>
            <w:r>
              <w:rPr>
                <w:rFonts w:ascii="Arial" w:cs="Arial" w:eastAsia="Arial" w:hAnsi="Arial"/>
                <w:sz w:val="12"/>
                <w:szCs w:val="12"/>
                <w:color w:val="auto"/>
              </w:rPr>
              <w:t>P+475</w:t>
            </w:r>
          </w:p>
        </w:tc>
        <w:tc>
          <w:tcPr>
            <w:tcW w:w="660" w:type="dxa"/>
            <w:vAlign w:val="bottom"/>
          </w:tcPr>
          <w:p>
            <w:pPr>
              <w:jc w:val="right"/>
              <w:spacing w:after="0"/>
              <w:rPr>
                <w:sz w:val="20"/>
                <w:szCs w:val="20"/>
                <w:color w:val="auto"/>
              </w:rPr>
            </w:pPr>
            <w:r>
              <w:rPr>
                <w:rFonts w:ascii="Arial" w:cs="Arial" w:eastAsia="Arial" w:hAnsi="Arial"/>
                <w:sz w:val="12"/>
                <w:szCs w:val="12"/>
                <w:color w:val="auto"/>
              </w:rPr>
              <w:t>585,490</w:t>
            </w:r>
          </w:p>
        </w:tc>
        <w:tc>
          <w:tcPr>
            <w:tcW w:w="900" w:type="dxa"/>
            <w:vAlign w:val="bottom"/>
            <w:gridSpan w:val="2"/>
          </w:tcPr>
          <w:p>
            <w:pPr>
              <w:jc w:val="right"/>
              <w:spacing w:after="0"/>
              <w:rPr>
                <w:sz w:val="20"/>
                <w:szCs w:val="20"/>
                <w:color w:val="auto"/>
              </w:rPr>
            </w:pPr>
            <w:r>
              <w:rPr>
                <w:rFonts w:ascii="Arial" w:cs="Arial" w:eastAsia="Arial" w:hAnsi="Arial"/>
                <w:sz w:val="12"/>
                <w:szCs w:val="12"/>
                <w:color w:val="auto"/>
              </w:rPr>
              <w:t>585,490</w:t>
            </w:r>
          </w:p>
        </w:tc>
        <w:tc>
          <w:tcPr>
            <w:tcW w:w="22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579,635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400" w:type="dxa"/>
            <w:vAlign w:val="bottom"/>
            <w:shd w:val="clear" w:color="auto" w:fill="CCECFF"/>
          </w:tcPr>
          <w:p>
            <w:pPr>
              <w:spacing w:after="0" w:line="149" w:lineRule="exact"/>
              <w:rPr>
                <w:sz w:val="20"/>
                <w:szCs w:val="20"/>
                <w:color w:val="auto"/>
              </w:rPr>
            </w:pPr>
            <w:r>
              <w:rPr>
                <w:rFonts w:ascii="Arial" w:cs="Arial" w:eastAsia="Arial" w:hAnsi="Arial"/>
                <w:sz w:val="11"/>
                <w:szCs w:val="11"/>
                <w:color w:val="auto"/>
              </w:rPr>
              <w:t xml:space="preserve">Douglas Products and Packaging Company LLC (Revolver) </w:t>
            </w:r>
            <w:r>
              <w:rPr>
                <w:rFonts w:ascii="Arial" w:cs="Arial" w:eastAsia="Arial" w:hAnsi="Arial"/>
                <w:sz w:val="17"/>
                <w:szCs w:val="17"/>
                <w:color w:val="auto"/>
                <w:vertAlign w:val="superscript"/>
              </w:rPr>
              <w:t>(7), (9)</w:t>
            </w:r>
          </w:p>
        </w:tc>
        <w:tc>
          <w:tcPr>
            <w:tcW w:w="960" w:type="dxa"/>
            <w:vAlign w:val="bottom"/>
            <w:shd w:val="clear" w:color="auto" w:fill="CCECFF"/>
          </w:tcPr>
          <w:p>
            <w:pPr>
              <w:jc w:val="center"/>
              <w:ind w:left="102"/>
              <w:spacing w:after="0"/>
              <w:rPr>
                <w:sz w:val="20"/>
                <w:szCs w:val="20"/>
                <w:color w:val="auto"/>
              </w:rPr>
            </w:pPr>
            <w:r>
              <w:rPr>
                <w:rFonts w:ascii="Arial" w:cs="Arial" w:eastAsia="Arial" w:hAnsi="Arial"/>
                <w:sz w:val="12"/>
                <w:szCs w:val="12"/>
                <w:color w:val="auto"/>
                <w:w w:val="86"/>
              </w:rPr>
              <w:t>10/19/2022</w:t>
            </w:r>
          </w:p>
        </w:tc>
        <w:tc>
          <w:tcPr>
            <w:tcW w:w="2480" w:type="dxa"/>
            <w:vAlign w:val="bottom"/>
            <w:gridSpan w:val="2"/>
            <w:shd w:val="clear" w:color="auto" w:fill="CCECFF"/>
          </w:tcPr>
          <w:p>
            <w:pPr>
              <w:jc w:val="center"/>
              <w:ind w:right="120"/>
              <w:spacing w:after="0"/>
              <w:rPr>
                <w:sz w:val="20"/>
                <w:szCs w:val="20"/>
                <w:color w:val="auto"/>
              </w:rPr>
            </w:pPr>
            <w:r>
              <w:rPr>
                <w:rFonts w:ascii="Arial" w:cs="Arial" w:eastAsia="Arial" w:hAnsi="Arial"/>
                <w:sz w:val="12"/>
                <w:szCs w:val="12"/>
                <w:color w:val="auto"/>
                <w:w w:val="87"/>
              </w:rPr>
              <w:t>Chemicals, Plastics and Rubber</w:t>
            </w:r>
          </w:p>
        </w:tc>
        <w:tc>
          <w:tcPr>
            <w:tcW w:w="900" w:type="dxa"/>
            <w:vAlign w:val="bottom"/>
            <w:gridSpan w:val="2"/>
            <w:shd w:val="clear" w:color="auto" w:fill="CCECFF"/>
          </w:tcPr>
          <w:p>
            <w:pPr>
              <w:jc w:val="right"/>
              <w:ind w:right="260"/>
              <w:spacing w:after="0"/>
              <w:rPr>
                <w:sz w:val="20"/>
                <w:szCs w:val="20"/>
                <w:color w:val="auto"/>
              </w:rPr>
            </w:pPr>
            <w:r>
              <w:rPr>
                <w:rFonts w:ascii="Arial" w:cs="Arial" w:eastAsia="Arial" w:hAnsi="Arial"/>
                <w:sz w:val="12"/>
                <w:szCs w:val="12"/>
                <w:color w:val="auto"/>
              </w:rPr>
              <w:t>—</w:t>
            </w: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3,805,686</w:t>
            </w:r>
          </w:p>
        </w:tc>
        <w:tc>
          <w:tcPr>
            <w:tcW w:w="220" w:type="dxa"/>
            <w:vAlign w:val="bottom"/>
            <w:shd w:val="clear" w:color="auto" w:fill="CCECFF"/>
          </w:tcPr>
          <w:p>
            <w:pPr>
              <w:spacing w:after="0"/>
              <w:rPr>
                <w:sz w:val="12"/>
                <w:szCs w:val="12"/>
                <w:color w:val="auto"/>
              </w:rPr>
            </w:pP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820" w:type="dxa"/>
            <w:vAlign w:val="bottom"/>
            <w:gridSpan w:val="2"/>
            <w:shd w:val="clear" w:color="auto" w:fill="CCECFF"/>
          </w:tcPr>
          <w:p>
            <w:pPr>
              <w:jc w:val="right"/>
              <w:ind w:right="60"/>
              <w:spacing w:after="0"/>
              <w:rPr>
                <w:sz w:val="20"/>
                <w:szCs w:val="20"/>
                <w:color w:val="auto"/>
              </w:rPr>
            </w:pPr>
            <w:r>
              <w:rPr>
                <w:rFonts w:ascii="Arial" w:cs="Arial" w:eastAsia="Arial" w:hAnsi="Arial"/>
                <w:sz w:val="12"/>
                <w:szCs w:val="12"/>
                <w:color w:val="auto"/>
              </w:rPr>
              <w:t>(38,057)</w:t>
            </w:r>
          </w:p>
        </w:tc>
        <w:tc>
          <w:tcPr>
            <w:tcW w:w="0" w:type="dxa"/>
            <w:vAlign w:val="bottom"/>
          </w:tcPr>
          <w:p>
            <w:pPr>
              <w:spacing w:after="0"/>
              <w:rPr>
                <w:sz w:val="1"/>
                <w:szCs w:val="1"/>
                <w:color w:val="auto"/>
              </w:rPr>
            </w:pPr>
          </w:p>
        </w:tc>
      </w:tr>
      <w:tr>
        <w:trPr>
          <w:trHeight w:val="148"/>
        </w:trPr>
        <w:tc>
          <w:tcPr>
            <w:tcW w:w="3400" w:type="dxa"/>
            <w:vAlign w:val="bottom"/>
          </w:tcPr>
          <w:p>
            <w:pPr>
              <w:spacing w:after="0"/>
              <w:rPr>
                <w:sz w:val="20"/>
                <w:szCs w:val="20"/>
                <w:color w:val="auto"/>
              </w:rPr>
            </w:pPr>
            <w:r>
              <w:rPr>
                <w:rFonts w:ascii="Arial" w:cs="Arial" w:eastAsia="Arial" w:hAnsi="Arial"/>
                <w:sz w:val="12"/>
                <w:szCs w:val="12"/>
                <w:color w:val="auto"/>
              </w:rPr>
              <w:t>Douglas Sewer Intermediate, LLC</w:t>
            </w:r>
          </w:p>
        </w:tc>
        <w:tc>
          <w:tcPr>
            <w:tcW w:w="960" w:type="dxa"/>
            <w:vAlign w:val="bottom"/>
          </w:tcPr>
          <w:p>
            <w:pPr>
              <w:jc w:val="center"/>
              <w:ind w:left="102"/>
              <w:spacing w:after="0"/>
              <w:rPr>
                <w:sz w:val="20"/>
                <w:szCs w:val="20"/>
                <w:color w:val="auto"/>
              </w:rPr>
            </w:pPr>
            <w:r>
              <w:rPr>
                <w:rFonts w:ascii="Arial" w:cs="Arial" w:eastAsia="Arial" w:hAnsi="Arial"/>
                <w:sz w:val="12"/>
                <w:szCs w:val="12"/>
                <w:color w:val="auto"/>
                <w:w w:val="86"/>
              </w:rPr>
              <w:t>10/19/2022</w:t>
            </w:r>
          </w:p>
        </w:tc>
        <w:tc>
          <w:tcPr>
            <w:tcW w:w="2480" w:type="dxa"/>
            <w:vAlign w:val="bottom"/>
            <w:gridSpan w:val="2"/>
          </w:tcPr>
          <w:p>
            <w:pPr>
              <w:jc w:val="center"/>
              <w:ind w:right="120"/>
              <w:spacing w:after="0"/>
              <w:rPr>
                <w:sz w:val="20"/>
                <w:szCs w:val="20"/>
                <w:color w:val="auto"/>
              </w:rPr>
            </w:pPr>
            <w:r>
              <w:rPr>
                <w:rFonts w:ascii="Arial" w:cs="Arial" w:eastAsia="Arial" w:hAnsi="Arial"/>
                <w:sz w:val="12"/>
                <w:szCs w:val="12"/>
                <w:color w:val="auto"/>
                <w:w w:val="87"/>
              </w:rPr>
              <w:t>Chemicals, Plastics and Rubber</w:t>
            </w:r>
          </w:p>
        </w:tc>
        <w:tc>
          <w:tcPr>
            <w:tcW w:w="900" w:type="dxa"/>
            <w:vAlign w:val="bottom"/>
            <w:gridSpan w:val="2"/>
          </w:tcPr>
          <w:p>
            <w:pPr>
              <w:jc w:val="right"/>
              <w:ind w:right="140"/>
              <w:spacing w:after="0"/>
              <w:rPr>
                <w:sz w:val="20"/>
                <w:szCs w:val="20"/>
                <w:color w:val="auto"/>
              </w:rPr>
            </w:pPr>
            <w:r>
              <w:rPr>
                <w:rFonts w:ascii="Arial" w:cs="Arial" w:eastAsia="Arial" w:hAnsi="Arial"/>
                <w:sz w:val="12"/>
                <w:szCs w:val="12"/>
                <w:color w:val="auto"/>
              </w:rPr>
              <w:t>7.69%</w:t>
            </w:r>
          </w:p>
        </w:tc>
        <w:tc>
          <w:tcPr>
            <w:tcW w:w="900" w:type="dxa"/>
            <w:vAlign w:val="bottom"/>
            <w:gridSpan w:val="2"/>
          </w:tcPr>
          <w:p>
            <w:pPr>
              <w:jc w:val="right"/>
              <w:ind w:right="240"/>
              <w:spacing w:after="0"/>
              <w:rPr>
                <w:sz w:val="20"/>
                <w:szCs w:val="20"/>
                <w:color w:val="auto"/>
              </w:rPr>
            </w:pPr>
            <w:r>
              <w:rPr>
                <w:rFonts w:ascii="Arial" w:cs="Arial" w:eastAsia="Arial" w:hAnsi="Arial"/>
                <w:sz w:val="12"/>
                <w:szCs w:val="12"/>
                <w:color w:val="auto"/>
              </w:rPr>
              <w:t>3M L+575</w:t>
            </w:r>
          </w:p>
        </w:tc>
        <w:tc>
          <w:tcPr>
            <w:tcW w:w="660" w:type="dxa"/>
            <w:vAlign w:val="bottom"/>
          </w:tcPr>
          <w:p>
            <w:pPr>
              <w:jc w:val="right"/>
              <w:spacing w:after="0"/>
              <w:rPr>
                <w:sz w:val="20"/>
                <w:szCs w:val="20"/>
                <w:color w:val="auto"/>
              </w:rPr>
            </w:pPr>
            <w:r>
              <w:rPr>
                <w:rFonts w:ascii="Arial" w:cs="Arial" w:eastAsia="Arial" w:hAnsi="Arial"/>
                <w:sz w:val="12"/>
                <w:szCs w:val="12"/>
                <w:color w:val="auto"/>
              </w:rPr>
              <w:t>9,791,985</w:t>
            </w:r>
          </w:p>
        </w:tc>
        <w:tc>
          <w:tcPr>
            <w:tcW w:w="900" w:type="dxa"/>
            <w:vAlign w:val="bottom"/>
            <w:gridSpan w:val="2"/>
          </w:tcPr>
          <w:p>
            <w:pPr>
              <w:jc w:val="right"/>
              <w:spacing w:after="0"/>
              <w:rPr>
                <w:sz w:val="20"/>
                <w:szCs w:val="20"/>
                <w:color w:val="auto"/>
              </w:rPr>
            </w:pPr>
            <w:r>
              <w:rPr>
                <w:rFonts w:ascii="Arial" w:cs="Arial" w:eastAsia="Arial" w:hAnsi="Arial"/>
                <w:sz w:val="12"/>
                <w:szCs w:val="12"/>
                <w:color w:val="auto"/>
              </w:rPr>
              <w:t>9,734,134</w:t>
            </w:r>
          </w:p>
        </w:tc>
        <w:tc>
          <w:tcPr>
            <w:tcW w:w="22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9,694,065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400" w:type="dxa"/>
            <w:vAlign w:val="bottom"/>
            <w:shd w:val="clear" w:color="auto" w:fill="CCECFF"/>
          </w:tcPr>
          <w:p>
            <w:pPr>
              <w:spacing w:after="0"/>
              <w:rPr>
                <w:sz w:val="20"/>
                <w:szCs w:val="20"/>
                <w:color w:val="auto"/>
              </w:rPr>
            </w:pPr>
            <w:r>
              <w:rPr>
                <w:rFonts w:ascii="Arial" w:cs="Arial" w:eastAsia="Arial" w:hAnsi="Arial"/>
                <w:sz w:val="12"/>
                <w:szCs w:val="12"/>
                <w:color w:val="auto"/>
              </w:rPr>
              <w:t>DRS Holdings III, Inc.</w:t>
            </w:r>
          </w:p>
        </w:tc>
        <w:tc>
          <w:tcPr>
            <w:tcW w:w="960" w:type="dxa"/>
            <w:vAlign w:val="bottom"/>
            <w:shd w:val="clear" w:color="auto" w:fill="CCECFF"/>
          </w:tcPr>
          <w:p>
            <w:pPr>
              <w:jc w:val="center"/>
              <w:ind w:left="102"/>
              <w:spacing w:after="0"/>
              <w:rPr>
                <w:sz w:val="20"/>
                <w:szCs w:val="20"/>
                <w:color w:val="auto"/>
              </w:rPr>
            </w:pPr>
            <w:r>
              <w:rPr>
                <w:rFonts w:ascii="Arial" w:cs="Arial" w:eastAsia="Arial" w:hAnsi="Arial"/>
                <w:sz w:val="12"/>
                <w:szCs w:val="12"/>
                <w:color w:val="auto"/>
                <w:w w:val="86"/>
              </w:rPr>
              <w:t>11/03/2025</w:t>
            </w:r>
          </w:p>
        </w:tc>
        <w:tc>
          <w:tcPr>
            <w:tcW w:w="2480" w:type="dxa"/>
            <w:vAlign w:val="bottom"/>
            <w:gridSpan w:val="2"/>
            <w:shd w:val="clear" w:color="auto" w:fill="CCECFF"/>
          </w:tcPr>
          <w:p>
            <w:pPr>
              <w:jc w:val="center"/>
              <w:ind w:right="100"/>
              <w:spacing w:after="0"/>
              <w:rPr>
                <w:sz w:val="20"/>
                <w:szCs w:val="20"/>
                <w:color w:val="auto"/>
              </w:rPr>
            </w:pPr>
            <w:r>
              <w:rPr>
                <w:rFonts w:ascii="Arial" w:cs="Arial" w:eastAsia="Arial" w:hAnsi="Arial"/>
                <w:sz w:val="12"/>
                <w:szCs w:val="12"/>
                <w:color w:val="auto"/>
                <w:w w:val="87"/>
              </w:rPr>
              <w:t>Personal Products</w:t>
            </w:r>
          </w:p>
        </w:tc>
        <w:tc>
          <w:tcPr>
            <w:tcW w:w="90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7.61%</w:t>
            </w: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1M L+575</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5,000,000</w:t>
            </w:r>
          </w:p>
        </w:tc>
        <w:tc>
          <w:tcPr>
            <w:tcW w:w="90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4,950,412</w:t>
            </w:r>
          </w:p>
        </w:tc>
        <w:tc>
          <w:tcPr>
            <w:tcW w:w="220" w:type="dxa"/>
            <w:vAlign w:val="bottom"/>
            <w:shd w:val="clear" w:color="auto" w:fill="CCECFF"/>
          </w:tcPr>
          <w:p>
            <w:pPr>
              <w:spacing w:after="0"/>
              <w:rPr>
                <w:sz w:val="12"/>
                <w:szCs w:val="12"/>
                <w:color w:val="auto"/>
              </w:rPr>
            </w:pPr>
          </w:p>
        </w:tc>
        <w:tc>
          <w:tcPr>
            <w:tcW w:w="7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4,951,000</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400" w:type="dxa"/>
            <w:vAlign w:val="bottom"/>
          </w:tcPr>
          <w:p>
            <w:pPr>
              <w:spacing w:after="0" w:line="149" w:lineRule="exact"/>
              <w:rPr>
                <w:sz w:val="20"/>
                <w:szCs w:val="20"/>
                <w:color w:val="auto"/>
              </w:rPr>
            </w:pPr>
            <w:r>
              <w:rPr>
                <w:rFonts w:ascii="Arial" w:cs="Arial" w:eastAsia="Arial" w:hAnsi="Arial"/>
                <w:sz w:val="11"/>
                <w:szCs w:val="11"/>
                <w:color w:val="auto"/>
              </w:rPr>
              <w:t xml:space="preserve">DRS Holdings III, Inc. (Revolver) </w:t>
            </w:r>
            <w:r>
              <w:rPr>
                <w:rFonts w:ascii="Arial" w:cs="Arial" w:eastAsia="Arial" w:hAnsi="Arial"/>
                <w:sz w:val="17"/>
                <w:szCs w:val="17"/>
                <w:color w:val="auto"/>
                <w:vertAlign w:val="superscript"/>
              </w:rPr>
              <w:t>(7)</w:t>
            </w:r>
          </w:p>
        </w:tc>
        <w:tc>
          <w:tcPr>
            <w:tcW w:w="960" w:type="dxa"/>
            <w:vAlign w:val="bottom"/>
          </w:tcPr>
          <w:p>
            <w:pPr>
              <w:jc w:val="center"/>
              <w:ind w:left="102"/>
              <w:spacing w:after="0"/>
              <w:rPr>
                <w:sz w:val="20"/>
                <w:szCs w:val="20"/>
                <w:color w:val="auto"/>
              </w:rPr>
            </w:pPr>
            <w:r>
              <w:rPr>
                <w:rFonts w:ascii="Arial" w:cs="Arial" w:eastAsia="Arial" w:hAnsi="Arial"/>
                <w:sz w:val="12"/>
                <w:szCs w:val="12"/>
                <w:color w:val="auto"/>
                <w:w w:val="86"/>
              </w:rPr>
              <w:t>11/03/2025</w:t>
            </w:r>
          </w:p>
        </w:tc>
        <w:tc>
          <w:tcPr>
            <w:tcW w:w="2480" w:type="dxa"/>
            <w:vAlign w:val="bottom"/>
            <w:gridSpan w:val="2"/>
          </w:tcPr>
          <w:p>
            <w:pPr>
              <w:jc w:val="center"/>
              <w:ind w:right="100"/>
              <w:spacing w:after="0"/>
              <w:rPr>
                <w:sz w:val="20"/>
                <w:szCs w:val="20"/>
                <w:color w:val="auto"/>
              </w:rPr>
            </w:pPr>
            <w:r>
              <w:rPr>
                <w:rFonts w:ascii="Arial" w:cs="Arial" w:eastAsia="Arial" w:hAnsi="Arial"/>
                <w:sz w:val="12"/>
                <w:szCs w:val="12"/>
                <w:color w:val="auto"/>
                <w:w w:val="87"/>
              </w:rPr>
              <w:t>Personal Products</w:t>
            </w:r>
          </w:p>
        </w:tc>
        <w:tc>
          <w:tcPr>
            <w:tcW w:w="900" w:type="dxa"/>
            <w:vAlign w:val="bottom"/>
            <w:gridSpan w:val="2"/>
          </w:tcPr>
          <w:p>
            <w:pPr>
              <w:jc w:val="right"/>
              <w:ind w:right="140"/>
              <w:spacing w:after="0"/>
              <w:rPr>
                <w:sz w:val="20"/>
                <w:szCs w:val="20"/>
                <w:color w:val="auto"/>
              </w:rPr>
            </w:pPr>
            <w:r>
              <w:rPr>
                <w:rFonts w:ascii="Arial" w:cs="Arial" w:eastAsia="Arial" w:hAnsi="Arial"/>
                <w:sz w:val="12"/>
                <w:szCs w:val="12"/>
                <w:color w:val="auto"/>
              </w:rPr>
              <w:t>7.55%</w:t>
            </w:r>
          </w:p>
        </w:tc>
        <w:tc>
          <w:tcPr>
            <w:tcW w:w="900" w:type="dxa"/>
            <w:vAlign w:val="bottom"/>
            <w:gridSpan w:val="2"/>
          </w:tcPr>
          <w:p>
            <w:pPr>
              <w:jc w:val="right"/>
              <w:ind w:right="240"/>
              <w:spacing w:after="0"/>
              <w:rPr>
                <w:sz w:val="20"/>
                <w:szCs w:val="20"/>
                <w:color w:val="auto"/>
              </w:rPr>
            </w:pPr>
            <w:r>
              <w:rPr>
                <w:rFonts w:ascii="Arial" w:cs="Arial" w:eastAsia="Arial" w:hAnsi="Arial"/>
                <w:sz w:val="12"/>
                <w:szCs w:val="12"/>
                <w:color w:val="auto"/>
              </w:rPr>
              <w:t>1M L+575</w:t>
            </w:r>
          </w:p>
        </w:tc>
        <w:tc>
          <w:tcPr>
            <w:tcW w:w="660" w:type="dxa"/>
            <w:vAlign w:val="bottom"/>
          </w:tcPr>
          <w:p>
            <w:pPr>
              <w:jc w:val="right"/>
              <w:spacing w:after="0"/>
              <w:rPr>
                <w:sz w:val="20"/>
                <w:szCs w:val="20"/>
                <w:color w:val="auto"/>
              </w:rPr>
            </w:pPr>
            <w:r>
              <w:rPr>
                <w:rFonts w:ascii="Arial" w:cs="Arial" w:eastAsia="Arial" w:hAnsi="Arial"/>
                <w:sz w:val="12"/>
                <w:szCs w:val="12"/>
                <w:color w:val="auto"/>
              </w:rPr>
              <w:t>36,149</w:t>
            </w:r>
          </w:p>
        </w:tc>
        <w:tc>
          <w:tcPr>
            <w:tcW w:w="900" w:type="dxa"/>
            <w:vAlign w:val="bottom"/>
            <w:gridSpan w:val="2"/>
          </w:tcPr>
          <w:p>
            <w:pPr>
              <w:jc w:val="right"/>
              <w:spacing w:after="0"/>
              <w:rPr>
                <w:sz w:val="20"/>
                <w:szCs w:val="20"/>
                <w:color w:val="auto"/>
              </w:rPr>
            </w:pPr>
            <w:r>
              <w:rPr>
                <w:rFonts w:ascii="Arial" w:cs="Arial" w:eastAsia="Arial" w:hAnsi="Arial"/>
                <w:sz w:val="12"/>
                <w:szCs w:val="12"/>
                <w:color w:val="auto"/>
              </w:rPr>
              <w:t>36,149</w:t>
            </w:r>
          </w:p>
        </w:tc>
        <w:tc>
          <w:tcPr>
            <w:tcW w:w="22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35,794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400" w:type="dxa"/>
            <w:vAlign w:val="bottom"/>
            <w:shd w:val="clear" w:color="auto" w:fill="CCECFF"/>
          </w:tcPr>
          <w:p>
            <w:pPr>
              <w:spacing w:after="0" w:line="149" w:lineRule="exact"/>
              <w:rPr>
                <w:sz w:val="20"/>
                <w:szCs w:val="20"/>
                <w:color w:val="auto"/>
              </w:rPr>
            </w:pPr>
            <w:r>
              <w:rPr>
                <w:rFonts w:ascii="Arial" w:cs="Arial" w:eastAsia="Arial" w:hAnsi="Arial"/>
                <w:sz w:val="11"/>
                <w:szCs w:val="11"/>
                <w:color w:val="auto"/>
              </w:rPr>
              <w:t xml:space="preserve">DRS Holdings III, Inc. (Revolver) </w:t>
            </w:r>
            <w:r>
              <w:rPr>
                <w:rFonts w:ascii="Arial" w:cs="Arial" w:eastAsia="Arial" w:hAnsi="Arial"/>
                <w:sz w:val="17"/>
                <w:szCs w:val="17"/>
                <w:color w:val="auto"/>
                <w:vertAlign w:val="superscript"/>
              </w:rPr>
              <w:t>(7), (9)</w:t>
            </w:r>
          </w:p>
        </w:tc>
        <w:tc>
          <w:tcPr>
            <w:tcW w:w="960" w:type="dxa"/>
            <w:vAlign w:val="bottom"/>
            <w:shd w:val="clear" w:color="auto" w:fill="CCECFF"/>
          </w:tcPr>
          <w:p>
            <w:pPr>
              <w:jc w:val="center"/>
              <w:ind w:left="102"/>
              <w:spacing w:after="0"/>
              <w:rPr>
                <w:sz w:val="20"/>
                <w:szCs w:val="20"/>
                <w:color w:val="auto"/>
              </w:rPr>
            </w:pPr>
            <w:r>
              <w:rPr>
                <w:rFonts w:ascii="Arial" w:cs="Arial" w:eastAsia="Arial" w:hAnsi="Arial"/>
                <w:sz w:val="12"/>
                <w:szCs w:val="12"/>
                <w:color w:val="auto"/>
                <w:w w:val="86"/>
              </w:rPr>
              <w:t>11/03/2025</w:t>
            </w:r>
          </w:p>
        </w:tc>
        <w:tc>
          <w:tcPr>
            <w:tcW w:w="2480" w:type="dxa"/>
            <w:vAlign w:val="bottom"/>
            <w:gridSpan w:val="2"/>
            <w:shd w:val="clear" w:color="auto" w:fill="CCECFF"/>
          </w:tcPr>
          <w:p>
            <w:pPr>
              <w:jc w:val="center"/>
              <w:ind w:right="100"/>
              <w:spacing w:after="0"/>
              <w:rPr>
                <w:sz w:val="20"/>
                <w:szCs w:val="20"/>
                <w:color w:val="auto"/>
              </w:rPr>
            </w:pPr>
            <w:r>
              <w:rPr>
                <w:rFonts w:ascii="Arial" w:cs="Arial" w:eastAsia="Arial" w:hAnsi="Arial"/>
                <w:sz w:val="12"/>
                <w:szCs w:val="12"/>
                <w:color w:val="auto"/>
                <w:w w:val="87"/>
              </w:rPr>
              <w:t>Personal Products</w:t>
            </w:r>
          </w:p>
        </w:tc>
        <w:tc>
          <w:tcPr>
            <w:tcW w:w="900" w:type="dxa"/>
            <w:vAlign w:val="bottom"/>
            <w:gridSpan w:val="2"/>
            <w:shd w:val="clear" w:color="auto" w:fill="CCECFF"/>
          </w:tcPr>
          <w:p>
            <w:pPr>
              <w:jc w:val="right"/>
              <w:ind w:right="260"/>
              <w:spacing w:after="0"/>
              <w:rPr>
                <w:sz w:val="20"/>
                <w:szCs w:val="20"/>
                <w:color w:val="auto"/>
              </w:rPr>
            </w:pPr>
            <w:r>
              <w:rPr>
                <w:rFonts w:ascii="Arial" w:cs="Arial" w:eastAsia="Arial" w:hAnsi="Arial"/>
                <w:sz w:val="12"/>
                <w:szCs w:val="12"/>
                <w:color w:val="auto"/>
              </w:rPr>
              <w:t>—</w:t>
            </w: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867,568</w:t>
            </w:r>
          </w:p>
        </w:tc>
        <w:tc>
          <w:tcPr>
            <w:tcW w:w="220" w:type="dxa"/>
            <w:vAlign w:val="bottom"/>
            <w:shd w:val="clear" w:color="auto" w:fill="CCECFF"/>
          </w:tcPr>
          <w:p>
            <w:pPr>
              <w:spacing w:after="0"/>
              <w:rPr>
                <w:sz w:val="12"/>
                <w:szCs w:val="12"/>
                <w:color w:val="auto"/>
              </w:rPr>
            </w:pP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820" w:type="dxa"/>
            <w:vAlign w:val="bottom"/>
            <w:gridSpan w:val="2"/>
            <w:shd w:val="clear" w:color="auto" w:fill="CCECFF"/>
          </w:tcPr>
          <w:p>
            <w:pPr>
              <w:jc w:val="right"/>
              <w:ind w:right="60"/>
              <w:spacing w:after="0"/>
              <w:rPr>
                <w:sz w:val="20"/>
                <w:szCs w:val="20"/>
                <w:color w:val="auto"/>
              </w:rPr>
            </w:pPr>
            <w:r>
              <w:rPr>
                <w:rFonts w:ascii="Arial" w:cs="Arial" w:eastAsia="Arial" w:hAnsi="Arial"/>
                <w:sz w:val="12"/>
                <w:szCs w:val="12"/>
                <w:color w:val="auto"/>
              </w:rPr>
              <w:t>(8,503)</w:t>
            </w:r>
          </w:p>
        </w:tc>
        <w:tc>
          <w:tcPr>
            <w:tcW w:w="0" w:type="dxa"/>
            <w:vAlign w:val="bottom"/>
          </w:tcPr>
          <w:p>
            <w:pPr>
              <w:spacing w:after="0"/>
              <w:rPr>
                <w:sz w:val="1"/>
                <w:szCs w:val="1"/>
                <w:color w:val="auto"/>
              </w:rPr>
            </w:pPr>
          </w:p>
        </w:tc>
      </w:tr>
      <w:tr>
        <w:trPr>
          <w:trHeight w:val="148"/>
        </w:trPr>
        <w:tc>
          <w:tcPr>
            <w:tcW w:w="3400" w:type="dxa"/>
            <w:vAlign w:val="bottom"/>
          </w:tcPr>
          <w:p>
            <w:pPr>
              <w:spacing w:after="0"/>
              <w:rPr>
                <w:sz w:val="20"/>
                <w:szCs w:val="20"/>
                <w:color w:val="auto"/>
              </w:rPr>
            </w:pPr>
            <w:r>
              <w:rPr>
                <w:rFonts w:ascii="Arial" w:cs="Arial" w:eastAsia="Arial" w:hAnsi="Arial"/>
                <w:sz w:val="12"/>
                <w:szCs w:val="12"/>
                <w:color w:val="auto"/>
              </w:rPr>
              <w:t>East Valley Tourist Development Authority</w:t>
            </w:r>
          </w:p>
        </w:tc>
        <w:tc>
          <w:tcPr>
            <w:tcW w:w="960" w:type="dxa"/>
            <w:vAlign w:val="bottom"/>
          </w:tcPr>
          <w:p>
            <w:pPr>
              <w:jc w:val="center"/>
              <w:ind w:left="102"/>
              <w:spacing w:after="0"/>
              <w:rPr>
                <w:sz w:val="20"/>
                <w:szCs w:val="20"/>
                <w:color w:val="auto"/>
              </w:rPr>
            </w:pPr>
            <w:r>
              <w:rPr>
                <w:rFonts w:ascii="Arial" w:cs="Arial" w:eastAsia="Arial" w:hAnsi="Arial"/>
                <w:sz w:val="12"/>
                <w:szCs w:val="12"/>
                <w:color w:val="auto"/>
                <w:w w:val="86"/>
              </w:rPr>
              <w:t>09/30/2020</w:t>
            </w:r>
          </w:p>
        </w:tc>
        <w:tc>
          <w:tcPr>
            <w:tcW w:w="2480" w:type="dxa"/>
            <w:vAlign w:val="bottom"/>
            <w:gridSpan w:val="2"/>
          </w:tcPr>
          <w:p>
            <w:pPr>
              <w:jc w:val="center"/>
              <w:ind w:right="100"/>
              <w:spacing w:after="0"/>
              <w:rPr>
                <w:sz w:val="20"/>
                <w:szCs w:val="20"/>
                <w:color w:val="auto"/>
              </w:rPr>
            </w:pPr>
            <w:r>
              <w:rPr>
                <w:rFonts w:ascii="Arial" w:cs="Arial" w:eastAsia="Arial" w:hAnsi="Arial"/>
                <w:sz w:val="12"/>
                <w:szCs w:val="12"/>
                <w:color w:val="auto"/>
                <w:w w:val="88"/>
              </w:rPr>
              <w:t>Hotel, Gaming and Leisure</w:t>
            </w:r>
          </w:p>
        </w:tc>
        <w:tc>
          <w:tcPr>
            <w:tcW w:w="900" w:type="dxa"/>
            <w:vAlign w:val="bottom"/>
            <w:gridSpan w:val="2"/>
          </w:tcPr>
          <w:p>
            <w:pPr>
              <w:jc w:val="right"/>
              <w:ind w:right="140"/>
              <w:spacing w:after="0"/>
              <w:rPr>
                <w:sz w:val="20"/>
                <w:szCs w:val="20"/>
                <w:color w:val="auto"/>
              </w:rPr>
            </w:pPr>
            <w:r>
              <w:rPr>
                <w:rFonts w:ascii="Arial" w:cs="Arial" w:eastAsia="Arial" w:hAnsi="Arial"/>
                <w:sz w:val="12"/>
                <w:szCs w:val="12"/>
                <w:color w:val="auto"/>
              </w:rPr>
              <w:t>10.06%</w:t>
            </w:r>
          </w:p>
        </w:tc>
        <w:tc>
          <w:tcPr>
            <w:tcW w:w="900" w:type="dxa"/>
            <w:vAlign w:val="bottom"/>
            <w:gridSpan w:val="2"/>
          </w:tcPr>
          <w:p>
            <w:pPr>
              <w:jc w:val="right"/>
              <w:ind w:right="240"/>
              <w:spacing w:after="0"/>
              <w:rPr>
                <w:sz w:val="20"/>
                <w:szCs w:val="20"/>
                <w:color w:val="auto"/>
              </w:rPr>
            </w:pPr>
            <w:r>
              <w:rPr>
                <w:rFonts w:ascii="Arial" w:cs="Arial" w:eastAsia="Arial" w:hAnsi="Arial"/>
                <w:sz w:val="12"/>
                <w:szCs w:val="12"/>
                <w:color w:val="auto"/>
              </w:rPr>
              <w:t>3M L+800</w:t>
            </w:r>
          </w:p>
        </w:tc>
        <w:tc>
          <w:tcPr>
            <w:tcW w:w="660" w:type="dxa"/>
            <w:vAlign w:val="bottom"/>
          </w:tcPr>
          <w:p>
            <w:pPr>
              <w:jc w:val="right"/>
              <w:spacing w:after="0"/>
              <w:rPr>
                <w:sz w:val="20"/>
                <w:szCs w:val="20"/>
                <w:color w:val="auto"/>
              </w:rPr>
            </w:pPr>
            <w:r>
              <w:rPr>
                <w:rFonts w:ascii="Arial" w:cs="Arial" w:eastAsia="Arial" w:hAnsi="Arial"/>
                <w:sz w:val="12"/>
                <w:szCs w:val="12"/>
                <w:color w:val="auto"/>
              </w:rPr>
              <w:t>18,540,775</w:t>
            </w:r>
          </w:p>
        </w:tc>
        <w:tc>
          <w:tcPr>
            <w:tcW w:w="900" w:type="dxa"/>
            <w:vAlign w:val="bottom"/>
            <w:gridSpan w:val="2"/>
          </w:tcPr>
          <w:p>
            <w:pPr>
              <w:jc w:val="right"/>
              <w:spacing w:after="0"/>
              <w:rPr>
                <w:sz w:val="20"/>
                <w:szCs w:val="20"/>
                <w:color w:val="auto"/>
              </w:rPr>
            </w:pPr>
            <w:r>
              <w:rPr>
                <w:rFonts w:ascii="Arial" w:cs="Arial" w:eastAsia="Arial" w:hAnsi="Arial"/>
                <w:sz w:val="12"/>
                <w:szCs w:val="12"/>
                <w:color w:val="auto"/>
              </w:rPr>
              <w:t>18,437,131</w:t>
            </w:r>
          </w:p>
        </w:tc>
        <w:tc>
          <w:tcPr>
            <w:tcW w:w="22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18,355,367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400" w:type="dxa"/>
            <w:vAlign w:val="bottom"/>
            <w:shd w:val="clear" w:color="auto" w:fill="CCECFF"/>
          </w:tcPr>
          <w:p>
            <w:pPr>
              <w:spacing w:after="0"/>
              <w:rPr>
                <w:sz w:val="20"/>
                <w:szCs w:val="20"/>
                <w:color w:val="auto"/>
              </w:rPr>
            </w:pPr>
            <w:r>
              <w:rPr>
                <w:rFonts w:ascii="Arial" w:cs="Arial" w:eastAsia="Arial" w:hAnsi="Arial"/>
                <w:sz w:val="12"/>
                <w:szCs w:val="12"/>
                <w:color w:val="auto"/>
              </w:rPr>
              <w:t>ECM Industries, LLC</w:t>
            </w:r>
          </w:p>
        </w:tc>
        <w:tc>
          <w:tcPr>
            <w:tcW w:w="960" w:type="dxa"/>
            <w:vAlign w:val="bottom"/>
            <w:shd w:val="clear" w:color="auto" w:fill="CCECFF"/>
          </w:tcPr>
          <w:p>
            <w:pPr>
              <w:jc w:val="center"/>
              <w:ind w:left="102"/>
              <w:spacing w:after="0"/>
              <w:rPr>
                <w:sz w:val="20"/>
                <w:szCs w:val="20"/>
                <w:color w:val="auto"/>
              </w:rPr>
            </w:pPr>
            <w:r>
              <w:rPr>
                <w:rFonts w:ascii="Arial" w:cs="Arial" w:eastAsia="Arial" w:hAnsi="Arial"/>
                <w:sz w:val="12"/>
                <w:szCs w:val="12"/>
                <w:color w:val="auto"/>
                <w:w w:val="86"/>
              </w:rPr>
              <w:t>12/23/2025</w:t>
            </w:r>
          </w:p>
        </w:tc>
        <w:tc>
          <w:tcPr>
            <w:tcW w:w="2480" w:type="dxa"/>
            <w:vAlign w:val="bottom"/>
            <w:gridSpan w:val="2"/>
            <w:shd w:val="clear" w:color="auto" w:fill="CCECFF"/>
          </w:tcPr>
          <w:p>
            <w:pPr>
              <w:jc w:val="center"/>
              <w:ind w:right="100"/>
              <w:spacing w:after="0"/>
              <w:rPr>
                <w:sz w:val="20"/>
                <w:szCs w:val="20"/>
                <w:color w:val="auto"/>
              </w:rPr>
            </w:pPr>
            <w:r>
              <w:rPr>
                <w:rFonts w:ascii="Arial" w:cs="Arial" w:eastAsia="Arial" w:hAnsi="Arial"/>
                <w:sz w:val="12"/>
                <w:szCs w:val="12"/>
                <w:color w:val="auto"/>
                <w:w w:val="88"/>
              </w:rPr>
              <w:t>Electronic Equipment, Instruments, and</w:t>
            </w:r>
          </w:p>
        </w:tc>
        <w:tc>
          <w:tcPr>
            <w:tcW w:w="66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66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66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7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3400" w:type="dxa"/>
            <w:vAlign w:val="bottom"/>
            <w:shd w:val="clear" w:color="auto" w:fill="CCECFF"/>
          </w:tcPr>
          <w:p>
            <w:pPr>
              <w:spacing w:after="0"/>
              <w:rPr>
                <w:sz w:val="12"/>
                <w:szCs w:val="12"/>
                <w:color w:val="auto"/>
              </w:rPr>
            </w:pPr>
          </w:p>
        </w:tc>
        <w:tc>
          <w:tcPr>
            <w:tcW w:w="960" w:type="dxa"/>
            <w:vAlign w:val="bottom"/>
            <w:shd w:val="clear" w:color="auto" w:fill="CCECFF"/>
          </w:tcPr>
          <w:p>
            <w:pPr>
              <w:spacing w:after="0"/>
              <w:rPr>
                <w:sz w:val="12"/>
                <w:szCs w:val="12"/>
                <w:color w:val="auto"/>
              </w:rPr>
            </w:pPr>
          </w:p>
        </w:tc>
        <w:tc>
          <w:tcPr>
            <w:tcW w:w="2480" w:type="dxa"/>
            <w:vAlign w:val="bottom"/>
            <w:gridSpan w:val="2"/>
            <w:shd w:val="clear" w:color="auto" w:fill="CCECFF"/>
          </w:tcPr>
          <w:p>
            <w:pPr>
              <w:jc w:val="center"/>
              <w:ind w:right="100"/>
              <w:spacing w:after="0"/>
              <w:rPr>
                <w:sz w:val="20"/>
                <w:szCs w:val="20"/>
                <w:color w:val="auto"/>
              </w:rPr>
            </w:pPr>
            <w:r>
              <w:rPr>
                <w:rFonts w:ascii="Arial" w:cs="Arial" w:eastAsia="Arial" w:hAnsi="Arial"/>
                <w:sz w:val="12"/>
                <w:szCs w:val="12"/>
                <w:color w:val="auto"/>
                <w:w w:val="85"/>
              </w:rPr>
              <w:t>Components</w:t>
            </w:r>
          </w:p>
        </w:tc>
        <w:tc>
          <w:tcPr>
            <w:tcW w:w="90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6.29%</w:t>
            </w: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1M L+450</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5,101,476</w:t>
            </w:r>
          </w:p>
        </w:tc>
        <w:tc>
          <w:tcPr>
            <w:tcW w:w="90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5,050,601</w:t>
            </w:r>
          </w:p>
        </w:tc>
        <w:tc>
          <w:tcPr>
            <w:tcW w:w="220" w:type="dxa"/>
            <w:vAlign w:val="bottom"/>
            <w:shd w:val="clear" w:color="auto" w:fill="CCECFF"/>
          </w:tcPr>
          <w:p>
            <w:pPr>
              <w:spacing w:after="0"/>
              <w:rPr>
                <w:sz w:val="12"/>
                <w:szCs w:val="12"/>
                <w:color w:val="auto"/>
              </w:rPr>
            </w:pPr>
          </w:p>
        </w:tc>
        <w:tc>
          <w:tcPr>
            <w:tcW w:w="7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5,050,461</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400" w:type="dxa"/>
            <w:vAlign w:val="bottom"/>
          </w:tcPr>
          <w:p>
            <w:pPr>
              <w:spacing w:after="0" w:line="142" w:lineRule="exact"/>
              <w:rPr>
                <w:sz w:val="20"/>
                <w:szCs w:val="20"/>
                <w:color w:val="auto"/>
              </w:rPr>
            </w:pPr>
            <w:r>
              <w:rPr>
                <w:rFonts w:ascii="Arial" w:cs="Arial" w:eastAsia="Arial" w:hAnsi="Arial"/>
                <w:sz w:val="10"/>
                <w:szCs w:val="10"/>
                <w:color w:val="auto"/>
              </w:rPr>
              <w:t xml:space="preserve">ECM Industries, LLC (Revolver) </w:t>
            </w:r>
            <w:r>
              <w:rPr>
                <w:rFonts w:ascii="Arial" w:cs="Arial" w:eastAsia="Arial" w:hAnsi="Arial"/>
                <w:sz w:val="16"/>
                <w:szCs w:val="16"/>
                <w:color w:val="auto"/>
                <w:vertAlign w:val="superscript"/>
              </w:rPr>
              <w:t>(7)</w:t>
            </w:r>
          </w:p>
        </w:tc>
        <w:tc>
          <w:tcPr>
            <w:tcW w:w="960" w:type="dxa"/>
            <w:vAlign w:val="bottom"/>
          </w:tcPr>
          <w:p>
            <w:pPr>
              <w:jc w:val="center"/>
              <w:ind w:left="102"/>
              <w:spacing w:after="0"/>
              <w:rPr>
                <w:sz w:val="20"/>
                <w:szCs w:val="20"/>
                <w:color w:val="auto"/>
              </w:rPr>
            </w:pPr>
            <w:r>
              <w:rPr>
                <w:rFonts w:ascii="Arial" w:cs="Arial" w:eastAsia="Arial" w:hAnsi="Arial"/>
                <w:sz w:val="12"/>
                <w:szCs w:val="12"/>
                <w:color w:val="auto"/>
                <w:w w:val="86"/>
              </w:rPr>
              <w:t>12/23/2025</w:t>
            </w:r>
          </w:p>
        </w:tc>
        <w:tc>
          <w:tcPr>
            <w:tcW w:w="2480" w:type="dxa"/>
            <w:vAlign w:val="bottom"/>
            <w:gridSpan w:val="2"/>
          </w:tcPr>
          <w:p>
            <w:pPr>
              <w:jc w:val="center"/>
              <w:ind w:right="100"/>
              <w:spacing w:after="0"/>
              <w:rPr>
                <w:sz w:val="20"/>
                <w:szCs w:val="20"/>
                <w:color w:val="auto"/>
              </w:rPr>
            </w:pPr>
            <w:r>
              <w:rPr>
                <w:rFonts w:ascii="Arial" w:cs="Arial" w:eastAsia="Arial" w:hAnsi="Arial"/>
                <w:sz w:val="12"/>
                <w:szCs w:val="12"/>
                <w:color w:val="auto"/>
                <w:w w:val="88"/>
              </w:rPr>
              <w:t>Electronic Equipment, Instruments, and</w:t>
            </w: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2"/>
                <w:szCs w:val="12"/>
                <w:color w:val="auto"/>
              </w:rPr>
              <w:t>1M L+450</w:t>
            </w: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34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480" w:type="dxa"/>
            <w:vAlign w:val="bottom"/>
            <w:gridSpan w:val="2"/>
          </w:tcPr>
          <w:p>
            <w:pPr>
              <w:jc w:val="center"/>
              <w:ind w:right="100"/>
              <w:spacing w:after="0"/>
              <w:rPr>
                <w:sz w:val="20"/>
                <w:szCs w:val="20"/>
                <w:color w:val="auto"/>
              </w:rPr>
            </w:pPr>
            <w:r>
              <w:rPr>
                <w:rFonts w:ascii="Arial" w:cs="Arial" w:eastAsia="Arial" w:hAnsi="Arial"/>
                <w:sz w:val="12"/>
                <w:szCs w:val="12"/>
                <w:color w:val="auto"/>
                <w:w w:val="85"/>
              </w:rPr>
              <w:t>Components</w:t>
            </w:r>
          </w:p>
        </w:tc>
        <w:tc>
          <w:tcPr>
            <w:tcW w:w="900" w:type="dxa"/>
            <w:vAlign w:val="bottom"/>
            <w:gridSpan w:val="2"/>
          </w:tcPr>
          <w:p>
            <w:pPr>
              <w:jc w:val="right"/>
              <w:ind w:right="140"/>
              <w:spacing w:after="0"/>
              <w:rPr>
                <w:sz w:val="20"/>
                <w:szCs w:val="20"/>
                <w:color w:val="auto"/>
              </w:rPr>
            </w:pPr>
            <w:r>
              <w:rPr>
                <w:rFonts w:ascii="Arial" w:cs="Arial" w:eastAsia="Arial" w:hAnsi="Arial"/>
                <w:sz w:val="12"/>
                <w:szCs w:val="12"/>
                <w:color w:val="auto"/>
              </w:rPr>
              <w:t>6.29%</w:t>
            </w: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310,215</w:t>
            </w:r>
          </w:p>
        </w:tc>
        <w:tc>
          <w:tcPr>
            <w:tcW w:w="900" w:type="dxa"/>
            <w:vAlign w:val="bottom"/>
            <w:gridSpan w:val="2"/>
          </w:tcPr>
          <w:p>
            <w:pPr>
              <w:jc w:val="right"/>
              <w:spacing w:after="0"/>
              <w:rPr>
                <w:sz w:val="20"/>
                <w:szCs w:val="20"/>
                <w:color w:val="auto"/>
              </w:rPr>
            </w:pPr>
            <w:r>
              <w:rPr>
                <w:rFonts w:ascii="Arial" w:cs="Arial" w:eastAsia="Arial" w:hAnsi="Arial"/>
                <w:sz w:val="12"/>
                <w:szCs w:val="12"/>
                <w:color w:val="auto"/>
              </w:rPr>
              <w:t>310,215</w:t>
            </w:r>
          </w:p>
        </w:tc>
        <w:tc>
          <w:tcPr>
            <w:tcW w:w="22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310,215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400" w:type="dxa"/>
            <w:vAlign w:val="bottom"/>
            <w:shd w:val="clear" w:color="auto" w:fill="CCECFF"/>
          </w:tcPr>
          <w:p>
            <w:pPr>
              <w:spacing w:after="0" w:line="142" w:lineRule="exact"/>
              <w:rPr>
                <w:sz w:val="20"/>
                <w:szCs w:val="20"/>
                <w:color w:val="auto"/>
              </w:rPr>
            </w:pPr>
            <w:r>
              <w:rPr>
                <w:rFonts w:ascii="Arial" w:cs="Arial" w:eastAsia="Arial" w:hAnsi="Arial"/>
                <w:sz w:val="10"/>
                <w:szCs w:val="10"/>
                <w:color w:val="auto"/>
              </w:rPr>
              <w:t xml:space="preserve">ECM Industries, LLC (Revolver) </w:t>
            </w:r>
            <w:r>
              <w:rPr>
                <w:rFonts w:ascii="Arial" w:cs="Arial" w:eastAsia="Arial" w:hAnsi="Arial"/>
                <w:sz w:val="16"/>
                <w:szCs w:val="16"/>
                <w:color w:val="auto"/>
                <w:vertAlign w:val="superscript"/>
              </w:rPr>
              <w:t>(7), (9)</w:t>
            </w:r>
          </w:p>
        </w:tc>
        <w:tc>
          <w:tcPr>
            <w:tcW w:w="960" w:type="dxa"/>
            <w:vAlign w:val="bottom"/>
            <w:shd w:val="clear" w:color="auto" w:fill="CCECFF"/>
          </w:tcPr>
          <w:p>
            <w:pPr>
              <w:jc w:val="center"/>
              <w:ind w:left="102"/>
              <w:spacing w:after="0"/>
              <w:rPr>
                <w:sz w:val="20"/>
                <w:szCs w:val="20"/>
                <w:color w:val="auto"/>
              </w:rPr>
            </w:pPr>
            <w:r>
              <w:rPr>
                <w:rFonts w:ascii="Arial" w:cs="Arial" w:eastAsia="Arial" w:hAnsi="Arial"/>
                <w:sz w:val="12"/>
                <w:szCs w:val="12"/>
                <w:color w:val="auto"/>
                <w:w w:val="86"/>
              </w:rPr>
              <w:t>12/23/2025</w:t>
            </w:r>
          </w:p>
        </w:tc>
        <w:tc>
          <w:tcPr>
            <w:tcW w:w="2480" w:type="dxa"/>
            <w:vAlign w:val="bottom"/>
            <w:gridSpan w:val="2"/>
            <w:shd w:val="clear" w:color="auto" w:fill="CCECFF"/>
          </w:tcPr>
          <w:p>
            <w:pPr>
              <w:jc w:val="center"/>
              <w:ind w:right="100"/>
              <w:spacing w:after="0"/>
              <w:rPr>
                <w:sz w:val="20"/>
                <w:szCs w:val="20"/>
                <w:color w:val="auto"/>
              </w:rPr>
            </w:pPr>
            <w:r>
              <w:rPr>
                <w:rFonts w:ascii="Arial" w:cs="Arial" w:eastAsia="Arial" w:hAnsi="Arial"/>
                <w:sz w:val="12"/>
                <w:szCs w:val="12"/>
                <w:color w:val="auto"/>
                <w:w w:val="88"/>
              </w:rPr>
              <w:t>Electronic Equipment, Instruments, and</w:t>
            </w:r>
          </w:p>
        </w:tc>
        <w:tc>
          <w:tcPr>
            <w:tcW w:w="66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66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66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7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3400" w:type="dxa"/>
            <w:vAlign w:val="bottom"/>
            <w:shd w:val="clear" w:color="auto" w:fill="CCECFF"/>
          </w:tcPr>
          <w:p>
            <w:pPr>
              <w:spacing w:after="0"/>
              <w:rPr>
                <w:sz w:val="12"/>
                <w:szCs w:val="12"/>
                <w:color w:val="auto"/>
              </w:rPr>
            </w:pPr>
          </w:p>
        </w:tc>
        <w:tc>
          <w:tcPr>
            <w:tcW w:w="960" w:type="dxa"/>
            <w:vAlign w:val="bottom"/>
            <w:shd w:val="clear" w:color="auto" w:fill="CCECFF"/>
          </w:tcPr>
          <w:p>
            <w:pPr>
              <w:spacing w:after="0"/>
              <w:rPr>
                <w:sz w:val="12"/>
                <w:szCs w:val="12"/>
                <w:color w:val="auto"/>
              </w:rPr>
            </w:pPr>
          </w:p>
        </w:tc>
        <w:tc>
          <w:tcPr>
            <w:tcW w:w="2480" w:type="dxa"/>
            <w:vAlign w:val="bottom"/>
            <w:gridSpan w:val="2"/>
            <w:shd w:val="clear" w:color="auto" w:fill="CCECFF"/>
          </w:tcPr>
          <w:p>
            <w:pPr>
              <w:jc w:val="center"/>
              <w:ind w:right="100"/>
              <w:spacing w:after="0"/>
              <w:rPr>
                <w:sz w:val="20"/>
                <w:szCs w:val="20"/>
                <w:color w:val="auto"/>
              </w:rPr>
            </w:pPr>
            <w:r>
              <w:rPr>
                <w:rFonts w:ascii="Arial" w:cs="Arial" w:eastAsia="Arial" w:hAnsi="Arial"/>
                <w:sz w:val="12"/>
                <w:szCs w:val="12"/>
                <w:color w:val="auto"/>
                <w:w w:val="85"/>
              </w:rPr>
              <w:t>Components</w:t>
            </w:r>
          </w:p>
        </w:tc>
        <w:tc>
          <w:tcPr>
            <w:tcW w:w="900" w:type="dxa"/>
            <w:vAlign w:val="bottom"/>
            <w:gridSpan w:val="2"/>
            <w:shd w:val="clear" w:color="auto" w:fill="CCECFF"/>
          </w:tcPr>
          <w:p>
            <w:pPr>
              <w:jc w:val="right"/>
              <w:ind w:right="260"/>
              <w:spacing w:after="0"/>
              <w:rPr>
                <w:sz w:val="20"/>
                <w:szCs w:val="20"/>
                <w:color w:val="auto"/>
              </w:rPr>
            </w:pPr>
            <w:r>
              <w:rPr>
                <w:rFonts w:ascii="Arial" w:cs="Arial" w:eastAsia="Arial" w:hAnsi="Arial"/>
                <w:sz w:val="12"/>
                <w:szCs w:val="12"/>
                <w:color w:val="auto"/>
              </w:rPr>
              <w:t>—</w:t>
            </w: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604,200</w:t>
            </w:r>
          </w:p>
        </w:tc>
        <w:tc>
          <w:tcPr>
            <w:tcW w:w="220" w:type="dxa"/>
            <w:vAlign w:val="bottom"/>
            <w:shd w:val="clear" w:color="auto" w:fill="CCECFF"/>
          </w:tcPr>
          <w:p>
            <w:pPr>
              <w:spacing w:after="0"/>
              <w:rPr>
                <w:sz w:val="12"/>
                <w:szCs w:val="12"/>
                <w:color w:val="auto"/>
              </w:rPr>
            </w:pP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820" w:type="dxa"/>
            <w:vAlign w:val="bottom"/>
            <w:gridSpan w:val="2"/>
            <w:shd w:val="clear" w:color="auto" w:fill="CCECFF"/>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9"/>
        </w:trPr>
        <w:tc>
          <w:tcPr>
            <w:tcW w:w="3400" w:type="dxa"/>
            <w:vAlign w:val="bottom"/>
          </w:tcPr>
          <w:p>
            <w:pPr>
              <w:spacing w:after="0" w:line="149" w:lineRule="exact"/>
              <w:rPr>
                <w:sz w:val="20"/>
                <w:szCs w:val="20"/>
                <w:color w:val="auto"/>
              </w:rPr>
            </w:pPr>
            <w:r>
              <w:rPr>
                <w:rFonts w:ascii="Arial" w:cs="Arial" w:eastAsia="Arial" w:hAnsi="Arial"/>
                <w:sz w:val="11"/>
                <w:szCs w:val="11"/>
                <w:color w:val="auto"/>
              </w:rPr>
              <w:t xml:space="preserve">eCommission Financial Services, Inc. </w:t>
            </w:r>
            <w:r>
              <w:rPr>
                <w:rFonts w:ascii="Arial" w:cs="Arial" w:eastAsia="Arial" w:hAnsi="Arial"/>
                <w:sz w:val="17"/>
                <w:szCs w:val="17"/>
                <w:color w:val="auto"/>
                <w:vertAlign w:val="superscript"/>
              </w:rPr>
              <w:t>(10)</w:t>
            </w:r>
          </w:p>
        </w:tc>
        <w:tc>
          <w:tcPr>
            <w:tcW w:w="960" w:type="dxa"/>
            <w:vAlign w:val="bottom"/>
          </w:tcPr>
          <w:p>
            <w:pPr>
              <w:jc w:val="center"/>
              <w:ind w:left="102"/>
              <w:spacing w:after="0"/>
              <w:rPr>
                <w:sz w:val="20"/>
                <w:szCs w:val="20"/>
                <w:color w:val="auto"/>
              </w:rPr>
            </w:pPr>
            <w:r>
              <w:rPr>
                <w:rFonts w:ascii="Arial" w:cs="Arial" w:eastAsia="Arial" w:hAnsi="Arial"/>
                <w:sz w:val="12"/>
                <w:szCs w:val="12"/>
                <w:color w:val="auto"/>
                <w:w w:val="86"/>
              </w:rPr>
              <w:t>10/05/2023</w:t>
            </w:r>
          </w:p>
        </w:tc>
        <w:tc>
          <w:tcPr>
            <w:tcW w:w="2480" w:type="dxa"/>
            <w:vAlign w:val="bottom"/>
            <w:gridSpan w:val="2"/>
          </w:tcPr>
          <w:p>
            <w:pPr>
              <w:jc w:val="center"/>
              <w:ind w:right="100"/>
              <w:spacing w:after="0"/>
              <w:rPr>
                <w:sz w:val="20"/>
                <w:szCs w:val="20"/>
                <w:color w:val="auto"/>
              </w:rPr>
            </w:pPr>
            <w:r>
              <w:rPr>
                <w:rFonts w:ascii="Arial" w:cs="Arial" w:eastAsia="Arial" w:hAnsi="Arial"/>
                <w:sz w:val="12"/>
                <w:szCs w:val="12"/>
                <w:color w:val="auto"/>
                <w:w w:val="88"/>
              </w:rPr>
              <w:t>Banking, Finance, Insurance &amp; Real Estate</w:t>
            </w:r>
          </w:p>
        </w:tc>
        <w:tc>
          <w:tcPr>
            <w:tcW w:w="900" w:type="dxa"/>
            <w:vAlign w:val="bottom"/>
            <w:gridSpan w:val="2"/>
          </w:tcPr>
          <w:p>
            <w:pPr>
              <w:jc w:val="right"/>
              <w:ind w:right="140"/>
              <w:spacing w:after="0"/>
              <w:rPr>
                <w:sz w:val="20"/>
                <w:szCs w:val="20"/>
                <w:color w:val="auto"/>
              </w:rPr>
            </w:pPr>
            <w:r>
              <w:rPr>
                <w:rFonts w:ascii="Arial" w:cs="Arial" w:eastAsia="Arial" w:hAnsi="Arial"/>
                <w:sz w:val="12"/>
                <w:szCs w:val="12"/>
                <w:color w:val="auto"/>
              </w:rPr>
              <w:t>6.70%</w:t>
            </w:r>
          </w:p>
        </w:tc>
        <w:tc>
          <w:tcPr>
            <w:tcW w:w="900" w:type="dxa"/>
            <w:vAlign w:val="bottom"/>
            <w:gridSpan w:val="2"/>
          </w:tcPr>
          <w:p>
            <w:pPr>
              <w:jc w:val="right"/>
              <w:ind w:right="240"/>
              <w:spacing w:after="0"/>
              <w:rPr>
                <w:sz w:val="20"/>
                <w:szCs w:val="20"/>
                <w:color w:val="auto"/>
              </w:rPr>
            </w:pPr>
            <w:r>
              <w:rPr>
                <w:rFonts w:ascii="Arial" w:cs="Arial" w:eastAsia="Arial" w:hAnsi="Arial"/>
                <w:sz w:val="12"/>
                <w:szCs w:val="12"/>
                <w:color w:val="auto"/>
              </w:rPr>
              <w:t>1M L+500</w:t>
            </w:r>
          </w:p>
        </w:tc>
        <w:tc>
          <w:tcPr>
            <w:tcW w:w="660" w:type="dxa"/>
            <w:vAlign w:val="bottom"/>
          </w:tcPr>
          <w:p>
            <w:pPr>
              <w:jc w:val="right"/>
              <w:spacing w:after="0"/>
              <w:rPr>
                <w:sz w:val="20"/>
                <w:szCs w:val="20"/>
                <w:color w:val="auto"/>
              </w:rPr>
            </w:pPr>
            <w:r>
              <w:rPr>
                <w:rFonts w:ascii="Arial" w:cs="Arial" w:eastAsia="Arial" w:hAnsi="Arial"/>
                <w:sz w:val="12"/>
                <w:szCs w:val="12"/>
                <w:color w:val="auto"/>
              </w:rPr>
              <w:t>16,502,500</w:t>
            </w:r>
          </w:p>
        </w:tc>
        <w:tc>
          <w:tcPr>
            <w:tcW w:w="900" w:type="dxa"/>
            <w:vAlign w:val="bottom"/>
            <w:gridSpan w:val="2"/>
          </w:tcPr>
          <w:p>
            <w:pPr>
              <w:jc w:val="right"/>
              <w:spacing w:after="0"/>
              <w:rPr>
                <w:sz w:val="20"/>
                <w:szCs w:val="20"/>
                <w:color w:val="auto"/>
              </w:rPr>
            </w:pPr>
            <w:r>
              <w:rPr>
                <w:rFonts w:ascii="Arial" w:cs="Arial" w:eastAsia="Arial" w:hAnsi="Arial"/>
                <w:sz w:val="12"/>
                <w:szCs w:val="12"/>
                <w:color w:val="auto"/>
              </w:rPr>
              <w:t>16,502,500</w:t>
            </w:r>
          </w:p>
        </w:tc>
        <w:tc>
          <w:tcPr>
            <w:tcW w:w="22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16,502,500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400" w:type="dxa"/>
            <w:vAlign w:val="bottom"/>
            <w:shd w:val="clear" w:color="auto" w:fill="CCECFF"/>
          </w:tcPr>
          <w:p>
            <w:pPr>
              <w:spacing w:after="0" w:line="149" w:lineRule="exact"/>
              <w:rPr>
                <w:sz w:val="20"/>
                <w:szCs w:val="20"/>
                <w:color w:val="auto"/>
              </w:rPr>
            </w:pPr>
            <w:r>
              <w:rPr>
                <w:rFonts w:ascii="Arial" w:cs="Arial" w:eastAsia="Arial" w:hAnsi="Arial"/>
                <w:sz w:val="11"/>
                <w:szCs w:val="11"/>
                <w:color w:val="auto"/>
              </w:rPr>
              <w:t xml:space="preserve">eCommission Financial Services, Inc. (Revolver) </w:t>
            </w:r>
            <w:r>
              <w:rPr>
                <w:rFonts w:ascii="Arial" w:cs="Arial" w:eastAsia="Arial" w:hAnsi="Arial"/>
                <w:sz w:val="17"/>
                <w:szCs w:val="17"/>
                <w:color w:val="auto"/>
                <w:vertAlign w:val="superscript"/>
              </w:rPr>
              <w:t>(7), (9), (10)</w:t>
            </w:r>
          </w:p>
        </w:tc>
        <w:tc>
          <w:tcPr>
            <w:tcW w:w="960" w:type="dxa"/>
            <w:vAlign w:val="bottom"/>
            <w:shd w:val="clear" w:color="auto" w:fill="CCECFF"/>
          </w:tcPr>
          <w:p>
            <w:pPr>
              <w:jc w:val="center"/>
              <w:ind w:left="102"/>
              <w:spacing w:after="0"/>
              <w:rPr>
                <w:sz w:val="20"/>
                <w:szCs w:val="20"/>
                <w:color w:val="auto"/>
              </w:rPr>
            </w:pPr>
            <w:r>
              <w:rPr>
                <w:rFonts w:ascii="Arial" w:cs="Arial" w:eastAsia="Arial" w:hAnsi="Arial"/>
                <w:sz w:val="12"/>
                <w:szCs w:val="12"/>
                <w:color w:val="auto"/>
                <w:w w:val="86"/>
              </w:rPr>
              <w:t>10/05/2023</w:t>
            </w:r>
          </w:p>
        </w:tc>
        <w:tc>
          <w:tcPr>
            <w:tcW w:w="2480" w:type="dxa"/>
            <w:vAlign w:val="bottom"/>
            <w:gridSpan w:val="2"/>
            <w:shd w:val="clear" w:color="auto" w:fill="CCECFF"/>
          </w:tcPr>
          <w:p>
            <w:pPr>
              <w:jc w:val="center"/>
              <w:ind w:right="100"/>
              <w:spacing w:after="0"/>
              <w:rPr>
                <w:sz w:val="20"/>
                <w:szCs w:val="20"/>
                <w:color w:val="auto"/>
              </w:rPr>
            </w:pPr>
            <w:r>
              <w:rPr>
                <w:rFonts w:ascii="Arial" w:cs="Arial" w:eastAsia="Arial" w:hAnsi="Arial"/>
                <w:sz w:val="12"/>
                <w:szCs w:val="12"/>
                <w:color w:val="auto"/>
                <w:w w:val="88"/>
              </w:rPr>
              <w:t>Banking, Finance, Insurance &amp; Real Estate</w:t>
            </w:r>
          </w:p>
        </w:tc>
        <w:tc>
          <w:tcPr>
            <w:tcW w:w="900" w:type="dxa"/>
            <w:vAlign w:val="bottom"/>
            <w:gridSpan w:val="2"/>
            <w:shd w:val="clear" w:color="auto" w:fill="CCECFF"/>
          </w:tcPr>
          <w:p>
            <w:pPr>
              <w:jc w:val="right"/>
              <w:ind w:right="260"/>
              <w:spacing w:after="0"/>
              <w:rPr>
                <w:sz w:val="20"/>
                <w:szCs w:val="20"/>
                <w:color w:val="auto"/>
              </w:rPr>
            </w:pPr>
            <w:r>
              <w:rPr>
                <w:rFonts w:ascii="Arial" w:cs="Arial" w:eastAsia="Arial" w:hAnsi="Arial"/>
                <w:sz w:val="12"/>
                <w:szCs w:val="12"/>
                <w:color w:val="auto"/>
              </w:rPr>
              <w:t>—</w:t>
            </w: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5,000,000</w:t>
            </w:r>
          </w:p>
        </w:tc>
        <w:tc>
          <w:tcPr>
            <w:tcW w:w="220" w:type="dxa"/>
            <w:vAlign w:val="bottom"/>
            <w:shd w:val="clear" w:color="auto" w:fill="CCECFF"/>
          </w:tcPr>
          <w:p>
            <w:pPr>
              <w:spacing w:after="0"/>
              <w:rPr>
                <w:sz w:val="12"/>
                <w:szCs w:val="12"/>
                <w:color w:val="auto"/>
              </w:rPr>
            </w:pP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820" w:type="dxa"/>
            <w:vAlign w:val="bottom"/>
            <w:gridSpan w:val="2"/>
            <w:shd w:val="clear" w:color="auto" w:fill="CCECFF"/>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8"/>
        </w:trPr>
        <w:tc>
          <w:tcPr>
            <w:tcW w:w="3400" w:type="dxa"/>
            <w:vAlign w:val="bottom"/>
          </w:tcPr>
          <w:p>
            <w:pPr>
              <w:spacing w:after="0"/>
              <w:rPr>
                <w:sz w:val="20"/>
                <w:szCs w:val="20"/>
                <w:color w:val="auto"/>
              </w:rPr>
            </w:pPr>
            <w:r>
              <w:rPr>
                <w:rFonts w:ascii="Arial" w:cs="Arial" w:eastAsia="Arial" w:hAnsi="Arial"/>
                <w:sz w:val="12"/>
                <w:szCs w:val="12"/>
                <w:color w:val="auto"/>
              </w:rPr>
              <w:t>Education Networks of America, Inc.</w:t>
            </w:r>
          </w:p>
        </w:tc>
        <w:tc>
          <w:tcPr>
            <w:tcW w:w="960" w:type="dxa"/>
            <w:vAlign w:val="bottom"/>
          </w:tcPr>
          <w:p>
            <w:pPr>
              <w:jc w:val="center"/>
              <w:ind w:left="102"/>
              <w:spacing w:after="0"/>
              <w:rPr>
                <w:sz w:val="20"/>
                <w:szCs w:val="20"/>
                <w:color w:val="auto"/>
              </w:rPr>
            </w:pPr>
            <w:r>
              <w:rPr>
                <w:rFonts w:ascii="Arial" w:cs="Arial" w:eastAsia="Arial" w:hAnsi="Arial"/>
                <w:sz w:val="12"/>
                <w:szCs w:val="12"/>
                <w:color w:val="auto"/>
                <w:w w:val="86"/>
              </w:rPr>
              <w:t>05/06/2021</w:t>
            </w:r>
          </w:p>
        </w:tc>
        <w:tc>
          <w:tcPr>
            <w:tcW w:w="2480" w:type="dxa"/>
            <w:vAlign w:val="bottom"/>
            <w:gridSpan w:val="2"/>
          </w:tcPr>
          <w:p>
            <w:pPr>
              <w:jc w:val="center"/>
              <w:ind w:right="100"/>
              <w:spacing w:after="0"/>
              <w:rPr>
                <w:sz w:val="20"/>
                <w:szCs w:val="20"/>
                <w:color w:val="auto"/>
              </w:rPr>
            </w:pPr>
            <w:r>
              <w:rPr>
                <w:rFonts w:ascii="Arial" w:cs="Arial" w:eastAsia="Arial" w:hAnsi="Arial"/>
                <w:sz w:val="12"/>
                <w:szCs w:val="12"/>
                <w:color w:val="auto"/>
                <w:w w:val="89"/>
              </w:rPr>
              <w:t>Telecommunications</w:t>
            </w:r>
          </w:p>
        </w:tc>
        <w:tc>
          <w:tcPr>
            <w:tcW w:w="900" w:type="dxa"/>
            <w:vAlign w:val="bottom"/>
            <w:gridSpan w:val="2"/>
          </w:tcPr>
          <w:p>
            <w:pPr>
              <w:jc w:val="right"/>
              <w:ind w:right="140"/>
              <w:spacing w:after="0"/>
              <w:rPr>
                <w:sz w:val="20"/>
                <w:szCs w:val="20"/>
                <w:color w:val="auto"/>
              </w:rPr>
            </w:pPr>
            <w:r>
              <w:rPr>
                <w:rFonts w:ascii="Arial" w:cs="Arial" w:eastAsia="Arial" w:hAnsi="Arial"/>
                <w:sz w:val="12"/>
                <w:szCs w:val="12"/>
                <w:color w:val="auto"/>
              </w:rPr>
              <w:t>9.41%</w:t>
            </w:r>
          </w:p>
        </w:tc>
        <w:tc>
          <w:tcPr>
            <w:tcW w:w="900" w:type="dxa"/>
            <w:vAlign w:val="bottom"/>
            <w:gridSpan w:val="2"/>
          </w:tcPr>
          <w:p>
            <w:pPr>
              <w:jc w:val="right"/>
              <w:ind w:right="240"/>
              <w:spacing w:after="0"/>
              <w:rPr>
                <w:sz w:val="20"/>
                <w:szCs w:val="20"/>
                <w:color w:val="auto"/>
              </w:rPr>
            </w:pPr>
            <w:r>
              <w:rPr>
                <w:rFonts w:ascii="Arial" w:cs="Arial" w:eastAsia="Arial" w:hAnsi="Arial"/>
                <w:sz w:val="12"/>
                <w:szCs w:val="12"/>
                <w:color w:val="auto"/>
              </w:rPr>
              <w:t>1M L+750</w:t>
            </w:r>
          </w:p>
        </w:tc>
        <w:tc>
          <w:tcPr>
            <w:tcW w:w="660" w:type="dxa"/>
            <w:vAlign w:val="bottom"/>
          </w:tcPr>
          <w:p>
            <w:pPr>
              <w:jc w:val="right"/>
              <w:spacing w:after="0"/>
              <w:rPr>
                <w:sz w:val="20"/>
                <w:szCs w:val="20"/>
                <w:color w:val="auto"/>
              </w:rPr>
            </w:pPr>
            <w:r>
              <w:rPr>
                <w:rFonts w:ascii="Arial" w:cs="Arial" w:eastAsia="Arial" w:hAnsi="Arial"/>
                <w:sz w:val="12"/>
                <w:szCs w:val="12"/>
                <w:color w:val="auto"/>
              </w:rPr>
              <w:t>10,308,317</w:t>
            </w:r>
          </w:p>
        </w:tc>
        <w:tc>
          <w:tcPr>
            <w:tcW w:w="900" w:type="dxa"/>
            <w:vAlign w:val="bottom"/>
            <w:gridSpan w:val="2"/>
          </w:tcPr>
          <w:p>
            <w:pPr>
              <w:jc w:val="right"/>
              <w:spacing w:after="0"/>
              <w:rPr>
                <w:sz w:val="20"/>
                <w:szCs w:val="20"/>
                <w:color w:val="auto"/>
              </w:rPr>
            </w:pPr>
            <w:r>
              <w:rPr>
                <w:rFonts w:ascii="Arial" w:cs="Arial" w:eastAsia="Arial" w:hAnsi="Arial"/>
                <w:sz w:val="12"/>
                <w:szCs w:val="12"/>
                <w:color w:val="auto"/>
              </w:rPr>
              <w:t>10,308,317</w:t>
            </w:r>
          </w:p>
        </w:tc>
        <w:tc>
          <w:tcPr>
            <w:tcW w:w="22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10,205,234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400" w:type="dxa"/>
            <w:vAlign w:val="bottom"/>
            <w:shd w:val="clear" w:color="auto" w:fill="CCECFF"/>
          </w:tcPr>
          <w:p>
            <w:pPr>
              <w:spacing w:after="0" w:line="149" w:lineRule="exact"/>
              <w:rPr>
                <w:sz w:val="20"/>
                <w:szCs w:val="20"/>
                <w:color w:val="auto"/>
              </w:rPr>
            </w:pPr>
            <w:r>
              <w:rPr>
                <w:rFonts w:ascii="Arial" w:cs="Arial" w:eastAsia="Arial" w:hAnsi="Arial"/>
                <w:sz w:val="11"/>
                <w:szCs w:val="11"/>
                <w:color w:val="auto"/>
              </w:rPr>
              <w:t xml:space="preserve">Education Networks of America, Inc. (Revolver) </w:t>
            </w:r>
            <w:r>
              <w:rPr>
                <w:rFonts w:ascii="Arial" w:cs="Arial" w:eastAsia="Arial" w:hAnsi="Arial"/>
                <w:sz w:val="17"/>
                <w:szCs w:val="17"/>
                <w:color w:val="auto"/>
                <w:vertAlign w:val="superscript"/>
              </w:rPr>
              <w:t>(7), (9)</w:t>
            </w:r>
          </w:p>
        </w:tc>
        <w:tc>
          <w:tcPr>
            <w:tcW w:w="960" w:type="dxa"/>
            <w:vAlign w:val="bottom"/>
            <w:shd w:val="clear" w:color="auto" w:fill="CCECFF"/>
          </w:tcPr>
          <w:p>
            <w:pPr>
              <w:jc w:val="center"/>
              <w:ind w:left="102"/>
              <w:spacing w:after="0"/>
              <w:rPr>
                <w:sz w:val="20"/>
                <w:szCs w:val="20"/>
                <w:color w:val="auto"/>
              </w:rPr>
            </w:pPr>
            <w:r>
              <w:rPr>
                <w:rFonts w:ascii="Arial" w:cs="Arial" w:eastAsia="Arial" w:hAnsi="Arial"/>
                <w:sz w:val="12"/>
                <w:szCs w:val="12"/>
                <w:color w:val="auto"/>
                <w:w w:val="86"/>
              </w:rPr>
              <w:t>05/06/2021</w:t>
            </w:r>
          </w:p>
        </w:tc>
        <w:tc>
          <w:tcPr>
            <w:tcW w:w="2480" w:type="dxa"/>
            <w:vAlign w:val="bottom"/>
            <w:gridSpan w:val="2"/>
            <w:shd w:val="clear" w:color="auto" w:fill="CCECFF"/>
          </w:tcPr>
          <w:p>
            <w:pPr>
              <w:jc w:val="center"/>
              <w:ind w:right="100"/>
              <w:spacing w:after="0"/>
              <w:rPr>
                <w:sz w:val="20"/>
                <w:szCs w:val="20"/>
                <w:color w:val="auto"/>
              </w:rPr>
            </w:pPr>
            <w:r>
              <w:rPr>
                <w:rFonts w:ascii="Arial" w:cs="Arial" w:eastAsia="Arial" w:hAnsi="Arial"/>
                <w:sz w:val="12"/>
                <w:szCs w:val="12"/>
                <w:color w:val="auto"/>
                <w:w w:val="89"/>
              </w:rPr>
              <w:t>Telecommunications</w:t>
            </w:r>
          </w:p>
        </w:tc>
        <w:tc>
          <w:tcPr>
            <w:tcW w:w="90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9.42%</w:t>
            </w: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1M L+750</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2,196,986</w:t>
            </w:r>
          </w:p>
        </w:tc>
        <w:tc>
          <w:tcPr>
            <w:tcW w:w="90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2,196,986</w:t>
            </w:r>
          </w:p>
        </w:tc>
        <w:tc>
          <w:tcPr>
            <w:tcW w:w="220" w:type="dxa"/>
            <w:vAlign w:val="bottom"/>
            <w:shd w:val="clear" w:color="auto" w:fill="CCECFF"/>
          </w:tcPr>
          <w:p>
            <w:pPr>
              <w:spacing w:after="0"/>
              <w:rPr>
                <w:sz w:val="12"/>
                <w:szCs w:val="12"/>
                <w:color w:val="auto"/>
              </w:rPr>
            </w:pPr>
          </w:p>
        </w:tc>
        <w:tc>
          <w:tcPr>
            <w:tcW w:w="7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2,175,016</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400" w:type="dxa"/>
            <w:vAlign w:val="bottom"/>
          </w:tcPr>
          <w:p>
            <w:pPr>
              <w:spacing w:after="0"/>
              <w:rPr>
                <w:sz w:val="20"/>
                <w:szCs w:val="20"/>
                <w:color w:val="auto"/>
              </w:rPr>
            </w:pPr>
            <w:r>
              <w:rPr>
                <w:rFonts w:ascii="Arial" w:cs="Arial" w:eastAsia="Arial" w:hAnsi="Arial"/>
                <w:sz w:val="12"/>
                <w:szCs w:val="12"/>
                <w:color w:val="auto"/>
              </w:rPr>
              <w:t>Efficient Collaborative Retail Marketing Company, LLC</w:t>
            </w:r>
          </w:p>
        </w:tc>
        <w:tc>
          <w:tcPr>
            <w:tcW w:w="960" w:type="dxa"/>
            <w:vAlign w:val="bottom"/>
          </w:tcPr>
          <w:p>
            <w:pPr>
              <w:jc w:val="center"/>
              <w:ind w:left="102"/>
              <w:spacing w:after="0"/>
              <w:rPr>
                <w:sz w:val="20"/>
                <w:szCs w:val="20"/>
                <w:color w:val="auto"/>
              </w:rPr>
            </w:pPr>
            <w:r>
              <w:rPr>
                <w:rFonts w:ascii="Arial" w:cs="Arial" w:eastAsia="Arial" w:hAnsi="Arial"/>
                <w:sz w:val="12"/>
                <w:szCs w:val="12"/>
                <w:color w:val="auto"/>
                <w:w w:val="86"/>
              </w:rPr>
              <w:t>06/15/2022</w:t>
            </w:r>
          </w:p>
        </w:tc>
        <w:tc>
          <w:tcPr>
            <w:tcW w:w="2480" w:type="dxa"/>
            <w:vAlign w:val="bottom"/>
            <w:gridSpan w:val="2"/>
          </w:tcPr>
          <w:p>
            <w:pPr>
              <w:jc w:val="center"/>
              <w:ind w:right="100"/>
              <w:spacing w:after="0"/>
              <w:rPr>
                <w:sz w:val="20"/>
                <w:szCs w:val="20"/>
                <w:color w:val="auto"/>
              </w:rPr>
            </w:pPr>
            <w:r>
              <w:rPr>
                <w:rFonts w:ascii="Arial" w:cs="Arial" w:eastAsia="Arial" w:hAnsi="Arial"/>
                <w:sz w:val="12"/>
                <w:szCs w:val="12"/>
                <w:color w:val="auto"/>
                <w:w w:val="90"/>
              </w:rPr>
              <w:t>Media: Diversified and Production</w:t>
            </w:r>
          </w:p>
        </w:tc>
        <w:tc>
          <w:tcPr>
            <w:tcW w:w="900" w:type="dxa"/>
            <w:vAlign w:val="bottom"/>
            <w:gridSpan w:val="2"/>
          </w:tcPr>
          <w:p>
            <w:pPr>
              <w:jc w:val="right"/>
              <w:ind w:right="140"/>
              <w:spacing w:after="0"/>
              <w:rPr>
                <w:sz w:val="20"/>
                <w:szCs w:val="20"/>
                <w:color w:val="auto"/>
              </w:rPr>
            </w:pPr>
            <w:r>
              <w:rPr>
                <w:rFonts w:ascii="Arial" w:cs="Arial" w:eastAsia="Arial" w:hAnsi="Arial"/>
                <w:sz w:val="12"/>
                <w:szCs w:val="12"/>
                <w:color w:val="auto"/>
              </w:rPr>
              <w:t>8.69%</w:t>
            </w:r>
          </w:p>
        </w:tc>
        <w:tc>
          <w:tcPr>
            <w:tcW w:w="900" w:type="dxa"/>
            <w:vAlign w:val="bottom"/>
            <w:gridSpan w:val="2"/>
          </w:tcPr>
          <w:p>
            <w:pPr>
              <w:jc w:val="right"/>
              <w:ind w:right="240"/>
              <w:spacing w:after="0"/>
              <w:rPr>
                <w:sz w:val="20"/>
                <w:szCs w:val="20"/>
                <w:color w:val="auto"/>
              </w:rPr>
            </w:pPr>
            <w:r>
              <w:rPr>
                <w:rFonts w:ascii="Arial" w:cs="Arial" w:eastAsia="Arial" w:hAnsi="Arial"/>
                <w:sz w:val="12"/>
                <w:szCs w:val="12"/>
                <w:color w:val="auto"/>
              </w:rPr>
              <w:t>3M L+675</w:t>
            </w:r>
          </w:p>
        </w:tc>
        <w:tc>
          <w:tcPr>
            <w:tcW w:w="660" w:type="dxa"/>
            <w:vAlign w:val="bottom"/>
          </w:tcPr>
          <w:p>
            <w:pPr>
              <w:jc w:val="right"/>
              <w:spacing w:after="0"/>
              <w:rPr>
                <w:sz w:val="20"/>
                <w:szCs w:val="20"/>
                <w:color w:val="auto"/>
              </w:rPr>
            </w:pPr>
            <w:r>
              <w:rPr>
                <w:rFonts w:ascii="Arial" w:cs="Arial" w:eastAsia="Arial" w:hAnsi="Arial"/>
                <w:sz w:val="12"/>
                <w:szCs w:val="12"/>
                <w:color w:val="auto"/>
              </w:rPr>
              <w:t>7,189,139</w:t>
            </w:r>
          </w:p>
        </w:tc>
        <w:tc>
          <w:tcPr>
            <w:tcW w:w="900" w:type="dxa"/>
            <w:vAlign w:val="bottom"/>
            <w:gridSpan w:val="2"/>
          </w:tcPr>
          <w:p>
            <w:pPr>
              <w:jc w:val="right"/>
              <w:spacing w:after="0"/>
              <w:rPr>
                <w:sz w:val="20"/>
                <w:szCs w:val="20"/>
                <w:color w:val="auto"/>
              </w:rPr>
            </w:pPr>
            <w:r>
              <w:rPr>
                <w:rFonts w:ascii="Arial" w:cs="Arial" w:eastAsia="Arial" w:hAnsi="Arial"/>
                <w:sz w:val="12"/>
                <w:szCs w:val="12"/>
                <w:color w:val="auto"/>
              </w:rPr>
              <w:t>7,161,466</w:t>
            </w:r>
          </w:p>
        </w:tc>
        <w:tc>
          <w:tcPr>
            <w:tcW w:w="22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7,117,247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400" w:type="dxa"/>
            <w:vAlign w:val="bottom"/>
            <w:shd w:val="clear" w:color="auto" w:fill="CCECFF"/>
          </w:tcPr>
          <w:p>
            <w:pPr>
              <w:spacing w:after="0"/>
              <w:rPr>
                <w:sz w:val="20"/>
                <w:szCs w:val="20"/>
                <w:color w:val="auto"/>
              </w:rPr>
            </w:pPr>
            <w:r>
              <w:rPr>
                <w:rFonts w:ascii="Arial" w:cs="Arial" w:eastAsia="Arial" w:hAnsi="Arial"/>
                <w:sz w:val="12"/>
                <w:szCs w:val="12"/>
                <w:color w:val="auto"/>
              </w:rPr>
              <w:t>FlexPrint, LLC</w:t>
            </w:r>
          </w:p>
        </w:tc>
        <w:tc>
          <w:tcPr>
            <w:tcW w:w="960" w:type="dxa"/>
            <w:vAlign w:val="bottom"/>
            <w:shd w:val="clear" w:color="auto" w:fill="CCECFF"/>
          </w:tcPr>
          <w:p>
            <w:pPr>
              <w:jc w:val="center"/>
              <w:ind w:left="102"/>
              <w:spacing w:after="0"/>
              <w:rPr>
                <w:sz w:val="20"/>
                <w:szCs w:val="20"/>
                <w:color w:val="auto"/>
              </w:rPr>
            </w:pPr>
            <w:r>
              <w:rPr>
                <w:rFonts w:ascii="Arial" w:cs="Arial" w:eastAsia="Arial" w:hAnsi="Arial"/>
                <w:sz w:val="12"/>
                <w:szCs w:val="12"/>
                <w:color w:val="auto"/>
                <w:w w:val="86"/>
              </w:rPr>
              <w:t>01/02/2024</w:t>
            </w:r>
          </w:p>
        </w:tc>
        <w:tc>
          <w:tcPr>
            <w:tcW w:w="2480" w:type="dxa"/>
            <w:vAlign w:val="bottom"/>
            <w:gridSpan w:val="2"/>
            <w:shd w:val="clear" w:color="auto" w:fill="CCECFF"/>
          </w:tcPr>
          <w:p>
            <w:pPr>
              <w:jc w:val="center"/>
              <w:ind w:right="100"/>
              <w:spacing w:after="0"/>
              <w:rPr>
                <w:sz w:val="20"/>
                <w:szCs w:val="20"/>
                <w:color w:val="auto"/>
              </w:rPr>
            </w:pPr>
            <w:r>
              <w:rPr>
                <w:rFonts w:ascii="Arial" w:cs="Arial" w:eastAsia="Arial" w:hAnsi="Arial"/>
                <w:sz w:val="12"/>
                <w:szCs w:val="12"/>
                <w:color w:val="auto"/>
                <w:w w:val="88"/>
              </w:rPr>
              <w:t>Professional Services</w:t>
            </w:r>
          </w:p>
        </w:tc>
        <w:tc>
          <w:tcPr>
            <w:tcW w:w="90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8.41%</w:t>
            </w: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3M L+649</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4,281,014</w:t>
            </w:r>
          </w:p>
        </w:tc>
        <w:tc>
          <w:tcPr>
            <w:tcW w:w="90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4,213,816</w:t>
            </w:r>
          </w:p>
        </w:tc>
        <w:tc>
          <w:tcPr>
            <w:tcW w:w="220" w:type="dxa"/>
            <w:vAlign w:val="bottom"/>
            <w:shd w:val="clear" w:color="auto" w:fill="CCECFF"/>
          </w:tcPr>
          <w:p>
            <w:pPr>
              <w:spacing w:after="0"/>
              <w:rPr>
                <w:sz w:val="12"/>
                <w:szCs w:val="12"/>
                <w:color w:val="auto"/>
              </w:rPr>
            </w:pPr>
          </w:p>
        </w:tc>
        <w:tc>
          <w:tcPr>
            <w:tcW w:w="7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4,216,798</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400" w:type="dxa"/>
            <w:vAlign w:val="bottom"/>
          </w:tcPr>
          <w:p>
            <w:pPr>
              <w:spacing w:after="0" w:line="149" w:lineRule="exact"/>
              <w:rPr>
                <w:sz w:val="20"/>
                <w:szCs w:val="20"/>
                <w:color w:val="auto"/>
              </w:rPr>
            </w:pPr>
            <w:r>
              <w:rPr>
                <w:rFonts w:ascii="Arial" w:cs="Arial" w:eastAsia="Arial" w:hAnsi="Arial"/>
                <w:sz w:val="11"/>
                <w:szCs w:val="11"/>
                <w:color w:val="auto"/>
              </w:rPr>
              <w:t xml:space="preserve">FlexPrint, LLC </w:t>
            </w:r>
            <w:r>
              <w:rPr>
                <w:rFonts w:ascii="Arial" w:cs="Arial" w:eastAsia="Arial" w:hAnsi="Arial"/>
                <w:sz w:val="17"/>
                <w:szCs w:val="17"/>
                <w:color w:val="auto"/>
                <w:vertAlign w:val="superscript"/>
              </w:rPr>
              <w:t>(7), (9)</w:t>
            </w:r>
          </w:p>
        </w:tc>
        <w:tc>
          <w:tcPr>
            <w:tcW w:w="960" w:type="dxa"/>
            <w:vAlign w:val="bottom"/>
          </w:tcPr>
          <w:p>
            <w:pPr>
              <w:jc w:val="center"/>
              <w:ind w:left="102"/>
              <w:spacing w:after="0"/>
              <w:rPr>
                <w:sz w:val="20"/>
                <w:szCs w:val="20"/>
                <w:color w:val="auto"/>
              </w:rPr>
            </w:pPr>
            <w:r>
              <w:rPr>
                <w:rFonts w:ascii="Arial" w:cs="Arial" w:eastAsia="Arial" w:hAnsi="Arial"/>
                <w:sz w:val="12"/>
                <w:szCs w:val="12"/>
                <w:color w:val="auto"/>
                <w:w w:val="86"/>
              </w:rPr>
              <w:t>01/02/2024</w:t>
            </w:r>
          </w:p>
        </w:tc>
        <w:tc>
          <w:tcPr>
            <w:tcW w:w="2480" w:type="dxa"/>
            <w:vAlign w:val="bottom"/>
            <w:gridSpan w:val="2"/>
          </w:tcPr>
          <w:p>
            <w:pPr>
              <w:jc w:val="center"/>
              <w:ind w:right="100"/>
              <w:spacing w:after="0"/>
              <w:rPr>
                <w:sz w:val="20"/>
                <w:szCs w:val="20"/>
                <w:color w:val="auto"/>
              </w:rPr>
            </w:pPr>
            <w:r>
              <w:rPr>
                <w:rFonts w:ascii="Arial" w:cs="Arial" w:eastAsia="Arial" w:hAnsi="Arial"/>
                <w:sz w:val="12"/>
                <w:szCs w:val="12"/>
                <w:color w:val="auto"/>
                <w:w w:val="88"/>
              </w:rPr>
              <w:t>Professional Services</w:t>
            </w:r>
          </w:p>
        </w:tc>
        <w:tc>
          <w:tcPr>
            <w:tcW w:w="90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9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tcPr>
          <w:p>
            <w:pPr>
              <w:jc w:val="right"/>
              <w:spacing w:after="0"/>
              <w:rPr>
                <w:sz w:val="20"/>
                <w:szCs w:val="20"/>
                <w:color w:val="auto"/>
              </w:rPr>
            </w:pPr>
            <w:r>
              <w:rPr>
                <w:rFonts w:ascii="Arial" w:cs="Arial" w:eastAsia="Arial" w:hAnsi="Arial"/>
                <w:sz w:val="12"/>
                <w:szCs w:val="12"/>
                <w:color w:val="auto"/>
              </w:rPr>
              <w:t>3,772,226</w:t>
            </w:r>
          </w:p>
        </w:tc>
        <w:tc>
          <w:tcPr>
            <w:tcW w:w="220" w:type="dxa"/>
            <w:vAlign w:val="bottom"/>
          </w:tcPr>
          <w:p>
            <w:pPr>
              <w:spacing w:after="0"/>
              <w:rPr>
                <w:sz w:val="12"/>
                <w:szCs w:val="12"/>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820" w:type="dxa"/>
            <w:vAlign w:val="bottom"/>
            <w:gridSpan w:val="2"/>
          </w:tcPr>
          <w:p>
            <w:pPr>
              <w:jc w:val="right"/>
              <w:ind w:right="60"/>
              <w:spacing w:after="0"/>
              <w:rPr>
                <w:sz w:val="20"/>
                <w:szCs w:val="20"/>
                <w:color w:val="auto"/>
              </w:rPr>
            </w:pPr>
            <w:r>
              <w:rPr>
                <w:rFonts w:ascii="Arial" w:cs="Arial" w:eastAsia="Arial" w:hAnsi="Arial"/>
                <w:sz w:val="12"/>
                <w:szCs w:val="12"/>
                <w:color w:val="auto"/>
              </w:rPr>
              <w:t>(28,291)</w:t>
            </w:r>
          </w:p>
        </w:tc>
        <w:tc>
          <w:tcPr>
            <w:tcW w:w="0" w:type="dxa"/>
            <w:vAlign w:val="bottom"/>
          </w:tcPr>
          <w:p>
            <w:pPr>
              <w:spacing w:after="0"/>
              <w:rPr>
                <w:sz w:val="1"/>
                <w:szCs w:val="1"/>
                <w:color w:val="auto"/>
              </w:rPr>
            </w:pPr>
          </w:p>
        </w:tc>
      </w:tr>
      <w:tr>
        <w:trPr>
          <w:trHeight w:val="148"/>
        </w:trPr>
        <w:tc>
          <w:tcPr>
            <w:tcW w:w="3400" w:type="dxa"/>
            <w:vAlign w:val="bottom"/>
            <w:shd w:val="clear" w:color="auto" w:fill="CCECFF"/>
          </w:tcPr>
          <w:p>
            <w:pPr>
              <w:spacing w:after="0"/>
              <w:rPr>
                <w:sz w:val="20"/>
                <w:szCs w:val="20"/>
                <w:color w:val="auto"/>
              </w:rPr>
            </w:pPr>
            <w:r>
              <w:rPr>
                <w:rFonts w:ascii="Arial" w:cs="Arial" w:eastAsia="Arial" w:hAnsi="Arial"/>
                <w:sz w:val="12"/>
                <w:szCs w:val="12"/>
                <w:color w:val="auto"/>
              </w:rPr>
              <w:t>GCOM Software LLC</w:t>
            </w:r>
          </w:p>
        </w:tc>
        <w:tc>
          <w:tcPr>
            <w:tcW w:w="960" w:type="dxa"/>
            <w:vAlign w:val="bottom"/>
            <w:shd w:val="clear" w:color="auto" w:fill="CCECFF"/>
          </w:tcPr>
          <w:p>
            <w:pPr>
              <w:jc w:val="center"/>
              <w:ind w:left="102"/>
              <w:spacing w:after="0"/>
              <w:rPr>
                <w:sz w:val="20"/>
                <w:szCs w:val="20"/>
                <w:color w:val="auto"/>
              </w:rPr>
            </w:pPr>
            <w:r>
              <w:rPr>
                <w:rFonts w:ascii="Arial" w:cs="Arial" w:eastAsia="Arial" w:hAnsi="Arial"/>
                <w:sz w:val="12"/>
                <w:szCs w:val="12"/>
                <w:color w:val="auto"/>
                <w:w w:val="86"/>
              </w:rPr>
              <w:t>11/14/2022</w:t>
            </w:r>
          </w:p>
        </w:tc>
        <w:tc>
          <w:tcPr>
            <w:tcW w:w="2480" w:type="dxa"/>
            <w:vAlign w:val="bottom"/>
            <w:gridSpan w:val="2"/>
            <w:shd w:val="clear" w:color="auto" w:fill="CCECFF"/>
          </w:tcPr>
          <w:p>
            <w:pPr>
              <w:jc w:val="center"/>
              <w:ind w:right="100"/>
              <w:spacing w:after="0"/>
              <w:rPr>
                <w:sz w:val="20"/>
                <w:szCs w:val="20"/>
                <w:color w:val="auto"/>
              </w:rPr>
            </w:pPr>
            <w:r>
              <w:rPr>
                <w:rFonts w:ascii="Arial" w:cs="Arial" w:eastAsia="Arial" w:hAnsi="Arial"/>
                <w:sz w:val="12"/>
                <w:szCs w:val="12"/>
                <w:color w:val="auto"/>
                <w:w w:val="89"/>
              </w:rPr>
              <w:t>High Tech Industries</w:t>
            </w:r>
          </w:p>
        </w:tc>
        <w:tc>
          <w:tcPr>
            <w:tcW w:w="90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8.12%</w:t>
            </w: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1M L+625</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14,196,100</w:t>
            </w:r>
          </w:p>
        </w:tc>
        <w:tc>
          <w:tcPr>
            <w:tcW w:w="90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13,921,708</w:t>
            </w:r>
          </w:p>
        </w:tc>
        <w:tc>
          <w:tcPr>
            <w:tcW w:w="220" w:type="dxa"/>
            <w:vAlign w:val="bottom"/>
            <w:shd w:val="clear" w:color="auto" w:fill="CCECFF"/>
          </w:tcPr>
          <w:p>
            <w:pPr>
              <w:spacing w:after="0"/>
              <w:rPr>
                <w:sz w:val="12"/>
                <w:szCs w:val="12"/>
                <w:color w:val="auto"/>
              </w:rPr>
            </w:pPr>
          </w:p>
        </w:tc>
        <w:tc>
          <w:tcPr>
            <w:tcW w:w="7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14,196,100</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400" w:type="dxa"/>
            <w:vAlign w:val="bottom"/>
          </w:tcPr>
          <w:p>
            <w:pPr>
              <w:spacing w:after="0" w:line="149" w:lineRule="exact"/>
              <w:rPr>
                <w:sz w:val="20"/>
                <w:szCs w:val="20"/>
                <w:color w:val="auto"/>
              </w:rPr>
            </w:pPr>
            <w:r>
              <w:rPr>
                <w:rFonts w:ascii="Arial" w:cs="Arial" w:eastAsia="Arial" w:hAnsi="Arial"/>
                <w:sz w:val="11"/>
                <w:szCs w:val="11"/>
                <w:color w:val="auto"/>
              </w:rPr>
              <w:t xml:space="preserve">GCOM Software LLC (Revolver) </w:t>
            </w:r>
            <w:r>
              <w:rPr>
                <w:rFonts w:ascii="Arial" w:cs="Arial" w:eastAsia="Arial" w:hAnsi="Arial"/>
                <w:sz w:val="17"/>
                <w:szCs w:val="17"/>
                <w:color w:val="auto"/>
                <w:vertAlign w:val="superscript"/>
              </w:rPr>
              <w:t>(7)</w:t>
            </w:r>
          </w:p>
        </w:tc>
        <w:tc>
          <w:tcPr>
            <w:tcW w:w="960" w:type="dxa"/>
            <w:vAlign w:val="bottom"/>
          </w:tcPr>
          <w:p>
            <w:pPr>
              <w:jc w:val="center"/>
              <w:ind w:left="102"/>
              <w:spacing w:after="0"/>
              <w:rPr>
                <w:sz w:val="20"/>
                <w:szCs w:val="20"/>
                <w:color w:val="auto"/>
              </w:rPr>
            </w:pPr>
            <w:r>
              <w:rPr>
                <w:rFonts w:ascii="Arial" w:cs="Arial" w:eastAsia="Arial" w:hAnsi="Arial"/>
                <w:sz w:val="12"/>
                <w:szCs w:val="12"/>
                <w:color w:val="auto"/>
                <w:w w:val="86"/>
              </w:rPr>
              <w:t>11/14/2022</w:t>
            </w:r>
          </w:p>
        </w:tc>
        <w:tc>
          <w:tcPr>
            <w:tcW w:w="2480" w:type="dxa"/>
            <w:vAlign w:val="bottom"/>
            <w:gridSpan w:val="2"/>
          </w:tcPr>
          <w:p>
            <w:pPr>
              <w:jc w:val="center"/>
              <w:ind w:right="100"/>
              <w:spacing w:after="0"/>
              <w:rPr>
                <w:sz w:val="20"/>
                <w:szCs w:val="20"/>
                <w:color w:val="auto"/>
              </w:rPr>
            </w:pPr>
            <w:r>
              <w:rPr>
                <w:rFonts w:ascii="Arial" w:cs="Arial" w:eastAsia="Arial" w:hAnsi="Arial"/>
                <w:sz w:val="12"/>
                <w:szCs w:val="12"/>
                <w:color w:val="auto"/>
                <w:w w:val="89"/>
              </w:rPr>
              <w:t>High Tech Industries</w:t>
            </w:r>
          </w:p>
        </w:tc>
        <w:tc>
          <w:tcPr>
            <w:tcW w:w="900" w:type="dxa"/>
            <w:vAlign w:val="bottom"/>
            <w:gridSpan w:val="2"/>
          </w:tcPr>
          <w:p>
            <w:pPr>
              <w:jc w:val="right"/>
              <w:ind w:right="140"/>
              <w:spacing w:after="0"/>
              <w:rPr>
                <w:sz w:val="20"/>
                <w:szCs w:val="20"/>
                <w:color w:val="auto"/>
              </w:rPr>
            </w:pPr>
            <w:r>
              <w:rPr>
                <w:rFonts w:ascii="Arial" w:cs="Arial" w:eastAsia="Arial" w:hAnsi="Arial"/>
                <w:sz w:val="12"/>
                <w:szCs w:val="12"/>
                <w:color w:val="auto"/>
              </w:rPr>
              <w:t>9.00%</w:t>
            </w:r>
          </w:p>
        </w:tc>
        <w:tc>
          <w:tcPr>
            <w:tcW w:w="900" w:type="dxa"/>
            <w:vAlign w:val="bottom"/>
            <w:gridSpan w:val="2"/>
          </w:tcPr>
          <w:p>
            <w:pPr>
              <w:jc w:val="right"/>
              <w:ind w:right="240"/>
              <w:spacing w:after="0"/>
              <w:rPr>
                <w:sz w:val="20"/>
                <w:szCs w:val="20"/>
                <w:color w:val="auto"/>
              </w:rPr>
            </w:pPr>
            <w:r>
              <w:rPr>
                <w:rFonts w:ascii="Arial" w:cs="Arial" w:eastAsia="Arial" w:hAnsi="Arial"/>
                <w:sz w:val="12"/>
                <w:szCs w:val="12"/>
                <w:color w:val="auto"/>
              </w:rPr>
              <w:t>P+425</w:t>
            </w:r>
          </w:p>
        </w:tc>
        <w:tc>
          <w:tcPr>
            <w:tcW w:w="660" w:type="dxa"/>
            <w:vAlign w:val="bottom"/>
          </w:tcPr>
          <w:p>
            <w:pPr>
              <w:jc w:val="right"/>
              <w:spacing w:after="0"/>
              <w:rPr>
                <w:sz w:val="20"/>
                <w:szCs w:val="20"/>
                <w:color w:val="auto"/>
              </w:rPr>
            </w:pPr>
            <w:r>
              <w:rPr>
                <w:rFonts w:ascii="Arial" w:cs="Arial" w:eastAsia="Arial" w:hAnsi="Arial"/>
                <w:sz w:val="12"/>
                <w:szCs w:val="12"/>
                <w:color w:val="auto"/>
              </w:rPr>
              <w:t>1,520,000</w:t>
            </w:r>
          </w:p>
        </w:tc>
        <w:tc>
          <w:tcPr>
            <w:tcW w:w="900" w:type="dxa"/>
            <w:vAlign w:val="bottom"/>
            <w:gridSpan w:val="2"/>
          </w:tcPr>
          <w:p>
            <w:pPr>
              <w:jc w:val="right"/>
              <w:spacing w:after="0"/>
              <w:rPr>
                <w:sz w:val="20"/>
                <w:szCs w:val="20"/>
                <w:color w:val="auto"/>
              </w:rPr>
            </w:pPr>
            <w:r>
              <w:rPr>
                <w:rFonts w:ascii="Arial" w:cs="Arial" w:eastAsia="Arial" w:hAnsi="Arial"/>
                <w:sz w:val="12"/>
                <w:szCs w:val="12"/>
                <w:color w:val="auto"/>
              </w:rPr>
              <w:t>1,520,000</w:t>
            </w:r>
          </w:p>
        </w:tc>
        <w:tc>
          <w:tcPr>
            <w:tcW w:w="22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1,520,000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400" w:type="dxa"/>
            <w:vAlign w:val="bottom"/>
            <w:shd w:val="clear" w:color="auto" w:fill="CCECFF"/>
          </w:tcPr>
          <w:p>
            <w:pPr>
              <w:spacing w:after="0" w:line="149" w:lineRule="exact"/>
              <w:rPr>
                <w:sz w:val="20"/>
                <w:szCs w:val="20"/>
                <w:color w:val="auto"/>
              </w:rPr>
            </w:pPr>
            <w:r>
              <w:rPr>
                <w:rFonts w:ascii="Arial" w:cs="Arial" w:eastAsia="Arial" w:hAnsi="Arial"/>
                <w:sz w:val="11"/>
                <w:szCs w:val="11"/>
                <w:color w:val="auto"/>
              </w:rPr>
              <w:t xml:space="preserve">GCOM Software LLC (Revolver) </w:t>
            </w:r>
            <w:r>
              <w:rPr>
                <w:rFonts w:ascii="Arial" w:cs="Arial" w:eastAsia="Arial" w:hAnsi="Arial"/>
                <w:sz w:val="17"/>
                <w:szCs w:val="17"/>
                <w:color w:val="auto"/>
                <w:vertAlign w:val="superscript"/>
              </w:rPr>
              <w:t>(7), (9)</w:t>
            </w:r>
          </w:p>
        </w:tc>
        <w:tc>
          <w:tcPr>
            <w:tcW w:w="960" w:type="dxa"/>
            <w:vAlign w:val="bottom"/>
            <w:shd w:val="clear" w:color="auto" w:fill="CCECFF"/>
          </w:tcPr>
          <w:p>
            <w:pPr>
              <w:jc w:val="center"/>
              <w:ind w:left="102"/>
              <w:spacing w:after="0"/>
              <w:rPr>
                <w:sz w:val="20"/>
                <w:szCs w:val="20"/>
                <w:color w:val="auto"/>
              </w:rPr>
            </w:pPr>
            <w:r>
              <w:rPr>
                <w:rFonts w:ascii="Arial" w:cs="Arial" w:eastAsia="Arial" w:hAnsi="Arial"/>
                <w:sz w:val="12"/>
                <w:szCs w:val="12"/>
                <w:color w:val="auto"/>
                <w:w w:val="86"/>
              </w:rPr>
              <w:t>11/14/2022</w:t>
            </w:r>
          </w:p>
        </w:tc>
        <w:tc>
          <w:tcPr>
            <w:tcW w:w="2480" w:type="dxa"/>
            <w:vAlign w:val="bottom"/>
            <w:gridSpan w:val="2"/>
            <w:shd w:val="clear" w:color="auto" w:fill="CCECFF"/>
          </w:tcPr>
          <w:p>
            <w:pPr>
              <w:jc w:val="center"/>
              <w:ind w:right="100"/>
              <w:spacing w:after="0"/>
              <w:rPr>
                <w:sz w:val="20"/>
                <w:szCs w:val="20"/>
                <w:color w:val="auto"/>
              </w:rPr>
            </w:pPr>
            <w:r>
              <w:rPr>
                <w:rFonts w:ascii="Arial" w:cs="Arial" w:eastAsia="Arial" w:hAnsi="Arial"/>
                <w:sz w:val="12"/>
                <w:szCs w:val="12"/>
                <w:color w:val="auto"/>
                <w:w w:val="89"/>
              </w:rPr>
              <w:t>High Tech Industries</w:t>
            </w:r>
          </w:p>
        </w:tc>
        <w:tc>
          <w:tcPr>
            <w:tcW w:w="900" w:type="dxa"/>
            <w:vAlign w:val="bottom"/>
            <w:gridSpan w:val="2"/>
            <w:shd w:val="clear" w:color="auto" w:fill="CCECFF"/>
          </w:tcPr>
          <w:p>
            <w:pPr>
              <w:jc w:val="right"/>
              <w:ind w:right="260"/>
              <w:spacing w:after="0"/>
              <w:rPr>
                <w:sz w:val="20"/>
                <w:szCs w:val="20"/>
                <w:color w:val="auto"/>
              </w:rPr>
            </w:pPr>
            <w:r>
              <w:rPr>
                <w:rFonts w:ascii="Arial" w:cs="Arial" w:eastAsia="Arial" w:hAnsi="Arial"/>
                <w:sz w:val="12"/>
                <w:szCs w:val="12"/>
                <w:color w:val="auto"/>
              </w:rPr>
              <w:t>—</w:t>
            </w: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1,146,667</w:t>
            </w:r>
          </w:p>
        </w:tc>
        <w:tc>
          <w:tcPr>
            <w:tcW w:w="220" w:type="dxa"/>
            <w:vAlign w:val="bottom"/>
            <w:shd w:val="clear" w:color="auto" w:fill="CCECFF"/>
          </w:tcPr>
          <w:p>
            <w:pPr>
              <w:spacing w:after="0"/>
              <w:rPr>
                <w:sz w:val="12"/>
                <w:szCs w:val="12"/>
                <w:color w:val="auto"/>
              </w:rPr>
            </w:pP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820" w:type="dxa"/>
            <w:vAlign w:val="bottom"/>
            <w:gridSpan w:val="2"/>
            <w:shd w:val="clear" w:color="auto" w:fill="CCECFF"/>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8"/>
        </w:trPr>
        <w:tc>
          <w:tcPr>
            <w:tcW w:w="3400" w:type="dxa"/>
            <w:vAlign w:val="bottom"/>
          </w:tcPr>
          <w:p>
            <w:pPr>
              <w:spacing w:after="0"/>
              <w:rPr>
                <w:sz w:val="20"/>
                <w:szCs w:val="20"/>
                <w:color w:val="auto"/>
              </w:rPr>
            </w:pPr>
            <w:r>
              <w:rPr>
                <w:rFonts w:ascii="Arial" w:cs="Arial" w:eastAsia="Arial" w:hAnsi="Arial"/>
                <w:sz w:val="12"/>
                <w:szCs w:val="12"/>
                <w:color w:val="auto"/>
              </w:rPr>
              <w:t>Good2Grow LLC</w:t>
            </w:r>
          </w:p>
        </w:tc>
        <w:tc>
          <w:tcPr>
            <w:tcW w:w="960" w:type="dxa"/>
            <w:vAlign w:val="bottom"/>
          </w:tcPr>
          <w:p>
            <w:pPr>
              <w:jc w:val="center"/>
              <w:ind w:left="102"/>
              <w:spacing w:after="0"/>
              <w:rPr>
                <w:sz w:val="20"/>
                <w:szCs w:val="20"/>
                <w:color w:val="auto"/>
              </w:rPr>
            </w:pPr>
            <w:r>
              <w:rPr>
                <w:rFonts w:ascii="Arial" w:cs="Arial" w:eastAsia="Arial" w:hAnsi="Arial"/>
                <w:sz w:val="12"/>
                <w:szCs w:val="12"/>
                <w:color w:val="auto"/>
                <w:w w:val="86"/>
              </w:rPr>
              <w:t>11/18/2024</w:t>
            </w:r>
          </w:p>
        </w:tc>
        <w:tc>
          <w:tcPr>
            <w:tcW w:w="2480" w:type="dxa"/>
            <w:vAlign w:val="bottom"/>
            <w:gridSpan w:val="2"/>
          </w:tcPr>
          <w:p>
            <w:pPr>
              <w:jc w:val="center"/>
              <w:ind w:right="100"/>
              <w:spacing w:after="0"/>
              <w:rPr>
                <w:sz w:val="20"/>
                <w:szCs w:val="20"/>
                <w:color w:val="auto"/>
              </w:rPr>
            </w:pPr>
            <w:r>
              <w:rPr>
                <w:rFonts w:ascii="Arial" w:cs="Arial" w:eastAsia="Arial" w:hAnsi="Arial"/>
                <w:sz w:val="12"/>
                <w:szCs w:val="12"/>
                <w:color w:val="auto"/>
                <w:w w:val="87"/>
              </w:rPr>
              <w:t>Beverages</w:t>
            </w:r>
          </w:p>
        </w:tc>
        <w:tc>
          <w:tcPr>
            <w:tcW w:w="900" w:type="dxa"/>
            <w:vAlign w:val="bottom"/>
            <w:gridSpan w:val="2"/>
          </w:tcPr>
          <w:p>
            <w:pPr>
              <w:jc w:val="right"/>
              <w:ind w:right="140"/>
              <w:spacing w:after="0"/>
              <w:rPr>
                <w:sz w:val="20"/>
                <w:szCs w:val="20"/>
                <w:color w:val="auto"/>
              </w:rPr>
            </w:pPr>
            <w:r>
              <w:rPr>
                <w:rFonts w:ascii="Arial" w:cs="Arial" w:eastAsia="Arial" w:hAnsi="Arial"/>
                <w:sz w:val="12"/>
                <w:szCs w:val="12"/>
                <w:color w:val="auto"/>
              </w:rPr>
              <w:t>6.19%</w:t>
            </w:r>
          </w:p>
        </w:tc>
        <w:tc>
          <w:tcPr>
            <w:tcW w:w="900" w:type="dxa"/>
            <w:vAlign w:val="bottom"/>
            <w:gridSpan w:val="2"/>
          </w:tcPr>
          <w:p>
            <w:pPr>
              <w:jc w:val="right"/>
              <w:ind w:right="240"/>
              <w:spacing w:after="0"/>
              <w:rPr>
                <w:sz w:val="20"/>
                <w:szCs w:val="20"/>
                <w:color w:val="auto"/>
              </w:rPr>
            </w:pPr>
            <w:r>
              <w:rPr>
                <w:rFonts w:ascii="Arial" w:cs="Arial" w:eastAsia="Arial" w:hAnsi="Arial"/>
                <w:sz w:val="12"/>
                <w:szCs w:val="12"/>
                <w:color w:val="auto"/>
              </w:rPr>
              <w:t>3M L+425</w:t>
            </w:r>
          </w:p>
        </w:tc>
        <w:tc>
          <w:tcPr>
            <w:tcW w:w="660" w:type="dxa"/>
            <w:vAlign w:val="bottom"/>
          </w:tcPr>
          <w:p>
            <w:pPr>
              <w:jc w:val="right"/>
              <w:spacing w:after="0"/>
              <w:rPr>
                <w:sz w:val="20"/>
                <w:szCs w:val="20"/>
                <w:color w:val="auto"/>
              </w:rPr>
            </w:pPr>
            <w:r>
              <w:rPr>
                <w:rFonts w:ascii="Arial" w:cs="Arial" w:eastAsia="Arial" w:hAnsi="Arial"/>
                <w:sz w:val="12"/>
                <w:szCs w:val="12"/>
                <w:color w:val="auto"/>
              </w:rPr>
              <w:t>6,797,549</w:t>
            </w:r>
          </w:p>
        </w:tc>
        <w:tc>
          <w:tcPr>
            <w:tcW w:w="900" w:type="dxa"/>
            <w:vAlign w:val="bottom"/>
            <w:gridSpan w:val="2"/>
          </w:tcPr>
          <w:p>
            <w:pPr>
              <w:jc w:val="right"/>
              <w:spacing w:after="0"/>
              <w:rPr>
                <w:sz w:val="20"/>
                <w:szCs w:val="20"/>
                <w:color w:val="auto"/>
              </w:rPr>
            </w:pPr>
            <w:r>
              <w:rPr>
                <w:rFonts w:ascii="Arial" w:cs="Arial" w:eastAsia="Arial" w:hAnsi="Arial"/>
                <w:sz w:val="12"/>
                <w:szCs w:val="12"/>
                <w:color w:val="auto"/>
              </w:rPr>
              <w:t>6,739,179</w:t>
            </w:r>
          </w:p>
        </w:tc>
        <w:tc>
          <w:tcPr>
            <w:tcW w:w="22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6,729,574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400" w:type="dxa"/>
            <w:vAlign w:val="bottom"/>
            <w:shd w:val="clear" w:color="auto" w:fill="CCECFF"/>
          </w:tcPr>
          <w:p>
            <w:pPr>
              <w:spacing w:after="0" w:line="149" w:lineRule="exact"/>
              <w:rPr>
                <w:sz w:val="20"/>
                <w:szCs w:val="20"/>
                <w:color w:val="auto"/>
              </w:rPr>
            </w:pPr>
            <w:r>
              <w:rPr>
                <w:rFonts w:ascii="Arial" w:cs="Arial" w:eastAsia="Arial" w:hAnsi="Arial"/>
                <w:sz w:val="11"/>
                <w:szCs w:val="11"/>
                <w:color w:val="auto"/>
              </w:rPr>
              <w:t xml:space="preserve">Good2Grow LLC (Revolver) </w:t>
            </w:r>
            <w:r>
              <w:rPr>
                <w:rFonts w:ascii="Arial" w:cs="Arial" w:eastAsia="Arial" w:hAnsi="Arial"/>
                <w:sz w:val="17"/>
                <w:szCs w:val="17"/>
                <w:color w:val="auto"/>
                <w:vertAlign w:val="superscript"/>
              </w:rPr>
              <w:t>(7), (9)</w:t>
            </w:r>
          </w:p>
        </w:tc>
        <w:tc>
          <w:tcPr>
            <w:tcW w:w="960" w:type="dxa"/>
            <w:vAlign w:val="bottom"/>
            <w:shd w:val="clear" w:color="auto" w:fill="CCECFF"/>
          </w:tcPr>
          <w:p>
            <w:pPr>
              <w:jc w:val="center"/>
              <w:ind w:left="102"/>
              <w:spacing w:after="0"/>
              <w:rPr>
                <w:sz w:val="20"/>
                <w:szCs w:val="20"/>
                <w:color w:val="auto"/>
              </w:rPr>
            </w:pPr>
            <w:r>
              <w:rPr>
                <w:rFonts w:ascii="Arial" w:cs="Arial" w:eastAsia="Arial" w:hAnsi="Arial"/>
                <w:sz w:val="12"/>
                <w:szCs w:val="12"/>
                <w:color w:val="auto"/>
                <w:w w:val="86"/>
              </w:rPr>
              <w:t>11/16/2023</w:t>
            </w:r>
          </w:p>
        </w:tc>
        <w:tc>
          <w:tcPr>
            <w:tcW w:w="2480" w:type="dxa"/>
            <w:vAlign w:val="bottom"/>
            <w:gridSpan w:val="2"/>
            <w:shd w:val="clear" w:color="auto" w:fill="CCECFF"/>
          </w:tcPr>
          <w:p>
            <w:pPr>
              <w:jc w:val="center"/>
              <w:ind w:right="100"/>
              <w:spacing w:after="0"/>
              <w:rPr>
                <w:sz w:val="20"/>
                <w:szCs w:val="20"/>
                <w:color w:val="auto"/>
              </w:rPr>
            </w:pPr>
            <w:r>
              <w:rPr>
                <w:rFonts w:ascii="Arial" w:cs="Arial" w:eastAsia="Arial" w:hAnsi="Arial"/>
                <w:sz w:val="12"/>
                <w:szCs w:val="12"/>
                <w:color w:val="auto"/>
                <w:w w:val="87"/>
              </w:rPr>
              <w:t>Beverages</w:t>
            </w:r>
          </w:p>
        </w:tc>
        <w:tc>
          <w:tcPr>
            <w:tcW w:w="900" w:type="dxa"/>
            <w:vAlign w:val="bottom"/>
            <w:gridSpan w:val="2"/>
            <w:shd w:val="clear" w:color="auto" w:fill="CCECFF"/>
          </w:tcPr>
          <w:p>
            <w:pPr>
              <w:jc w:val="right"/>
              <w:ind w:right="260"/>
              <w:spacing w:after="0"/>
              <w:rPr>
                <w:sz w:val="20"/>
                <w:szCs w:val="20"/>
                <w:color w:val="auto"/>
              </w:rPr>
            </w:pPr>
            <w:r>
              <w:rPr>
                <w:rFonts w:ascii="Arial" w:cs="Arial" w:eastAsia="Arial" w:hAnsi="Arial"/>
                <w:sz w:val="12"/>
                <w:szCs w:val="12"/>
                <w:color w:val="auto"/>
              </w:rPr>
              <w:t>—</w:t>
            </w: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3,137,000</w:t>
            </w:r>
          </w:p>
        </w:tc>
        <w:tc>
          <w:tcPr>
            <w:tcW w:w="220" w:type="dxa"/>
            <w:vAlign w:val="bottom"/>
            <w:shd w:val="clear" w:color="auto" w:fill="CCECFF"/>
          </w:tcPr>
          <w:p>
            <w:pPr>
              <w:spacing w:after="0"/>
              <w:rPr>
                <w:sz w:val="12"/>
                <w:szCs w:val="12"/>
                <w:color w:val="auto"/>
              </w:rPr>
            </w:pP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820" w:type="dxa"/>
            <w:vAlign w:val="bottom"/>
            <w:gridSpan w:val="2"/>
            <w:shd w:val="clear" w:color="auto" w:fill="CCECFF"/>
          </w:tcPr>
          <w:p>
            <w:pPr>
              <w:jc w:val="right"/>
              <w:ind w:right="60"/>
              <w:spacing w:after="0"/>
              <w:rPr>
                <w:sz w:val="20"/>
                <w:szCs w:val="20"/>
                <w:color w:val="auto"/>
              </w:rPr>
            </w:pPr>
            <w:r>
              <w:rPr>
                <w:rFonts w:ascii="Arial" w:cs="Arial" w:eastAsia="Arial" w:hAnsi="Arial"/>
                <w:sz w:val="12"/>
                <w:szCs w:val="12"/>
                <w:color w:val="auto"/>
              </w:rPr>
              <w:t>(31,370)</w:t>
            </w:r>
          </w:p>
        </w:tc>
        <w:tc>
          <w:tcPr>
            <w:tcW w:w="0" w:type="dxa"/>
            <w:vAlign w:val="bottom"/>
          </w:tcPr>
          <w:p>
            <w:pPr>
              <w:spacing w:after="0"/>
              <w:rPr>
                <w:sz w:val="1"/>
                <w:szCs w:val="1"/>
                <w:color w:val="auto"/>
              </w:rPr>
            </w:pPr>
          </w:p>
        </w:tc>
      </w:tr>
      <w:tr>
        <w:trPr>
          <w:trHeight w:val="148"/>
        </w:trPr>
        <w:tc>
          <w:tcPr>
            <w:tcW w:w="3400" w:type="dxa"/>
            <w:vAlign w:val="bottom"/>
          </w:tcPr>
          <w:p>
            <w:pPr>
              <w:spacing w:after="0"/>
              <w:rPr>
                <w:sz w:val="20"/>
                <w:szCs w:val="20"/>
                <w:color w:val="auto"/>
              </w:rPr>
            </w:pPr>
            <w:r>
              <w:rPr>
                <w:rFonts w:ascii="Arial" w:cs="Arial" w:eastAsia="Arial" w:hAnsi="Arial"/>
                <w:sz w:val="12"/>
                <w:szCs w:val="12"/>
                <w:color w:val="auto"/>
              </w:rPr>
              <w:t>GSM Holdings, Inc.</w:t>
            </w:r>
          </w:p>
        </w:tc>
        <w:tc>
          <w:tcPr>
            <w:tcW w:w="960" w:type="dxa"/>
            <w:vAlign w:val="bottom"/>
          </w:tcPr>
          <w:p>
            <w:pPr>
              <w:jc w:val="center"/>
              <w:ind w:left="102"/>
              <w:spacing w:after="0"/>
              <w:rPr>
                <w:sz w:val="20"/>
                <w:szCs w:val="20"/>
                <w:color w:val="auto"/>
              </w:rPr>
            </w:pPr>
            <w:r>
              <w:rPr>
                <w:rFonts w:ascii="Arial" w:cs="Arial" w:eastAsia="Arial" w:hAnsi="Arial"/>
                <w:sz w:val="12"/>
                <w:szCs w:val="12"/>
                <w:color w:val="auto"/>
                <w:w w:val="86"/>
              </w:rPr>
              <w:t>06/03/2024</w:t>
            </w:r>
          </w:p>
        </w:tc>
        <w:tc>
          <w:tcPr>
            <w:tcW w:w="2480" w:type="dxa"/>
            <w:vAlign w:val="bottom"/>
            <w:gridSpan w:val="2"/>
          </w:tcPr>
          <w:p>
            <w:pPr>
              <w:jc w:val="center"/>
              <w:ind w:right="100"/>
              <w:spacing w:after="0"/>
              <w:rPr>
                <w:sz w:val="20"/>
                <w:szCs w:val="20"/>
                <w:color w:val="auto"/>
              </w:rPr>
            </w:pPr>
            <w:r>
              <w:rPr>
                <w:rFonts w:ascii="Arial" w:cs="Arial" w:eastAsia="Arial" w:hAnsi="Arial"/>
                <w:sz w:val="12"/>
                <w:szCs w:val="12"/>
                <w:color w:val="auto"/>
                <w:w w:val="88"/>
              </w:rPr>
              <w:t>Consumer Goods: Durable</w:t>
            </w:r>
          </w:p>
        </w:tc>
        <w:tc>
          <w:tcPr>
            <w:tcW w:w="900" w:type="dxa"/>
            <w:vAlign w:val="bottom"/>
            <w:gridSpan w:val="2"/>
          </w:tcPr>
          <w:p>
            <w:pPr>
              <w:jc w:val="right"/>
              <w:ind w:right="140"/>
              <w:spacing w:after="0"/>
              <w:rPr>
                <w:sz w:val="20"/>
                <w:szCs w:val="20"/>
                <w:color w:val="auto"/>
              </w:rPr>
            </w:pPr>
            <w:r>
              <w:rPr>
                <w:rFonts w:ascii="Arial" w:cs="Arial" w:eastAsia="Arial" w:hAnsi="Arial"/>
                <w:sz w:val="12"/>
                <w:szCs w:val="12"/>
                <w:color w:val="auto"/>
              </w:rPr>
              <w:t>6.51%</w:t>
            </w:r>
          </w:p>
        </w:tc>
        <w:tc>
          <w:tcPr>
            <w:tcW w:w="900" w:type="dxa"/>
            <w:vAlign w:val="bottom"/>
            <w:gridSpan w:val="2"/>
          </w:tcPr>
          <w:p>
            <w:pPr>
              <w:jc w:val="right"/>
              <w:ind w:right="240"/>
              <w:spacing w:after="0"/>
              <w:rPr>
                <w:sz w:val="20"/>
                <w:szCs w:val="20"/>
                <w:color w:val="auto"/>
              </w:rPr>
            </w:pPr>
            <w:r>
              <w:rPr>
                <w:rFonts w:ascii="Arial" w:cs="Arial" w:eastAsia="Arial" w:hAnsi="Arial"/>
                <w:sz w:val="12"/>
                <w:szCs w:val="12"/>
                <w:color w:val="auto"/>
              </w:rPr>
              <w:t>3M L+450</w:t>
            </w:r>
          </w:p>
        </w:tc>
        <w:tc>
          <w:tcPr>
            <w:tcW w:w="660" w:type="dxa"/>
            <w:vAlign w:val="bottom"/>
          </w:tcPr>
          <w:p>
            <w:pPr>
              <w:jc w:val="right"/>
              <w:spacing w:after="0"/>
              <w:rPr>
                <w:sz w:val="20"/>
                <w:szCs w:val="20"/>
                <w:color w:val="auto"/>
              </w:rPr>
            </w:pPr>
            <w:r>
              <w:rPr>
                <w:rFonts w:ascii="Arial" w:cs="Arial" w:eastAsia="Arial" w:hAnsi="Arial"/>
                <w:sz w:val="12"/>
                <w:szCs w:val="12"/>
                <w:color w:val="auto"/>
              </w:rPr>
              <w:t>19,276,633</w:t>
            </w:r>
          </w:p>
        </w:tc>
        <w:tc>
          <w:tcPr>
            <w:tcW w:w="900" w:type="dxa"/>
            <w:vAlign w:val="bottom"/>
            <w:gridSpan w:val="2"/>
          </w:tcPr>
          <w:p>
            <w:pPr>
              <w:jc w:val="right"/>
              <w:spacing w:after="0"/>
              <w:rPr>
                <w:sz w:val="20"/>
                <w:szCs w:val="20"/>
                <w:color w:val="auto"/>
              </w:rPr>
            </w:pPr>
            <w:r>
              <w:rPr>
                <w:rFonts w:ascii="Arial" w:cs="Arial" w:eastAsia="Arial" w:hAnsi="Arial"/>
                <w:sz w:val="12"/>
                <w:szCs w:val="12"/>
                <w:color w:val="auto"/>
              </w:rPr>
              <w:t>19,171,231</w:t>
            </w:r>
          </w:p>
        </w:tc>
        <w:tc>
          <w:tcPr>
            <w:tcW w:w="22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19,083,867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400" w:type="dxa"/>
            <w:vAlign w:val="bottom"/>
            <w:shd w:val="clear" w:color="auto" w:fill="CCECFF"/>
          </w:tcPr>
          <w:p>
            <w:pPr>
              <w:spacing w:after="0" w:line="149" w:lineRule="exact"/>
              <w:rPr>
                <w:sz w:val="20"/>
                <w:szCs w:val="20"/>
                <w:color w:val="auto"/>
              </w:rPr>
            </w:pPr>
            <w:r>
              <w:rPr>
                <w:rFonts w:ascii="Arial" w:cs="Arial" w:eastAsia="Arial" w:hAnsi="Arial"/>
                <w:sz w:val="11"/>
                <w:szCs w:val="11"/>
                <w:color w:val="auto"/>
              </w:rPr>
              <w:t xml:space="preserve">GSM Holdings, Inc. (Revolver) </w:t>
            </w:r>
            <w:r>
              <w:rPr>
                <w:rFonts w:ascii="Arial" w:cs="Arial" w:eastAsia="Arial" w:hAnsi="Arial"/>
                <w:sz w:val="17"/>
                <w:szCs w:val="17"/>
                <w:color w:val="auto"/>
                <w:vertAlign w:val="superscript"/>
              </w:rPr>
              <w:t>(7)</w:t>
            </w:r>
          </w:p>
        </w:tc>
        <w:tc>
          <w:tcPr>
            <w:tcW w:w="960" w:type="dxa"/>
            <w:vAlign w:val="bottom"/>
            <w:shd w:val="clear" w:color="auto" w:fill="CCECFF"/>
          </w:tcPr>
          <w:p>
            <w:pPr>
              <w:jc w:val="center"/>
              <w:ind w:left="102"/>
              <w:spacing w:after="0"/>
              <w:rPr>
                <w:sz w:val="20"/>
                <w:szCs w:val="20"/>
                <w:color w:val="auto"/>
              </w:rPr>
            </w:pPr>
            <w:r>
              <w:rPr>
                <w:rFonts w:ascii="Arial" w:cs="Arial" w:eastAsia="Arial" w:hAnsi="Arial"/>
                <w:sz w:val="12"/>
                <w:szCs w:val="12"/>
                <w:color w:val="auto"/>
                <w:w w:val="86"/>
              </w:rPr>
              <w:t>06/03/2024</w:t>
            </w:r>
          </w:p>
        </w:tc>
        <w:tc>
          <w:tcPr>
            <w:tcW w:w="2480" w:type="dxa"/>
            <w:vAlign w:val="bottom"/>
            <w:gridSpan w:val="2"/>
            <w:shd w:val="clear" w:color="auto" w:fill="CCECFF"/>
          </w:tcPr>
          <w:p>
            <w:pPr>
              <w:jc w:val="center"/>
              <w:ind w:right="100"/>
              <w:spacing w:after="0"/>
              <w:rPr>
                <w:sz w:val="20"/>
                <w:szCs w:val="20"/>
                <w:color w:val="auto"/>
              </w:rPr>
            </w:pPr>
            <w:r>
              <w:rPr>
                <w:rFonts w:ascii="Arial" w:cs="Arial" w:eastAsia="Arial" w:hAnsi="Arial"/>
                <w:sz w:val="12"/>
                <w:szCs w:val="12"/>
                <w:color w:val="auto"/>
                <w:w w:val="88"/>
              </w:rPr>
              <w:t>Consumer Goods: Durable</w:t>
            </w:r>
          </w:p>
        </w:tc>
        <w:tc>
          <w:tcPr>
            <w:tcW w:w="90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8.00%</w:t>
            </w: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3M L+450</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1,662,846</w:t>
            </w:r>
          </w:p>
        </w:tc>
        <w:tc>
          <w:tcPr>
            <w:tcW w:w="90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1,662,846</w:t>
            </w:r>
          </w:p>
        </w:tc>
        <w:tc>
          <w:tcPr>
            <w:tcW w:w="220" w:type="dxa"/>
            <w:vAlign w:val="bottom"/>
            <w:shd w:val="clear" w:color="auto" w:fill="CCECFF"/>
          </w:tcPr>
          <w:p>
            <w:pPr>
              <w:spacing w:after="0"/>
              <w:rPr>
                <w:sz w:val="12"/>
                <w:szCs w:val="12"/>
                <w:color w:val="auto"/>
              </w:rPr>
            </w:pPr>
          </w:p>
        </w:tc>
        <w:tc>
          <w:tcPr>
            <w:tcW w:w="7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1,646,218</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400" w:type="dxa"/>
            <w:vAlign w:val="bottom"/>
          </w:tcPr>
          <w:p>
            <w:pPr>
              <w:spacing w:after="0" w:line="149" w:lineRule="exact"/>
              <w:rPr>
                <w:sz w:val="20"/>
                <w:szCs w:val="20"/>
                <w:color w:val="auto"/>
              </w:rPr>
            </w:pPr>
            <w:r>
              <w:rPr>
                <w:rFonts w:ascii="Arial" w:cs="Arial" w:eastAsia="Arial" w:hAnsi="Arial"/>
                <w:sz w:val="11"/>
                <w:szCs w:val="11"/>
                <w:color w:val="auto"/>
              </w:rPr>
              <w:t xml:space="preserve">GSM Holdings, Inc. (Revolver) </w:t>
            </w:r>
            <w:r>
              <w:rPr>
                <w:rFonts w:ascii="Arial" w:cs="Arial" w:eastAsia="Arial" w:hAnsi="Arial"/>
                <w:sz w:val="17"/>
                <w:szCs w:val="17"/>
                <w:color w:val="auto"/>
                <w:vertAlign w:val="superscript"/>
              </w:rPr>
              <w:t>(7), (9)</w:t>
            </w:r>
          </w:p>
        </w:tc>
        <w:tc>
          <w:tcPr>
            <w:tcW w:w="960" w:type="dxa"/>
            <w:vAlign w:val="bottom"/>
          </w:tcPr>
          <w:p>
            <w:pPr>
              <w:jc w:val="center"/>
              <w:ind w:left="102"/>
              <w:spacing w:after="0"/>
              <w:rPr>
                <w:sz w:val="20"/>
                <w:szCs w:val="20"/>
                <w:color w:val="auto"/>
              </w:rPr>
            </w:pPr>
            <w:r>
              <w:rPr>
                <w:rFonts w:ascii="Arial" w:cs="Arial" w:eastAsia="Arial" w:hAnsi="Arial"/>
                <w:sz w:val="12"/>
                <w:szCs w:val="12"/>
                <w:color w:val="auto"/>
                <w:w w:val="86"/>
              </w:rPr>
              <w:t>06/03/2024</w:t>
            </w:r>
          </w:p>
        </w:tc>
        <w:tc>
          <w:tcPr>
            <w:tcW w:w="2480" w:type="dxa"/>
            <w:vAlign w:val="bottom"/>
            <w:gridSpan w:val="2"/>
          </w:tcPr>
          <w:p>
            <w:pPr>
              <w:jc w:val="center"/>
              <w:ind w:right="100"/>
              <w:spacing w:after="0"/>
              <w:rPr>
                <w:sz w:val="20"/>
                <w:szCs w:val="20"/>
                <w:color w:val="auto"/>
              </w:rPr>
            </w:pPr>
            <w:r>
              <w:rPr>
                <w:rFonts w:ascii="Arial" w:cs="Arial" w:eastAsia="Arial" w:hAnsi="Arial"/>
                <w:sz w:val="12"/>
                <w:szCs w:val="12"/>
                <w:color w:val="auto"/>
                <w:w w:val="88"/>
              </w:rPr>
              <w:t>Consumer Goods: Durable</w:t>
            </w:r>
          </w:p>
        </w:tc>
        <w:tc>
          <w:tcPr>
            <w:tcW w:w="90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9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tcPr>
          <w:p>
            <w:pPr>
              <w:jc w:val="right"/>
              <w:spacing w:after="0"/>
              <w:rPr>
                <w:sz w:val="20"/>
                <w:szCs w:val="20"/>
                <w:color w:val="auto"/>
              </w:rPr>
            </w:pPr>
            <w:r>
              <w:rPr>
                <w:rFonts w:ascii="Arial" w:cs="Arial" w:eastAsia="Arial" w:hAnsi="Arial"/>
                <w:sz w:val="12"/>
                <w:szCs w:val="12"/>
                <w:color w:val="auto"/>
              </w:rPr>
              <w:t>5,463,638</w:t>
            </w:r>
          </w:p>
        </w:tc>
        <w:tc>
          <w:tcPr>
            <w:tcW w:w="220" w:type="dxa"/>
            <w:vAlign w:val="bottom"/>
          </w:tcPr>
          <w:p>
            <w:pPr>
              <w:spacing w:after="0"/>
              <w:rPr>
                <w:sz w:val="12"/>
                <w:szCs w:val="12"/>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820" w:type="dxa"/>
            <w:vAlign w:val="bottom"/>
            <w:gridSpan w:val="2"/>
          </w:tcPr>
          <w:p>
            <w:pPr>
              <w:jc w:val="right"/>
              <w:ind w:right="60"/>
              <w:spacing w:after="0"/>
              <w:rPr>
                <w:sz w:val="20"/>
                <w:szCs w:val="20"/>
                <w:color w:val="auto"/>
              </w:rPr>
            </w:pPr>
            <w:r>
              <w:rPr>
                <w:rFonts w:ascii="Arial" w:cs="Arial" w:eastAsia="Arial" w:hAnsi="Arial"/>
                <w:sz w:val="12"/>
                <w:szCs w:val="12"/>
                <w:color w:val="auto"/>
              </w:rPr>
              <w:t>(54,636)</w:t>
            </w:r>
          </w:p>
        </w:tc>
        <w:tc>
          <w:tcPr>
            <w:tcW w:w="0" w:type="dxa"/>
            <w:vAlign w:val="bottom"/>
          </w:tcPr>
          <w:p>
            <w:pPr>
              <w:spacing w:after="0"/>
              <w:rPr>
                <w:sz w:val="1"/>
                <w:szCs w:val="1"/>
                <w:color w:val="auto"/>
              </w:rPr>
            </w:pPr>
          </w:p>
        </w:tc>
      </w:tr>
      <w:tr>
        <w:trPr>
          <w:trHeight w:val="148"/>
        </w:trPr>
        <w:tc>
          <w:tcPr>
            <w:tcW w:w="3400" w:type="dxa"/>
            <w:vAlign w:val="bottom"/>
            <w:shd w:val="clear" w:color="auto" w:fill="CCECFF"/>
          </w:tcPr>
          <w:p>
            <w:pPr>
              <w:spacing w:after="0"/>
              <w:rPr>
                <w:sz w:val="20"/>
                <w:szCs w:val="20"/>
                <w:color w:val="auto"/>
              </w:rPr>
            </w:pPr>
            <w:r>
              <w:rPr>
                <w:rFonts w:ascii="Arial" w:cs="Arial" w:eastAsia="Arial" w:hAnsi="Arial"/>
                <w:sz w:val="12"/>
                <w:szCs w:val="12"/>
                <w:color w:val="auto"/>
              </w:rPr>
              <w:t>Holdco Sands Intermediate, LLC</w:t>
            </w:r>
          </w:p>
        </w:tc>
        <w:tc>
          <w:tcPr>
            <w:tcW w:w="960" w:type="dxa"/>
            <w:vAlign w:val="bottom"/>
            <w:shd w:val="clear" w:color="auto" w:fill="CCECFF"/>
          </w:tcPr>
          <w:p>
            <w:pPr>
              <w:jc w:val="center"/>
              <w:ind w:left="102"/>
              <w:spacing w:after="0"/>
              <w:rPr>
                <w:sz w:val="20"/>
                <w:szCs w:val="20"/>
                <w:color w:val="auto"/>
              </w:rPr>
            </w:pPr>
            <w:r>
              <w:rPr>
                <w:rFonts w:ascii="Arial" w:cs="Arial" w:eastAsia="Arial" w:hAnsi="Arial"/>
                <w:sz w:val="12"/>
                <w:szCs w:val="12"/>
                <w:color w:val="auto"/>
                <w:w w:val="86"/>
              </w:rPr>
              <w:t>12/19/2025</w:t>
            </w:r>
          </w:p>
        </w:tc>
        <w:tc>
          <w:tcPr>
            <w:tcW w:w="2480" w:type="dxa"/>
            <w:vAlign w:val="bottom"/>
            <w:gridSpan w:val="2"/>
            <w:shd w:val="clear" w:color="auto" w:fill="CCECFF"/>
          </w:tcPr>
          <w:p>
            <w:pPr>
              <w:jc w:val="center"/>
              <w:ind w:right="100"/>
              <w:spacing w:after="0"/>
              <w:rPr>
                <w:sz w:val="20"/>
                <w:szCs w:val="20"/>
                <w:color w:val="auto"/>
              </w:rPr>
            </w:pPr>
            <w:r>
              <w:rPr>
                <w:rFonts w:ascii="Arial" w:cs="Arial" w:eastAsia="Arial" w:hAnsi="Arial"/>
                <w:sz w:val="12"/>
                <w:szCs w:val="12"/>
                <w:color w:val="auto"/>
                <w:w w:val="85"/>
              </w:rPr>
              <w:t>Aerospace and Defense</w:t>
            </w:r>
          </w:p>
        </w:tc>
        <w:tc>
          <w:tcPr>
            <w:tcW w:w="90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7.76%</w:t>
            </w: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3M L+600</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21,704,762</w:t>
            </w:r>
          </w:p>
        </w:tc>
        <w:tc>
          <w:tcPr>
            <w:tcW w:w="90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21,379,190</w:t>
            </w:r>
          </w:p>
        </w:tc>
        <w:tc>
          <w:tcPr>
            <w:tcW w:w="220" w:type="dxa"/>
            <w:vAlign w:val="bottom"/>
            <w:shd w:val="clear" w:color="auto" w:fill="CCECFF"/>
          </w:tcPr>
          <w:p>
            <w:pPr>
              <w:spacing w:after="0"/>
              <w:rPr>
                <w:sz w:val="12"/>
                <w:szCs w:val="12"/>
                <w:color w:val="auto"/>
              </w:rPr>
            </w:pPr>
          </w:p>
        </w:tc>
        <w:tc>
          <w:tcPr>
            <w:tcW w:w="7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21,379,190</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400" w:type="dxa"/>
            <w:vAlign w:val="bottom"/>
          </w:tcPr>
          <w:p>
            <w:pPr>
              <w:spacing w:after="0"/>
              <w:rPr>
                <w:sz w:val="20"/>
                <w:szCs w:val="20"/>
                <w:color w:val="auto"/>
              </w:rPr>
            </w:pPr>
            <w:r>
              <w:rPr>
                <w:rFonts w:ascii="Arial" w:cs="Arial" w:eastAsia="Arial" w:hAnsi="Arial"/>
                <w:sz w:val="12"/>
                <w:szCs w:val="12"/>
                <w:color w:val="auto"/>
              </w:rPr>
              <w:t>HW Holdco, LLC</w:t>
            </w:r>
          </w:p>
        </w:tc>
        <w:tc>
          <w:tcPr>
            <w:tcW w:w="960" w:type="dxa"/>
            <w:vAlign w:val="bottom"/>
          </w:tcPr>
          <w:p>
            <w:pPr>
              <w:jc w:val="center"/>
              <w:ind w:left="102"/>
              <w:spacing w:after="0"/>
              <w:rPr>
                <w:sz w:val="20"/>
                <w:szCs w:val="20"/>
                <w:color w:val="auto"/>
              </w:rPr>
            </w:pPr>
            <w:r>
              <w:rPr>
                <w:rFonts w:ascii="Arial" w:cs="Arial" w:eastAsia="Arial" w:hAnsi="Arial"/>
                <w:sz w:val="12"/>
                <w:szCs w:val="12"/>
                <w:color w:val="auto"/>
                <w:w w:val="86"/>
              </w:rPr>
              <w:t>12/10/2024</w:t>
            </w:r>
          </w:p>
        </w:tc>
        <w:tc>
          <w:tcPr>
            <w:tcW w:w="2480" w:type="dxa"/>
            <w:vAlign w:val="bottom"/>
            <w:gridSpan w:val="2"/>
          </w:tcPr>
          <w:p>
            <w:pPr>
              <w:jc w:val="center"/>
              <w:ind w:right="100"/>
              <w:spacing w:after="0"/>
              <w:rPr>
                <w:sz w:val="20"/>
                <w:szCs w:val="20"/>
                <w:color w:val="auto"/>
              </w:rPr>
            </w:pPr>
            <w:r>
              <w:rPr>
                <w:rFonts w:ascii="Arial" w:cs="Arial" w:eastAsia="Arial" w:hAnsi="Arial"/>
                <w:sz w:val="12"/>
                <w:szCs w:val="12"/>
                <w:color w:val="auto"/>
                <w:w w:val="91"/>
              </w:rPr>
              <w:t>Media</w:t>
            </w:r>
          </w:p>
        </w:tc>
        <w:tc>
          <w:tcPr>
            <w:tcW w:w="900" w:type="dxa"/>
            <w:vAlign w:val="bottom"/>
            <w:gridSpan w:val="2"/>
          </w:tcPr>
          <w:p>
            <w:pPr>
              <w:jc w:val="right"/>
              <w:ind w:right="140"/>
              <w:spacing w:after="0"/>
              <w:rPr>
                <w:sz w:val="20"/>
                <w:szCs w:val="20"/>
                <w:color w:val="auto"/>
              </w:rPr>
            </w:pPr>
            <w:r>
              <w:rPr>
                <w:rFonts w:ascii="Arial" w:cs="Arial" w:eastAsia="Arial" w:hAnsi="Arial"/>
                <w:sz w:val="12"/>
                <w:szCs w:val="12"/>
                <w:color w:val="auto"/>
              </w:rPr>
              <w:t>8.14%</w:t>
            </w:r>
          </w:p>
        </w:tc>
        <w:tc>
          <w:tcPr>
            <w:tcW w:w="900" w:type="dxa"/>
            <w:vAlign w:val="bottom"/>
            <w:gridSpan w:val="2"/>
          </w:tcPr>
          <w:p>
            <w:pPr>
              <w:jc w:val="right"/>
              <w:ind w:right="240"/>
              <w:spacing w:after="0"/>
              <w:rPr>
                <w:sz w:val="20"/>
                <w:szCs w:val="20"/>
                <w:color w:val="auto"/>
              </w:rPr>
            </w:pPr>
            <w:r>
              <w:rPr>
                <w:rFonts w:ascii="Arial" w:cs="Arial" w:eastAsia="Arial" w:hAnsi="Arial"/>
                <w:sz w:val="12"/>
                <w:szCs w:val="12"/>
                <w:color w:val="auto"/>
              </w:rPr>
              <w:t>1M L+625</w:t>
            </w:r>
          </w:p>
        </w:tc>
        <w:tc>
          <w:tcPr>
            <w:tcW w:w="660" w:type="dxa"/>
            <w:vAlign w:val="bottom"/>
          </w:tcPr>
          <w:p>
            <w:pPr>
              <w:jc w:val="right"/>
              <w:spacing w:after="0"/>
              <w:rPr>
                <w:sz w:val="20"/>
                <w:szCs w:val="20"/>
                <w:color w:val="auto"/>
              </w:rPr>
            </w:pPr>
            <w:r>
              <w:rPr>
                <w:rFonts w:ascii="Arial" w:cs="Arial" w:eastAsia="Arial" w:hAnsi="Arial"/>
                <w:sz w:val="12"/>
                <w:szCs w:val="12"/>
                <w:color w:val="auto"/>
              </w:rPr>
              <w:t>7,472,903</w:t>
            </w:r>
          </w:p>
        </w:tc>
        <w:tc>
          <w:tcPr>
            <w:tcW w:w="900" w:type="dxa"/>
            <w:vAlign w:val="bottom"/>
            <w:gridSpan w:val="2"/>
          </w:tcPr>
          <w:p>
            <w:pPr>
              <w:jc w:val="right"/>
              <w:spacing w:after="0"/>
              <w:rPr>
                <w:sz w:val="20"/>
                <w:szCs w:val="20"/>
                <w:color w:val="auto"/>
              </w:rPr>
            </w:pPr>
            <w:r>
              <w:rPr>
                <w:rFonts w:ascii="Arial" w:cs="Arial" w:eastAsia="Arial" w:hAnsi="Arial"/>
                <w:sz w:val="12"/>
                <w:szCs w:val="12"/>
                <w:color w:val="auto"/>
              </w:rPr>
              <w:t>7,406,970</w:t>
            </w:r>
          </w:p>
        </w:tc>
        <w:tc>
          <w:tcPr>
            <w:tcW w:w="22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7,472,903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400" w:type="dxa"/>
            <w:vAlign w:val="bottom"/>
            <w:shd w:val="clear" w:color="auto" w:fill="CCECFF"/>
          </w:tcPr>
          <w:p>
            <w:pPr>
              <w:spacing w:after="0" w:line="149" w:lineRule="exact"/>
              <w:rPr>
                <w:sz w:val="20"/>
                <w:szCs w:val="20"/>
                <w:color w:val="auto"/>
              </w:rPr>
            </w:pPr>
            <w:r>
              <w:rPr>
                <w:rFonts w:ascii="Arial" w:cs="Arial" w:eastAsia="Arial" w:hAnsi="Arial"/>
                <w:sz w:val="11"/>
                <w:szCs w:val="11"/>
                <w:color w:val="auto"/>
              </w:rPr>
              <w:t xml:space="preserve">HW Holdco, LLC (Revolver) </w:t>
            </w:r>
            <w:r>
              <w:rPr>
                <w:rFonts w:ascii="Arial" w:cs="Arial" w:eastAsia="Arial" w:hAnsi="Arial"/>
                <w:sz w:val="17"/>
                <w:szCs w:val="17"/>
                <w:color w:val="auto"/>
                <w:vertAlign w:val="superscript"/>
              </w:rPr>
              <w:t>(7)</w:t>
            </w:r>
          </w:p>
        </w:tc>
        <w:tc>
          <w:tcPr>
            <w:tcW w:w="960" w:type="dxa"/>
            <w:vAlign w:val="bottom"/>
            <w:shd w:val="clear" w:color="auto" w:fill="CCECFF"/>
          </w:tcPr>
          <w:p>
            <w:pPr>
              <w:jc w:val="center"/>
              <w:ind w:left="102"/>
              <w:spacing w:after="0"/>
              <w:rPr>
                <w:sz w:val="20"/>
                <w:szCs w:val="20"/>
                <w:color w:val="auto"/>
              </w:rPr>
            </w:pPr>
            <w:r>
              <w:rPr>
                <w:rFonts w:ascii="Arial" w:cs="Arial" w:eastAsia="Arial" w:hAnsi="Arial"/>
                <w:sz w:val="12"/>
                <w:szCs w:val="12"/>
                <w:color w:val="auto"/>
                <w:w w:val="86"/>
              </w:rPr>
              <w:t>12/10/2024</w:t>
            </w:r>
          </w:p>
        </w:tc>
        <w:tc>
          <w:tcPr>
            <w:tcW w:w="2480" w:type="dxa"/>
            <w:vAlign w:val="bottom"/>
            <w:gridSpan w:val="2"/>
            <w:shd w:val="clear" w:color="auto" w:fill="CCECFF"/>
          </w:tcPr>
          <w:p>
            <w:pPr>
              <w:jc w:val="center"/>
              <w:ind w:right="100"/>
              <w:spacing w:after="0"/>
              <w:rPr>
                <w:sz w:val="20"/>
                <w:szCs w:val="20"/>
                <w:color w:val="auto"/>
              </w:rPr>
            </w:pPr>
            <w:r>
              <w:rPr>
                <w:rFonts w:ascii="Arial" w:cs="Arial" w:eastAsia="Arial" w:hAnsi="Arial"/>
                <w:sz w:val="12"/>
                <w:szCs w:val="12"/>
                <w:color w:val="auto"/>
                <w:w w:val="91"/>
              </w:rPr>
              <w:t>Media</w:t>
            </w:r>
          </w:p>
        </w:tc>
        <w:tc>
          <w:tcPr>
            <w:tcW w:w="90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8.14%</w:t>
            </w: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1M L+625</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92,903</w:t>
            </w:r>
          </w:p>
        </w:tc>
        <w:tc>
          <w:tcPr>
            <w:tcW w:w="90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92,903</w:t>
            </w:r>
          </w:p>
        </w:tc>
        <w:tc>
          <w:tcPr>
            <w:tcW w:w="220" w:type="dxa"/>
            <w:vAlign w:val="bottom"/>
            <w:shd w:val="clear" w:color="auto" w:fill="CCECFF"/>
          </w:tcPr>
          <w:p>
            <w:pPr>
              <w:spacing w:after="0"/>
              <w:rPr>
                <w:sz w:val="12"/>
                <w:szCs w:val="12"/>
                <w:color w:val="auto"/>
              </w:rPr>
            </w:pPr>
          </w:p>
        </w:tc>
        <w:tc>
          <w:tcPr>
            <w:tcW w:w="7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92,903</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400" w:type="dxa"/>
            <w:vAlign w:val="bottom"/>
          </w:tcPr>
          <w:p>
            <w:pPr>
              <w:spacing w:after="0" w:line="149" w:lineRule="exact"/>
              <w:rPr>
                <w:sz w:val="20"/>
                <w:szCs w:val="20"/>
                <w:color w:val="auto"/>
              </w:rPr>
            </w:pPr>
            <w:r>
              <w:rPr>
                <w:rFonts w:ascii="Arial" w:cs="Arial" w:eastAsia="Arial" w:hAnsi="Arial"/>
                <w:sz w:val="11"/>
                <w:szCs w:val="11"/>
                <w:color w:val="auto"/>
              </w:rPr>
              <w:t xml:space="preserve">HW Holdco, LLC (Revolver) </w:t>
            </w:r>
            <w:r>
              <w:rPr>
                <w:rFonts w:ascii="Arial" w:cs="Arial" w:eastAsia="Arial" w:hAnsi="Arial"/>
                <w:sz w:val="17"/>
                <w:szCs w:val="17"/>
                <w:color w:val="auto"/>
                <w:vertAlign w:val="superscript"/>
              </w:rPr>
              <w:t>(7), (9)</w:t>
            </w:r>
          </w:p>
        </w:tc>
        <w:tc>
          <w:tcPr>
            <w:tcW w:w="960" w:type="dxa"/>
            <w:vAlign w:val="bottom"/>
          </w:tcPr>
          <w:p>
            <w:pPr>
              <w:jc w:val="center"/>
              <w:ind w:left="102"/>
              <w:spacing w:after="0"/>
              <w:rPr>
                <w:sz w:val="20"/>
                <w:szCs w:val="20"/>
                <w:color w:val="auto"/>
              </w:rPr>
            </w:pPr>
            <w:r>
              <w:rPr>
                <w:rFonts w:ascii="Arial" w:cs="Arial" w:eastAsia="Arial" w:hAnsi="Arial"/>
                <w:sz w:val="12"/>
                <w:szCs w:val="12"/>
                <w:color w:val="auto"/>
                <w:w w:val="86"/>
              </w:rPr>
              <w:t>12/10/2024</w:t>
            </w:r>
          </w:p>
        </w:tc>
        <w:tc>
          <w:tcPr>
            <w:tcW w:w="2480" w:type="dxa"/>
            <w:vAlign w:val="bottom"/>
            <w:gridSpan w:val="2"/>
          </w:tcPr>
          <w:p>
            <w:pPr>
              <w:jc w:val="center"/>
              <w:ind w:right="100"/>
              <w:spacing w:after="0"/>
              <w:rPr>
                <w:sz w:val="20"/>
                <w:szCs w:val="20"/>
                <w:color w:val="auto"/>
              </w:rPr>
            </w:pPr>
            <w:r>
              <w:rPr>
                <w:rFonts w:ascii="Arial" w:cs="Arial" w:eastAsia="Arial" w:hAnsi="Arial"/>
                <w:sz w:val="12"/>
                <w:szCs w:val="12"/>
                <w:color w:val="auto"/>
                <w:w w:val="91"/>
              </w:rPr>
              <w:t>Media</w:t>
            </w:r>
          </w:p>
        </w:tc>
        <w:tc>
          <w:tcPr>
            <w:tcW w:w="90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9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tcPr>
          <w:p>
            <w:pPr>
              <w:jc w:val="right"/>
              <w:spacing w:after="0"/>
              <w:rPr>
                <w:sz w:val="20"/>
                <w:szCs w:val="20"/>
                <w:color w:val="auto"/>
              </w:rPr>
            </w:pPr>
            <w:r>
              <w:rPr>
                <w:rFonts w:ascii="Arial" w:cs="Arial" w:eastAsia="Arial" w:hAnsi="Arial"/>
                <w:sz w:val="12"/>
                <w:szCs w:val="12"/>
                <w:color w:val="auto"/>
              </w:rPr>
              <w:t>1,358,710</w:t>
            </w:r>
          </w:p>
        </w:tc>
        <w:tc>
          <w:tcPr>
            <w:tcW w:w="220" w:type="dxa"/>
            <w:vAlign w:val="bottom"/>
          </w:tcPr>
          <w:p>
            <w:pPr>
              <w:spacing w:after="0"/>
              <w:rPr>
                <w:sz w:val="12"/>
                <w:szCs w:val="12"/>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82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9"/>
        </w:trPr>
        <w:tc>
          <w:tcPr>
            <w:tcW w:w="3400" w:type="dxa"/>
            <w:vAlign w:val="bottom"/>
            <w:shd w:val="clear" w:color="auto" w:fill="CCECFF"/>
          </w:tcPr>
          <w:p>
            <w:pPr>
              <w:spacing w:after="0" w:line="149" w:lineRule="exact"/>
              <w:rPr>
                <w:sz w:val="20"/>
                <w:szCs w:val="20"/>
                <w:color w:val="auto"/>
              </w:rPr>
            </w:pPr>
            <w:r>
              <w:rPr>
                <w:rFonts w:ascii="Arial" w:cs="Arial" w:eastAsia="Arial" w:hAnsi="Arial"/>
                <w:sz w:val="11"/>
                <w:szCs w:val="11"/>
                <w:color w:val="auto"/>
              </w:rPr>
              <w:t xml:space="preserve">IMIA Holdings, Inc. (Revolver) </w:t>
            </w:r>
            <w:r>
              <w:rPr>
                <w:rFonts w:ascii="Arial" w:cs="Arial" w:eastAsia="Arial" w:hAnsi="Arial"/>
                <w:sz w:val="17"/>
                <w:szCs w:val="17"/>
                <w:color w:val="auto"/>
                <w:vertAlign w:val="superscript"/>
              </w:rPr>
              <w:t>(7), (9)</w:t>
            </w:r>
          </w:p>
        </w:tc>
        <w:tc>
          <w:tcPr>
            <w:tcW w:w="960" w:type="dxa"/>
            <w:vAlign w:val="bottom"/>
            <w:shd w:val="clear" w:color="auto" w:fill="CCECFF"/>
          </w:tcPr>
          <w:p>
            <w:pPr>
              <w:jc w:val="center"/>
              <w:ind w:left="102"/>
              <w:spacing w:after="0"/>
              <w:rPr>
                <w:sz w:val="20"/>
                <w:szCs w:val="20"/>
                <w:color w:val="auto"/>
              </w:rPr>
            </w:pPr>
            <w:r>
              <w:rPr>
                <w:rFonts w:ascii="Arial" w:cs="Arial" w:eastAsia="Arial" w:hAnsi="Arial"/>
                <w:sz w:val="12"/>
                <w:szCs w:val="12"/>
                <w:color w:val="auto"/>
                <w:w w:val="86"/>
              </w:rPr>
              <w:t>10/28/2024</w:t>
            </w:r>
          </w:p>
        </w:tc>
        <w:tc>
          <w:tcPr>
            <w:tcW w:w="2480" w:type="dxa"/>
            <w:vAlign w:val="bottom"/>
            <w:gridSpan w:val="2"/>
            <w:shd w:val="clear" w:color="auto" w:fill="CCECFF"/>
          </w:tcPr>
          <w:p>
            <w:pPr>
              <w:jc w:val="center"/>
              <w:ind w:right="100"/>
              <w:spacing w:after="0"/>
              <w:rPr>
                <w:sz w:val="20"/>
                <w:szCs w:val="20"/>
                <w:color w:val="auto"/>
              </w:rPr>
            </w:pPr>
            <w:r>
              <w:rPr>
                <w:rFonts w:ascii="Arial" w:cs="Arial" w:eastAsia="Arial" w:hAnsi="Arial"/>
                <w:sz w:val="12"/>
                <w:szCs w:val="12"/>
                <w:color w:val="auto"/>
                <w:w w:val="85"/>
              </w:rPr>
              <w:t>Aerospace and Defense</w:t>
            </w:r>
          </w:p>
        </w:tc>
        <w:tc>
          <w:tcPr>
            <w:tcW w:w="900" w:type="dxa"/>
            <w:vAlign w:val="bottom"/>
            <w:gridSpan w:val="2"/>
            <w:shd w:val="clear" w:color="auto" w:fill="CCECFF"/>
          </w:tcPr>
          <w:p>
            <w:pPr>
              <w:jc w:val="right"/>
              <w:ind w:right="260"/>
              <w:spacing w:after="0"/>
              <w:rPr>
                <w:sz w:val="20"/>
                <w:szCs w:val="20"/>
                <w:color w:val="auto"/>
              </w:rPr>
            </w:pPr>
            <w:r>
              <w:rPr>
                <w:rFonts w:ascii="Arial" w:cs="Arial" w:eastAsia="Arial" w:hAnsi="Arial"/>
                <w:sz w:val="12"/>
                <w:szCs w:val="12"/>
                <w:color w:val="auto"/>
              </w:rPr>
              <w:t>—</w:t>
            </w: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1,968,504</w:t>
            </w:r>
          </w:p>
        </w:tc>
        <w:tc>
          <w:tcPr>
            <w:tcW w:w="220" w:type="dxa"/>
            <w:vAlign w:val="bottom"/>
            <w:shd w:val="clear" w:color="auto" w:fill="CCECFF"/>
          </w:tcPr>
          <w:p>
            <w:pPr>
              <w:spacing w:after="0"/>
              <w:rPr>
                <w:sz w:val="12"/>
                <w:szCs w:val="12"/>
                <w:color w:val="auto"/>
              </w:rPr>
            </w:pP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820" w:type="dxa"/>
            <w:vAlign w:val="bottom"/>
            <w:gridSpan w:val="2"/>
            <w:shd w:val="clear" w:color="auto" w:fill="CCECFF"/>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8"/>
        </w:trPr>
        <w:tc>
          <w:tcPr>
            <w:tcW w:w="3400" w:type="dxa"/>
            <w:vAlign w:val="bottom"/>
          </w:tcPr>
          <w:p>
            <w:pPr>
              <w:spacing w:after="0"/>
              <w:rPr>
                <w:sz w:val="20"/>
                <w:szCs w:val="20"/>
                <w:color w:val="auto"/>
              </w:rPr>
            </w:pPr>
            <w:r>
              <w:rPr>
                <w:rFonts w:ascii="Arial" w:cs="Arial" w:eastAsia="Arial" w:hAnsi="Arial"/>
                <w:sz w:val="12"/>
                <w:szCs w:val="12"/>
                <w:color w:val="auto"/>
              </w:rPr>
              <w:t>Impact Group, LLC</w:t>
            </w:r>
          </w:p>
        </w:tc>
        <w:tc>
          <w:tcPr>
            <w:tcW w:w="960" w:type="dxa"/>
            <w:vAlign w:val="bottom"/>
          </w:tcPr>
          <w:p>
            <w:pPr>
              <w:jc w:val="center"/>
              <w:ind w:left="102"/>
              <w:spacing w:after="0"/>
              <w:rPr>
                <w:sz w:val="20"/>
                <w:szCs w:val="20"/>
                <w:color w:val="auto"/>
              </w:rPr>
            </w:pPr>
            <w:r>
              <w:rPr>
                <w:rFonts w:ascii="Arial" w:cs="Arial" w:eastAsia="Arial" w:hAnsi="Arial"/>
                <w:sz w:val="12"/>
                <w:szCs w:val="12"/>
                <w:color w:val="auto"/>
                <w:w w:val="86"/>
              </w:rPr>
              <w:t>06/27/2023</w:t>
            </w:r>
          </w:p>
        </w:tc>
        <w:tc>
          <w:tcPr>
            <w:tcW w:w="2480" w:type="dxa"/>
            <w:vAlign w:val="bottom"/>
            <w:gridSpan w:val="2"/>
          </w:tcPr>
          <w:p>
            <w:pPr>
              <w:jc w:val="center"/>
              <w:ind w:right="100"/>
              <w:spacing w:after="0"/>
              <w:rPr>
                <w:sz w:val="20"/>
                <w:szCs w:val="20"/>
                <w:color w:val="auto"/>
              </w:rPr>
            </w:pPr>
            <w:r>
              <w:rPr>
                <w:rFonts w:ascii="Arial" w:cs="Arial" w:eastAsia="Arial" w:hAnsi="Arial"/>
                <w:sz w:val="12"/>
                <w:szCs w:val="12"/>
                <w:color w:val="auto"/>
                <w:w w:val="89"/>
              </w:rPr>
              <w:t>Wholesale</w:t>
            </w:r>
          </w:p>
        </w:tc>
        <w:tc>
          <w:tcPr>
            <w:tcW w:w="900" w:type="dxa"/>
            <w:vAlign w:val="bottom"/>
            <w:gridSpan w:val="2"/>
          </w:tcPr>
          <w:p>
            <w:pPr>
              <w:jc w:val="right"/>
              <w:ind w:right="140"/>
              <w:spacing w:after="0"/>
              <w:rPr>
                <w:sz w:val="20"/>
                <w:szCs w:val="20"/>
                <w:color w:val="auto"/>
              </w:rPr>
            </w:pPr>
            <w:r>
              <w:rPr>
                <w:rFonts w:ascii="Arial" w:cs="Arial" w:eastAsia="Arial" w:hAnsi="Arial"/>
                <w:sz w:val="12"/>
                <w:szCs w:val="12"/>
                <w:color w:val="auto"/>
              </w:rPr>
              <w:t>8.50%</w:t>
            </w:r>
          </w:p>
        </w:tc>
        <w:tc>
          <w:tcPr>
            <w:tcW w:w="900" w:type="dxa"/>
            <w:vAlign w:val="bottom"/>
            <w:gridSpan w:val="2"/>
          </w:tcPr>
          <w:p>
            <w:pPr>
              <w:jc w:val="right"/>
              <w:ind w:right="240"/>
              <w:spacing w:after="0"/>
              <w:rPr>
                <w:sz w:val="20"/>
                <w:szCs w:val="20"/>
                <w:color w:val="auto"/>
              </w:rPr>
            </w:pPr>
            <w:r>
              <w:rPr>
                <w:rFonts w:ascii="Arial" w:cs="Arial" w:eastAsia="Arial" w:hAnsi="Arial"/>
                <w:sz w:val="12"/>
                <w:szCs w:val="12"/>
                <w:color w:val="auto"/>
              </w:rPr>
              <w:t>1M L+650</w:t>
            </w:r>
          </w:p>
        </w:tc>
        <w:tc>
          <w:tcPr>
            <w:tcW w:w="660" w:type="dxa"/>
            <w:vAlign w:val="bottom"/>
          </w:tcPr>
          <w:p>
            <w:pPr>
              <w:jc w:val="right"/>
              <w:spacing w:after="0"/>
              <w:rPr>
                <w:sz w:val="20"/>
                <w:szCs w:val="20"/>
                <w:color w:val="auto"/>
              </w:rPr>
            </w:pPr>
            <w:r>
              <w:rPr>
                <w:rFonts w:ascii="Arial" w:cs="Arial" w:eastAsia="Arial" w:hAnsi="Arial"/>
                <w:sz w:val="12"/>
                <w:szCs w:val="12"/>
                <w:color w:val="auto"/>
              </w:rPr>
              <w:t>12,773,147</w:t>
            </w:r>
          </w:p>
        </w:tc>
        <w:tc>
          <w:tcPr>
            <w:tcW w:w="900" w:type="dxa"/>
            <w:vAlign w:val="bottom"/>
            <w:gridSpan w:val="2"/>
          </w:tcPr>
          <w:p>
            <w:pPr>
              <w:jc w:val="right"/>
              <w:spacing w:after="0"/>
              <w:rPr>
                <w:sz w:val="20"/>
                <w:szCs w:val="20"/>
                <w:color w:val="auto"/>
              </w:rPr>
            </w:pPr>
            <w:r>
              <w:rPr>
                <w:rFonts w:ascii="Arial" w:cs="Arial" w:eastAsia="Arial" w:hAnsi="Arial"/>
                <w:sz w:val="12"/>
                <w:szCs w:val="12"/>
                <w:color w:val="auto"/>
              </w:rPr>
              <w:t>12,711,909</w:t>
            </w:r>
          </w:p>
        </w:tc>
        <w:tc>
          <w:tcPr>
            <w:tcW w:w="22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12,581,550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400" w:type="dxa"/>
            <w:vAlign w:val="bottom"/>
            <w:shd w:val="clear" w:color="auto" w:fill="CCECFF"/>
          </w:tcPr>
          <w:p>
            <w:pPr>
              <w:spacing w:after="0" w:line="149" w:lineRule="exact"/>
              <w:rPr>
                <w:sz w:val="20"/>
                <w:szCs w:val="20"/>
                <w:color w:val="auto"/>
              </w:rPr>
            </w:pPr>
            <w:r>
              <w:rPr>
                <w:rFonts w:ascii="Arial" w:cs="Arial" w:eastAsia="Arial" w:hAnsi="Arial"/>
                <w:sz w:val="11"/>
                <w:szCs w:val="11"/>
                <w:color w:val="auto"/>
              </w:rPr>
              <w:t xml:space="preserve">Innova Medical Ophthalmics Inc. </w:t>
            </w:r>
            <w:r>
              <w:rPr>
                <w:rFonts w:ascii="Arial" w:cs="Arial" w:eastAsia="Arial" w:hAnsi="Arial"/>
                <w:sz w:val="17"/>
                <w:szCs w:val="17"/>
                <w:color w:val="auto"/>
                <w:vertAlign w:val="superscript"/>
              </w:rPr>
              <w:t>(5), (10)</w:t>
            </w:r>
          </w:p>
        </w:tc>
        <w:tc>
          <w:tcPr>
            <w:tcW w:w="960" w:type="dxa"/>
            <w:vAlign w:val="bottom"/>
            <w:shd w:val="clear" w:color="auto" w:fill="CCECFF"/>
          </w:tcPr>
          <w:p>
            <w:pPr>
              <w:jc w:val="center"/>
              <w:ind w:left="102"/>
              <w:spacing w:after="0"/>
              <w:rPr>
                <w:sz w:val="20"/>
                <w:szCs w:val="20"/>
                <w:color w:val="auto"/>
              </w:rPr>
            </w:pPr>
            <w:r>
              <w:rPr>
                <w:rFonts w:ascii="Arial" w:cs="Arial" w:eastAsia="Arial" w:hAnsi="Arial"/>
                <w:sz w:val="12"/>
                <w:szCs w:val="12"/>
                <w:color w:val="auto"/>
                <w:w w:val="86"/>
              </w:rPr>
              <w:t>04/13/2023</w:t>
            </w:r>
          </w:p>
        </w:tc>
        <w:tc>
          <w:tcPr>
            <w:tcW w:w="2480" w:type="dxa"/>
            <w:vAlign w:val="bottom"/>
            <w:gridSpan w:val="2"/>
            <w:shd w:val="clear" w:color="auto" w:fill="CCECFF"/>
          </w:tcPr>
          <w:p>
            <w:pPr>
              <w:jc w:val="center"/>
              <w:ind w:right="100"/>
              <w:spacing w:after="0"/>
              <w:rPr>
                <w:sz w:val="20"/>
                <w:szCs w:val="20"/>
                <w:color w:val="auto"/>
              </w:rPr>
            </w:pPr>
            <w:r>
              <w:rPr>
                <w:rFonts w:ascii="Arial" w:cs="Arial" w:eastAsia="Arial" w:hAnsi="Arial"/>
                <w:sz w:val="12"/>
                <w:szCs w:val="12"/>
                <w:color w:val="auto"/>
                <w:w w:val="87"/>
              </w:rPr>
              <w:t>Capital Equipment</w:t>
            </w:r>
          </w:p>
        </w:tc>
        <w:tc>
          <w:tcPr>
            <w:tcW w:w="90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8.19%</w:t>
            </w: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3M L+625</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3,305,640</w:t>
            </w:r>
          </w:p>
        </w:tc>
        <w:tc>
          <w:tcPr>
            <w:tcW w:w="90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3,272,670</w:t>
            </w:r>
          </w:p>
        </w:tc>
        <w:tc>
          <w:tcPr>
            <w:tcW w:w="220" w:type="dxa"/>
            <w:vAlign w:val="bottom"/>
            <w:shd w:val="clear" w:color="auto" w:fill="CCECFF"/>
          </w:tcPr>
          <w:p>
            <w:pPr>
              <w:spacing w:after="0"/>
              <w:rPr>
                <w:sz w:val="12"/>
                <w:szCs w:val="12"/>
                <w:color w:val="auto"/>
              </w:rPr>
            </w:pPr>
          </w:p>
        </w:tc>
        <w:tc>
          <w:tcPr>
            <w:tcW w:w="7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3,272,584</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400" w:type="dxa"/>
            <w:vAlign w:val="bottom"/>
          </w:tcPr>
          <w:p>
            <w:pPr>
              <w:spacing w:after="0" w:line="149" w:lineRule="exact"/>
              <w:rPr>
                <w:sz w:val="20"/>
                <w:szCs w:val="20"/>
                <w:color w:val="auto"/>
              </w:rPr>
            </w:pPr>
            <w:r>
              <w:rPr>
                <w:rFonts w:ascii="Arial" w:cs="Arial" w:eastAsia="Arial" w:hAnsi="Arial"/>
                <w:sz w:val="11"/>
                <w:szCs w:val="11"/>
                <w:color w:val="auto"/>
              </w:rPr>
              <w:t xml:space="preserve">Innova Medical Ophthalmics Inc. (Revolver) </w:t>
            </w:r>
            <w:r>
              <w:rPr>
                <w:rFonts w:ascii="Arial" w:cs="Arial" w:eastAsia="Arial" w:hAnsi="Arial"/>
                <w:sz w:val="17"/>
                <w:szCs w:val="17"/>
                <w:color w:val="auto"/>
                <w:vertAlign w:val="superscript"/>
              </w:rPr>
              <w:t>(5), (7), (10)</w:t>
            </w:r>
          </w:p>
        </w:tc>
        <w:tc>
          <w:tcPr>
            <w:tcW w:w="960" w:type="dxa"/>
            <w:vAlign w:val="bottom"/>
          </w:tcPr>
          <w:p>
            <w:pPr>
              <w:jc w:val="center"/>
              <w:ind w:left="102"/>
              <w:spacing w:after="0"/>
              <w:rPr>
                <w:sz w:val="20"/>
                <w:szCs w:val="20"/>
                <w:color w:val="auto"/>
              </w:rPr>
            </w:pPr>
            <w:r>
              <w:rPr>
                <w:rFonts w:ascii="Arial" w:cs="Arial" w:eastAsia="Arial" w:hAnsi="Arial"/>
                <w:sz w:val="12"/>
                <w:szCs w:val="12"/>
                <w:color w:val="auto"/>
                <w:w w:val="86"/>
              </w:rPr>
              <w:t>04/13/2023</w:t>
            </w:r>
          </w:p>
        </w:tc>
        <w:tc>
          <w:tcPr>
            <w:tcW w:w="2480" w:type="dxa"/>
            <w:vAlign w:val="bottom"/>
            <w:gridSpan w:val="2"/>
          </w:tcPr>
          <w:p>
            <w:pPr>
              <w:jc w:val="center"/>
              <w:ind w:right="100"/>
              <w:spacing w:after="0"/>
              <w:rPr>
                <w:sz w:val="20"/>
                <w:szCs w:val="20"/>
                <w:color w:val="auto"/>
              </w:rPr>
            </w:pPr>
            <w:r>
              <w:rPr>
                <w:rFonts w:ascii="Arial" w:cs="Arial" w:eastAsia="Arial" w:hAnsi="Arial"/>
                <w:sz w:val="12"/>
                <w:szCs w:val="12"/>
                <w:color w:val="auto"/>
                <w:w w:val="87"/>
              </w:rPr>
              <w:t>Capital Equipment</w:t>
            </w:r>
          </w:p>
        </w:tc>
        <w:tc>
          <w:tcPr>
            <w:tcW w:w="900" w:type="dxa"/>
            <w:vAlign w:val="bottom"/>
            <w:gridSpan w:val="2"/>
          </w:tcPr>
          <w:p>
            <w:pPr>
              <w:jc w:val="right"/>
              <w:ind w:right="140"/>
              <w:spacing w:after="0"/>
              <w:rPr>
                <w:sz w:val="20"/>
                <w:szCs w:val="20"/>
                <w:color w:val="auto"/>
              </w:rPr>
            </w:pPr>
            <w:r>
              <w:rPr>
                <w:rFonts w:ascii="Arial" w:cs="Arial" w:eastAsia="Arial" w:hAnsi="Arial"/>
                <w:sz w:val="12"/>
                <w:szCs w:val="12"/>
                <w:color w:val="auto"/>
              </w:rPr>
              <w:t>8.84%</w:t>
            </w:r>
          </w:p>
        </w:tc>
        <w:tc>
          <w:tcPr>
            <w:tcW w:w="900" w:type="dxa"/>
            <w:vAlign w:val="bottom"/>
            <w:gridSpan w:val="2"/>
          </w:tcPr>
          <w:p>
            <w:pPr>
              <w:jc w:val="right"/>
              <w:ind w:right="240"/>
              <w:spacing w:after="0"/>
              <w:rPr>
                <w:sz w:val="20"/>
                <w:szCs w:val="20"/>
                <w:color w:val="auto"/>
              </w:rPr>
            </w:pPr>
            <w:r>
              <w:rPr>
                <w:rFonts w:ascii="Arial" w:cs="Arial" w:eastAsia="Arial" w:hAnsi="Arial"/>
                <w:sz w:val="12"/>
                <w:szCs w:val="12"/>
                <w:color w:val="auto"/>
              </w:rPr>
              <w:t>P+500</w:t>
            </w:r>
          </w:p>
        </w:tc>
        <w:tc>
          <w:tcPr>
            <w:tcW w:w="660" w:type="dxa"/>
            <w:vAlign w:val="bottom"/>
          </w:tcPr>
          <w:p>
            <w:pPr>
              <w:jc w:val="right"/>
              <w:spacing w:after="0"/>
              <w:rPr>
                <w:sz w:val="20"/>
                <w:szCs w:val="20"/>
                <w:color w:val="auto"/>
              </w:rPr>
            </w:pPr>
            <w:r>
              <w:rPr>
                <w:rFonts w:ascii="Arial" w:cs="Arial" w:eastAsia="Arial" w:hAnsi="Arial"/>
                <w:sz w:val="12"/>
                <w:szCs w:val="12"/>
                <w:color w:val="auto"/>
              </w:rPr>
              <w:t>150,442</w:t>
            </w:r>
          </w:p>
        </w:tc>
        <w:tc>
          <w:tcPr>
            <w:tcW w:w="900" w:type="dxa"/>
            <w:vAlign w:val="bottom"/>
            <w:gridSpan w:val="2"/>
          </w:tcPr>
          <w:p>
            <w:pPr>
              <w:jc w:val="right"/>
              <w:spacing w:after="0"/>
              <w:rPr>
                <w:sz w:val="20"/>
                <w:szCs w:val="20"/>
                <w:color w:val="auto"/>
              </w:rPr>
            </w:pPr>
            <w:r>
              <w:rPr>
                <w:rFonts w:ascii="Arial" w:cs="Arial" w:eastAsia="Arial" w:hAnsi="Arial"/>
                <w:sz w:val="12"/>
                <w:szCs w:val="12"/>
                <w:color w:val="auto"/>
              </w:rPr>
              <w:t>150,442</w:t>
            </w:r>
          </w:p>
        </w:tc>
        <w:tc>
          <w:tcPr>
            <w:tcW w:w="22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149,690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400" w:type="dxa"/>
            <w:vAlign w:val="bottom"/>
            <w:shd w:val="clear" w:color="auto" w:fill="CCECFF"/>
          </w:tcPr>
          <w:p>
            <w:pPr>
              <w:spacing w:after="0" w:line="149" w:lineRule="exact"/>
              <w:rPr>
                <w:sz w:val="20"/>
                <w:szCs w:val="20"/>
                <w:color w:val="auto"/>
              </w:rPr>
            </w:pPr>
            <w:r>
              <w:rPr>
                <w:rFonts w:ascii="Arial" w:cs="Arial" w:eastAsia="Arial" w:hAnsi="Arial"/>
                <w:sz w:val="11"/>
                <w:szCs w:val="11"/>
                <w:color w:val="auto"/>
              </w:rPr>
              <w:t xml:space="preserve">Innova Medical Ophthalmics Inc. (Revolver) </w:t>
            </w:r>
            <w:r>
              <w:rPr>
                <w:rFonts w:ascii="Arial" w:cs="Arial" w:eastAsia="Arial" w:hAnsi="Arial"/>
                <w:sz w:val="17"/>
                <w:szCs w:val="17"/>
                <w:color w:val="auto"/>
                <w:vertAlign w:val="superscript"/>
              </w:rPr>
              <w:t>(5), (7), (9), (10)</w:t>
            </w:r>
          </w:p>
        </w:tc>
        <w:tc>
          <w:tcPr>
            <w:tcW w:w="960" w:type="dxa"/>
            <w:vAlign w:val="bottom"/>
            <w:shd w:val="clear" w:color="auto" w:fill="CCECFF"/>
          </w:tcPr>
          <w:p>
            <w:pPr>
              <w:jc w:val="center"/>
              <w:ind w:left="102"/>
              <w:spacing w:after="0"/>
              <w:rPr>
                <w:sz w:val="20"/>
                <w:szCs w:val="20"/>
                <w:color w:val="auto"/>
              </w:rPr>
            </w:pPr>
            <w:r>
              <w:rPr>
                <w:rFonts w:ascii="Arial" w:cs="Arial" w:eastAsia="Arial" w:hAnsi="Arial"/>
                <w:sz w:val="12"/>
                <w:szCs w:val="12"/>
                <w:color w:val="auto"/>
                <w:w w:val="86"/>
              </w:rPr>
              <w:t>04/13/2023</w:t>
            </w:r>
          </w:p>
        </w:tc>
        <w:tc>
          <w:tcPr>
            <w:tcW w:w="2480" w:type="dxa"/>
            <w:vAlign w:val="bottom"/>
            <w:gridSpan w:val="2"/>
            <w:shd w:val="clear" w:color="auto" w:fill="CCECFF"/>
          </w:tcPr>
          <w:p>
            <w:pPr>
              <w:jc w:val="center"/>
              <w:ind w:right="100"/>
              <w:spacing w:after="0"/>
              <w:rPr>
                <w:sz w:val="20"/>
                <w:szCs w:val="20"/>
                <w:color w:val="auto"/>
              </w:rPr>
            </w:pPr>
            <w:r>
              <w:rPr>
                <w:rFonts w:ascii="Arial" w:cs="Arial" w:eastAsia="Arial" w:hAnsi="Arial"/>
                <w:sz w:val="12"/>
                <w:szCs w:val="12"/>
                <w:color w:val="auto"/>
                <w:w w:val="87"/>
              </w:rPr>
              <w:t>Capital Equipment</w:t>
            </w:r>
          </w:p>
        </w:tc>
        <w:tc>
          <w:tcPr>
            <w:tcW w:w="900" w:type="dxa"/>
            <w:vAlign w:val="bottom"/>
            <w:gridSpan w:val="2"/>
            <w:shd w:val="clear" w:color="auto" w:fill="CCECFF"/>
          </w:tcPr>
          <w:p>
            <w:pPr>
              <w:jc w:val="right"/>
              <w:ind w:right="260"/>
              <w:spacing w:after="0"/>
              <w:rPr>
                <w:sz w:val="20"/>
                <w:szCs w:val="20"/>
                <w:color w:val="auto"/>
              </w:rPr>
            </w:pPr>
            <w:r>
              <w:rPr>
                <w:rFonts w:ascii="Arial" w:cs="Arial" w:eastAsia="Arial" w:hAnsi="Arial"/>
                <w:sz w:val="12"/>
                <w:szCs w:val="12"/>
                <w:color w:val="auto"/>
              </w:rPr>
              <w:t>—</w:t>
            </w: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380,531</w:t>
            </w:r>
          </w:p>
        </w:tc>
        <w:tc>
          <w:tcPr>
            <w:tcW w:w="220" w:type="dxa"/>
            <w:vAlign w:val="bottom"/>
            <w:shd w:val="clear" w:color="auto" w:fill="CCECFF"/>
          </w:tcPr>
          <w:p>
            <w:pPr>
              <w:spacing w:after="0"/>
              <w:rPr>
                <w:sz w:val="12"/>
                <w:szCs w:val="12"/>
                <w:color w:val="auto"/>
              </w:rPr>
            </w:pP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820" w:type="dxa"/>
            <w:vAlign w:val="bottom"/>
            <w:gridSpan w:val="2"/>
            <w:shd w:val="clear" w:color="auto" w:fill="CCECFF"/>
          </w:tcPr>
          <w:p>
            <w:pPr>
              <w:jc w:val="right"/>
              <w:ind w:right="60"/>
              <w:spacing w:after="0"/>
              <w:rPr>
                <w:sz w:val="20"/>
                <w:szCs w:val="20"/>
                <w:color w:val="auto"/>
              </w:rPr>
            </w:pPr>
            <w:r>
              <w:rPr>
                <w:rFonts w:ascii="Arial" w:cs="Arial" w:eastAsia="Arial" w:hAnsi="Arial"/>
                <w:sz w:val="12"/>
                <w:szCs w:val="12"/>
                <w:color w:val="auto"/>
              </w:rPr>
              <w:t>(1,903)</w:t>
            </w:r>
          </w:p>
        </w:tc>
        <w:tc>
          <w:tcPr>
            <w:tcW w:w="0" w:type="dxa"/>
            <w:vAlign w:val="bottom"/>
          </w:tcPr>
          <w:p>
            <w:pPr>
              <w:spacing w:after="0"/>
              <w:rPr>
                <w:sz w:val="1"/>
                <w:szCs w:val="1"/>
                <w:color w:val="auto"/>
              </w:rPr>
            </w:pPr>
          </w:p>
        </w:tc>
      </w:tr>
      <w:tr>
        <w:trPr>
          <w:trHeight w:val="149"/>
        </w:trPr>
        <w:tc>
          <w:tcPr>
            <w:tcW w:w="3400" w:type="dxa"/>
            <w:vAlign w:val="bottom"/>
          </w:tcPr>
          <w:p>
            <w:pPr>
              <w:spacing w:after="0"/>
              <w:rPr>
                <w:sz w:val="20"/>
                <w:szCs w:val="20"/>
                <w:color w:val="auto"/>
              </w:rPr>
            </w:pPr>
            <w:r>
              <w:rPr>
                <w:rFonts w:ascii="Arial" w:cs="Arial" w:eastAsia="Arial" w:hAnsi="Arial"/>
                <w:sz w:val="12"/>
                <w:szCs w:val="12"/>
                <w:color w:val="auto"/>
              </w:rPr>
              <w:t>Integrative Nutrition, LLC</w:t>
            </w:r>
          </w:p>
        </w:tc>
        <w:tc>
          <w:tcPr>
            <w:tcW w:w="960" w:type="dxa"/>
            <w:vAlign w:val="bottom"/>
          </w:tcPr>
          <w:p>
            <w:pPr>
              <w:jc w:val="center"/>
              <w:ind w:left="102"/>
              <w:spacing w:after="0"/>
              <w:rPr>
                <w:sz w:val="20"/>
                <w:szCs w:val="20"/>
                <w:color w:val="auto"/>
              </w:rPr>
            </w:pPr>
            <w:r>
              <w:rPr>
                <w:rFonts w:ascii="Arial" w:cs="Arial" w:eastAsia="Arial" w:hAnsi="Arial"/>
                <w:sz w:val="12"/>
                <w:szCs w:val="12"/>
                <w:color w:val="auto"/>
                <w:w w:val="86"/>
              </w:rPr>
              <w:t>09/29/2023</w:t>
            </w:r>
          </w:p>
        </w:tc>
        <w:tc>
          <w:tcPr>
            <w:tcW w:w="2480" w:type="dxa"/>
            <w:vAlign w:val="bottom"/>
            <w:gridSpan w:val="2"/>
          </w:tcPr>
          <w:p>
            <w:pPr>
              <w:jc w:val="center"/>
              <w:ind w:right="100"/>
              <w:spacing w:after="0"/>
              <w:rPr>
                <w:sz w:val="20"/>
                <w:szCs w:val="20"/>
                <w:color w:val="auto"/>
              </w:rPr>
            </w:pPr>
            <w:r>
              <w:rPr>
                <w:rFonts w:ascii="Arial" w:cs="Arial" w:eastAsia="Arial" w:hAnsi="Arial"/>
                <w:sz w:val="12"/>
                <w:szCs w:val="12"/>
                <w:color w:val="auto"/>
                <w:w w:val="85"/>
              </w:rPr>
              <w:t>Consumer Services</w:t>
            </w:r>
          </w:p>
        </w:tc>
        <w:tc>
          <w:tcPr>
            <w:tcW w:w="900" w:type="dxa"/>
            <w:vAlign w:val="bottom"/>
            <w:gridSpan w:val="2"/>
          </w:tcPr>
          <w:p>
            <w:pPr>
              <w:jc w:val="right"/>
              <w:ind w:right="140"/>
              <w:spacing w:after="0"/>
              <w:rPr>
                <w:sz w:val="20"/>
                <w:szCs w:val="20"/>
                <w:color w:val="auto"/>
              </w:rPr>
            </w:pPr>
            <w:r>
              <w:rPr>
                <w:rFonts w:ascii="Arial" w:cs="Arial" w:eastAsia="Arial" w:hAnsi="Arial"/>
                <w:sz w:val="12"/>
                <w:szCs w:val="12"/>
                <w:color w:val="auto"/>
              </w:rPr>
              <w:t>6.69%</w:t>
            </w:r>
          </w:p>
        </w:tc>
        <w:tc>
          <w:tcPr>
            <w:tcW w:w="900" w:type="dxa"/>
            <w:vAlign w:val="bottom"/>
            <w:gridSpan w:val="2"/>
          </w:tcPr>
          <w:p>
            <w:pPr>
              <w:jc w:val="right"/>
              <w:ind w:right="240"/>
              <w:spacing w:after="0"/>
              <w:rPr>
                <w:sz w:val="20"/>
                <w:szCs w:val="20"/>
                <w:color w:val="auto"/>
              </w:rPr>
            </w:pPr>
            <w:r>
              <w:rPr>
                <w:rFonts w:ascii="Arial" w:cs="Arial" w:eastAsia="Arial" w:hAnsi="Arial"/>
                <w:sz w:val="12"/>
                <w:szCs w:val="12"/>
                <w:color w:val="auto"/>
              </w:rPr>
              <w:t>3M L+475</w:t>
            </w:r>
          </w:p>
        </w:tc>
        <w:tc>
          <w:tcPr>
            <w:tcW w:w="660" w:type="dxa"/>
            <w:vAlign w:val="bottom"/>
          </w:tcPr>
          <w:p>
            <w:pPr>
              <w:jc w:val="right"/>
              <w:spacing w:after="0"/>
              <w:rPr>
                <w:sz w:val="20"/>
                <w:szCs w:val="20"/>
                <w:color w:val="auto"/>
              </w:rPr>
            </w:pPr>
            <w:r>
              <w:rPr>
                <w:rFonts w:ascii="Arial" w:cs="Arial" w:eastAsia="Arial" w:hAnsi="Arial"/>
                <w:sz w:val="12"/>
                <w:szCs w:val="12"/>
                <w:color w:val="auto"/>
              </w:rPr>
              <w:t>25,690,251</w:t>
            </w:r>
          </w:p>
        </w:tc>
        <w:tc>
          <w:tcPr>
            <w:tcW w:w="900" w:type="dxa"/>
            <w:vAlign w:val="bottom"/>
            <w:gridSpan w:val="2"/>
          </w:tcPr>
          <w:p>
            <w:pPr>
              <w:jc w:val="right"/>
              <w:spacing w:after="0"/>
              <w:rPr>
                <w:sz w:val="20"/>
                <w:szCs w:val="20"/>
                <w:color w:val="auto"/>
              </w:rPr>
            </w:pPr>
            <w:r>
              <w:rPr>
                <w:rFonts w:ascii="Arial" w:cs="Arial" w:eastAsia="Arial" w:hAnsi="Arial"/>
                <w:sz w:val="12"/>
                <w:szCs w:val="12"/>
                <w:color w:val="auto"/>
              </w:rPr>
              <w:t>25,488,027</w:t>
            </w:r>
          </w:p>
        </w:tc>
        <w:tc>
          <w:tcPr>
            <w:tcW w:w="22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25,433,349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400" w:type="dxa"/>
            <w:vAlign w:val="bottom"/>
            <w:shd w:val="clear" w:color="auto" w:fill="CCECFF"/>
          </w:tcPr>
          <w:p>
            <w:pPr>
              <w:spacing w:after="0" w:line="149" w:lineRule="exact"/>
              <w:rPr>
                <w:sz w:val="20"/>
                <w:szCs w:val="20"/>
                <w:color w:val="auto"/>
              </w:rPr>
            </w:pPr>
            <w:r>
              <w:rPr>
                <w:rFonts w:ascii="Arial" w:cs="Arial" w:eastAsia="Arial" w:hAnsi="Arial"/>
                <w:sz w:val="11"/>
                <w:szCs w:val="11"/>
                <w:color w:val="auto"/>
              </w:rPr>
              <w:t xml:space="preserve">Integrative Nutrition, LLC (Revolver) </w:t>
            </w:r>
            <w:r>
              <w:rPr>
                <w:rFonts w:ascii="Arial" w:cs="Arial" w:eastAsia="Arial" w:hAnsi="Arial"/>
                <w:sz w:val="17"/>
                <w:szCs w:val="17"/>
                <w:color w:val="auto"/>
                <w:vertAlign w:val="superscript"/>
              </w:rPr>
              <w:t>(7), (9)</w:t>
            </w:r>
          </w:p>
        </w:tc>
        <w:tc>
          <w:tcPr>
            <w:tcW w:w="960" w:type="dxa"/>
            <w:vAlign w:val="bottom"/>
            <w:shd w:val="clear" w:color="auto" w:fill="CCECFF"/>
          </w:tcPr>
          <w:p>
            <w:pPr>
              <w:jc w:val="center"/>
              <w:ind w:left="102"/>
              <w:spacing w:after="0"/>
              <w:rPr>
                <w:sz w:val="20"/>
                <w:szCs w:val="20"/>
                <w:color w:val="auto"/>
              </w:rPr>
            </w:pPr>
            <w:r>
              <w:rPr>
                <w:rFonts w:ascii="Arial" w:cs="Arial" w:eastAsia="Arial" w:hAnsi="Arial"/>
                <w:sz w:val="12"/>
                <w:szCs w:val="12"/>
                <w:color w:val="auto"/>
                <w:w w:val="86"/>
              </w:rPr>
              <w:t>09/29/2023</w:t>
            </w:r>
          </w:p>
        </w:tc>
        <w:tc>
          <w:tcPr>
            <w:tcW w:w="2480" w:type="dxa"/>
            <w:vAlign w:val="bottom"/>
            <w:gridSpan w:val="2"/>
            <w:shd w:val="clear" w:color="auto" w:fill="CCECFF"/>
          </w:tcPr>
          <w:p>
            <w:pPr>
              <w:jc w:val="center"/>
              <w:ind w:right="100"/>
              <w:spacing w:after="0"/>
              <w:rPr>
                <w:sz w:val="20"/>
                <w:szCs w:val="20"/>
                <w:color w:val="auto"/>
              </w:rPr>
            </w:pPr>
            <w:r>
              <w:rPr>
                <w:rFonts w:ascii="Arial" w:cs="Arial" w:eastAsia="Arial" w:hAnsi="Arial"/>
                <w:sz w:val="12"/>
                <w:szCs w:val="12"/>
                <w:color w:val="auto"/>
                <w:w w:val="85"/>
              </w:rPr>
              <w:t>Consumer Services</w:t>
            </w:r>
          </w:p>
        </w:tc>
        <w:tc>
          <w:tcPr>
            <w:tcW w:w="900" w:type="dxa"/>
            <w:vAlign w:val="bottom"/>
            <w:gridSpan w:val="2"/>
            <w:shd w:val="clear" w:color="auto" w:fill="CCECFF"/>
          </w:tcPr>
          <w:p>
            <w:pPr>
              <w:jc w:val="right"/>
              <w:ind w:right="260"/>
              <w:spacing w:after="0"/>
              <w:rPr>
                <w:sz w:val="20"/>
                <w:szCs w:val="20"/>
                <w:color w:val="auto"/>
              </w:rPr>
            </w:pPr>
            <w:r>
              <w:rPr>
                <w:rFonts w:ascii="Arial" w:cs="Arial" w:eastAsia="Arial" w:hAnsi="Arial"/>
                <w:sz w:val="12"/>
                <w:szCs w:val="12"/>
                <w:color w:val="auto"/>
              </w:rPr>
              <w:t>—</w:t>
            </w: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5,000,000</w:t>
            </w:r>
          </w:p>
        </w:tc>
        <w:tc>
          <w:tcPr>
            <w:tcW w:w="220" w:type="dxa"/>
            <w:vAlign w:val="bottom"/>
            <w:shd w:val="clear" w:color="auto" w:fill="CCECFF"/>
          </w:tcPr>
          <w:p>
            <w:pPr>
              <w:spacing w:after="0"/>
              <w:rPr>
                <w:sz w:val="12"/>
                <w:szCs w:val="12"/>
                <w:color w:val="auto"/>
              </w:rPr>
            </w:pP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820" w:type="dxa"/>
            <w:vAlign w:val="bottom"/>
            <w:gridSpan w:val="2"/>
            <w:shd w:val="clear" w:color="auto" w:fill="CCECFF"/>
          </w:tcPr>
          <w:p>
            <w:pPr>
              <w:jc w:val="right"/>
              <w:ind w:right="60"/>
              <w:spacing w:after="0"/>
              <w:rPr>
                <w:sz w:val="20"/>
                <w:szCs w:val="20"/>
                <w:color w:val="auto"/>
              </w:rPr>
            </w:pPr>
            <w:r>
              <w:rPr>
                <w:rFonts w:ascii="Arial" w:cs="Arial" w:eastAsia="Arial" w:hAnsi="Arial"/>
                <w:sz w:val="12"/>
                <w:szCs w:val="12"/>
                <w:color w:val="auto"/>
              </w:rPr>
              <w:t>(50,000)</w:t>
            </w:r>
          </w:p>
        </w:tc>
        <w:tc>
          <w:tcPr>
            <w:tcW w:w="0" w:type="dxa"/>
            <w:vAlign w:val="bottom"/>
          </w:tcPr>
          <w:p>
            <w:pPr>
              <w:spacing w:after="0"/>
              <w:rPr>
                <w:sz w:val="1"/>
                <w:szCs w:val="1"/>
                <w:color w:val="auto"/>
              </w:rPr>
            </w:pPr>
          </w:p>
        </w:tc>
      </w:tr>
      <w:tr>
        <w:trPr>
          <w:trHeight w:val="148"/>
        </w:trPr>
        <w:tc>
          <w:tcPr>
            <w:tcW w:w="3400" w:type="dxa"/>
            <w:vAlign w:val="bottom"/>
          </w:tcPr>
          <w:p>
            <w:pPr>
              <w:spacing w:after="0"/>
              <w:rPr>
                <w:sz w:val="20"/>
                <w:szCs w:val="20"/>
                <w:color w:val="auto"/>
              </w:rPr>
            </w:pPr>
            <w:r>
              <w:rPr>
                <w:rFonts w:ascii="Arial" w:cs="Arial" w:eastAsia="Arial" w:hAnsi="Arial"/>
                <w:sz w:val="12"/>
                <w:szCs w:val="12"/>
                <w:color w:val="auto"/>
              </w:rPr>
              <w:t>Inventus Power, Inc.</w:t>
            </w:r>
          </w:p>
        </w:tc>
        <w:tc>
          <w:tcPr>
            <w:tcW w:w="960" w:type="dxa"/>
            <w:vAlign w:val="bottom"/>
          </w:tcPr>
          <w:p>
            <w:pPr>
              <w:jc w:val="center"/>
              <w:ind w:left="102"/>
              <w:spacing w:after="0"/>
              <w:rPr>
                <w:sz w:val="20"/>
                <w:szCs w:val="20"/>
                <w:color w:val="auto"/>
              </w:rPr>
            </w:pPr>
            <w:r>
              <w:rPr>
                <w:rFonts w:ascii="Arial" w:cs="Arial" w:eastAsia="Arial" w:hAnsi="Arial"/>
                <w:sz w:val="12"/>
                <w:szCs w:val="12"/>
                <w:color w:val="auto"/>
                <w:w w:val="86"/>
              </w:rPr>
              <w:t>04/30/2020</w:t>
            </w:r>
          </w:p>
        </w:tc>
        <w:tc>
          <w:tcPr>
            <w:tcW w:w="2480" w:type="dxa"/>
            <w:vAlign w:val="bottom"/>
            <w:gridSpan w:val="2"/>
          </w:tcPr>
          <w:p>
            <w:pPr>
              <w:jc w:val="center"/>
              <w:ind w:right="100"/>
              <w:spacing w:after="0"/>
              <w:rPr>
                <w:sz w:val="20"/>
                <w:szCs w:val="20"/>
                <w:color w:val="auto"/>
              </w:rPr>
            </w:pPr>
            <w:r>
              <w:rPr>
                <w:rFonts w:ascii="Arial" w:cs="Arial" w:eastAsia="Arial" w:hAnsi="Arial"/>
                <w:sz w:val="12"/>
                <w:szCs w:val="12"/>
                <w:color w:val="auto"/>
                <w:w w:val="88"/>
              </w:rPr>
              <w:t>Consumer Goods: Durable</w:t>
            </w:r>
          </w:p>
        </w:tc>
        <w:tc>
          <w:tcPr>
            <w:tcW w:w="900" w:type="dxa"/>
            <w:vAlign w:val="bottom"/>
            <w:gridSpan w:val="2"/>
          </w:tcPr>
          <w:p>
            <w:pPr>
              <w:jc w:val="right"/>
              <w:ind w:right="140"/>
              <w:spacing w:after="0"/>
              <w:rPr>
                <w:sz w:val="20"/>
                <w:szCs w:val="20"/>
                <w:color w:val="auto"/>
              </w:rPr>
            </w:pPr>
            <w:r>
              <w:rPr>
                <w:rFonts w:ascii="Arial" w:cs="Arial" w:eastAsia="Arial" w:hAnsi="Arial"/>
                <w:sz w:val="12"/>
                <w:szCs w:val="12"/>
                <w:color w:val="auto"/>
              </w:rPr>
              <w:t>8.30%</w:t>
            </w:r>
          </w:p>
        </w:tc>
        <w:tc>
          <w:tcPr>
            <w:tcW w:w="900" w:type="dxa"/>
            <w:vAlign w:val="bottom"/>
            <w:gridSpan w:val="2"/>
          </w:tcPr>
          <w:p>
            <w:pPr>
              <w:jc w:val="right"/>
              <w:ind w:right="240"/>
              <w:spacing w:after="0"/>
              <w:rPr>
                <w:sz w:val="20"/>
                <w:szCs w:val="20"/>
                <w:color w:val="auto"/>
              </w:rPr>
            </w:pPr>
            <w:r>
              <w:rPr>
                <w:rFonts w:ascii="Arial" w:cs="Arial" w:eastAsia="Arial" w:hAnsi="Arial"/>
                <w:sz w:val="12"/>
                <w:szCs w:val="12"/>
                <w:color w:val="auto"/>
              </w:rPr>
              <w:t>1M L+650</w:t>
            </w:r>
          </w:p>
        </w:tc>
        <w:tc>
          <w:tcPr>
            <w:tcW w:w="660" w:type="dxa"/>
            <w:vAlign w:val="bottom"/>
          </w:tcPr>
          <w:p>
            <w:pPr>
              <w:jc w:val="right"/>
              <w:spacing w:after="0"/>
              <w:rPr>
                <w:sz w:val="20"/>
                <w:szCs w:val="20"/>
                <w:color w:val="auto"/>
              </w:rPr>
            </w:pPr>
            <w:r>
              <w:rPr>
                <w:rFonts w:ascii="Arial" w:cs="Arial" w:eastAsia="Arial" w:hAnsi="Arial"/>
                <w:sz w:val="12"/>
                <w:szCs w:val="12"/>
                <w:color w:val="auto"/>
              </w:rPr>
              <w:t>3,734,390</w:t>
            </w:r>
          </w:p>
        </w:tc>
        <w:tc>
          <w:tcPr>
            <w:tcW w:w="900" w:type="dxa"/>
            <w:vAlign w:val="bottom"/>
            <w:gridSpan w:val="2"/>
          </w:tcPr>
          <w:p>
            <w:pPr>
              <w:jc w:val="right"/>
              <w:spacing w:after="0"/>
              <w:rPr>
                <w:sz w:val="20"/>
                <w:szCs w:val="20"/>
                <w:color w:val="auto"/>
              </w:rPr>
            </w:pPr>
            <w:r>
              <w:rPr>
                <w:rFonts w:ascii="Arial" w:cs="Arial" w:eastAsia="Arial" w:hAnsi="Arial"/>
                <w:sz w:val="12"/>
                <w:szCs w:val="12"/>
                <w:color w:val="auto"/>
              </w:rPr>
              <w:t>3,731,734</w:t>
            </w:r>
          </w:p>
        </w:tc>
        <w:tc>
          <w:tcPr>
            <w:tcW w:w="22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3,547,670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400" w:type="dxa"/>
            <w:vAlign w:val="bottom"/>
            <w:shd w:val="clear" w:color="auto" w:fill="CCECFF"/>
          </w:tcPr>
          <w:p>
            <w:pPr>
              <w:spacing w:after="0" w:line="149" w:lineRule="exact"/>
              <w:rPr>
                <w:sz w:val="20"/>
                <w:szCs w:val="20"/>
                <w:color w:val="auto"/>
              </w:rPr>
            </w:pPr>
            <w:r>
              <w:rPr>
                <w:rFonts w:ascii="Arial" w:cs="Arial" w:eastAsia="Arial" w:hAnsi="Arial"/>
                <w:sz w:val="11"/>
                <w:szCs w:val="11"/>
                <w:color w:val="auto"/>
              </w:rPr>
              <w:t xml:space="preserve">K2 Pure Solutions NoCal, L.P. (Revolver) </w:t>
            </w:r>
            <w:r>
              <w:rPr>
                <w:rFonts w:ascii="Arial" w:cs="Arial" w:eastAsia="Arial" w:hAnsi="Arial"/>
                <w:sz w:val="17"/>
                <w:szCs w:val="17"/>
                <w:color w:val="auto"/>
                <w:vertAlign w:val="superscript"/>
              </w:rPr>
              <w:t>(7)</w:t>
            </w:r>
          </w:p>
        </w:tc>
        <w:tc>
          <w:tcPr>
            <w:tcW w:w="960" w:type="dxa"/>
            <w:vAlign w:val="bottom"/>
            <w:shd w:val="clear" w:color="auto" w:fill="CCECFF"/>
          </w:tcPr>
          <w:p>
            <w:pPr>
              <w:jc w:val="center"/>
              <w:ind w:left="102"/>
              <w:spacing w:after="0"/>
              <w:rPr>
                <w:sz w:val="20"/>
                <w:szCs w:val="20"/>
                <w:color w:val="auto"/>
              </w:rPr>
            </w:pPr>
            <w:r>
              <w:rPr>
                <w:rFonts w:ascii="Arial" w:cs="Arial" w:eastAsia="Arial" w:hAnsi="Arial"/>
                <w:sz w:val="12"/>
                <w:szCs w:val="12"/>
                <w:color w:val="auto"/>
                <w:w w:val="86"/>
              </w:rPr>
              <w:t>12/20/2023</w:t>
            </w:r>
          </w:p>
        </w:tc>
        <w:tc>
          <w:tcPr>
            <w:tcW w:w="2480" w:type="dxa"/>
            <w:vAlign w:val="bottom"/>
            <w:gridSpan w:val="2"/>
            <w:shd w:val="clear" w:color="auto" w:fill="CCECFF"/>
          </w:tcPr>
          <w:p>
            <w:pPr>
              <w:jc w:val="center"/>
              <w:ind w:right="120"/>
              <w:spacing w:after="0"/>
              <w:rPr>
                <w:sz w:val="20"/>
                <w:szCs w:val="20"/>
                <w:color w:val="auto"/>
              </w:rPr>
            </w:pPr>
            <w:r>
              <w:rPr>
                <w:rFonts w:ascii="Arial" w:cs="Arial" w:eastAsia="Arial" w:hAnsi="Arial"/>
                <w:sz w:val="12"/>
                <w:szCs w:val="12"/>
                <w:color w:val="auto"/>
                <w:w w:val="87"/>
              </w:rPr>
              <w:t>Chemicals, Plastics and Rubber</w:t>
            </w:r>
          </w:p>
        </w:tc>
        <w:tc>
          <w:tcPr>
            <w:tcW w:w="90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7.02%</w:t>
            </w: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1M L+525</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714,286</w:t>
            </w:r>
          </w:p>
        </w:tc>
        <w:tc>
          <w:tcPr>
            <w:tcW w:w="90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714,286</w:t>
            </w:r>
          </w:p>
        </w:tc>
        <w:tc>
          <w:tcPr>
            <w:tcW w:w="220" w:type="dxa"/>
            <w:vAlign w:val="bottom"/>
            <w:shd w:val="clear" w:color="auto" w:fill="CCECFF"/>
          </w:tcPr>
          <w:p>
            <w:pPr>
              <w:spacing w:after="0"/>
              <w:rPr>
                <w:sz w:val="12"/>
                <w:szCs w:val="12"/>
                <w:color w:val="auto"/>
              </w:rPr>
            </w:pPr>
          </w:p>
        </w:tc>
        <w:tc>
          <w:tcPr>
            <w:tcW w:w="7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702,357</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400" w:type="dxa"/>
            <w:vAlign w:val="bottom"/>
          </w:tcPr>
          <w:p>
            <w:pPr>
              <w:spacing w:after="0" w:line="149" w:lineRule="exact"/>
              <w:rPr>
                <w:sz w:val="20"/>
                <w:szCs w:val="20"/>
                <w:color w:val="auto"/>
              </w:rPr>
            </w:pPr>
            <w:r>
              <w:rPr>
                <w:rFonts w:ascii="Arial" w:cs="Arial" w:eastAsia="Arial" w:hAnsi="Arial"/>
                <w:sz w:val="11"/>
                <w:szCs w:val="11"/>
                <w:color w:val="auto"/>
              </w:rPr>
              <w:t xml:space="preserve">K2 Pure Solutions NoCal, L.P. (Revolver) </w:t>
            </w:r>
            <w:r>
              <w:rPr>
                <w:rFonts w:ascii="Arial" w:cs="Arial" w:eastAsia="Arial" w:hAnsi="Arial"/>
                <w:sz w:val="17"/>
                <w:szCs w:val="17"/>
                <w:color w:val="auto"/>
                <w:vertAlign w:val="superscript"/>
              </w:rPr>
              <w:t>(7), (9)</w:t>
            </w:r>
          </w:p>
        </w:tc>
        <w:tc>
          <w:tcPr>
            <w:tcW w:w="960" w:type="dxa"/>
            <w:vAlign w:val="bottom"/>
          </w:tcPr>
          <w:p>
            <w:pPr>
              <w:jc w:val="center"/>
              <w:ind w:left="102"/>
              <w:spacing w:after="0"/>
              <w:rPr>
                <w:sz w:val="20"/>
                <w:szCs w:val="20"/>
                <w:color w:val="auto"/>
              </w:rPr>
            </w:pPr>
            <w:r>
              <w:rPr>
                <w:rFonts w:ascii="Arial" w:cs="Arial" w:eastAsia="Arial" w:hAnsi="Arial"/>
                <w:sz w:val="12"/>
                <w:szCs w:val="12"/>
                <w:color w:val="auto"/>
                <w:w w:val="86"/>
              </w:rPr>
              <w:t>12/20/2023</w:t>
            </w:r>
          </w:p>
        </w:tc>
        <w:tc>
          <w:tcPr>
            <w:tcW w:w="2480" w:type="dxa"/>
            <w:vAlign w:val="bottom"/>
            <w:gridSpan w:val="2"/>
          </w:tcPr>
          <w:p>
            <w:pPr>
              <w:jc w:val="center"/>
              <w:ind w:right="120"/>
              <w:spacing w:after="0"/>
              <w:rPr>
                <w:sz w:val="20"/>
                <w:szCs w:val="20"/>
                <w:color w:val="auto"/>
              </w:rPr>
            </w:pPr>
            <w:r>
              <w:rPr>
                <w:rFonts w:ascii="Arial" w:cs="Arial" w:eastAsia="Arial" w:hAnsi="Arial"/>
                <w:sz w:val="12"/>
                <w:szCs w:val="12"/>
                <w:color w:val="auto"/>
                <w:w w:val="87"/>
              </w:rPr>
              <w:t>Chemicals, Plastics and Rubber</w:t>
            </w:r>
          </w:p>
        </w:tc>
        <w:tc>
          <w:tcPr>
            <w:tcW w:w="90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9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tcPr>
          <w:p>
            <w:pPr>
              <w:jc w:val="right"/>
              <w:spacing w:after="0"/>
              <w:rPr>
                <w:sz w:val="20"/>
                <w:szCs w:val="20"/>
                <w:color w:val="auto"/>
              </w:rPr>
            </w:pPr>
            <w:r>
              <w:rPr>
                <w:rFonts w:ascii="Arial" w:cs="Arial" w:eastAsia="Arial" w:hAnsi="Arial"/>
                <w:sz w:val="12"/>
                <w:szCs w:val="12"/>
                <w:color w:val="auto"/>
              </w:rPr>
              <w:t>714,286</w:t>
            </w:r>
          </w:p>
        </w:tc>
        <w:tc>
          <w:tcPr>
            <w:tcW w:w="220" w:type="dxa"/>
            <w:vAlign w:val="bottom"/>
          </w:tcPr>
          <w:p>
            <w:pPr>
              <w:spacing w:after="0"/>
              <w:rPr>
                <w:sz w:val="12"/>
                <w:szCs w:val="12"/>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820" w:type="dxa"/>
            <w:vAlign w:val="bottom"/>
            <w:gridSpan w:val="2"/>
          </w:tcPr>
          <w:p>
            <w:pPr>
              <w:jc w:val="right"/>
              <w:ind w:right="60"/>
              <w:spacing w:after="0"/>
              <w:rPr>
                <w:sz w:val="20"/>
                <w:szCs w:val="20"/>
                <w:color w:val="auto"/>
              </w:rPr>
            </w:pPr>
            <w:r>
              <w:rPr>
                <w:rFonts w:ascii="Arial" w:cs="Arial" w:eastAsia="Arial" w:hAnsi="Arial"/>
                <w:sz w:val="12"/>
                <w:szCs w:val="12"/>
                <w:color w:val="auto"/>
              </w:rPr>
              <w:t>(11,928)</w:t>
            </w:r>
          </w:p>
        </w:tc>
        <w:tc>
          <w:tcPr>
            <w:tcW w:w="0" w:type="dxa"/>
            <w:vAlign w:val="bottom"/>
          </w:tcPr>
          <w:p>
            <w:pPr>
              <w:spacing w:after="0"/>
              <w:rPr>
                <w:sz w:val="1"/>
                <w:szCs w:val="1"/>
                <w:color w:val="auto"/>
              </w:rPr>
            </w:pPr>
          </w:p>
        </w:tc>
      </w:tr>
      <w:tr>
        <w:trPr>
          <w:trHeight w:val="149"/>
        </w:trPr>
        <w:tc>
          <w:tcPr>
            <w:tcW w:w="3400" w:type="dxa"/>
            <w:vAlign w:val="bottom"/>
            <w:shd w:val="clear" w:color="auto" w:fill="CCECFF"/>
          </w:tcPr>
          <w:p>
            <w:pPr>
              <w:spacing w:after="0"/>
              <w:rPr>
                <w:sz w:val="20"/>
                <w:szCs w:val="20"/>
                <w:color w:val="auto"/>
              </w:rPr>
            </w:pPr>
            <w:r>
              <w:rPr>
                <w:rFonts w:ascii="Arial" w:cs="Arial" w:eastAsia="Arial" w:hAnsi="Arial"/>
                <w:sz w:val="12"/>
                <w:szCs w:val="12"/>
                <w:color w:val="auto"/>
              </w:rPr>
              <w:t>Kentucky Downs, LLC</w:t>
            </w:r>
          </w:p>
        </w:tc>
        <w:tc>
          <w:tcPr>
            <w:tcW w:w="960" w:type="dxa"/>
            <w:vAlign w:val="bottom"/>
            <w:shd w:val="clear" w:color="auto" w:fill="CCECFF"/>
          </w:tcPr>
          <w:p>
            <w:pPr>
              <w:jc w:val="center"/>
              <w:ind w:left="102"/>
              <w:spacing w:after="0"/>
              <w:rPr>
                <w:sz w:val="20"/>
                <w:szCs w:val="20"/>
                <w:color w:val="auto"/>
              </w:rPr>
            </w:pPr>
            <w:r>
              <w:rPr>
                <w:rFonts w:ascii="Arial" w:cs="Arial" w:eastAsia="Arial" w:hAnsi="Arial"/>
                <w:sz w:val="12"/>
                <w:szCs w:val="12"/>
                <w:color w:val="auto"/>
                <w:w w:val="86"/>
              </w:rPr>
              <w:t>03/07/2025</w:t>
            </w:r>
          </w:p>
        </w:tc>
        <w:tc>
          <w:tcPr>
            <w:tcW w:w="2480" w:type="dxa"/>
            <w:vAlign w:val="bottom"/>
            <w:gridSpan w:val="2"/>
            <w:shd w:val="clear" w:color="auto" w:fill="CCECFF"/>
          </w:tcPr>
          <w:p>
            <w:pPr>
              <w:jc w:val="center"/>
              <w:ind w:right="100"/>
              <w:spacing w:after="0"/>
              <w:rPr>
                <w:sz w:val="20"/>
                <w:szCs w:val="20"/>
                <w:color w:val="auto"/>
              </w:rPr>
            </w:pPr>
            <w:r>
              <w:rPr>
                <w:rFonts w:ascii="Arial" w:cs="Arial" w:eastAsia="Arial" w:hAnsi="Arial"/>
                <w:sz w:val="12"/>
                <w:szCs w:val="12"/>
                <w:color w:val="auto"/>
                <w:w w:val="87"/>
              </w:rPr>
              <w:t>Hotels, Restaurants and Leisure</w:t>
            </w:r>
          </w:p>
        </w:tc>
        <w:tc>
          <w:tcPr>
            <w:tcW w:w="90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9.94%</w:t>
            </w: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1M L+800</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5,429,692</w:t>
            </w:r>
          </w:p>
        </w:tc>
        <w:tc>
          <w:tcPr>
            <w:tcW w:w="90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5,329,756</w:t>
            </w:r>
          </w:p>
        </w:tc>
        <w:tc>
          <w:tcPr>
            <w:tcW w:w="220" w:type="dxa"/>
            <w:vAlign w:val="bottom"/>
            <w:shd w:val="clear" w:color="auto" w:fill="CCECFF"/>
          </w:tcPr>
          <w:p>
            <w:pPr>
              <w:spacing w:after="0"/>
              <w:rPr>
                <w:sz w:val="12"/>
                <w:szCs w:val="12"/>
                <w:color w:val="auto"/>
              </w:rPr>
            </w:pPr>
          </w:p>
        </w:tc>
        <w:tc>
          <w:tcPr>
            <w:tcW w:w="7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5,429,692</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400" w:type="dxa"/>
            <w:vAlign w:val="bottom"/>
          </w:tcPr>
          <w:p>
            <w:pPr>
              <w:spacing w:after="0" w:line="149" w:lineRule="exact"/>
              <w:rPr>
                <w:sz w:val="20"/>
                <w:szCs w:val="20"/>
                <w:color w:val="auto"/>
              </w:rPr>
            </w:pPr>
            <w:r>
              <w:rPr>
                <w:rFonts w:ascii="Arial" w:cs="Arial" w:eastAsia="Arial" w:hAnsi="Arial"/>
                <w:sz w:val="11"/>
                <w:szCs w:val="11"/>
                <w:color w:val="auto"/>
              </w:rPr>
              <w:t xml:space="preserve">Kentucky Downs, LLC </w:t>
            </w:r>
            <w:r>
              <w:rPr>
                <w:rFonts w:ascii="Arial" w:cs="Arial" w:eastAsia="Arial" w:hAnsi="Arial"/>
                <w:sz w:val="17"/>
                <w:szCs w:val="17"/>
                <w:color w:val="auto"/>
                <w:vertAlign w:val="superscript"/>
              </w:rPr>
              <w:t>(7), (9)</w:t>
            </w:r>
          </w:p>
        </w:tc>
        <w:tc>
          <w:tcPr>
            <w:tcW w:w="960" w:type="dxa"/>
            <w:vAlign w:val="bottom"/>
          </w:tcPr>
          <w:p>
            <w:pPr>
              <w:jc w:val="center"/>
              <w:ind w:left="102"/>
              <w:spacing w:after="0"/>
              <w:rPr>
                <w:sz w:val="20"/>
                <w:szCs w:val="20"/>
                <w:color w:val="auto"/>
              </w:rPr>
            </w:pPr>
            <w:r>
              <w:rPr>
                <w:rFonts w:ascii="Arial" w:cs="Arial" w:eastAsia="Arial" w:hAnsi="Arial"/>
                <w:sz w:val="12"/>
                <w:szCs w:val="12"/>
                <w:color w:val="auto"/>
                <w:w w:val="86"/>
              </w:rPr>
              <w:t>03/07/2025</w:t>
            </w:r>
          </w:p>
        </w:tc>
        <w:tc>
          <w:tcPr>
            <w:tcW w:w="2480" w:type="dxa"/>
            <w:vAlign w:val="bottom"/>
            <w:gridSpan w:val="2"/>
          </w:tcPr>
          <w:p>
            <w:pPr>
              <w:jc w:val="center"/>
              <w:ind w:right="100"/>
              <w:spacing w:after="0"/>
              <w:rPr>
                <w:sz w:val="20"/>
                <w:szCs w:val="20"/>
                <w:color w:val="auto"/>
              </w:rPr>
            </w:pPr>
            <w:r>
              <w:rPr>
                <w:rFonts w:ascii="Arial" w:cs="Arial" w:eastAsia="Arial" w:hAnsi="Arial"/>
                <w:sz w:val="12"/>
                <w:szCs w:val="12"/>
                <w:color w:val="auto"/>
                <w:w w:val="87"/>
              </w:rPr>
              <w:t>Hotels, Restaurants and Leisure</w:t>
            </w:r>
          </w:p>
        </w:tc>
        <w:tc>
          <w:tcPr>
            <w:tcW w:w="90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9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tcPr>
          <w:p>
            <w:pPr>
              <w:jc w:val="right"/>
              <w:spacing w:after="0"/>
              <w:rPr>
                <w:sz w:val="20"/>
                <w:szCs w:val="20"/>
                <w:color w:val="auto"/>
              </w:rPr>
            </w:pPr>
            <w:r>
              <w:rPr>
                <w:rFonts w:ascii="Arial" w:cs="Arial" w:eastAsia="Arial" w:hAnsi="Arial"/>
                <w:sz w:val="12"/>
                <w:szCs w:val="12"/>
                <w:color w:val="auto"/>
              </w:rPr>
              <w:t>1,344,828</w:t>
            </w:r>
          </w:p>
        </w:tc>
        <w:tc>
          <w:tcPr>
            <w:tcW w:w="220" w:type="dxa"/>
            <w:vAlign w:val="bottom"/>
          </w:tcPr>
          <w:p>
            <w:pPr>
              <w:spacing w:after="0"/>
              <w:rPr>
                <w:sz w:val="12"/>
                <w:szCs w:val="12"/>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82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9"/>
        </w:trPr>
        <w:tc>
          <w:tcPr>
            <w:tcW w:w="3400" w:type="dxa"/>
            <w:vAlign w:val="bottom"/>
            <w:shd w:val="clear" w:color="auto" w:fill="CCECFF"/>
          </w:tcPr>
          <w:p>
            <w:pPr>
              <w:spacing w:after="0"/>
              <w:rPr>
                <w:sz w:val="20"/>
                <w:szCs w:val="20"/>
                <w:color w:val="auto"/>
              </w:rPr>
            </w:pPr>
            <w:r>
              <w:rPr>
                <w:rFonts w:ascii="Arial" w:cs="Arial" w:eastAsia="Arial" w:hAnsi="Arial"/>
                <w:sz w:val="12"/>
                <w:szCs w:val="12"/>
                <w:color w:val="auto"/>
              </w:rPr>
              <w:t>KHC Holdings, Inc.</w:t>
            </w:r>
          </w:p>
        </w:tc>
        <w:tc>
          <w:tcPr>
            <w:tcW w:w="960" w:type="dxa"/>
            <w:vAlign w:val="bottom"/>
            <w:shd w:val="clear" w:color="auto" w:fill="CCECFF"/>
          </w:tcPr>
          <w:p>
            <w:pPr>
              <w:jc w:val="center"/>
              <w:ind w:left="102"/>
              <w:spacing w:after="0"/>
              <w:rPr>
                <w:sz w:val="20"/>
                <w:szCs w:val="20"/>
                <w:color w:val="auto"/>
              </w:rPr>
            </w:pPr>
            <w:r>
              <w:rPr>
                <w:rFonts w:ascii="Arial" w:cs="Arial" w:eastAsia="Arial" w:hAnsi="Arial"/>
                <w:sz w:val="12"/>
                <w:szCs w:val="12"/>
                <w:color w:val="auto"/>
                <w:w w:val="86"/>
              </w:rPr>
              <w:t>10/31/2022</w:t>
            </w:r>
          </w:p>
        </w:tc>
        <w:tc>
          <w:tcPr>
            <w:tcW w:w="2480" w:type="dxa"/>
            <w:vAlign w:val="bottom"/>
            <w:gridSpan w:val="2"/>
            <w:shd w:val="clear" w:color="auto" w:fill="CCECFF"/>
          </w:tcPr>
          <w:p>
            <w:pPr>
              <w:jc w:val="center"/>
              <w:ind w:right="100"/>
              <w:spacing w:after="0"/>
              <w:rPr>
                <w:sz w:val="20"/>
                <w:szCs w:val="20"/>
                <w:color w:val="auto"/>
              </w:rPr>
            </w:pPr>
            <w:r>
              <w:rPr>
                <w:rFonts w:ascii="Arial" w:cs="Arial" w:eastAsia="Arial" w:hAnsi="Arial"/>
                <w:sz w:val="12"/>
                <w:szCs w:val="12"/>
                <w:color w:val="auto"/>
                <w:w w:val="89"/>
              </w:rPr>
              <w:t>Wholesale</w:t>
            </w:r>
          </w:p>
        </w:tc>
        <w:tc>
          <w:tcPr>
            <w:tcW w:w="90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7.94%</w:t>
            </w: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3M L+600</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6,662,994</w:t>
            </w:r>
          </w:p>
        </w:tc>
        <w:tc>
          <w:tcPr>
            <w:tcW w:w="90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6,607,314</w:t>
            </w:r>
          </w:p>
        </w:tc>
        <w:tc>
          <w:tcPr>
            <w:tcW w:w="220" w:type="dxa"/>
            <w:vAlign w:val="bottom"/>
            <w:shd w:val="clear" w:color="auto" w:fill="CCECFF"/>
          </w:tcPr>
          <w:p>
            <w:pPr>
              <w:spacing w:after="0"/>
              <w:rPr>
                <w:sz w:val="12"/>
                <w:szCs w:val="12"/>
                <w:color w:val="auto"/>
              </w:rPr>
            </w:pPr>
          </w:p>
        </w:tc>
        <w:tc>
          <w:tcPr>
            <w:tcW w:w="7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6,662,994</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400" w:type="dxa"/>
            <w:vAlign w:val="bottom"/>
          </w:tcPr>
          <w:p>
            <w:pPr>
              <w:spacing w:after="0" w:line="149" w:lineRule="exact"/>
              <w:rPr>
                <w:sz w:val="20"/>
                <w:szCs w:val="20"/>
                <w:color w:val="auto"/>
              </w:rPr>
            </w:pPr>
            <w:r>
              <w:rPr>
                <w:rFonts w:ascii="Arial" w:cs="Arial" w:eastAsia="Arial" w:hAnsi="Arial"/>
                <w:sz w:val="11"/>
                <w:szCs w:val="11"/>
                <w:color w:val="auto"/>
              </w:rPr>
              <w:t xml:space="preserve">KHC Holdings, Inc. (Revolver) </w:t>
            </w:r>
            <w:r>
              <w:rPr>
                <w:rFonts w:ascii="Arial" w:cs="Arial" w:eastAsia="Arial" w:hAnsi="Arial"/>
                <w:sz w:val="17"/>
                <w:szCs w:val="17"/>
                <w:color w:val="auto"/>
                <w:vertAlign w:val="superscript"/>
              </w:rPr>
              <w:t>(7)</w:t>
            </w:r>
          </w:p>
        </w:tc>
        <w:tc>
          <w:tcPr>
            <w:tcW w:w="960" w:type="dxa"/>
            <w:vAlign w:val="bottom"/>
          </w:tcPr>
          <w:p>
            <w:pPr>
              <w:jc w:val="center"/>
              <w:ind w:left="102"/>
              <w:spacing w:after="0"/>
              <w:rPr>
                <w:sz w:val="20"/>
                <w:szCs w:val="20"/>
                <w:color w:val="auto"/>
              </w:rPr>
            </w:pPr>
            <w:r>
              <w:rPr>
                <w:rFonts w:ascii="Arial" w:cs="Arial" w:eastAsia="Arial" w:hAnsi="Arial"/>
                <w:sz w:val="12"/>
                <w:szCs w:val="12"/>
                <w:color w:val="auto"/>
                <w:w w:val="86"/>
              </w:rPr>
              <w:t>10/30/2020</w:t>
            </w:r>
          </w:p>
        </w:tc>
        <w:tc>
          <w:tcPr>
            <w:tcW w:w="2480" w:type="dxa"/>
            <w:vAlign w:val="bottom"/>
            <w:gridSpan w:val="2"/>
          </w:tcPr>
          <w:p>
            <w:pPr>
              <w:jc w:val="center"/>
              <w:ind w:right="100"/>
              <w:spacing w:after="0"/>
              <w:rPr>
                <w:sz w:val="20"/>
                <w:szCs w:val="20"/>
                <w:color w:val="auto"/>
              </w:rPr>
            </w:pPr>
            <w:r>
              <w:rPr>
                <w:rFonts w:ascii="Arial" w:cs="Arial" w:eastAsia="Arial" w:hAnsi="Arial"/>
                <w:sz w:val="12"/>
                <w:szCs w:val="12"/>
                <w:color w:val="auto"/>
                <w:w w:val="89"/>
              </w:rPr>
              <w:t>Wholesale</w:t>
            </w:r>
          </w:p>
        </w:tc>
        <w:tc>
          <w:tcPr>
            <w:tcW w:w="900" w:type="dxa"/>
            <w:vAlign w:val="bottom"/>
            <w:gridSpan w:val="2"/>
          </w:tcPr>
          <w:p>
            <w:pPr>
              <w:jc w:val="right"/>
              <w:ind w:right="140"/>
              <w:spacing w:after="0"/>
              <w:rPr>
                <w:sz w:val="20"/>
                <w:szCs w:val="20"/>
                <w:color w:val="auto"/>
              </w:rPr>
            </w:pPr>
            <w:r>
              <w:rPr>
                <w:rFonts w:ascii="Arial" w:cs="Arial" w:eastAsia="Arial" w:hAnsi="Arial"/>
                <w:sz w:val="12"/>
                <w:szCs w:val="12"/>
                <w:color w:val="auto"/>
              </w:rPr>
              <w:t>5.97%</w:t>
            </w:r>
          </w:p>
        </w:tc>
        <w:tc>
          <w:tcPr>
            <w:tcW w:w="900" w:type="dxa"/>
            <w:vAlign w:val="bottom"/>
            <w:gridSpan w:val="2"/>
          </w:tcPr>
          <w:p>
            <w:pPr>
              <w:jc w:val="right"/>
              <w:ind w:right="240"/>
              <w:spacing w:after="0"/>
              <w:rPr>
                <w:sz w:val="20"/>
                <w:szCs w:val="20"/>
                <w:color w:val="auto"/>
              </w:rPr>
            </w:pPr>
            <w:r>
              <w:rPr>
                <w:rFonts w:ascii="Arial" w:cs="Arial" w:eastAsia="Arial" w:hAnsi="Arial"/>
                <w:sz w:val="12"/>
                <w:szCs w:val="12"/>
                <w:color w:val="auto"/>
              </w:rPr>
              <w:t>1M L+425</w:t>
            </w:r>
          </w:p>
        </w:tc>
        <w:tc>
          <w:tcPr>
            <w:tcW w:w="660" w:type="dxa"/>
            <w:vAlign w:val="bottom"/>
          </w:tcPr>
          <w:p>
            <w:pPr>
              <w:jc w:val="right"/>
              <w:spacing w:after="0"/>
              <w:rPr>
                <w:sz w:val="20"/>
                <w:szCs w:val="20"/>
                <w:color w:val="auto"/>
              </w:rPr>
            </w:pPr>
            <w:r>
              <w:rPr>
                <w:rFonts w:ascii="Arial" w:cs="Arial" w:eastAsia="Arial" w:hAnsi="Arial"/>
                <w:sz w:val="12"/>
                <w:szCs w:val="12"/>
                <w:color w:val="auto"/>
              </w:rPr>
              <w:t>572,581</w:t>
            </w:r>
          </w:p>
        </w:tc>
        <w:tc>
          <w:tcPr>
            <w:tcW w:w="900" w:type="dxa"/>
            <w:vAlign w:val="bottom"/>
            <w:gridSpan w:val="2"/>
          </w:tcPr>
          <w:p>
            <w:pPr>
              <w:jc w:val="right"/>
              <w:spacing w:after="0"/>
              <w:rPr>
                <w:sz w:val="20"/>
                <w:szCs w:val="20"/>
                <w:color w:val="auto"/>
              </w:rPr>
            </w:pPr>
            <w:r>
              <w:rPr>
                <w:rFonts w:ascii="Arial" w:cs="Arial" w:eastAsia="Arial" w:hAnsi="Arial"/>
                <w:sz w:val="12"/>
                <w:szCs w:val="12"/>
                <w:color w:val="auto"/>
              </w:rPr>
              <w:t>572,581</w:t>
            </w:r>
          </w:p>
        </w:tc>
        <w:tc>
          <w:tcPr>
            <w:tcW w:w="22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572,581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400" w:type="dxa"/>
            <w:vAlign w:val="bottom"/>
            <w:shd w:val="clear" w:color="auto" w:fill="CCECFF"/>
          </w:tcPr>
          <w:p>
            <w:pPr>
              <w:spacing w:after="0" w:line="149" w:lineRule="exact"/>
              <w:rPr>
                <w:sz w:val="20"/>
                <w:szCs w:val="20"/>
                <w:color w:val="auto"/>
              </w:rPr>
            </w:pPr>
            <w:r>
              <w:rPr>
                <w:rFonts w:ascii="Arial" w:cs="Arial" w:eastAsia="Arial" w:hAnsi="Arial"/>
                <w:sz w:val="11"/>
                <w:szCs w:val="11"/>
                <w:color w:val="auto"/>
              </w:rPr>
              <w:t xml:space="preserve">KHC Holdings, Inc. (Revolver) </w:t>
            </w:r>
            <w:r>
              <w:rPr>
                <w:rFonts w:ascii="Arial" w:cs="Arial" w:eastAsia="Arial" w:hAnsi="Arial"/>
                <w:sz w:val="17"/>
                <w:szCs w:val="17"/>
                <w:color w:val="auto"/>
                <w:vertAlign w:val="superscript"/>
              </w:rPr>
              <w:t>(7), (9)</w:t>
            </w:r>
          </w:p>
        </w:tc>
        <w:tc>
          <w:tcPr>
            <w:tcW w:w="960" w:type="dxa"/>
            <w:vAlign w:val="bottom"/>
            <w:shd w:val="clear" w:color="auto" w:fill="CCECFF"/>
          </w:tcPr>
          <w:p>
            <w:pPr>
              <w:jc w:val="center"/>
              <w:ind w:left="102"/>
              <w:spacing w:after="0"/>
              <w:rPr>
                <w:sz w:val="20"/>
                <w:szCs w:val="20"/>
                <w:color w:val="auto"/>
              </w:rPr>
            </w:pPr>
            <w:r>
              <w:rPr>
                <w:rFonts w:ascii="Arial" w:cs="Arial" w:eastAsia="Arial" w:hAnsi="Arial"/>
                <w:sz w:val="12"/>
                <w:szCs w:val="12"/>
                <w:color w:val="auto"/>
                <w:w w:val="86"/>
              </w:rPr>
              <w:t>10/30/2020</w:t>
            </w:r>
          </w:p>
        </w:tc>
        <w:tc>
          <w:tcPr>
            <w:tcW w:w="2480" w:type="dxa"/>
            <w:vAlign w:val="bottom"/>
            <w:gridSpan w:val="2"/>
            <w:shd w:val="clear" w:color="auto" w:fill="CCECFF"/>
          </w:tcPr>
          <w:p>
            <w:pPr>
              <w:jc w:val="center"/>
              <w:ind w:right="100"/>
              <w:spacing w:after="0"/>
              <w:rPr>
                <w:sz w:val="20"/>
                <w:szCs w:val="20"/>
                <w:color w:val="auto"/>
              </w:rPr>
            </w:pPr>
            <w:r>
              <w:rPr>
                <w:rFonts w:ascii="Arial" w:cs="Arial" w:eastAsia="Arial" w:hAnsi="Arial"/>
                <w:sz w:val="12"/>
                <w:szCs w:val="12"/>
                <w:color w:val="auto"/>
                <w:w w:val="89"/>
              </w:rPr>
              <w:t>Wholesale</w:t>
            </w:r>
          </w:p>
        </w:tc>
        <w:tc>
          <w:tcPr>
            <w:tcW w:w="900" w:type="dxa"/>
            <w:vAlign w:val="bottom"/>
            <w:gridSpan w:val="2"/>
            <w:shd w:val="clear" w:color="auto" w:fill="CCECFF"/>
          </w:tcPr>
          <w:p>
            <w:pPr>
              <w:jc w:val="right"/>
              <w:ind w:right="260"/>
              <w:spacing w:after="0"/>
              <w:rPr>
                <w:sz w:val="20"/>
                <w:szCs w:val="20"/>
                <w:color w:val="auto"/>
              </w:rPr>
            </w:pPr>
            <w:r>
              <w:rPr>
                <w:rFonts w:ascii="Arial" w:cs="Arial" w:eastAsia="Arial" w:hAnsi="Arial"/>
                <w:sz w:val="12"/>
                <w:szCs w:val="12"/>
                <w:color w:val="auto"/>
              </w:rPr>
              <w:t>—</w:t>
            </w: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637,097</w:t>
            </w:r>
          </w:p>
        </w:tc>
        <w:tc>
          <w:tcPr>
            <w:tcW w:w="220" w:type="dxa"/>
            <w:vAlign w:val="bottom"/>
            <w:shd w:val="clear" w:color="auto" w:fill="CCECFF"/>
          </w:tcPr>
          <w:p>
            <w:pPr>
              <w:spacing w:after="0"/>
              <w:rPr>
                <w:sz w:val="12"/>
                <w:szCs w:val="12"/>
                <w:color w:val="auto"/>
              </w:rPr>
            </w:pP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820" w:type="dxa"/>
            <w:vAlign w:val="bottom"/>
            <w:gridSpan w:val="2"/>
            <w:shd w:val="clear" w:color="auto" w:fill="CCECFF"/>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9"/>
        </w:trPr>
        <w:tc>
          <w:tcPr>
            <w:tcW w:w="3400" w:type="dxa"/>
            <w:vAlign w:val="bottom"/>
          </w:tcPr>
          <w:p>
            <w:pPr>
              <w:spacing w:after="0"/>
              <w:rPr>
                <w:sz w:val="20"/>
                <w:szCs w:val="20"/>
                <w:color w:val="auto"/>
              </w:rPr>
            </w:pPr>
            <w:r>
              <w:rPr>
                <w:rFonts w:ascii="Arial" w:cs="Arial" w:eastAsia="Arial" w:hAnsi="Arial"/>
                <w:sz w:val="12"/>
                <w:szCs w:val="12"/>
                <w:color w:val="auto"/>
              </w:rPr>
              <w:t>Lago Resort &amp; Casino, LLC</w:t>
            </w:r>
          </w:p>
        </w:tc>
        <w:tc>
          <w:tcPr>
            <w:tcW w:w="960" w:type="dxa"/>
            <w:vAlign w:val="bottom"/>
          </w:tcPr>
          <w:p>
            <w:pPr>
              <w:jc w:val="center"/>
              <w:ind w:left="102"/>
              <w:spacing w:after="0"/>
              <w:rPr>
                <w:sz w:val="20"/>
                <w:szCs w:val="20"/>
                <w:color w:val="auto"/>
              </w:rPr>
            </w:pPr>
            <w:r>
              <w:rPr>
                <w:rFonts w:ascii="Arial" w:cs="Arial" w:eastAsia="Arial" w:hAnsi="Arial"/>
                <w:sz w:val="12"/>
                <w:szCs w:val="12"/>
                <w:color w:val="auto"/>
                <w:w w:val="86"/>
              </w:rPr>
              <w:t>03/07/2022</w:t>
            </w:r>
          </w:p>
        </w:tc>
        <w:tc>
          <w:tcPr>
            <w:tcW w:w="2480" w:type="dxa"/>
            <w:vAlign w:val="bottom"/>
            <w:gridSpan w:val="2"/>
          </w:tcPr>
          <w:p>
            <w:pPr>
              <w:jc w:val="center"/>
              <w:ind w:right="100"/>
              <w:spacing w:after="0"/>
              <w:rPr>
                <w:sz w:val="20"/>
                <w:szCs w:val="20"/>
                <w:color w:val="auto"/>
              </w:rPr>
            </w:pPr>
            <w:r>
              <w:rPr>
                <w:rFonts w:ascii="Arial" w:cs="Arial" w:eastAsia="Arial" w:hAnsi="Arial"/>
                <w:sz w:val="12"/>
                <w:szCs w:val="12"/>
                <w:color w:val="auto"/>
                <w:w w:val="88"/>
              </w:rPr>
              <w:t>Hotel, Gaming and Leisure</w:t>
            </w:r>
          </w:p>
        </w:tc>
        <w:tc>
          <w:tcPr>
            <w:tcW w:w="900" w:type="dxa"/>
            <w:vAlign w:val="bottom"/>
            <w:gridSpan w:val="2"/>
          </w:tcPr>
          <w:p>
            <w:pPr>
              <w:jc w:val="right"/>
              <w:ind w:right="140"/>
              <w:spacing w:after="0"/>
              <w:rPr>
                <w:sz w:val="20"/>
                <w:szCs w:val="20"/>
                <w:color w:val="auto"/>
              </w:rPr>
            </w:pPr>
            <w:r>
              <w:rPr>
                <w:rFonts w:ascii="Arial" w:cs="Arial" w:eastAsia="Arial" w:hAnsi="Arial"/>
                <w:sz w:val="12"/>
                <w:szCs w:val="12"/>
                <w:color w:val="auto"/>
              </w:rPr>
              <w:t>11.44%</w:t>
            </w:r>
          </w:p>
        </w:tc>
        <w:tc>
          <w:tcPr>
            <w:tcW w:w="900" w:type="dxa"/>
            <w:vAlign w:val="bottom"/>
            <w:gridSpan w:val="2"/>
          </w:tcPr>
          <w:p>
            <w:pPr>
              <w:jc w:val="right"/>
              <w:ind w:right="240"/>
              <w:spacing w:after="0"/>
              <w:rPr>
                <w:sz w:val="20"/>
                <w:szCs w:val="20"/>
                <w:color w:val="auto"/>
              </w:rPr>
            </w:pPr>
            <w:r>
              <w:rPr>
                <w:rFonts w:ascii="Arial" w:cs="Arial" w:eastAsia="Arial" w:hAnsi="Arial"/>
                <w:sz w:val="12"/>
                <w:szCs w:val="12"/>
                <w:color w:val="auto"/>
              </w:rPr>
              <w:t>3M L+950</w:t>
            </w:r>
          </w:p>
        </w:tc>
        <w:tc>
          <w:tcPr>
            <w:tcW w:w="660" w:type="dxa"/>
            <w:vAlign w:val="bottom"/>
          </w:tcPr>
          <w:p>
            <w:pPr>
              <w:jc w:val="right"/>
              <w:spacing w:after="0"/>
              <w:rPr>
                <w:sz w:val="20"/>
                <w:szCs w:val="20"/>
                <w:color w:val="auto"/>
              </w:rPr>
            </w:pPr>
            <w:r>
              <w:rPr>
                <w:rFonts w:ascii="Arial" w:cs="Arial" w:eastAsia="Arial" w:hAnsi="Arial"/>
                <w:sz w:val="12"/>
                <w:szCs w:val="12"/>
                <w:color w:val="auto"/>
              </w:rPr>
              <w:t>9,290,500</w:t>
            </w:r>
          </w:p>
        </w:tc>
        <w:tc>
          <w:tcPr>
            <w:tcW w:w="900" w:type="dxa"/>
            <w:vAlign w:val="bottom"/>
            <w:gridSpan w:val="2"/>
          </w:tcPr>
          <w:p>
            <w:pPr>
              <w:jc w:val="right"/>
              <w:spacing w:after="0"/>
              <w:rPr>
                <w:sz w:val="20"/>
                <w:szCs w:val="20"/>
                <w:color w:val="auto"/>
              </w:rPr>
            </w:pPr>
            <w:r>
              <w:rPr>
                <w:rFonts w:ascii="Arial" w:cs="Arial" w:eastAsia="Arial" w:hAnsi="Arial"/>
                <w:sz w:val="12"/>
                <w:szCs w:val="12"/>
                <w:color w:val="auto"/>
              </w:rPr>
              <w:t>9,207,521</w:t>
            </w:r>
          </w:p>
        </w:tc>
        <w:tc>
          <w:tcPr>
            <w:tcW w:w="22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9,151,143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400" w:type="dxa"/>
            <w:vAlign w:val="bottom"/>
            <w:shd w:val="clear" w:color="auto" w:fill="CCECFF"/>
          </w:tcPr>
          <w:p>
            <w:pPr>
              <w:spacing w:after="0"/>
              <w:rPr>
                <w:sz w:val="20"/>
                <w:szCs w:val="20"/>
                <w:color w:val="auto"/>
              </w:rPr>
            </w:pPr>
            <w:r>
              <w:rPr>
                <w:rFonts w:ascii="Arial" w:cs="Arial" w:eastAsia="Arial" w:hAnsi="Arial"/>
                <w:sz w:val="12"/>
                <w:szCs w:val="12"/>
                <w:color w:val="auto"/>
              </w:rPr>
              <w:t>LAV Gear Holdings, Inc.</w:t>
            </w:r>
          </w:p>
        </w:tc>
        <w:tc>
          <w:tcPr>
            <w:tcW w:w="960" w:type="dxa"/>
            <w:vAlign w:val="bottom"/>
            <w:shd w:val="clear" w:color="auto" w:fill="CCECFF"/>
          </w:tcPr>
          <w:p>
            <w:pPr>
              <w:jc w:val="center"/>
              <w:ind w:left="102"/>
              <w:spacing w:after="0"/>
              <w:rPr>
                <w:sz w:val="20"/>
                <w:szCs w:val="20"/>
                <w:color w:val="auto"/>
              </w:rPr>
            </w:pPr>
            <w:r>
              <w:rPr>
                <w:rFonts w:ascii="Arial" w:cs="Arial" w:eastAsia="Arial" w:hAnsi="Arial"/>
                <w:sz w:val="12"/>
                <w:szCs w:val="12"/>
                <w:color w:val="auto"/>
                <w:w w:val="86"/>
              </w:rPr>
              <w:t>10/31/2024</w:t>
            </w:r>
          </w:p>
        </w:tc>
        <w:tc>
          <w:tcPr>
            <w:tcW w:w="2480" w:type="dxa"/>
            <w:vAlign w:val="bottom"/>
            <w:gridSpan w:val="2"/>
            <w:shd w:val="clear" w:color="auto" w:fill="CCECFF"/>
          </w:tcPr>
          <w:p>
            <w:pPr>
              <w:jc w:val="center"/>
              <w:ind w:right="100"/>
              <w:spacing w:after="0"/>
              <w:rPr>
                <w:sz w:val="20"/>
                <w:szCs w:val="20"/>
                <w:color w:val="auto"/>
              </w:rPr>
            </w:pPr>
            <w:r>
              <w:rPr>
                <w:rFonts w:ascii="Arial" w:cs="Arial" w:eastAsia="Arial" w:hAnsi="Arial"/>
                <w:sz w:val="12"/>
                <w:szCs w:val="12"/>
                <w:color w:val="auto"/>
                <w:w w:val="87"/>
              </w:rPr>
              <w:t>Capital Equipment</w:t>
            </w:r>
          </w:p>
        </w:tc>
        <w:tc>
          <w:tcPr>
            <w:tcW w:w="90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7.44%</w:t>
            </w: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1M L+550</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8,336,111</w:t>
            </w:r>
          </w:p>
        </w:tc>
        <w:tc>
          <w:tcPr>
            <w:tcW w:w="90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8,291,649</w:t>
            </w:r>
          </w:p>
        </w:tc>
        <w:tc>
          <w:tcPr>
            <w:tcW w:w="220" w:type="dxa"/>
            <w:vAlign w:val="bottom"/>
            <w:shd w:val="clear" w:color="auto" w:fill="CCECFF"/>
          </w:tcPr>
          <w:p>
            <w:pPr>
              <w:spacing w:after="0"/>
              <w:rPr>
                <w:sz w:val="12"/>
                <w:szCs w:val="12"/>
                <w:color w:val="auto"/>
              </w:rPr>
            </w:pPr>
          </w:p>
        </w:tc>
        <w:tc>
          <w:tcPr>
            <w:tcW w:w="7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8,372,790</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400" w:type="dxa"/>
            <w:vAlign w:val="bottom"/>
          </w:tcPr>
          <w:p>
            <w:pPr>
              <w:spacing w:after="0" w:line="149" w:lineRule="exact"/>
              <w:rPr>
                <w:sz w:val="20"/>
                <w:szCs w:val="20"/>
                <w:color w:val="auto"/>
              </w:rPr>
            </w:pPr>
            <w:r>
              <w:rPr>
                <w:rFonts w:ascii="Arial" w:cs="Arial" w:eastAsia="Arial" w:hAnsi="Arial"/>
                <w:sz w:val="11"/>
                <w:szCs w:val="11"/>
                <w:color w:val="auto"/>
              </w:rPr>
              <w:t xml:space="preserve">LAV Gear Holdings, Inc. (Revolver) </w:t>
            </w:r>
            <w:r>
              <w:rPr>
                <w:rFonts w:ascii="Arial" w:cs="Arial" w:eastAsia="Arial" w:hAnsi="Arial"/>
                <w:sz w:val="17"/>
                <w:szCs w:val="17"/>
                <w:color w:val="auto"/>
                <w:vertAlign w:val="superscript"/>
              </w:rPr>
              <w:t>(7)</w:t>
            </w:r>
          </w:p>
        </w:tc>
        <w:tc>
          <w:tcPr>
            <w:tcW w:w="960" w:type="dxa"/>
            <w:vAlign w:val="bottom"/>
          </w:tcPr>
          <w:p>
            <w:pPr>
              <w:jc w:val="center"/>
              <w:ind w:left="102"/>
              <w:spacing w:after="0"/>
              <w:rPr>
                <w:sz w:val="20"/>
                <w:szCs w:val="20"/>
                <w:color w:val="auto"/>
              </w:rPr>
            </w:pPr>
            <w:r>
              <w:rPr>
                <w:rFonts w:ascii="Arial" w:cs="Arial" w:eastAsia="Arial" w:hAnsi="Arial"/>
                <w:sz w:val="12"/>
                <w:szCs w:val="12"/>
                <w:color w:val="auto"/>
                <w:w w:val="86"/>
              </w:rPr>
              <w:t>10/31/2024</w:t>
            </w:r>
          </w:p>
        </w:tc>
        <w:tc>
          <w:tcPr>
            <w:tcW w:w="2480" w:type="dxa"/>
            <w:vAlign w:val="bottom"/>
            <w:gridSpan w:val="2"/>
          </w:tcPr>
          <w:p>
            <w:pPr>
              <w:jc w:val="center"/>
              <w:ind w:right="100"/>
              <w:spacing w:after="0"/>
              <w:rPr>
                <w:sz w:val="20"/>
                <w:szCs w:val="20"/>
                <w:color w:val="auto"/>
              </w:rPr>
            </w:pPr>
            <w:r>
              <w:rPr>
                <w:rFonts w:ascii="Arial" w:cs="Arial" w:eastAsia="Arial" w:hAnsi="Arial"/>
                <w:sz w:val="12"/>
                <w:szCs w:val="12"/>
                <w:color w:val="auto"/>
                <w:w w:val="87"/>
              </w:rPr>
              <w:t>Capital Equipment</w:t>
            </w:r>
          </w:p>
        </w:tc>
        <w:tc>
          <w:tcPr>
            <w:tcW w:w="900" w:type="dxa"/>
            <w:vAlign w:val="bottom"/>
            <w:gridSpan w:val="2"/>
          </w:tcPr>
          <w:p>
            <w:pPr>
              <w:jc w:val="right"/>
              <w:ind w:right="140"/>
              <w:spacing w:after="0"/>
              <w:rPr>
                <w:sz w:val="20"/>
                <w:szCs w:val="20"/>
                <w:color w:val="auto"/>
              </w:rPr>
            </w:pPr>
            <w:r>
              <w:rPr>
                <w:rFonts w:ascii="Arial" w:cs="Arial" w:eastAsia="Arial" w:hAnsi="Arial"/>
                <w:sz w:val="12"/>
                <w:szCs w:val="12"/>
                <w:color w:val="auto"/>
              </w:rPr>
              <w:t>7.45%</w:t>
            </w:r>
          </w:p>
        </w:tc>
        <w:tc>
          <w:tcPr>
            <w:tcW w:w="900" w:type="dxa"/>
            <w:vAlign w:val="bottom"/>
            <w:gridSpan w:val="2"/>
          </w:tcPr>
          <w:p>
            <w:pPr>
              <w:jc w:val="right"/>
              <w:ind w:right="240"/>
              <w:spacing w:after="0"/>
              <w:rPr>
                <w:sz w:val="20"/>
                <w:szCs w:val="20"/>
                <w:color w:val="auto"/>
              </w:rPr>
            </w:pPr>
            <w:r>
              <w:rPr>
                <w:rFonts w:ascii="Arial" w:cs="Arial" w:eastAsia="Arial" w:hAnsi="Arial"/>
                <w:sz w:val="12"/>
                <w:szCs w:val="12"/>
                <w:color w:val="auto"/>
              </w:rPr>
              <w:t>1M L+550</w:t>
            </w:r>
          </w:p>
        </w:tc>
        <w:tc>
          <w:tcPr>
            <w:tcW w:w="660" w:type="dxa"/>
            <w:vAlign w:val="bottom"/>
          </w:tcPr>
          <w:p>
            <w:pPr>
              <w:jc w:val="right"/>
              <w:spacing w:after="0"/>
              <w:rPr>
                <w:sz w:val="20"/>
                <w:szCs w:val="20"/>
                <w:color w:val="auto"/>
              </w:rPr>
            </w:pPr>
            <w:r>
              <w:rPr>
                <w:rFonts w:ascii="Arial" w:cs="Arial" w:eastAsia="Arial" w:hAnsi="Arial"/>
                <w:sz w:val="12"/>
                <w:szCs w:val="12"/>
                <w:color w:val="auto"/>
              </w:rPr>
              <w:t>507,937</w:t>
            </w:r>
          </w:p>
        </w:tc>
        <w:tc>
          <w:tcPr>
            <w:tcW w:w="900" w:type="dxa"/>
            <w:vAlign w:val="bottom"/>
            <w:gridSpan w:val="2"/>
          </w:tcPr>
          <w:p>
            <w:pPr>
              <w:jc w:val="right"/>
              <w:spacing w:after="0"/>
              <w:rPr>
                <w:sz w:val="20"/>
                <w:szCs w:val="20"/>
                <w:color w:val="auto"/>
              </w:rPr>
            </w:pPr>
            <w:r>
              <w:rPr>
                <w:rFonts w:ascii="Arial" w:cs="Arial" w:eastAsia="Arial" w:hAnsi="Arial"/>
                <w:sz w:val="12"/>
                <w:szCs w:val="12"/>
                <w:color w:val="auto"/>
              </w:rPr>
              <w:t>507,937</w:t>
            </w:r>
          </w:p>
        </w:tc>
        <w:tc>
          <w:tcPr>
            <w:tcW w:w="22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510,171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400" w:type="dxa"/>
            <w:vAlign w:val="bottom"/>
            <w:shd w:val="clear" w:color="auto" w:fill="CCECFF"/>
          </w:tcPr>
          <w:p>
            <w:pPr>
              <w:spacing w:after="0" w:line="149" w:lineRule="exact"/>
              <w:rPr>
                <w:sz w:val="20"/>
                <w:szCs w:val="20"/>
                <w:color w:val="auto"/>
              </w:rPr>
            </w:pPr>
            <w:r>
              <w:rPr>
                <w:rFonts w:ascii="Arial" w:cs="Arial" w:eastAsia="Arial" w:hAnsi="Arial"/>
                <w:sz w:val="11"/>
                <w:szCs w:val="11"/>
                <w:color w:val="auto"/>
              </w:rPr>
              <w:t xml:space="preserve">LAV Gear Holdings, Inc. (Revolver) </w:t>
            </w:r>
            <w:r>
              <w:rPr>
                <w:rFonts w:ascii="Arial" w:cs="Arial" w:eastAsia="Arial" w:hAnsi="Arial"/>
                <w:sz w:val="17"/>
                <w:szCs w:val="17"/>
                <w:color w:val="auto"/>
                <w:vertAlign w:val="superscript"/>
              </w:rPr>
              <w:t>(7), (9)</w:t>
            </w:r>
          </w:p>
        </w:tc>
        <w:tc>
          <w:tcPr>
            <w:tcW w:w="960" w:type="dxa"/>
            <w:vAlign w:val="bottom"/>
            <w:shd w:val="clear" w:color="auto" w:fill="CCECFF"/>
          </w:tcPr>
          <w:p>
            <w:pPr>
              <w:jc w:val="center"/>
              <w:ind w:left="102"/>
              <w:spacing w:after="0"/>
              <w:rPr>
                <w:sz w:val="20"/>
                <w:szCs w:val="20"/>
                <w:color w:val="auto"/>
              </w:rPr>
            </w:pPr>
            <w:r>
              <w:rPr>
                <w:rFonts w:ascii="Arial" w:cs="Arial" w:eastAsia="Arial" w:hAnsi="Arial"/>
                <w:sz w:val="12"/>
                <w:szCs w:val="12"/>
                <w:color w:val="auto"/>
                <w:w w:val="86"/>
              </w:rPr>
              <w:t>10/31/2024</w:t>
            </w:r>
          </w:p>
        </w:tc>
        <w:tc>
          <w:tcPr>
            <w:tcW w:w="2480" w:type="dxa"/>
            <w:vAlign w:val="bottom"/>
            <w:gridSpan w:val="2"/>
            <w:shd w:val="clear" w:color="auto" w:fill="CCECFF"/>
          </w:tcPr>
          <w:p>
            <w:pPr>
              <w:jc w:val="center"/>
              <w:ind w:right="100"/>
              <w:spacing w:after="0"/>
              <w:rPr>
                <w:sz w:val="20"/>
                <w:szCs w:val="20"/>
                <w:color w:val="auto"/>
              </w:rPr>
            </w:pPr>
            <w:r>
              <w:rPr>
                <w:rFonts w:ascii="Arial" w:cs="Arial" w:eastAsia="Arial" w:hAnsi="Arial"/>
                <w:sz w:val="12"/>
                <w:szCs w:val="12"/>
                <w:color w:val="auto"/>
                <w:w w:val="87"/>
              </w:rPr>
              <w:t>Capital Equipment</w:t>
            </w:r>
          </w:p>
        </w:tc>
        <w:tc>
          <w:tcPr>
            <w:tcW w:w="900" w:type="dxa"/>
            <w:vAlign w:val="bottom"/>
            <w:gridSpan w:val="2"/>
            <w:shd w:val="clear" w:color="auto" w:fill="CCECFF"/>
          </w:tcPr>
          <w:p>
            <w:pPr>
              <w:jc w:val="right"/>
              <w:ind w:right="260"/>
              <w:spacing w:after="0"/>
              <w:rPr>
                <w:sz w:val="20"/>
                <w:szCs w:val="20"/>
                <w:color w:val="auto"/>
              </w:rPr>
            </w:pPr>
            <w:r>
              <w:rPr>
                <w:rFonts w:ascii="Arial" w:cs="Arial" w:eastAsia="Arial" w:hAnsi="Arial"/>
                <w:sz w:val="12"/>
                <w:szCs w:val="12"/>
                <w:color w:val="auto"/>
              </w:rPr>
              <w:t>—</w:t>
            </w: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1,079,365</w:t>
            </w:r>
          </w:p>
        </w:tc>
        <w:tc>
          <w:tcPr>
            <w:tcW w:w="220" w:type="dxa"/>
            <w:vAlign w:val="bottom"/>
            <w:shd w:val="clear" w:color="auto" w:fill="CCECFF"/>
          </w:tcPr>
          <w:p>
            <w:pPr>
              <w:spacing w:after="0"/>
              <w:rPr>
                <w:sz w:val="12"/>
                <w:szCs w:val="12"/>
                <w:color w:val="auto"/>
              </w:rPr>
            </w:pP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7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4,747</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SEE NOTES TO CONSOLIDATED FINANCIAL STATEMENTS</w:t>
      </w:r>
    </w:p>
    <w:p>
      <w:pPr>
        <w:spacing w:after="0" w:line="5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149465"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 w:name="page9"/>
    <w:bookmarkEnd w:id="8"/>
    <w:p>
      <w:pPr>
        <w:jc w:val="center"/>
        <w:ind w:right="100"/>
        <w:spacing w:after="0"/>
        <w:rPr>
          <w:sz w:val="20"/>
          <w:szCs w:val="20"/>
          <w:color w:val="auto"/>
        </w:rPr>
      </w:pPr>
      <w:r>
        <w:rPr>
          <w:rFonts w:ascii="Arial" w:cs="Arial" w:eastAsia="Arial" w:hAnsi="Arial"/>
          <w:sz w:val="13"/>
          <w:szCs w:val="13"/>
          <w:b w:val="1"/>
          <w:bCs w:val="1"/>
          <w:color w:val="auto"/>
        </w:rPr>
        <w:t>PENNANTPARK FLOATING RATE CAPITAL LTD. AND SUBSIDIARIES</w:t>
      </w:r>
    </w:p>
    <w:p>
      <w:pPr>
        <w:spacing w:after="0" w:line="12"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CONSOLIDATED SCHEDULE OF INVESTMENTS—(Continued)</w:t>
      </w:r>
    </w:p>
    <w:p>
      <w:pPr>
        <w:jc w:val="center"/>
        <w:ind w:right="100"/>
        <w:spacing w:after="0"/>
        <w:rPr>
          <w:sz w:val="20"/>
          <w:szCs w:val="20"/>
          <w:color w:val="auto"/>
        </w:rPr>
      </w:pPr>
      <w:r>
        <w:rPr>
          <w:rFonts w:ascii="Arial" w:cs="Arial" w:eastAsia="Arial" w:hAnsi="Arial"/>
          <w:sz w:val="13"/>
          <w:szCs w:val="13"/>
          <w:b w:val="1"/>
          <w:bCs w:val="1"/>
          <w:color w:val="auto"/>
        </w:rPr>
        <w:t>DECEMBER 31, 2019</w:t>
      </w:r>
    </w:p>
    <w:p>
      <w:pPr>
        <w:jc w:val="center"/>
        <w:ind w:right="100"/>
        <w:spacing w:after="0"/>
        <w:rPr>
          <w:sz w:val="20"/>
          <w:szCs w:val="20"/>
          <w:color w:val="auto"/>
        </w:rPr>
      </w:pPr>
      <w:r>
        <w:rPr>
          <w:rFonts w:ascii="Arial" w:cs="Arial" w:eastAsia="Arial" w:hAnsi="Arial"/>
          <w:sz w:val="13"/>
          <w:szCs w:val="13"/>
          <w:b w:val="1"/>
          <w:bCs w:val="1"/>
          <w:color w:val="auto"/>
        </w:rPr>
        <w:t>(Unaudited)</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3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jc w:val="center"/>
              <w:spacing w:after="0"/>
              <w:rPr>
                <w:sz w:val="20"/>
                <w:szCs w:val="20"/>
                <w:color w:val="auto"/>
              </w:rPr>
            </w:pPr>
            <w:r>
              <w:rPr>
                <w:rFonts w:ascii="Arial" w:cs="Arial" w:eastAsia="Arial" w:hAnsi="Arial"/>
                <w:sz w:val="12"/>
                <w:szCs w:val="12"/>
                <w:b w:val="1"/>
                <w:bCs w:val="1"/>
                <w:color w:val="auto"/>
                <w:w w:val="85"/>
              </w:rPr>
              <w:t>Basis Point</w:t>
            </w: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88"/>
              </w:rPr>
              <w:t>Spread</w:t>
            </w: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3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gridSpan w:val="2"/>
          </w:tcPr>
          <w:p>
            <w:pPr>
              <w:jc w:val="right"/>
              <w:ind w:right="220"/>
              <w:spacing w:after="0" w:line="126" w:lineRule="exact"/>
              <w:rPr>
                <w:sz w:val="20"/>
                <w:szCs w:val="20"/>
                <w:color w:val="auto"/>
              </w:rPr>
            </w:pPr>
            <w:r>
              <w:rPr>
                <w:rFonts w:ascii="Arial" w:cs="Arial" w:eastAsia="Arial" w:hAnsi="Arial"/>
                <w:sz w:val="12"/>
                <w:szCs w:val="12"/>
                <w:b w:val="1"/>
                <w:bCs w:val="1"/>
                <w:color w:val="auto"/>
              </w:rPr>
              <w:t>Current</w:t>
            </w:r>
          </w:p>
        </w:tc>
        <w:tc>
          <w:tcPr>
            <w:tcW w:w="160" w:type="dxa"/>
            <w:vAlign w:val="bottom"/>
          </w:tcPr>
          <w:p>
            <w:pPr>
              <w:spacing w:after="0"/>
              <w:rPr>
                <w:sz w:val="10"/>
                <w:szCs w:val="10"/>
                <w:color w:val="auto"/>
              </w:rPr>
            </w:pPr>
          </w:p>
        </w:tc>
        <w:tc>
          <w:tcPr>
            <w:tcW w:w="740" w:type="dxa"/>
            <w:vAlign w:val="bottom"/>
          </w:tcPr>
          <w:p>
            <w:pPr>
              <w:jc w:val="center"/>
              <w:spacing w:after="0" w:line="126" w:lineRule="exact"/>
              <w:rPr>
                <w:sz w:val="20"/>
                <w:szCs w:val="20"/>
                <w:color w:val="auto"/>
              </w:rPr>
            </w:pPr>
            <w:r>
              <w:rPr>
                <w:rFonts w:ascii="Arial" w:cs="Arial" w:eastAsia="Arial" w:hAnsi="Arial"/>
                <w:sz w:val="12"/>
                <w:szCs w:val="12"/>
                <w:b w:val="1"/>
                <w:bCs w:val="1"/>
                <w:color w:val="auto"/>
                <w:w w:val="87"/>
              </w:rPr>
              <w:t>Above</w:t>
            </w:r>
          </w:p>
        </w:tc>
        <w:tc>
          <w:tcPr>
            <w:tcW w:w="200" w:type="dxa"/>
            <w:vAlign w:val="bottom"/>
          </w:tcPr>
          <w:p>
            <w:pPr>
              <w:spacing w:after="0"/>
              <w:rPr>
                <w:sz w:val="10"/>
                <w:szCs w:val="10"/>
                <w:color w:val="auto"/>
              </w:rPr>
            </w:pPr>
          </w:p>
        </w:tc>
        <w:tc>
          <w:tcPr>
            <w:tcW w:w="720" w:type="dxa"/>
            <w:vAlign w:val="bottom"/>
          </w:tcPr>
          <w:p>
            <w:pPr>
              <w:jc w:val="right"/>
              <w:ind w:right="182"/>
              <w:spacing w:after="0" w:line="126" w:lineRule="exact"/>
              <w:rPr>
                <w:sz w:val="20"/>
                <w:szCs w:val="20"/>
                <w:color w:val="auto"/>
              </w:rPr>
            </w:pPr>
            <w:r>
              <w:rPr>
                <w:rFonts w:ascii="Arial" w:cs="Arial" w:eastAsia="Arial" w:hAnsi="Arial"/>
                <w:sz w:val="12"/>
                <w:szCs w:val="12"/>
                <w:b w:val="1"/>
                <w:bCs w:val="1"/>
                <w:color w:val="auto"/>
              </w:rPr>
              <w:t>Par /</w:t>
            </w:r>
          </w:p>
        </w:tc>
        <w:tc>
          <w:tcPr>
            <w:tcW w:w="2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356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rPr>
              <w:t>Issuer Name</w:t>
            </w:r>
          </w:p>
        </w:tc>
        <w:tc>
          <w:tcPr>
            <w:tcW w:w="100" w:type="dxa"/>
            <w:vAlign w:val="bottom"/>
            <w:tcBorders>
              <w:bottom w:val="single" w:sz="8" w:color="CFF0FC"/>
            </w:tcBorders>
          </w:tcPr>
          <w:p>
            <w:pPr>
              <w:spacing w:after="0"/>
              <w:rPr>
                <w:sz w:val="13"/>
                <w:szCs w:val="13"/>
                <w:color w:val="auto"/>
              </w:rPr>
            </w:pPr>
          </w:p>
        </w:tc>
        <w:tc>
          <w:tcPr>
            <w:tcW w:w="620" w:type="dxa"/>
            <w:vAlign w:val="bottom"/>
            <w:tcBorders>
              <w:bottom w:val="single" w:sz="8" w:color="auto"/>
            </w:tcBorders>
          </w:tcPr>
          <w:p>
            <w:pPr>
              <w:ind w:left="80"/>
              <w:spacing w:after="0"/>
              <w:rPr>
                <w:sz w:val="20"/>
                <w:szCs w:val="20"/>
                <w:color w:val="auto"/>
              </w:rPr>
            </w:pPr>
            <w:r>
              <w:rPr>
                <w:rFonts w:ascii="Arial" w:cs="Arial" w:eastAsia="Arial" w:hAnsi="Arial"/>
                <w:sz w:val="12"/>
                <w:szCs w:val="12"/>
                <w:b w:val="1"/>
                <w:bCs w:val="1"/>
                <w:color w:val="auto"/>
              </w:rPr>
              <w:t>Maturity</w:t>
            </w:r>
          </w:p>
        </w:tc>
        <w:tc>
          <w:tcPr>
            <w:tcW w:w="120" w:type="dxa"/>
            <w:vAlign w:val="bottom"/>
            <w:tcBorders>
              <w:bottom w:val="single" w:sz="8" w:color="CFF0FC"/>
            </w:tcBorders>
          </w:tcPr>
          <w:p>
            <w:pPr>
              <w:spacing w:after="0"/>
              <w:rPr>
                <w:sz w:val="13"/>
                <w:szCs w:val="13"/>
                <w:color w:val="auto"/>
              </w:rPr>
            </w:pPr>
          </w:p>
        </w:tc>
        <w:tc>
          <w:tcPr>
            <w:tcW w:w="232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8"/>
              </w:rPr>
              <w:t>Industry</w:t>
            </w:r>
          </w:p>
        </w:tc>
        <w:tc>
          <w:tcPr>
            <w:tcW w:w="100" w:type="dxa"/>
            <w:vAlign w:val="bottom"/>
            <w:tcBorders>
              <w:bottom w:val="single" w:sz="8" w:color="CFF0FC"/>
            </w:tcBorders>
          </w:tcPr>
          <w:p>
            <w:pPr>
              <w:spacing w:after="0"/>
              <w:rPr>
                <w:sz w:val="13"/>
                <w:szCs w:val="13"/>
                <w:color w:val="auto"/>
              </w:rPr>
            </w:pPr>
          </w:p>
        </w:tc>
        <w:tc>
          <w:tcPr>
            <w:tcW w:w="640" w:type="dxa"/>
            <w:vAlign w:val="bottom"/>
            <w:tcBorders>
              <w:bottom w:val="single" w:sz="8" w:color="auto"/>
            </w:tcBorders>
          </w:tcPr>
          <w:p>
            <w:pPr>
              <w:jc w:val="right"/>
              <w:ind w:right="62"/>
              <w:spacing w:after="0"/>
              <w:rPr>
                <w:sz w:val="20"/>
                <w:szCs w:val="20"/>
                <w:color w:val="auto"/>
              </w:rPr>
            </w:pPr>
            <w:r>
              <w:rPr>
                <w:rFonts w:ascii="Arial" w:cs="Arial" w:eastAsia="Arial" w:hAnsi="Arial"/>
                <w:sz w:val="12"/>
                <w:szCs w:val="12"/>
                <w:b w:val="1"/>
                <w:bCs w:val="1"/>
                <w:color w:val="auto"/>
              </w:rPr>
              <w:t>Coupon</w:t>
            </w:r>
          </w:p>
        </w:tc>
        <w:tc>
          <w:tcPr>
            <w:tcW w:w="100" w:type="dxa"/>
            <w:vAlign w:val="bottom"/>
            <w:tcBorders>
              <w:bottom w:val="single" w:sz="8" w:color="CFF0FC"/>
            </w:tcBorders>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740" w:type="dxa"/>
            <w:vAlign w:val="bottom"/>
            <w:tcBorders>
              <w:bottom w:val="single" w:sz="8" w:color="auto"/>
            </w:tcBorders>
          </w:tcPr>
          <w:p>
            <w:pPr>
              <w:jc w:val="center"/>
              <w:spacing w:after="0" w:line="153" w:lineRule="exact"/>
              <w:rPr>
                <w:sz w:val="20"/>
                <w:szCs w:val="20"/>
                <w:color w:val="auto"/>
              </w:rPr>
            </w:pPr>
            <w:r>
              <w:rPr>
                <w:rFonts w:ascii="Arial" w:cs="Arial" w:eastAsia="Arial" w:hAnsi="Arial"/>
                <w:sz w:val="11"/>
                <w:szCs w:val="11"/>
                <w:b w:val="1"/>
                <w:bCs w:val="1"/>
                <w:color w:val="auto"/>
                <w:w w:val="96"/>
              </w:rPr>
              <w:t xml:space="preserve">Index </w:t>
            </w:r>
            <w:r>
              <w:rPr>
                <w:rFonts w:ascii="Arial" w:cs="Arial" w:eastAsia="Arial" w:hAnsi="Arial"/>
                <w:sz w:val="17"/>
                <w:szCs w:val="17"/>
                <w:b w:val="1"/>
                <w:bCs w:val="1"/>
                <w:color w:val="auto"/>
                <w:w w:val="96"/>
                <w:vertAlign w:val="superscript"/>
              </w:rPr>
              <w:t>(1)</w:t>
            </w:r>
          </w:p>
        </w:tc>
        <w:tc>
          <w:tcPr>
            <w:tcW w:w="200" w:type="dxa"/>
            <w:vAlign w:val="bottom"/>
            <w:tcBorders>
              <w:bottom w:val="single" w:sz="8" w:color="CFF0FC"/>
            </w:tcBorders>
          </w:tcPr>
          <w:p>
            <w:pPr>
              <w:spacing w:after="0"/>
              <w:rPr>
                <w:sz w:val="13"/>
                <w:szCs w:val="13"/>
                <w:color w:val="auto"/>
              </w:rPr>
            </w:pPr>
          </w:p>
        </w:tc>
        <w:tc>
          <w:tcPr>
            <w:tcW w:w="720" w:type="dxa"/>
            <w:vAlign w:val="bottom"/>
            <w:tcBorders>
              <w:bottom w:val="single" w:sz="8" w:color="auto"/>
            </w:tcBorders>
          </w:tcPr>
          <w:p>
            <w:pPr>
              <w:jc w:val="right"/>
              <w:ind w:right="142"/>
              <w:spacing w:after="0"/>
              <w:rPr>
                <w:sz w:val="20"/>
                <w:szCs w:val="20"/>
                <w:color w:val="auto"/>
              </w:rPr>
            </w:pPr>
            <w:r>
              <w:rPr>
                <w:rFonts w:ascii="Arial" w:cs="Arial" w:eastAsia="Arial" w:hAnsi="Arial"/>
                <w:sz w:val="12"/>
                <w:szCs w:val="12"/>
                <w:b w:val="1"/>
                <w:bCs w:val="1"/>
                <w:color w:val="auto"/>
              </w:rPr>
              <w:t>Shares</w:t>
            </w:r>
          </w:p>
        </w:tc>
        <w:tc>
          <w:tcPr>
            <w:tcW w:w="200" w:type="dxa"/>
            <w:vAlign w:val="bottom"/>
            <w:tcBorders>
              <w:bottom w:val="single" w:sz="8" w:color="CFF0FC"/>
            </w:tcBorders>
          </w:tcPr>
          <w:p>
            <w:pPr>
              <w:spacing w:after="0"/>
              <w:rPr>
                <w:sz w:val="13"/>
                <w:szCs w:val="13"/>
                <w:color w:val="auto"/>
              </w:rPr>
            </w:pPr>
          </w:p>
        </w:tc>
        <w:tc>
          <w:tcPr>
            <w:tcW w:w="720" w:type="dxa"/>
            <w:vAlign w:val="bottom"/>
            <w:tcBorders>
              <w:bottom w:val="single" w:sz="8" w:color="auto"/>
            </w:tcBorders>
          </w:tcPr>
          <w:p>
            <w:pPr>
              <w:jc w:val="right"/>
              <w:ind w:right="202"/>
              <w:spacing w:after="0"/>
              <w:rPr>
                <w:sz w:val="20"/>
                <w:szCs w:val="20"/>
                <w:color w:val="auto"/>
              </w:rPr>
            </w:pPr>
            <w:r>
              <w:rPr>
                <w:rFonts w:ascii="Arial" w:cs="Arial" w:eastAsia="Arial" w:hAnsi="Arial"/>
                <w:sz w:val="12"/>
                <w:szCs w:val="12"/>
                <w:b w:val="1"/>
                <w:bCs w:val="1"/>
                <w:color w:val="auto"/>
              </w:rPr>
              <w:t>Cost</w:t>
            </w:r>
          </w:p>
        </w:tc>
        <w:tc>
          <w:tcPr>
            <w:tcW w:w="200" w:type="dxa"/>
            <w:vAlign w:val="bottom"/>
            <w:tcBorders>
              <w:bottom w:val="single" w:sz="8" w:color="CFF0FC"/>
            </w:tcBorders>
          </w:tcPr>
          <w:p>
            <w:pPr>
              <w:spacing w:after="0"/>
              <w:rPr>
                <w:sz w:val="13"/>
                <w:szCs w:val="13"/>
                <w:color w:val="auto"/>
              </w:rPr>
            </w:pPr>
          </w:p>
        </w:tc>
        <w:tc>
          <w:tcPr>
            <w:tcW w:w="760" w:type="dxa"/>
            <w:vAlign w:val="bottom"/>
            <w:tcBorders>
              <w:bottom w:val="single" w:sz="8" w:color="auto"/>
            </w:tcBorders>
            <w:gridSpan w:val="2"/>
          </w:tcPr>
          <w:p>
            <w:pPr>
              <w:jc w:val="right"/>
              <w:ind w:right="2"/>
              <w:spacing w:after="0" w:line="153" w:lineRule="exact"/>
              <w:rPr>
                <w:sz w:val="20"/>
                <w:szCs w:val="20"/>
                <w:color w:val="auto"/>
              </w:rPr>
            </w:pPr>
            <w:r>
              <w:rPr>
                <w:rFonts w:ascii="Arial" w:cs="Arial" w:eastAsia="Arial" w:hAnsi="Arial"/>
                <w:sz w:val="11"/>
                <w:szCs w:val="11"/>
                <w:b w:val="1"/>
                <w:bCs w:val="1"/>
                <w:color w:val="auto"/>
                <w:w w:val="97"/>
              </w:rPr>
              <w:t xml:space="preserve">Fair Value </w:t>
            </w:r>
            <w:r>
              <w:rPr>
                <w:rFonts w:ascii="Arial" w:cs="Arial" w:eastAsia="Arial" w:hAnsi="Arial"/>
                <w:sz w:val="17"/>
                <w:szCs w:val="17"/>
                <w:b w:val="1"/>
                <w:bCs w:val="1"/>
                <w:color w:val="auto"/>
                <w:w w:val="97"/>
                <w:vertAlign w:val="superscript"/>
              </w:rPr>
              <w:t>(2)</w:t>
            </w:r>
          </w:p>
        </w:tc>
        <w:tc>
          <w:tcPr>
            <w:tcW w:w="8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3560" w:type="dxa"/>
            <w:vAlign w:val="bottom"/>
            <w:shd w:val="clear" w:color="auto" w:fill="CFF0FC"/>
          </w:tcPr>
          <w:p>
            <w:pPr>
              <w:spacing w:after="0"/>
              <w:rPr>
                <w:sz w:val="20"/>
                <w:szCs w:val="20"/>
                <w:color w:val="auto"/>
              </w:rPr>
            </w:pPr>
            <w:r>
              <w:rPr>
                <w:rFonts w:ascii="Arial" w:cs="Arial" w:eastAsia="Arial" w:hAnsi="Arial"/>
                <w:sz w:val="12"/>
                <w:szCs w:val="12"/>
                <w:color w:val="auto"/>
              </w:rPr>
              <w:t>Lash Opco, LLC</w:t>
            </w:r>
          </w:p>
        </w:tc>
        <w:tc>
          <w:tcPr>
            <w:tcW w:w="720" w:type="dxa"/>
            <w:vAlign w:val="bottom"/>
            <w:gridSpan w:val="2"/>
            <w:shd w:val="clear" w:color="auto" w:fill="CFF0FC"/>
          </w:tcPr>
          <w:p>
            <w:pPr>
              <w:jc w:val="center"/>
              <w:ind w:left="42"/>
              <w:spacing w:after="0"/>
              <w:rPr>
                <w:sz w:val="20"/>
                <w:szCs w:val="20"/>
                <w:color w:val="auto"/>
              </w:rPr>
            </w:pPr>
            <w:r>
              <w:rPr>
                <w:rFonts w:ascii="Arial" w:cs="Arial" w:eastAsia="Arial" w:hAnsi="Arial"/>
                <w:sz w:val="12"/>
                <w:szCs w:val="12"/>
                <w:color w:val="auto"/>
                <w:w w:val="89"/>
              </w:rPr>
              <w:t>12/12/2024</w:t>
            </w:r>
          </w:p>
        </w:tc>
        <w:tc>
          <w:tcPr>
            <w:tcW w:w="120" w:type="dxa"/>
            <w:vAlign w:val="bottom"/>
            <w:shd w:val="clear" w:color="auto" w:fill="CFF0FC"/>
          </w:tcPr>
          <w:p>
            <w:pPr>
              <w:spacing w:after="0"/>
              <w:rPr>
                <w:sz w:val="12"/>
                <w:szCs w:val="12"/>
                <w:color w:val="auto"/>
              </w:rPr>
            </w:pPr>
          </w:p>
        </w:tc>
        <w:tc>
          <w:tcPr>
            <w:tcW w:w="2420" w:type="dxa"/>
            <w:vAlign w:val="bottom"/>
            <w:gridSpan w:val="2"/>
            <w:shd w:val="clear" w:color="auto" w:fill="CFF0FC"/>
          </w:tcPr>
          <w:p>
            <w:pPr>
              <w:jc w:val="center"/>
              <w:ind w:right="120"/>
              <w:spacing w:after="0"/>
              <w:rPr>
                <w:sz w:val="20"/>
                <w:szCs w:val="20"/>
                <w:color w:val="auto"/>
              </w:rPr>
            </w:pPr>
            <w:r>
              <w:rPr>
                <w:rFonts w:ascii="Arial" w:cs="Arial" w:eastAsia="Arial" w:hAnsi="Arial"/>
                <w:sz w:val="12"/>
                <w:szCs w:val="12"/>
                <w:color w:val="auto"/>
                <w:w w:val="87"/>
              </w:rPr>
              <w:t>Personal Products</w:t>
            </w:r>
          </w:p>
        </w:tc>
        <w:tc>
          <w:tcPr>
            <w:tcW w:w="74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9.25%</w:t>
            </w:r>
          </w:p>
        </w:tc>
        <w:tc>
          <w:tcPr>
            <w:tcW w:w="16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P+450</w:t>
            </w: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9,060,240</w:t>
            </w: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   8,790,344</w:t>
            </w:r>
          </w:p>
        </w:tc>
        <w:tc>
          <w:tcPr>
            <w:tcW w:w="340" w:type="dxa"/>
            <w:vAlign w:val="bottom"/>
            <w:gridSpan w:val="2"/>
            <w:shd w:val="clear" w:color="auto" w:fill="CFF0FC"/>
          </w:tcPr>
          <w:p>
            <w:pPr>
              <w:jc w:val="right"/>
              <w:ind w:right="27"/>
              <w:spacing w:after="0"/>
              <w:rPr>
                <w:sz w:val="20"/>
                <w:szCs w:val="20"/>
                <w:color w:val="auto"/>
              </w:rPr>
            </w:pPr>
            <w:r>
              <w:rPr>
                <w:rFonts w:ascii="Arial" w:cs="Arial" w:eastAsia="Arial" w:hAnsi="Arial"/>
                <w:sz w:val="12"/>
                <w:szCs w:val="12"/>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8,788,432</w:t>
            </w:r>
          </w:p>
        </w:tc>
        <w:tc>
          <w:tcPr>
            <w:tcW w:w="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560" w:type="dxa"/>
            <w:vAlign w:val="bottom"/>
          </w:tcPr>
          <w:p>
            <w:pPr>
              <w:spacing w:after="0" w:line="149" w:lineRule="exact"/>
              <w:rPr>
                <w:sz w:val="20"/>
                <w:szCs w:val="20"/>
                <w:color w:val="auto"/>
              </w:rPr>
            </w:pPr>
            <w:r>
              <w:rPr>
                <w:rFonts w:ascii="Arial" w:cs="Arial" w:eastAsia="Arial" w:hAnsi="Arial"/>
                <w:sz w:val="11"/>
                <w:szCs w:val="11"/>
                <w:color w:val="auto"/>
              </w:rPr>
              <w:t xml:space="preserve">Lash Opco, LLC (Revolver) </w:t>
            </w:r>
            <w:r>
              <w:rPr>
                <w:rFonts w:ascii="Arial" w:cs="Arial" w:eastAsia="Arial" w:hAnsi="Arial"/>
                <w:sz w:val="17"/>
                <w:szCs w:val="17"/>
                <w:color w:val="auto"/>
                <w:vertAlign w:val="superscript"/>
              </w:rPr>
              <w:t>(7)</w:t>
            </w:r>
          </w:p>
        </w:tc>
        <w:tc>
          <w:tcPr>
            <w:tcW w:w="720" w:type="dxa"/>
            <w:vAlign w:val="bottom"/>
            <w:gridSpan w:val="2"/>
          </w:tcPr>
          <w:p>
            <w:pPr>
              <w:jc w:val="center"/>
              <w:ind w:left="42"/>
              <w:spacing w:after="0"/>
              <w:rPr>
                <w:sz w:val="20"/>
                <w:szCs w:val="20"/>
                <w:color w:val="auto"/>
              </w:rPr>
            </w:pPr>
            <w:r>
              <w:rPr>
                <w:rFonts w:ascii="Arial" w:cs="Arial" w:eastAsia="Arial" w:hAnsi="Arial"/>
                <w:sz w:val="12"/>
                <w:szCs w:val="12"/>
                <w:color w:val="auto"/>
                <w:w w:val="89"/>
              </w:rPr>
              <w:t>12/12/2024</w:t>
            </w:r>
          </w:p>
        </w:tc>
        <w:tc>
          <w:tcPr>
            <w:tcW w:w="120" w:type="dxa"/>
            <w:vAlign w:val="bottom"/>
          </w:tcPr>
          <w:p>
            <w:pPr>
              <w:spacing w:after="0"/>
              <w:rPr>
                <w:sz w:val="12"/>
                <w:szCs w:val="12"/>
                <w:color w:val="auto"/>
              </w:rPr>
            </w:pPr>
          </w:p>
        </w:tc>
        <w:tc>
          <w:tcPr>
            <w:tcW w:w="2420" w:type="dxa"/>
            <w:vAlign w:val="bottom"/>
            <w:gridSpan w:val="2"/>
          </w:tcPr>
          <w:p>
            <w:pPr>
              <w:jc w:val="center"/>
              <w:ind w:right="120"/>
              <w:spacing w:after="0"/>
              <w:rPr>
                <w:sz w:val="20"/>
                <w:szCs w:val="20"/>
                <w:color w:val="auto"/>
              </w:rPr>
            </w:pPr>
            <w:r>
              <w:rPr>
                <w:rFonts w:ascii="Arial" w:cs="Arial" w:eastAsia="Arial" w:hAnsi="Arial"/>
                <w:sz w:val="12"/>
                <w:szCs w:val="12"/>
                <w:color w:val="auto"/>
                <w:w w:val="87"/>
              </w:rPr>
              <w:t>Personal Products</w:t>
            </w:r>
          </w:p>
        </w:tc>
        <w:tc>
          <w:tcPr>
            <w:tcW w:w="740" w:type="dxa"/>
            <w:vAlign w:val="bottom"/>
            <w:gridSpan w:val="2"/>
          </w:tcPr>
          <w:p>
            <w:pPr>
              <w:jc w:val="right"/>
              <w:spacing w:after="0"/>
              <w:rPr>
                <w:sz w:val="20"/>
                <w:szCs w:val="20"/>
                <w:color w:val="auto"/>
              </w:rPr>
            </w:pPr>
            <w:r>
              <w:rPr>
                <w:rFonts w:ascii="Arial" w:cs="Arial" w:eastAsia="Arial" w:hAnsi="Arial"/>
                <w:sz w:val="12"/>
                <w:szCs w:val="12"/>
                <w:color w:val="auto"/>
              </w:rPr>
              <w:t>9.25%</w:t>
            </w:r>
          </w:p>
        </w:tc>
        <w:tc>
          <w:tcPr>
            <w:tcW w:w="16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P+450</w:t>
            </w:r>
          </w:p>
        </w:tc>
        <w:tc>
          <w:tcPr>
            <w:tcW w:w="920" w:type="dxa"/>
            <w:vAlign w:val="bottom"/>
            <w:gridSpan w:val="2"/>
          </w:tcPr>
          <w:p>
            <w:pPr>
              <w:jc w:val="right"/>
              <w:spacing w:after="0"/>
              <w:rPr>
                <w:sz w:val="20"/>
                <w:szCs w:val="20"/>
                <w:color w:val="auto"/>
              </w:rPr>
            </w:pPr>
            <w:r>
              <w:rPr>
                <w:rFonts w:ascii="Arial" w:cs="Arial" w:eastAsia="Arial" w:hAnsi="Arial"/>
                <w:sz w:val="12"/>
                <w:szCs w:val="12"/>
                <w:color w:val="auto"/>
              </w:rPr>
              <w:t>1,094,901</w:t>
            </w:r>
          </w:p>
        </w:tc>
        <w:tc>
          <w:tcPr>
            <w:tcW w:w="920" w:type="dxa"/>
            <w:vAlign w:val="bottom"/>
            <w:gridSpan w:val="2"/>
          </w:tcPr>
          <w:p>
            <w:pPr>
              <w:jc w:val="right"/>
              <w:spacing w:after="0"/>
              <w:rPr>
                <w:sz w:val="20"/>
                <w:szCs w:val="20"/>
                <w:color w:val="auto"/>
              </w:rPr>
            </w:pPr>
            <w:r>
              <w:rPr>
                <w:rFonts w:ascii="Arial" w:cs="Arial" w:eastAsia="Arial" w:hAnsi="Arial"/>
                <w:sz w:val="12"/>
                <w:szCs w:val="12"/>
                <w:color w:val="auto"/>
              </w:rPr>
              <w:t>1,094,901</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1,094,901</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560" w:type="dxa"/>
            <w:vAlign w:val="bottom"/>
            <w:shd w:val="clear" w:color="auto" w:fill="CFF0FC"/>
          </w:tcPr>
          <w:p>
            <w:pPr>
              <w:spacing w:after="0" w:line="149" w:lineRule="exact"/>
              <w:rPr>
                <w:sz w:val="20"/>
                <w:szCs w:val="20"/>
                <w:color w:val="auto"/>
              </w:rPr>
            </w:pPr>
            <w:r>
              <w:rPr>
                <w:rFonts w:ascii="Arial" w:cs="Arial" w:eastAsia="Arial" w:hAnsi="Arial"/>
                <w:sz w:val="11"/>
                <w:szCs w:val="11"/>
                <w:color w:val="auto"/>
              </w:rPr>
              <w:t xml:space="preserve">Lash Opco, LLC (Revolver) </w:t>
            </w:r>
            <w:r>
              <w:rPr>
                <w:rFonts w:ascii="Arial" w:cs="Arial" w:eastAsia="Arial" w:hAnsi="Arial"/>
                <w:sz w:val="17"/>
                <w:szCs w:val="17"/>
                <w:color w:val="auto"/>
                <w:vertAlign w:val="superscript"/>
              </w:rPr>
              <w:t>(7), (9)</w:t>
            </w:r>
          </w:p>
        </w:tc>
        <w:tc>
          <w:tcPr>
            <w:tcW w:w="720" w:type="dxa"/>
            <w:vAlign w:val="bottom"/>
            <w:gridSpan w:val="2"/>
            <w:shd w:val="clear" w:color="auto" w:fill="CFF0FC"/>
          </w:tcPr>
          <w:p>
            <w:pPr>
              <w:jc w:val="center"/>
              <w:ind w:left="42"/>
              <w:spacing w:after="0"/>
              <w:rPr>
                <w:sz w:val="20"/>
                <w:szCs w:val="20"/>
                <w:color w:val="auto"/>
              </w:rPr>
            </w:pPr>
            <w:r>
              <w:rPr>
                <w:rFonts w:ascii="Arial" w:cs="Arial" w:eastAsia="Arial" w:hAnsi="Arial"/>
                <w:sz w:val="12"/>
                <w:szCs w:val="12"/>
                <w:color w:val="auto"/>
                <w:w w:val="89"/>
              </w:rPr>
              <w:t>12/12/2024</w:t>
            </w:r>
          </w:p>
        </w:tc>
        <w:tc>
          <w:tcPr>
            <w:tcW w:w="120" w:type="dxa"/>
            <w:vAlign w:val="bottom"/>
            <w:shd w:val="clear" w:color="auto" w:fill="CFF0FC"/>
          </w:tcPr>
          <w:p>
            <w:pPr>
              <w:spacing w:after="0"/>
              <w:rPr>
                <w:sz w:val="12"/>
                <w:szCs w:val="12"/>
                <w:color w:val="auto"/>
              </w:rPr>
            </w:pPr>
          </w:p>
        </w:tc>
        <w:tc>
          <w:tcPr>
            <w:tcW w:w="2420" w:type="dxa"/>
            <w:vAlign w:val="bottom"/>
            <w:gridSpan w:val="2"/>
            <w:shd w:val="clear" w:color="auto" w:fill="CFF0FC"/>
          </w:tcPr>
          <w:p>
            <w:pPr>
              <w:jc w:val="center"/>
              <w:ind w:right="120"/>
              <w:spacing w:after="0"/>
              <w:rPr>
                <w:sz w:val="20"/>
                <w:szCs w:val="20"/>
                <w:color w:val="auto"/>
              </w:rPr>
            </w:pPr>
            <w:r>
              <w:rPr>
                <w:rFonts w:ascii="Arial" w:cs="Arial" w:eastAsia="Arial" w:hAnsi="Arial"/>
                <w:sz w:val="12"/>
                <w:szCs w:val="12"/>
                <w:color w:val="auto"/>
                <w:w w:val="87"/>
              </w:rPr>
              <w:t>Personal Products</w:t>
            </w:r>
          </w:p>
        </w:tc>
        <w:tc>
          <w:tcPr>
            <w:tcW w:w="74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w:t>
            </w:r>
          </w:p>
        </w:tc>
        <w:tc>
          <w:tcPr>
            <w:tcW w:w="16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648,282</w:t>
            </w:r>
          </w:p>
        </w:tc>
        <w:tc>
          <w:tcPr>
            <w:tcW w:w="20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00" w:type="dxa"/>
            <w:vAlign w:val="bottom"/>
            <w:gridSpan w:val="2"/>
            <w:shd w:val="clear" w:color="auto" w:fill="CFF0FC"/>
          </w:tcPr>
          <w:p>
            <w:pPr>
              <w:jc w:val="right"/>
              <w:ind w:right="1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8"/>
        </w:trPr>
        <w:tc>
          <w:tcPr>
            <w:tcW w:w="3560" w:type="dxa"/>
            <w:vAlign w:val="bottom"/>
          </w:tcPr>
          <w:p>
            <w:pPr>
              <w:spacing w:after="0" w:line="149" w:lineRule="exact"/>
              <w:rPr>
                <w:sz w:val="20"/>
                <w:szCs w:val="20"/>
                <w:color w:val="auto"/>
              </w:rPr>
            </w:pPr>
            <w:r>
              <w:rPr>
                <w:rFonts w:ascii="Arial" w:cs="Arial" w:eastAsia="Arial" w:hAnsi="Arial"/>
                <w:sz w:val="11"/>
                <w:szCs w:val="11"/>
                <w:color w:val="auto"/>
              </w:rPr>
              <w:t xml:space="preserve">LifeCare Holdings LLC </w:t>
            </w:r>
            <w:r>
              <w:rPr>
                <w:rFonts w:ascii="Arial" w:cs="Arial" w:eastAsia="Arial" w:hAnsi="Arial"/>
                <w:sz w:val="17"/>
                <w:szCs w:val="17"/>
                <w:color w:val="auto"/>
                <w:vertAlign w:val="superscript"/>
              </w:rPr>
              <w:t>(7)</w:t>
            </w:r>
          </w:p>
        </w:tc>
        <w:tc>
          <w:tcPr>
            <w:tcW w:w="720" w:type="dxa"/>
            <w:vAlign w:val="bottom"/>
            <w:gridSpan w:val="2"/>
          </w:tcPr>
          <w:p>
            <w:pPr>
              <w:jc w:val="center"/>
              <w:ind w:left="42"/>
              <w:spacing w:after="0"/>
              <w:rPr>
                <w:sz w:val="20"/>
                <w:szCs w:val="20"/>
                <w:color w:val="auto"/>
              </w:rPr>
            </w:pPr>
            <w:r>
              <w:rPr>
                <w:rFonts w:ascii="Arial" w:cs="Arial" w:eastAsia="Arial" w:hAnsi="Arial"/>
                <w:sz w:val="12"/>
                <w:szCs w:val="12"/>
                <w:color w:val="auto"/>
                <w:w w:val="89"/>
              </w:rPr>
              <w:t>11/30/2021</w:t>
            </w:r>
          </w:p>
        </w:tc>
        <w:tc>
          <w:tcPr>
            <w:tcW w:w="120" w:type="dxa"/>
            <w:vAlign w:val="bottom"/>
          </w:tcPr>
          <w:p>
            <w:pPr>
              <w:spacing w:after="0"/>
              <w:rPr>
                <w:sz w:val="12"/>
                <w:szCs w:val="12"/>
                <w:color w:val="auto"/>
              </w:rPr>
            </w:pPr>
          </w:p>
        </w:tc>
        <w:tc>
          <w:tcPr>
            <w:tcW w:w="2420" w:type="dxa"/>
            <w:vAlign w:val="bottom"/>
            <w:gridSpan w:val="2"/>
          </w:tcPr>
          <w:p>
            <w:pPr>
              <w:jc w:val="center"/>
              <w:ind w:right="120"/>
              <w:spacing w:after="0"/>
              <w:rPr>
                <w:sz w:val="20"/>
                <w:szCs w:val="20"/>
                <w:color w:val="auto"/>
              </w:rPr>
            </w:pPr>
            <w:r>
              <w:rPr>
                <w:rFonts w:ascii="Arial" w:cs="Arial" w:eastAsia="Arial" w:hAnsi="Arial"/>
                <w:sz w:val="12"/>
                <w:szCs w:val="12"/>
                <w:color w:val="auto"/>
                <w:w w:val="86"/>
              </w:rPr>
              <w:t>Healthcare and Pharmaceuticals</w:t>
            </w:r>
          </w:p>
        </w:tc>
        <w:tc>
          <w:tcPr>
            <w:tcW w:w="740" w:type="dxa"/>
            <w:vAlign w:val="bottom"/>
            <w:gridSpan w:val="2"/>
          </w:tcPr>
          <w:p>
            <w:pPr>
              <w:jc w:val="right"/>
              <w:spacing w:after="0"/>
              <w:rPr>
                <w:sz w:val="20"/>
                <w:szCs w:val="20"/>
                <w:color w:val="auto"/>
              </w:rPr>
            </w:pPr>
            <w:r>
              <w:rPr>
                <w:rFonts w:ascii="Arial" w:cs="Arial" w:eastAsia="Arial" w:hAnsi="Arial"/>
                <w:sz w:val="12"/>
                <w:szCs w:val="12"/>
                <w:color w:val="auto"/>
              </w:rPr>
              <w:t>0.00%</w:t>
            </w:r>
          </w:p>
        </w:tc>
        <w:tc>
          <w:tcPr>
            <w:tcW w:w="160" w:type="dxa"/>
            <w:vAlign w:val="bottom"/>
          </w:tcPr>
          <w:p>
            <w:pPr>
              <w:jc w:val="right"/>
              <w:spacing w:after="0"/>
              <w:rPr>
                <w:sz w:val="20"/>
                <w:szCs w:val="20"/>
                <w:color w:val="auto"/>
              </w:rPr>
            </w:pPr>
            <w:r>
              <w:rPr>
                <w:rFonts w:ascii="Arial" w:cs="Arial" w:eastAsia="Arial" w:hAnsi="Arial"/>
                <w:sz w:val="10"/>
                <w:szCs w:val="10"/>
                <w:color w:val="auto"/>
                <w:w w:val="97"/>
              </w:rPr>
              <w:t>(6)</w:t>
            </w:r>
          </w:p>
        </w:tc>
        <w:tc>
          <w:tcPr>
            <w:tcW w:w="740" w:type="dxa"/>
            <w:vAlign w:val="bottom"/>
          </w:tcPr>
          <w:p>
            <w:pPr>
              <w:jc w:val="right"/>
              <w:spacing w:after="0"/>
              <w:rPr>
                <w:sz w:val="20"/>
                <w:szCs w:val="20"/>
                <w:color w:val="auto"/>
              </w:rPr>
            </w:pPr>
            <w:r>
              <w:rPr>
                <w:rFonts w:ascii="Arial" w:cs="Arial" w:eastAsia="Arial" w:hAnsi="Arial"/>
                <w:sz w:val="12"/>
                <w:szCs w:val="12"/>
                <w:color w:val="auto"/>
              </w:rPr>
              <w:t>—</w:t>
            </w:r>
          </w:p>
        </w:tc>
        <w:tc>
          <w:tcPr>
            <w:tcW w:w="920" w:type="dxa"/>
            <w:vAlign w:val="bottom"/>
            <w:gridSpan w:val="2"/>
          </w:tcPr>
          <w:p>
            <w:pPr>
              <w:jc w:val="right"/>
              <w:spacing w:after="0"/>
              <w:rPr>
                <w:sz w:val="20"/>
                <w:szCs w:val="20"/>
                <w:color w:val="auto"/>
              </w:rPr>
            </w:pPr>
            <w:r>
              <w:rPr>
                <w:rFonts w:ascii="Arial" w:cs="Arial" w:eastAsia="Arial" w:hAnsi="Arial"/>
                <w:sz w:val="12"/>
                <w:szCs w:val="12"/>
                <w:color w:val="auto"/>
              </w:rPr>
              <w:t>4,736,107</w:t>
            </w:r>
          </w:p>
        </w:tc>
        <w:tc>
          <w:tcPr>
            <w:tcW w:w="920" w:type="dxa"/>
            <w:vAlign w:val="bottom"/>
            <w:gridSpan w:val="2"/>
          </w:tcPr>
          <w:p>
            <w:pPr>
              <w:jc w:val="right"/>
              <w:spacing w:after="0"/>
              <w:rPr>
                <w:sz w:val="20"/>
                <w:szCs w:val="20"/>
                <w:color w:val="auto"/>
              </w:rPr>
            </w:pPr>
            <w:r>
              <w:rPr>
                <w:rFonts w:ascii="Arial" w:cs="Arial" w:eastAsia="Arial" w:hAnsi="Arial"/>
                <w:sz w:val="12"/>
                <w:szCs w:val="12"/>
                <w:color w:val="auto"/>
              </w:rPr>
              <w:t>4,599,788</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236,805</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60" w:type="dxa"/>
            <w:vAlign w:val="bottom"/>
            <w:shd w:val="clear" w:color="auto" w:fill="CFF0FC"/>
          </w:tcPr>
          <w:p>
            <w:pPr>
              <w:spacing w:after="0"/>
              <w:rPr>
                <w:sz w:val="20"/>
                <w:szCs w:val="20"/>
                <w:color w:val="auto"/>
              </w:rPr>
            </w:pPr>
            <w:r>
              <w:rPr>
                <w:rFonts w:ascii="Arial" w:cs="Arial" w:eastAsia="Arial" w:hAnsi="Arial"/>
                <w:sz w:val="12"/>
                <w:szCs w:val="12"/>
                <w:color w:val="auto"/>
              </w:rPr>
              <w:t>Lombart Brothers, Inc.</w:t>
            </w:r>
          </w:p>
        </w:tc>
        <w:tc>
          <w:tcPr>
            <w:tcW w:w="720" w:type="dxa"/>
            <w:vAlign w:val="bottom"/>
            <w:gridSpan w:val="2"/>
            <w:shd w:val="clear" w:color="auto" w:fill="CFF0FC"/>
          </w:tcPr>
          <w:p>
            <w:pPr>
              <w:jc w:val="center"/>
              <w:ind w:left="42"/>
              <w:spacing w:after="0"/>
              <w:rPr>
                <w:sz w:val="20"/>
                <w:szCs w:val="20"/>
                <w:color w:val="auto"/>
              </w:rPr>
            </w:pPr>
            <w:r>
              <w:rPr>
                <w:rFonts w:ascii="Arial" w:cs="Arial" w:eastAsia="Arial" w:hAnsi="Arial"/>
                <w:sz w:val="12"/>
                <w:szCs w:val="12"/>
                <w:color w:val="auto"/>
                <w:w w:val="89"/>
              </w:rPr>
              <w:t>04/13/2023</w:t>
            </w:r>
          </w:p>
        </w:tc>
        <w:tc>
          <w:tcPr>
            <w:tcW w:w="120" w:type="dxa"/>
            <w:vAlign w:val="bottom"/>
            <w:shd w:val="clear" w:color="auto" w:fill="CFF0FC"/>
          </w:tcPr>
          <w:p>
            <w:pPr>
              <w:spacing w:after="0"/>
              <w:rPr>
                <w:sz w:val="12"/>
                <w:szCs w:val="12"/>
                <w:color w:val="auto"/>
              </w:rPr>
            </w:pPr>
          </w:p>
        </w:tc>
        <w:tc>
          <w:tcPr>
            <w:tcW w:w="2420" w:type="dxa"/>
            <w:vAlign w:val="bottom"/>
            <w:gridSpan w:val="2"/>
            <w:shd w:val="clear" w:color="auto" w:fill="CFF0FC"/>
          </w:tcPr>
          <w:p>
            <w:pPr>
              <w:jc w:val="center"/>
              <w:ind w:right="120"/>
              <w:spacing w:after="0"/>
              <w:rPr>
                <w:sz w:val="20"/>
                <w:szCs w:val="20"/>
                <w:color w:val="auto"/>
              </w:rPr>
            </w:pPr>
            <w:r>
              <w:rPr>
                <w:rFonts w:ascii="Arial" w:cs="Arial" w:eastAsia="Arial" w:hAnsi="Arial"/>
                <w:sz w:val="12"/>
                <w:szCs w:val="12"/>
                <w:color w:val="auto"/>
                <w:w w:val="87"/>
              </w:rPr>
              <w:t>Capital Equipment</w:t>
            </w:r>
          </w:p>
        </w:tc>
        <w:tc>
          <w:tcPr>
            <w:tcW w:w="74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8.19%</w:t>
            </w:r>
          </w:p>
        </w:tc>
        <w:tc>
          <w:tcPr>
            <w:tcW w:w="16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3M L+625</w:t>
            </w: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13,783,976</w:t>
            </w: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13,635,354</w:t>
            </w:r>
          </w:p>
        </w:tc>
        <w:tc>
          <w:tcPr>
            <w:tcW w:w="2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2"/>
                <w:szCs w:val="12"/>
                <w:color w:val="auto"/>
                <w:w w:val="96"/>
              </w:rPr>
              <w:t>13,646,136</w:t>
            </w:r>
          </w:p>
        </w:tc>
        <w:tc>
          <w:tcPr>
            <w:tcW w:w="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560" w:type="dxa"/>
            <w:vAlign w:val="bottom"/>
          </w:tcPr>
          <w:p>
            <w:pPr>
              <w:spacing w:after="0" w:line="149" w:lineRule="exact"/>
              <w:rPr>
                <w:sz w:val="20"/>
                <w:szCs w:val="20"/>
                <w:color w:val="auto"/>
              </w:rPr>
            </w:pPr>
            <w:r>
              <w:rPr>
                <w:rFonts w:ascii="Arial" w:cs="Arial" w:eastAsia="Arial" w:hAnsi="Arial"/>
                <w:sz w:val="11"/>
                <w:szCs w:val="11"/>
                <w:color w:val="auto"/>
              </w:rPr>
              <w:t xml:space="preserve">Lombart Brothers, Inc. (Revolver) </w:t>
            </w:r>
            <w:r>
              <w:rPr>
                <w:rFonts w:ascii="Arial" w:cs="Arial" w:eastAsia="Arial" w:hAnsi="Arial"/>
                <w:sz w:val="17"/>
                <w:szCs w:val="17"/>
                <w:color w:val="auto"/>
                <w:vertAlign w:val="superscript"/>
              </w:rPr>
              <w:t>(7)</w:t>
            </w:r>
          </w:p>
        </w:tc>
        <w:tc>
          <w:tcPr>
            <w:tcW w:w="720" w:type="dxa"/>
            <w:vAlign w:val="bottom"/>
            <w:gridSpan w:val="2"/>
          </w:tcPr>
          <w:p>
            <w:pPr>
              <w:jc w:val="center"/>
              <w:ind w:left="42"/>
              <w:spacing w:after="0"/>
              <w:rPr>
                <w:sz w:val="20"/>
                <w:szCs w:val="20"/>
                <w:color w:val="auto"/>
              </w:rPr>
            </w:pPr>
            <w:r>
              <w:rPr>
                <w:rFonts w:ascii="Arial" w:cs="Arial" w:eastAsia="Arial" w:hAnsi="Arial"/>
                <w:sz w:val="12"/>
                <w:szCs w:val="12"/>
                <w:color w:val="auto"/>
                <w:w w:val="89"/>
              </w:rPr>
              <w:t>04/13/2023</w:t>
            </w:r>
          </w:p>
        </w:tc>
        <w:tc>
          <w:tcPr>
            <w:tcW w:w="120" w:type="dxa"/>
            <w:vAlign w:val="bottom"/>
          </w:tcPr>
          <w:p>
            <w:pPr>
              <w:spacing w:after="0"/>
              <w:rPr>
                <w:sz w:val="12"/>
                <w:szCs w:val="12"/>
                <w:color w:val="auto"/>
              </w:rPr>
            </w:pPr>
          </w:p>
        </w:tc>
        <w:tc>
          <w:tcPr>
            <w:tcW w:w="2420" w:type="dxa"/>
            <w:vAlign w:val="bottom"/>
            <w:gridSpan w:val="2"/>
          </w:tcPr>
          <w:p>
            <w:pPr>
              <w:jc w:val="center"/>
              <w:ind w:right="120"/>
              <w:spacing w:after="0"/>
              <w:rPr>
                <w:sz w:val="20"/>
                <w:szCs w:val="20"/>
                <w:color w:val="auto"/>
              </w:rPr>
            </w:pPr>
            <w:r>
              <w:rPr>
                <w:rFonts w:ascii="Arial" w:cs="Arial" w:eastAsia="Arial" w:hAnsi="Arial"/>
                <w:sz w:val="12"/>
                <w:szCs w:val="12"/>
                <w:color w:val="auto"/>
                <w:w w:val="87"/>
              </w:rPr>
              <w:t>Capital Equipment</w:t>
            </w:r>
          </w:p>
        </w:tc>
        <w:tc>
          <w:tcPr>
            <w:tcW w:w="740" w:type="dxa"/>
            <w:vAlign w:val="bottom"/>
            <w:gridSpan w:val="2"/>
          </w:tcPr>
          <w:p>
            <w:pPr>
              <w:jc w:val="right"/>
              <w:spacing w:after="0"/>
              <w:rPr>
                <w:sz w:val="20"/>
                <w:szCs w:val="20"/>
                <w:color w:val="auto"/>
              </w:rPr>
            </w:pPr>
            <w:r>
              <w:rPr>
                <w:rFonts w:ascii="Arial" w:cs="Arial" w:eastAsia="Arial" w:hAnsi="Arial"/>
                <w:sz w:val="12"/>
                <w:szCs w:val="12"/>
                <w:color w:val="auto"/>
              </w:rPr>
              <w:t>9.75%</w:t>
            </w:r>
          </w:p>
        </w:tc>
        <w:tc>
          <w:tcPr>
            <w:tcW w:w="16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P+500</w:t>
            </w:r>
          </w:p>
        </w:tc>
        <w:tc>
          <w:tcPr>
            <w:tcW w:w="920" w:type="dxa"/>
            <w:vAlign w:val="bottom"/>
            <w:gridSpan w:val="2"/>
          </w:tcPr>
          <w:p>
            <w:pPr>
              <w:jc w:val="right"/>
              <w:spacing w:after="0"/>
              <w:rPr>
                <w:sz w:val="20"/>
                <w:szCs w:val="20"/>
                <w:color w:val="auto"/>
              </w:rPr>
            </w:pPr>
            <w:r>
              <w:rPr>
                <w:rFonts w:ascii="Arial" w:cs="Arial" w:eastAsia="Arial" w:hAnsi="Arial"/>
                <w:sz w:val="12"/>
                <w:szCs w:val="12"/>
                <w:color w:val="auto"/>
              </w:rPr>
              <w:t>510,151</w:t>
            </w:r>
          </w:p>
        </w:tc>
        <w:tc>
          <w:tcPr>
            <w:tcW w:w="920" w:type="dxa"/>
            <w:vAlign w:val="bottom"/>
            <w:gridSpan w:val="2"/>
          </w:tcPr>
          <w:p>
            <w:pPr>
              <w:jc w:val="right"/>
              <w:spacing w:after="0"/>
              <w:rPr>
                <w:sz w:val="20"/>
                <w:szCs w:val="20"/>
                <w:color w:val="auto"/>
              </w:rPr>
            </w:pPr>
            <w:r>
              <w:rPr>
                <w:rFonts w:ascii="Arial" w:cs="Arial" w:eastAsia="Arial" w:hAnsi="Arial"/>
                <w:sz w:val="12"/>
                <w:szCs w:val="12"/>
                <w:color w:val="auto"/>
              </w:rPr>
              <w:t>510,151</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507,600</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560" w:type="dxa"/>
            <w:vAlign w:val="bottom"/>
            <w:shd w:val="clear" w:color="auto" w:fill="CFF0FC"/>
          </w:tcPr>
          <w:p>
            <w:pPr>
              <w:spacing w:after="0" w:line="149" w:lineRule="exact"/>
              <w:rPr>
                <w:sz w:val="20"/>
                <w:szCs w:val="20"/>
                <w:color w:val="auto"/>
              </w:rPr>
            </w:pPr>
            <w:r>
              <w:rPr>
                <w:rFonts w:ascii="Arial" w:cs="Arial" w:eastAsia="Arial" w:hAnsi="Arial"/>
                <w:sz w:val="11"/>
                <w:szCs w:val="11"/>
                <w:color w:val="auto"/>
              </w:rPr>
              <w:t xml:space="preserve">Lombart Brothers, Inc. (Revolver) </w:t>
            </w:r>
            <w:r>
              <w:rPr>
                <w:rFonts w:ascii="Arial" w:cs="Arial" w:eastAsia="Arial" w:hAnsi="Arial"/>
                <w:sz w:val="17"/>
                <w:szCs w:val="17"/>
                <w:color w:val="auto"/>
                <w:vertAlign w:val="superscript"/>
              </w:rPr>
              <w:t>(7), (9)</w:t>
            </w:r>
          </w:p>
        </w:tc>
        <w:tc>
          <w:tcPr>
            <w:tcW w:w="720" w:type="dxa"/>
            <w:vAlign w:val="bottom"/>
            <w:gridSpan w:val="2"/>
            <w:shd w:val="clear" w:color="auto" w:fill="CFF0FC"/>
          </w:tcPr>
          <w:p>
            <w:pPr>
              <w:jc w:val="center"/>
              <w:ind w:left="42"/>
              <w:spacing w:after="0"/>
              <w:rPr>
                <w:sz w:val="20"/>
                <w:szCs w:val="20"/>
                <w:color w:val="auto"/>
              </w:rPr>
            </w:pPr>
            <w:r>
              <w:rPr>
                <w:rFonts w:ascii="Arial" w:cs="Arial" w:eastAsia="Arial" w:hAnsi="Arial"/>
                <w:sz w:val="12"/>
                <w:szCs w:val="12"/>
                <w:color w:val="auto"/>
                <w:w w:val="89"/>
              </w:rPr>
              <w:t>04/13/2023</w:t>
            </w:r>
          </w:p>
        </w:tc>
        <w:tc>
          <w:tcPr>
            <w:tcW w:w="120" w:type="dxa"/>
            <w:vAlign w:val="bottom"/>
            <w:shd w:val="clear" w:color="auto" w:fill="CFF0FC"/>
          </w:tcPr>
          <w:p>
            <w:pPr>
              <w:spacing w:after="0"/>
              <w:rPr>
                <w:sz w:val="12"/>
                <w:szCs w:val="12"/>
                <w:color w:val="auto"/>
              </w:rPr>
            </w:pPr>
          </w:p>
        </w:tc>
        <w:tc>
          <w:tcPr>
            <w:tcW w:w="2420" w:type="dxa"/>
            <w:vAlign w:val="bottom"/>
            <w:gridSpan w:val="2"/>
            <w:shd w:val="clear" w:color="auto" w:fill="CFF0FC"/>
          </w:tcPr>
          <w:p>
            <w:pPr>
              <w:jc w:val="center"/>
              <w:ind w:right="120"/>
              <w:spacing w:after="0"/>
              <w:rPr>
                <w:sz w:val="20"/>
                <w:szCs w:val="20"/>
                <w:color w:val="auto"/>
              </w:rPr>
            </w:pPr>
            <w:r>
              <w:rPr>
                <w:rFonts w:ascii="Arial" w:cs="Arial" w:eastAsia="Arial" w:hAnsi="Arial"/>
                <w:sz w:val="12"/>
                <w:szCs w:val="12"/>
                <w:color w:val="auto"/>
                <w:w w:val="87"/>
              </w:rPr>
              <w:t>Capital Equipment</w:t>
            </w:r>
          </w:p>
        </w:tc>
        <w:tc>
          <w:tcPr>
            <w:tcW w:w="74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w:t>
            </w:r>
          </w:p>
        </w:tc>
        <w:tc>
          <w:tcPr>
            <w:tcW w:w="16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728,787</w:t>
            </w:r>
          </w:p>
        </w:tc>
        <w:tc>
          <w:tcPr>
            <w:tcW w:w="20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00" w:type="dxa"/>
            <w:vAlign w:val="bottom"/>
            <w:gridSpan w:val="2"/>
            <w:shd w:val="clear" w:color="auto" w:fill="CFF0FC"/>
          </w:tcPr>
          <w:p>
            <w:pPr>
              <w:jc w:val="right"/>
              <w:ind w:right="40"/>
              <w:spacing w:after="0"/>
              <w:rPr>
                <w:sz w:val="20"/>
                <w:szCs w:val="20"/>
                <w:color w:val="auto"/>
              </w:rPr>
            </w:pPr>
            <w:r>
              <w:rPr>
                <w:rFonts w:ascii="Arial" w:cs="Arial" w:eastAsia="Arial" w:hAnsi="Arial"/>
                <w:sz w:val="12"/>
                <w:szCs w:val="12"/>
                <w:color w:val="auto"/>
              </w:rPr>
              <w:t>(3,644)</w:t>
            </w:r>
          </w:p>
        </w:tc>
        <w:tc>
          <w:tcPr>
            <w:tcW w:w="0" w:type="dxa"/>
            <w:vAlign w:val="bottom"/>
          </w:tcPr>
          <w:p>
            <w:pPr>
              <w:spacing w:after="0"/>
              <w:rPr>
                <w:sz w:val="1"/>
                <w:szCs w:val="1"/>
                <w:color w:val="auto"/>
              </w:rPr>
            </w:pPr>
          </w:p>
        </w:tc>
      </w:tr>
      <w:tr>
        <w:trPr>
          <w:trHeight w:val="148"/>
        </w:trPr>
        <w:tc>
          <w:tcPr>
            <w:tcW w:w="3560" w:type="dxa"/>
            <w:vAlign w:val="bottom"/>
          </w:tcPr>
          <w:p>
            <w:pPr>
              <w:spacing w:after="0"/>
              <w:rPr>
                <w:sz w:val="20"/>
                <w:szCs w:val="20"/>
                <w:color w:val="auto"/>
              </w:rPr>
            </w:pPr>
            <w:r>
              <w:rPr>
                <w:rFonts w:ascii="Arial" w:cs="Arial" w:eastAsia="Arial" w:hAnsi="Arial"/>
                <w:sz w:val="12"/>
                <w:szCs w:val="12"/>
                <w:color w:val="auto"/>
              </w:rPr>
              <w:t>Long Island Vision Management, LLC</w:t>
            </w:r>
          </w:p>
        </w:tc>
        <w:tc>
          <w:tcPr>
            <w:tcW w:w="720" w:type="dxa"/>
            <w:vAlign w:val="bottom"/>
            <w:gridSpan w:val="2"/>
          </w:tcPr>
          <w:p>
            <w:pPr>
              <w:jc w:val="center"/>
              <w:ind w:left="42"/>
              <w:spacing w:after="0"/>
              <w:rPr>
                <w:sz w:val="20"/>
                <w:szCs w:val="20"/>
                <w:color w:val="auto"/>
              </w:rPr>
            </w:pPr>
            <w:r>
              <w:rPr>
                <w:rFonts w:ascii="Arial" w:cs="Arial" w:eastAsia="Arial" w:hAnsi="Arial"/>
                <w:sz w:val="12"/>
                <w:szCs w:val="12"/>
                <w:color w:val="auto"/>
                <w:w w:val="89"/>
              </w:rPr>
              <w:t>09/11/2023</w:t>
            </w:r>
          </w:p>
        </w:tc>
        <w:tc>
          <w:tcPr>
            <w:tcW w:w="120" w:type="dxa"/>
            <w:vAlign w:val="bottom"/>
          </w:tcPr>
          <w:p>
            <w:pPr>
              <w:spacing w:after="0"/>
              <w:rPr>
                <w:sz w:val="12"/>
                <w:szCs w:val="12"/>
                <w:color w:val="auto"/>
              </w:rPr>
            </w:pPr>
          </w:p>
        </w:tc>
        <w:tc>
          <w:tcPr>
            <w:tcW w:w="2420" w:type="dxa"/>
            <w:vAlign w:val="bottom"/>
            <w:gridSpan w:val="2"/>
          </w:tcPr>
          <w:p>
            <w:pPr>
              <w:jc w:val="center"/>
              <w:ind w:right="120"/>
              <w:spacing w:after="0"/>
              <w:rPr>
                <w:sz w:val="20"/>
                <w:szCs w:val="20"/>
                <w:color w:val="auto"/>
              </w:rPr>
            </w:pPr>
            <w:r>
              <w:rPr>
                <w:rFonts w:ascii="Arial" w:cs="Arial" w:eastAsia="Arial" w:hAnsi="Arial"/>
                <w:sz w:val="12"/>
                <w:szCs w:val="12"/>
                <w:color w:val="auto"/>
                <w:w w:val="86"/>
              </w:rPr>
              <w:t>Healthcare and Pharmaceuticals</w:t>
            </w:r>
          </w:p>
        </w:tc>
        <w:tc>
          <w:tcPr>
            <w:tcW w:w="740" w:type="dxa"/>
            <w:vAlign w:val="bottom"/>
            <w:gridSpan w:val="2"/>
          </w:tcPr>
          <w:p>
            <w:pPr>
              <w:jc w:val="right"/>
              <w:spacing w:after="0"/>
              <w:rPr>
                <w:sz w:val="20"/>
                <w:szCs w:val="20"/>
                <w:color w:val="auto"/>
              </w:rPr>
            </w:pPr>
            <w:r>
              <w:rPr>
                <w:rFonts w:ascii="Arial" w:cs="Arial" w:eastAsia="Arial" w:hAnsi="Arial"/>
                <w:sz w:val="12"/>
                <w:szCs w:val="12"/>
                <w:color w:val="auto"/>
              </w:rPr>
              <w:t>6.71%</w:t>
            </w:r>
          </w:p>
        </w:tc>
        <w:tc>
          <w:tcPr>
            <w:tcW w:w="16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3M L+475</w:t>
            </w:r>
          </w:p>
        </w:tc>
        <w:tc>
          <w:tcPr>
            <w:tcW w:w="920" w:type="dxa"/>
            <w:vAlign w:val="bottom"/>
            <w:gridSpan w:val="2"/>
          </w:tcPr>
          <w:p>
            <w:pPr>
              <w:jc w:val="right"/>
              <w:spacing w:after="0"/>
              <w:rPr>
                <w:sz w:val="20"/>
                <w:szCs w:val="20"/>
                <w:color w:val="auto"/>
              </w:rPr>
            </w:pPr>
            <w:r>
              <w:rPr>
                <w:rFonts w:ascii="Arial" w:cs="Arial" w:eastAsia="Arial" w:hAnsi="Arial"/>
                <w:sz w:val="12"/>
                <w:szCs w:val="12"/>
                <w:color w:val="auto"/>
              </w:rPr>
              <w:t>8,986,333</w:t>
            </w:r>
          </w:p>
        </w:tc>
        <w:tc>
          <w:tcPr>
            <w:tcW w:w="920" w:type="dxa"/>
            <w:vAlign w:val="bottom"/>
            <w:gridSpan w:val="2"/>
          </w:tcPr>
          <w:p>
            <w:pPr>
              <w:jc w:val="right"/>
              <w:spacing w:after="0"/>
              <w:rPr>
                <w:sz w:val="20"/>
                <w:szCs w:val="20"/>
                <w:color w:val="auto"/>
              </w:rPr>
            </w:pPr>
            <w:r>
              <w:rPr>
                <w:rFonts w:ascii="Arial" w:cs="Arial" w:eastAsia="Arial" w:hAnsi="Arial"/>
                <w:sz w:val="12"/>
                <w:szCs w:val="12"/>
                <w:color w:val="auto"/>
              </w:rPr>
              <w:t>8,937,856</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8,936,009</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560" w:type="dxa"/>
            <w:vAlign w:val="bottom"/>
            <w:shd w:val="clear" w:color="auto" w:fill="CFF0FC"/>
          </w:tcPr>
          <w:p>
            <w:pPr>
              <w:spacing w:after="0" w:line="149" w:lineRule="exact"/>
              <w:rPr>
                <w:sz w:val="20"/>
                <w:szCs w:val="20"/>
                <w:color w:val="auto"/>
              </w:rPr>
            </w:pPr>
            <w:r>
              <w:rPr>
                <w:rFonts w:ascii="Arial" w:cs="Arial" w:eastAsia="Arial" w:hAnsi="Arial"/>
                <w:sz w:val="11"/>
                <w:szCs w:val="11"/>
                <w:color w:val="auto"/>
              </w:rPr>
              <w:t xml:space="preserve">Long Island Vision Management, LLC </w:t>
            </w:r>
            <w:r>
              <w:rPr>
                <w:rFonts w:ascii="Arial" w:cs="Arial" w:eastAsia="Arial" w:hAnsi="Arial"/>
                <w:sz w:val="17"/>
                <w:szCs w:val="17"/>
                <w:color w:val="auto"/>
                <w:vertAlign w:val="superscript"/>
              </w:rPr>
              <w:t>(7), (9)</w:t>
            </w:r>
          </w:p>
        </w:tc>
        <w:tc>
          <w:tcPr>
            <w:tcW w:w="720" w:type="dxa"/>
            <w:vAlign w:val="bottom"/>
            <w:gridSpan w:val="2"/>
            <w:shd w:val="clear" w:color="auto" w:fill="CFF0FC"/>
          </w:tcPr>
          <w:p>
            <w:pPr>
              <w:jc w:val="center"/>
              <w:ind w:left="42"/>
              <w:spacing w:after="0"/>
              <w:rPr>
                <w:sz w:val="20"/>
                <w:szCs w:val="20"/>
                <w:color w:val="auto"/>
              </w:rPr>
            </w:pPr>
            <w:r>
              <w:rPr>
                <w:rFonts w:ascii="Arial" w:cs="Arial" w:eastAsia="Arial" w:hAnsi="Arial"/>
                <w:sz w:val="12"/>
                <w:szCs w:val="12"/>
                <w:color w:val="auto"/>
                <w:w w:val="89"/>
              </w:rPr>
              <w:t>09/11/2023</w:t>
            </w:r>
          </w:p>
        </w:tc>
        <w:tc>
          <w:tcPr>
            <w:tcW w:w="120" w:type="dxa"/>
            <w:vAlign w:val="bottom"/>
            <w:shd w:val="clear" w:color="auto" w:fill="CFF0FC"/>
          </w:tcPr>
          <w:p>
            <w:pPr>
              <w:spacing w:after="0"/>
              <w:rPr>
                <w:sz w:val="12"/>
                <w:szCs w:val="12"/>
                <w:color w:val="auto"/>
              </w:rPr>
            </w:pPr>
          </w:p>
        </w:tc>
        <w:tc>
          <w:tcPr>
            <w:tcW w:w="2420" w:type="dxa"/>
            <w:vAlign w:val="bottom"/>
            <w:gridSpan w:val="2"/>
            <w:shd w:val="clear" w:color="auto" w:fill="CFF0FC"/>
          </w:tcPr>
          <w:p>
            <w:pPr>
              <w:jc w:val="center"/>
              <w:ind w:right="120"/>
              <w:spacing w:after="0"/>
              <w:rPr>
                <w:sz w:val="20"/>
                <w:szCs w:val="20"/>
                <w:color w:val="auto"/>
              </w:rPr>
            </w:pPr>
            <w:r>
              <w:rPr>
                <w:rFonts w:ascii="Arial" w:cs="Arial" w:eastAsia="Arial" w:hAnsi="Arial"/>
                <w:sz w:val="12"/>
                <w:szCs w:val="12"/>
                <w:color w:val="auto"/>
                <w:w w:val="86"/>
              </w:rPr>
              <w:t>Healthcare and Pharmaceuticals</w:t>
            </w:r>
          </w:p>
        </w:tc>
        <w:tc>
          <w:tcPr>
            <w:tcW w:w="74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w:t>
            </w:r>
          </w:p>
        </w:tc>
        <w:tc>
          <w:tcPr>
            <w:tcW w:w="16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930,906</w:t>
            </w:r>
          </w:p>
        </w:tc>
        <w:tc>
          <w:tcPr>
            <w:tcW w:w="20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00" w:type="dxa"/>
            <w:vAlign w:val="bottom"/>
            <w:gridSpan w:val="2"/>
            <w:shd w:val="clear" w:color="auto" w:fill="CFF0FC"/>
          </w:tcPr>
          <w:p>
            <w:pPr>
              <w:jc w:val="right"/>
              <w:ind w:right="40"/>
              <w:spacing w:after="0"/>
              <w:rPr>
                <w:sz w:val="20"/>
                <w:szCs w:val="20"/>
                <w:color w:val="auto"/>
              </w:rPr>
            </w:pPr>
            <w:r>
              <w:rPr>
                <w:rFonts w:ascii="Arial" w:cs="Arial" w:eastAsia="Arial" w:hAnsi="Arial"/>
                <w:sz w:val="12"/>
                <w:szCs w:val="12"/>
                <w:color w:val="auto"/>
              </w:rPr>
              <w:t>(5,213)</w:t>
            </w:r>
          </w:p>
        </w:tc>
        <w:tc>
          <w:tcPr>
            <w:tcW w:w="0" w:type="dxa"/>
            <w:vAlign w:val="bottom"/>
          </w:tcPr>
          <w:p>
            <w:pPr>
              <w:spacing w:after="0"/>
              <w:rPr>
                <w:sz w:val="1"/>
                <w:szCs w:val="1"/>
                <w:color w:val="auto"/>
              </w:rPr>
            </w:pPr>
          </w:p>
        </w:tc>
      </w:tr>
      <w:tr>
        <w:trPr>
          <w:trHeight w:val="149"/>
        </w:trPr>
        <w:tc>
          <w:tcPr>
            <w:tcW w:w="3560" w:type="dxa"/>
            <w:vAlign w:val="bottom"/>
          </w:tcPr>
          <w:p>
            <w:pPr>
              <w:spacing w:after="0"/>
              <w:rPr>
                <w:sz w:val="20"/>
                <w:szCs w:val="20"/>
                <w:color w:val="auto"/>
              </w:rPr>
            </w:pPr>
            <w:r>
              <w:rPr>
                <w:rFonts w:ascii="Arial" w:cs="Arial" w:eastAsia="Arial" w:hAnsi="Arial"/>
                <w:sz w:val="12"/>
                <w:szCs w:val="12"/>
                <w:color w:val="auto"/>
              </w:rPr>
              <w:t>LSF9 Atlantis Holdings, LLC</w:t>
            </w:r>
          </w:p>
        </w:tc>
        <w:tc>
          <w:tcPr>
            <w:tcW w:w="720" w:type="dxa"/>
            <w:vAlign w:val="bottom"/>
            <w:gridSpan w:val="2"/>
          </w:tcPr>
          <w:p>
            <w:pPr>
              <w:jc w:val="center"/>
              <w:ind w:left="42"/>
              <w:spacing w:after="0"/>
              <w:rPr>
                <w:sz w:val="20"/>
                <w:szCs w:val="20"/>
                <w:color w:val="auto"/>
              </w:rPr>
            </w:pPr>
            <w:r>
              <w:rPr>
                <w:rFonts w:ascii="Arial" w:cs="Arial" w:eastAsia="Arial" w:hAnsi="Arial"/>
                <w:sz w:val="12"/>
                <w:szCs w:val="12"/>
                <w:color w:val="auto"/>
                <w:w w:val="89"/>
              </w:rPr>
              <w:t>05/01/2023</w:t>
            </w:r>
          </w:p>
        </w:tc>
        <w:tc>
          <w:tcPr>
            <w:tcW w:w="120" w:type="dxa"/>
            <w:vAlign w:val="bottom"/>
          </w:tcPr>
          <w:p>
            <w:pPr>
              <w:spacing w:after="0"/>
              <w:rPr>
                <w:sz w:val="12"/>
                <w:szCs w:val="12"/>
                <w:color w:val="auto"/>
              </w:rPr>
            </w:pPr>
          </w:p>
        </w:tc>
        <w:tc>
          <w:tcPr>
            <w:tcW w:w="2420" w:type="dxa"/>
            <w:vAlign w:val="bottom"/>
            <w:gridSpan w:val="2"/>
          </w:tcPr>
          <w:p>
            <w:pPr>
              <w:jc w:val="center"/>
              <w:ind w:right="120"/>
              <w:spacing w:after="0"/>
              <w:rPr>
                <w:sz w:val="20"/>
                <w:szCs w:val="20"/>
                <w:color w:val="auto"/>
              </w:rPr>
            </w:pPr>
            <w:r>
              <w:rPr>
                <w:rFonts w:ascii="Arial" w:cs="Arial" w:eastAsia="Arial" w:hAnsi="Arial"/>
                <w:sz w:val="12"/>
                <w:szCs w:val="12"/>
                <w:color w:val="auto"/>
                <w:w w:val="84"/>
              </w:rPr>
              <w:t>Retail</w:t>
            </w:r>
          </w:p>
        </w:tc>
        <w:tc>
          <w:tcPr>
            <w:tcW w:w="740" w:type="dxa"/>
            <w:vAlign w:val="bottom"/>
            <w:gridSpan w:val="2"/>
          </w:tcPr>
          <w:p>
            <w:pPr>
              <w:jc w:val="right"/>
              <w:spacing w:after="0"/>
              <w:rPr>
                <w:sz w:val="20"/>
                <w:szCs w:val="20"/>
                <w:color w:val="auto"/>
              </w:rPr>
            </w:pPr>
            <w:r>
              <w:rPr>
                <w:rFonts w:ascii="Arial" w:cs="Arial" w:eastAsia="Arial" w:hAnsi="Arial"/>
                <w:sz w:val="12"/>
                <w:szCs w:val="12"/>
                <w:color w:val="auto"/>
              </w:rPr>
              <w:t>7.74%</w:t>
            </w:r>
          </w:p>
        </w:tc>
        <w:tc>
          <w:tcPr>
            <w:tcW w:w="16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1M L+600</w:t>
            </w:r>
          </w:p>
        </w:tc>
        <w:tc>
          <w:tcPr>
            <w:tcW w:w="920" w:type="dxa"/>
            <w:vAlign w:val="bottom"/>
            <w:gridSpan w:val="2"/>
          </w:tcPr>
          <w:p>
            <w:pPr>
              <w:jc w:val="right"/>
              <w:spacing w:after="0"/>
              <w:rPr>
                <w:sz w:val="20"/>
                <w:szCs w:val="20"/>
                <w:color w:val="auto"/>
              </w:rPr>
            </w:pPr>
            <w:r>
              <w:rPr>
                <w:rFonts w:ascii="Arial" w:cs="Arial" w:eastAsia="Arial" w:hAnsi="Arial"/>
                <w:sz w:val="12"/>
                <w:szCs w:val="12"/>
                <w:color w:val="auto"/>
              </w:rPr>
              <w:t>13,593,750</w:t>
            </w:r>
          </w:p>
        </w:tc>
        <w:tc>
          <w:tcPr>
            <w:tcW w:w="920" w:type="dxa"/>
            <w:vAlign w:val="bottom"/>
            <w:gridSpan w:val="2"/>
          </w:tcPr>
          <w:p>
            <w:pPr>
              <w:jc w:val="right"/>
              <w:spacing w:after="0"/>
              <w:rPr>
                <w:sz w:val="20"/>
                <w:szCs w:val="20"/>
                <w:color w:val="auto"/>
              </w:rPr>
            </w:pPr>
            <w:r>
              <w:rPr>
                <w:rFonts w:ascii="Arial" w:cs="Arial" w:eastAsia="Arial" w:hAnsi="Arial"/>
                <w:sz w:val="12"/>
                <w:szCs w:val="12"/>
                <w:color w:val="auto"/>
              </w:rPr>
              <w:t>13,504,921</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w w:val="96"/>
              </w:rPr>
              <w:t>12,511,959</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560" w:type="dxa"/>
            <w:vAlign w:val="bottom"/>
            <w:shd w:val="clear" w:color="auto" w:fill="CFF0FC"/>
          </w:tcPr>
          <w:p>
            <w:pPr>
              <w:spacing w:after="0"/>
              <w:rPr>
                <w:sz w:val="20"/>
                <w:szCs w:val="20"/>
                <w:color w:val="auto"/>
              </w:rPr>
            </w:pPr>
            <w:r>
              <w:rPr>
                <w:rFonts w:ascii="Arial" w:cs="Arial" w:eastAsia="Arial" w:hAnsi="Arial"/>
                <w:sz w:val="12"/>
                <w:szCs w:val="12"/>
                <w:color w:val="auto"/>
              </w:rPr>
              <w:t>Manna Pro Products, LLC</w:t>
            </w:r>
          </w:p>
        </w:tc>
        <w:tc>
          <w:tcPr>
            <w:tcW w:w="720" w:type="dxa"/>
            <w:vAlign w:val="bottom"/>
            <w:gridSpan w:val="2"/>
            <w:shd w:val="clear" w:color="auto" w:fill="CFF0FC"/>
          </w:tcPr>
          <w:p>
            <w:pPr>
              <w:jc w:val="center"/>
              <w:ind w:left="42"/>
              <w:spacing w:after="0"/>
              <w:rPr>
                <w:sz w:val="20"/>
                <w:szCs w:val="20"/>
                <w:color w:val="auto"/>
              </w:rPr>
            </w:pPr>
            <w:r>
              <w:rPr>
                <w:rFonts w:ascii="Arial" w:cs="Arial" w:eastAsia="Arial" w:hAnsi="Arial"/>
                <w:sz w:val="12"/>
                <w:szCs w:val="12"/>
                <w:color w:val="auto"/>
                <w:w w:val="89"/>
              </w:rPr>
              <w:t>12/08/2023</w:t>
            </w:r>
          </w:p>
        </w:tc>
        <w:tc>
          <w:tcPr>
            <w:tcW w:w="120" w:type="dxa"/>
            <w:vAlign w:val="bottom"/>
            <w:shd w:val="clear" w:color="auto" w:fill="CFF0FC"/>
          </w:tcPr>
          <w:p>
            <w:pPr>
              <w:spacing w:after="0"/>
              <w:rPr>
                <w:sz w:val="12"/>
                <w:szCs w:val="12"/>
                <w:color w:val="auto"/>
              </w:rPr>
            </w:pPr>
          </w:p>
        </w:tc>
        <w:tc>
          <w:tcPr>
            <w:tcW w:w="2420" w:type="dxa"/>
            <w:vAlign w:val="bottom"/>
            <w:gridSpan w:val="2"/>
            <w:shd w:val="clear" w:color="auto" w:fill="CFF0FC"/>
          </w:tcPr>
          <w:p>
            <w:pPr>
              <w:jc w:val="center"/>
              <w:ind w:right="120"/>
              <w:spacing w:after="0"/>
              <w:rPr>
                <w:sz w:val="20"/>
                <w:szCs w:val="20"/>
                <w:color w:val="auto"/>
              </w:rPr>
            </w:pPr>
            <w:r>
              <w:rPr>
                <w:rFonts w:ascii="Arial" w:cs="Arial" w:eastAsia="Arial" w:hAnsi="Arial"/>
                <w:sz w:val="12"/>
                <w:szCs w:val="12"/>
                <w:color w:val="auto"/>
                <w:w w:val="88"/>
              </w:rPr>
              <w:t>Consumer Goods: Non-Durable</w:t>
            </w:r>
          </w:p>
        </w:tc>
        <w:tc>
          <w:tcPr>
            <w:tcW w:w="74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7.80%</w:t>
            </w:r>
          </w:p>
        </w:tc>
        <w:tc>
          <w:tcPr>
            <w:tcW w:w="16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1M L+600</w:t>
            </w: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8,368,750</w:t>
            </w: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8,309,166</w:t>
            </w:r>
          </w:p>
        </w:tc>
        <w:tc>
          <w:tcPr>
            <w:tcW w:w="2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8,133,588</w:t>
            </w:r>
          </w:p>
        </w:tc>
        <w:tc>
          <w:tcPr>
            <w:tcW w:w="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560" w:type="dxa"/>
            <w:vAlign w:val="bottom"/>
          </w:tcPr>
          <w:p>
            <w:pPr>
              <w:spacing w:after="0"/>
              <w:rPr>
                <w:sz w:val="20"/>
                <w:szCs w:val="20"/>
                <w:color w:val="auto"/>
              </w:rPr>
            </w:pPr>
            <w:r>
              <w:rPr>
                <w:rFonts w:ascii="Arial" w:cs="Arial" w:eastAsia="Arial" w:hAnsi="Arial"/>
                <w:sz w:val="12"/>
                <w:szCs w:val="12"/>
                <w:color w:val="auto"/>
              </w:rPr>
              <w:t>Marketplace Events LLC</w:t>
            </w:r>
          </w:p>
        </w:tc>
        <w:tc>
          <w:tcPr>
            <w:tcW w:w="720" w:type="dxa"/>
            <w:vAlign w:val="bottom"/>
            <w:gridSpan w:val="2"/>
          </w:tcPr>
          <w:p>
            <w:pPr>
              <w:jc w:val="center"/>
              <w:ind w:left="42"/>
              <w:spacing w:after="0"/>
              <w:rPr>
                <w:sz w:val="20"/>
                <w:szCs w:val="20"/>
                <w:color w:val="auto"/>
              </w:rPr>
            </w:pPr>
            <w:r>
              <w:rPr>
                <w:rFonts w:ascii="Arial" w:cs="Arial" w:eastAsia="Arial" w:hAnsi="Arial"/>
                <w:sz w:val="12"/>
                <w:szCs w:val="12"/>
                <w:color w:val="auto"/>
                <w:w w:val="89"/>
              </w:rPr>
              <w:t>01/27/2023</w:t>
            </w:r>
          </w:p>
        </w:tc>
        <w:tc>
          <w:tcPr>
            <w:tcW w:w="120" w:type="dxa"/>
            <w:vAlign w:val="bottom"/>
          </w:tcPr>
          <w:p>
            <w:pPr>
              <w:spacing w:after="0"/>
              <w:rPr>
                <w:sz w:val="12"/>
                <w:szCs w:val="12"/>
                <w:color w:val="auto"/>
              </w:rPr>
            </w:pPr>
          </w:p>
        </w:tc>
        <w:tc>
          <w:tcPr>
            <w:tcW w:w="2420" w:type="dxa"/>
            <w:vAlign w:val="bottom"/>
            <w:gridSpan w:val="2"/>
          </w:tcPr>
          <w:p>
            <w:pPr>
              <w:jc w:val="center"/>
              <w:ind w:right="120"/>
              <w:spacing w:after="0"/>
              <w:rPr>
                <w:sz w:val="20"/>
                <w:szCs w:val="20"/>
                <w:color w:val="auto"/>
              </w:rPr>
            </w:pPr>
            <w:r>
              <w:rPr>
                <w:rFonts w:ascii="Arial" w:cs="Arial" w:eastAsia="Arial" w:hAnsi="Arial"/>
                <w:sz w:val="12"/>
                <w:szCs w:val="12"/>
                <w:color w:val="auto"/>
                <w:w w:val="90"/>
              </w:rPr>
              <w:t>Media: Diversified and Production</w:t>
            </w:r>
          </w:p>
        </w:tc>
        <w:tc>
          <w:tcPr>
            <w:tcW w:w="740" w:type="dxa"/>
            <w:vAlign w:val="bottom"/>
            <w:gridSpan w:val="2"/>
          </w:tcPr>
          <w:p>
            <w:pPr>
              <w:jc w:val="right"/>
              <w:spacing w:after="0"/>
              <w:rPr>
                <w:sz w:val="20"/>
                <w:szCs w:val="20"/>
                <w:color w:val="auto"/>
              </w:rPr>
            </w:pPr>
            <w:r>
              <w:rPr>
                <w:rFonts w:ascii="Arial" w:cs="Arial" w:eastAsia="Arial" w:hAnsi="Arial"/>
                <w:sz w:val="12"/>
                <w:szCs w:val="12"/>
                <w:color w:val="auto"/>
              </w:rPr>
              <w:t>7.19%</w:t>
            </w:r>
          </w:p>
        </w:tc>
        <w:tc>
          <w:tcPr>
            <w:tcW w:w="16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3M L+525</w:t>
            </w:r>
          </w:p>
        </w:tc>
        <w:tc>
          <w:tcPr>
            <w:tcW w:w="920" w:type="dxa"/>
            <w:vAlign w:val="bottom"/>
            <w:gridSpan w:val="2"/>
          </w:tcPr>
          <w:p>
            <w:pPr>
              <w:jc w:val="right"/>
              <w:spacing w:after="0"/>
              <w:rPr>
                <w:sz w:val="20"/>
                <w:szCs w:val="20"/>
                <w:color w:val="auto"/>
              </w:rPr>
            </w:pPr>
            <w:r>
              <w:rPr>
                <w:rFonts w:ascii="Arial" w:cs="Arial" w:eastAsia="Arial" w:hAnsi="Arial"/>
                <w:sz w:val="12"/>
                <w:szCs w:val="12"/>
                <w:color w:val="auto"/>
              </w:rPr>
              <w:t>5,298,467</w:t>
            </w:r>
          </w:p>
        </w:tc>
        <w:tc>
          <w:tcPr>
            <w:tcW w:w="920" w:type="dxa"/>
            <w:vAlign w:val="bottom"/>
            <w:gridSpan w:val="2"/>
          </w:tcPr>
          <w:p>
            <w:pPr>
              <w:jc w:val="right"/>
              <w:spacing w:after="0"/>
              <w:rPr>
                <w:sz w:val="20"/>
                <w:szCs w:val="20"/>
                <w:color w:val="auto"/>
              </w:rPr>
            </w:pPr>
            <w:r>
              <w:rPr>
                <w:rFonts w:ascii="Arial" w:cs="Arial" w:eastAsia="Arial" w:hAnsi="Arial"/>
                <w:sz w:val="12"/>
                <w:szCs w:val="12"/>
                <w:color w:val="auto"/>
              </w:rPr>
              <w:t>5,231,575</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5,245,483</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560" w:type="dxa"/>
            <w:vAlign w:val="bottom"/>
            <w:shd w:val="clear" w:color="auto" w:fill="CFF0FC"/>
          </w:tcPr>
          <w:p>
            <w:pPr>
              <w:spacing w:after="0" w:line="149" w:lineRule="exact"/>
              <w:rPr>
                <w:sz w:val="20"/>
                <w:szCs w:val="20"/>
                <w:color w:val="auto"/>
              </w:rPr>
            </w:pPr>
            <w:r>
              <w:rPr>
                <w:rFonts w:ascii="Arial" w:cs="Arial" w:eastAsia="Arial" w:hAnsi="Arial"/>
                <w:sz w:val="11"/>
                <w:szCs w:val="11"/>
                <w:color w:val="auto"/>
              </w:rPr>
              <w:t xml:space="preserve">Marketplace Events LLC </w:t>
            </w:r>
            <w:r>
              <w:rPr>
                <w:rFonts w:ascii="Arial" w:cs="Arial" w:eastAsia="Arial" w:hAnsi="Arial"/>
                <w:sz w:val="17"/>
                <w:szCs w:val="17"/>
                <w:color w:val="auto"/>
                <w:vertAlign w:val="superscript"/>
              </w:rPr>
              <w:t>(11)</w:t>
            </w:r>
          </w:p>
        </w:tc>
        <w:tc>
          <w:tcPr>
            <w:tcW w:w="720" w:type="dxa"/>
            <w:vAlign w:val="bottom"/>
            <w:gridSpan w:val="2"/>
            <w:shd w:val="clear" w:color="auto" w:fill="CFF0FC"/>
          </w:tcPr>
          <w:p>
            <w:pPr>
              <w:jc w:val="center"/>
              <w:ind w:left="42"/>
              <w:spacing w:after="0"/>
              <w:rPr>
                <w:sz w:val="20"/>
                <w:szCs w:val="20"/>
                <w:color w:val="auto"/>
              </w:rPr>
            </w:pPr>
            <w:r>
              <w:rPr>
                <w:rFonts w:ascii="Arial" w:cs="Arial" w:eastAsia="Arial" w:hAnsi="Arial"/>
                <w:sz w:val="12"/>
                <w:szCs w:val="12"/>
                <w:color w:val="auto"/>
                <w:w w:val="89"/>
              </w:rPr>
              <w:t>01/27/2023</w:t>
            </w:r>
          </w:p>
        </w:tc>
        <w:tc>
          <w:tcPr>
            <w:tcW w:w="120" w:type="dxa"/>
            <w:vAlign w:val="bottom"/>
            <w:shd w:val="clear" w:color="auto" w:fill="CFF0FC"/>
          </w:tcPr>
          <w:p>
            <w:pPr>
              <w:spacing w:after="0"/>
              <w:rPr>
                <w:sz w:val="12"/>
                <w:szCs w:val="12"/>
                <w:color w:val="auto"/>
              </w:rPr>
            </w:pPr>
          </w:p>
        </w:tc>
        <w:tc>
          <w:tcPr>
            <w:tcW w:w="2420" w:type="dxa"/>
            <w:vAlign w:val="bottom"/>
            <w:gridSpan w:val="2"/>
            <w:shd w:val="clear" w:color="auto" w:fill="CFF0FC"/>
          </w:tcPr>
          <w:p>
            <w:pPr>
              <w:jc w:val="center"/>
              <w:ind w:right="120"/>
              <w:spacing w:after="0"/>
              <w:rPr>
                <w:sz w:val="20"/>
                <w:szCs w:val="20"/>
                <w:color w:val="auto"/>
              </w:rPr>
            </w:pPr>
            <w:r>
              <w:rPr>
                <w:rFonts w:ascii="Arial" w:cs="Arial" w:eastAsia="Arial" w:hAnsi="Arial"/>
                <w:sz w:val="12"/>
                <w:szCs w:val="12"/>
                <w:color w:val="auto"/>
                <w:w w:val="90"/>
              </w:rPr>
              <w:t>Media: Diversified and Production</w:t>
            </w:r>
          </w:p>
        </w:tc>
        <w:tc>
          <w:tcPr>
            <w:tcW w:w="74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7.31%</w:t>
            </w:r>
          </w:p>
        </w:tc>
        <w:tc>
          <w:tcPr>
            <w:tcW w:w="16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P+275</w:t>
            </w: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C$  16,256,630</w:t>
            </w: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11,402,136</w:t>
            </w:r>
          </w:p>
        </w:tc>
        <w:tc>
          <w:tcPr>
            <w:tcW w:w="2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2"/>
                <w:szCs w:val="12"/>
                <w:color w:val="auto"/>
                <w:w w:val="96"/>
              </w:rPr>
              <w:t>12,473,759</w:t>
            </w:r>
          </w:p>
        </w:tc>
        <w:tc>
          <w:tcPr>
            <w:tcW w:w="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560" w:type="dxa"/>
            <w:vAlign w:val="bottom"/>
          </w:tcPr>
          <w:p>
            <w:pPr>
              <w:spacing w:after="0" w:line="149" w:lineRule="exact"/>
              <w:rPr>
                <w:sz w:val="20"/>
                <w:szCs w:val="20"/>
                <w:color w:val="auto"/>
              </w:rPr>
            </w:pPr>
            <w:r>
              <w:rPr>
                <w:rFonts w:ascii="Arial" w:cs="Arial" w:eastAsia="Arial" w:hAnsi="Arial"/>
                <w:sz w:val="11"/>
                <w:szCs w:val="11"/>
                <w:color w:val="auto"/>
              </w:rPr>
              <w:t xml:space="preserve">Marketplace Events LLC (Revolver) </w:t>
            </w:r>
            <w:r>
              <w:rPr>
                <w:rFonts w:ascii="Arial" w:cs="Arial" w:eastAsia="Arial" w:hAnsi="Arial"/>
                <w:sz w:val="17"/>
                <w:szCs w:val="17"/>
                <w:color w:val="auto"/>
                <w:vertAlign w:val="superscript"/>
              </w:rPr>
              <w:t>(7), (9)</w:t>
            </w:r>
          </w:p>
        </w:tc>
        <w:tc>
          <w:tcPr>
            <w:tcW w:w="720" w:type="dxa"/>
            <w:vAlign w:val="bottom"/>
            <w:gridSpan w:val="2"/>
          </w:tcPr>
          <w:p>
            <w:pPr>
              <w:jc w:val="center"/>
              <w:ind w:left="42"/>
              <w:spacing w:after="0"/>
              <w:rPr>
                <w:sz w:val="20"/>
                <w:szCs w:val="20"/>
                <w:color w:val="auto"/>
              </w:rPr>
            </w:pPr>
            <w:r>
              <w:rPr>
                <w:rFonts w:ascii="Arial" w:cs="Arial" w:eastAsia="Arial" w:hAnsi="Arial"/>
                <w:sz w:val="12"/>
                <w:szCs w:val="12"/>
                <w:color w:val="auto"/>
                <w:w w:val="89"/>
              </w:rPr>
              <w:t>01/27/2023</w:t>
            </w:r>
          </w:p>
        </w:tc>
        <w:tc>
          <w:tcPr>
            <w:tcW w:w="120" w:type="dxa"/>
            <w:vAlign w:val="bottom"/>
          </w:tcPr>
          <w:p>
            <w:pPr>
              <w:spacing w:after="0"/>
              <w:rPr>
                <w:sz w:val="12"/>
                <w:szCs w:val="12"/>
                <w:color w:val="auto"/>
              </w:rPr>
            </w:pPr>
          </w:p>
        </w:tc>
        <w:tc>
          <w:tcPr>
            <w:tcW w:w="2420" w:type="dxa"/>
            <w:vAlign w:val="bottom"/>
            <w:gridSpan w:val="2"/>
          </w:tcPr>
          <w:p>
            <w:pPr>
              <w:jc w:val="center"/>
              <w:ind w:right="120"/>
              <w:spacing w:after="0"/>
              <w:rPr>
                <w:sz w:val="20"/>
                <w:szCs w:val="20"/>
                <w:color w:val="auto"/>
              </w:rPr>
            </w:pPr>
            <w:r>
              <w:rPr>
                <w:rFonts w:ascii="Arial" w:cs="Arial" w:eastAsia="Arial" w:hAnsi="Arial"/>
                <w:sz w:val="12"/>
                <w:szCs w:val="12"/>
                <w:color w:val="auto"/>
                <w:w w:val="90"/>
              </w:rPr>
              <w:t>Media: Diversified and Production</w:t>
            </w:r>
          </w:p>
        </w:tc>
        <w:tc>
          <w:tcPr>
            <w:tcW w:w="7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w:t>
            </w:r>
          </w:p>
        </w:tc>
        <w:tc>
          <w:tcPr>
            <w:tcW w:w="920" w:type="dxa"/>
            <w:vAlign w:val="bottom"/>
            <w:gridSpan w:val="2"/>
          </w:tcPr>
          <w:p>
            <w:pPr>
              <w:jc w:val="right"/>
              <w:spacing w:after="0"/>
              <w:rPr>
                <w:sz w:val="20"/>
                <w:szCs w:val="20"/>
                <w:color w:val="auto"/>
              </w:rPr>
            </w:pPr>
            <w:r>
              <w:rPr>
                <w:rFonts w:ascii="Arial" w:cs="Arial" w:eastAsia="Arial" w:hAnsi="Arial"/>
                <w:sz w:val="12"/>
                <w:szCs w:val="12"/>
                <w:color w:val="auto"/>
              </w:rPr>
              <w:t>1,703,163</w:t>
            </w:r>
          </w:p>
        </w:tc>
        <w:tc>
          <w:tcPr>
            <w:tcW w:w="20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8"/>
        </w:trPr>
        <w:tc>
          <w:tcPr>
            <w:tcW w:w="3560" w:type="dxa"/>
            <w:vAlign w:val="bottom"/>
            <w:shd w:val="clear" w:color="auto" w:fill="CFF0FC"/>
          </w:tcPr>
          <w:p>
            <w:pPr>
              <w:spacing w:after="0"/>
              <w:rPr>
                <w:sz w:val="20"/>
                <w:szCs w:val="20"/>
                <w:color w:val="auto"/>
              </w:rPr>
            </w:pPr>
            <w:r>
              <w:rPr>
                <w:rFonts w:ascii="Arial" w:cs="Arial" w:eastAsia="Arial" w:hAnsi="Arial"/>
                <w:sz w:val="12"/>
                <w:szCs w:val="12"/>
                <w:color w:val="auto"/>
              </w:rPr>
              <w:t>MeritDirect, LLC</w:t>
            </w:r>
          </w:p>
        </w:tc>
        <w:tc>
          <w:tcPr>
            <w:tcW w:w="720" w:type="dxa"/>
            <w:vAlign w:val="bottom"/>
            <w:gridSpan w:val="2"/>
            <w:shd w:val="clear" w:color="auto" w:fill="CFF0FC"/>
          </w:tcPr>
          <w:p>
            <w:pPr>
              <w:jc w:val="center"/>
              <w:ind w:left="42"/>
              <w:spacing w:after="0"/>
              <w:rPr>
                <w:sz w:val="20"/>
                <w:szCs w:val="20"/>
                <w:color w:val="auto"/>
              </w:rPr>
            </w:pPr>
            <w:r>
              <w:rPr>
                <w:rFonts w:ascii="Arial" w:cs="Arial" w:eastAsia="Arial" w:hAnsi="Arial"/>
                <w:sz w:val="12"/>
                <w:szCs w:val="12"/>
                <w:color w:val="auto"/>
                <w:w w:val="89"/>
              </w:rPr>
              <w:t>05/23/2024</w:t>
            </w:r>
          </w:p>
        </w:tc>
        <w:tc>
          <w:tcPr>
            <w:tcW w:w="120" w:type="dxa"/>
            <w:vAlign w:val="bottom"/>
            <w:shd w:val="clear" w:color="auto" w:fill="CFF0FC"/>
          </w:tcPr>
          <w:p>
            <w:pPr>
              <w:spacing w:after="0"/>
              <w:rPr>
                <w:sz w:val="12"/>
                <w:szCs w:val="12"/>
                <w:color w:val="auto"/>
              </w:rPr>
            </w:pPr>
          </w:p>
        </w:tc>
        <w:tc>
          <w:tcPr>
            <w:tcW w:w="2420" w:type="dxa"/>
            <w:vAlign w:val="bottom"/>
            <w:gridSpan w:val="2"/>
            <w:shd w:val="clear" w:color="auto" w:fill="CFF0FC"/>
          </w:tcPr>
          <w:p>
            <w:pPr>
              <w:jc w:val="center"/>
              <w:ind w:right="120"/>
              <w:spacing w:after="0"/>
              <w:rPr>
                <w:sz w:val="20"/>
                <w:szCs w:val="20"/>
                <w:color w:val="auto"/>
              </w:rPr>
            </w:pPr>
            <w:r>
              <w:rPr>
                <w:rFonts w:ascii="Arial" w:cs="Arial" w:eastAsia="Arial" w:hAnsi="Arial"/>
                <w:sz w:val="12"/>
                <w:szCs w:val="12"/>
                <w:color w:val="auto"/>
                <w:w w:val="91"/>
              </w:rPr>
              <w:t>Media</w:t>
            </w:r>
          </w:p>
        </w:tc>
        <w:tc>
          <w:tcPr>
            <w:tcW w:w="74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7.44%</w:t>
            </w:r>
          </w:p>
        </w:tc>
        <w:tc>
          <w:tcPr>
            <w:tcW w:w="16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3M L+550</w:t>
            </w: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39,082,675</w:t>
            </w: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38,547,549</w:t>
            </w:r>
          </w:p>
        </w:tc>
        <w:tc>
          <w:tcPr>
            <w:tcW w:w="2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2"/>
                <w:szCs w:val="12"/>
                <w:color w:val="auto"/>
                <w:w w:val="96"/>
              </w:rPr>
              <w:t>38,691,848</w:t>
            </w:r>
          </w:p>
        </w:tc>
        <w:tc>
          <w:tcPr>
            <w:tcW w:w="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60" w:type="dxa"/>
            <w:vAlign w:val="bottom"/>
          </w:tcPr>
          <w:p>
            <w:pPr>
              <w:spacing w:after="0" w:line="149" w:lineRule="exact"/>
              <w:rPr>
                <w:sz w:val="20"/>
                <w:szCs w:val="20"/>
                <w:color w:val="auto"/>
              </w:rPr>
            </w:pPr>
            <w:r>
              <w:rPr>
                <w:rFonts w:ascii="Arial" w:cs="Arial" w:eastAsia="Arial" w:hAnsi="Arial"/>
                <w:sz w:val="11"/>
                <w:szCs w:val="11"/>
                <w:color w:val="auto"/>
              </w:rPr>
              <w:t xml:space="preserve">MeritDirect, LLC (Revolver) </w:t>
            </w:r>
            <w:r>
              <w:rPr>
                <w:rFonts w:ascii="Arial" w:cs="Arial" w:eastAsia="Arial" w:hAnsi="Arial"/>
                <w:sz w:val="17"/>
                <w:szCs w:val="17"/>
                <w:color w:val="auto"/>
                <w:vertAlign w:val="superscript"/>
              </w:rPr>
              <w:t>(7), (9)</w:t>
            </w:r>
          </w:p>
        </w:tc>
        <w:tc>
          <w:tcPr>
            <w:tcW w:w="720" w:type="dxa"/>
            <w:vAlign w:val="bottom"/>
            <w:gridSpan w:val="2"/>
          </w:tcPr>
          <w:p>
            <w:pPr>
              <w:jc w:val="center"/>
              <w:ind w:left="42"/>
              <w:spacing w:after="0"/>
              <w:rPr>
                <w:sz w:val="20"/>
                <w:szCs w:val="20"/>
                <w:color w:val="auto"/>
              </w:rPr>
            </w:pPr>
            <w:r>
              <w:rPr>
                <w:rFonts w:ascii="Arial" w:cs="Arial" w:eastAsia="Arial" w:hAnsi="Arial"/>
                <w:sz w:val="12"/>
                <w:szCs w:val="12"/>
                <w:color w:val="auto"/>
                <w:w w:val="89"/>
              </w:rPr>
              <w:t>05/23/2024</w:t>
            </w:r>
          </w:p>
        </w:tc>
        <w:tc>
          <w:tcPr>
            <w:tcW w:w="120" w:type="dxa"/>
            <w:vAlign w:val="bottom"/>
          </w:tcPr>
          <w:p>
            <w:pPr>
              <w:spacing w:after="0"/>
              <w:rPr>
                <w:sz w:val="12"/>
                <w:szCs w:val="12"/>
                <w:color w:val="auto"/>
              </w:rPr>
            </w:pPr>
          </w:p>
        </w:tc>
        <w:tc>
          <w:tcPr>
            <w:tcW w:w="2420" w:type="dxa"/>
            <w:vAlign w:val="bottom"/>
            <w:gridSpan w:val="2"/>
          </w:tcPr>
          <w:p>
            <w:pPr>
              <w:jc w:val="center"/>
              <w:ind w:right="120"/>
              <w:spacing w:after="0"/>
              <w:rPr>
                <w:sz w:val="20"/>
                <w:szCs w:val="20"/>
                <w:color w:val="auto"/>
              </w:rPr>
            </w:pPr>
            <w:r>
              <w:rPr>
                <w:rFonts w:ascii="Arial" w:cs="Arial" w:eastAsia="Arial" w:hAnsi="Arial"/>
                <w:sz w:val="12"/>
                <w:szCs w:val="12"/>
                <w:color w:val="auto"/>
                <w:w w:val="91"/>
              </w:rPr>
              <w:t>Media</w:t>
            </w:r>
          </w:p>
        </w:tc>
        <w:tc>
          <w:tcPr>
            <w:tcW w:w="7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w:t>
            </w:r>
          </w:p>
        </w:tc>
        <w:tc>
          <w:tcPr>
            <w:tcW w:w="920" w:type="dxa"/>
            <w:vAlign w:val="bottom"/>
            <w:gridSpan w:val="2"/>
          </w:tcPr>
          <w:p>
            <w:pPr>
              <w:jc w:val="right"/>
              <w:spacing w:after="0"/>
              <w:rPr>
                <w:sz w:val="20"/>
                <w:szCs w:val="20"/>
                <w:color w:val="auto"/>
              </w:rPr>
            </w:pPr>
            <w:r>
              <w:rPr>
                <w:rFonts w:ascii="Arial" w:cs="Arial" w:eastAsia="Arial" w:hAnsi="Arial"/>
                <w:sz w:val="12"/>
                <w:szCs w:val="12"/>
                <w:color w:val="auto"/>
              </w:rPr>
              <w:t>4,481,655</w:t>
            </w:r>
          </w:p>
        </w:tc>
        <w:tc>
          <w:tcPr>
            <w:tcW w:w="20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2"/>
                <w:szCs w:val="12"/>
                <w:color w:val="auto"/>
              </w:rPr>
              <w:t>(44,816)</w:t>
            </w:r>
          </w:p>
        </w:tc>
        <w:tc>
          <w:tcPr>
            <w:tcW w:w="0" w:type="dxa"/>
            <w:vAlign w:val="bottom"/>
          </w:tcPr>
          <w:p>
            <w:pPr>
              <w:spacing w:after="0"/>
              <w:rPr>
                <w:sz w:val="1"/>
                <w:szCs w:val="1"/>
                <w:color w:val="auto"/>
              </w:rPr>
            </w:pPr>
          </w:p>
        </w:tc>
      </w:tr>
      <w:tr>
        <w:trPr>
          <w:trHeight w:val="148"/>
        </w:trPr>
        <w:tc>
          <w:tcPr>
            <w:tcW w:w="3560" w:type="dxa"/>
            <w:vAlign w:val="bottom"/>
            <w:shd w:val="clear" w:color="auto" w:fill="CFF0FC"/>
          </w:tcPr>
          <w:p>
            <w:pPr>
              <w:spacing w:after="0" w:line="149" w:lineRule="exact"/>
              <w:rPr>
                <w:sz w:val="20"/>
                <w:szCs w:val="20"/>
                <w:color w:val="auto"/>
              </w:rPr>
            </w:pPr>
            <w:r>
              <w:rPr>
                <w:rFonts w:ascii="Arial" w:cs="Arial" w:eastAsia="Arial" w:hAnsi="Arial"/>
                <w:sz w:val="11"/>
                <w:szCs w:val="11"/>
                <w:color w:val="auto"/>
              </w:rPr>
              <w:t xml:space="preserve">Mission Critical Electronics, Inc. </w:t>
            </w:r>
            <w:r>
              <w:rPr>
                <w:rFonts w:ascii="Arial" w:cs="Arial" w:eastAsia="Arial" w:hAnsi="Arial"/>
                <w:sz w:val="17"/>
                <w:szCs w:val="17"/>
                <w:color w:val="auto"/>
                <w:vertAlign w:val="superscript"/>
              </w:rPr>
              <w:t>(7)</w:t>
            </w:r>
          </w:p>
        </w:tc>
        <w:tc>
          <w:tcPr>
            <w:tcW w:w="720" w:type="dxa"/>
            <w:vAlign w:val="bottom"/>
            <w:gridSpan w:val="2"/>
            <w:shd w:val="clear" w:color="auto" w:fill="CFF0FC"/>
          </w:tcPr>
          <w:p>
            <w:pPr>
              <w:jc w:val="center"/>
              <w:ind w:left="42"/>
              <w:spacing w:after="0"/>
              <w:rPr>
                <w:sz w:val="20"/>
                <w:szCs w:val="20"/>
                <w:color w:val="auto"/>
              </w:rPr>
            </w:pPr>
            <w:r>
              <w:rPr>
                <w:rFonts w:ascii="Arial" w:cs="Arial" w:eastAsia="Arial" w:hAnsi="Arial"/>
                <w:sz w:val="12"/>
                <w:szCs w:val="12"/>
                <w:color w:val="auto"/>
                <w:w w:val="89"/>
              </w:rPr>
              <w:t>09/28/2021</w:t>
            </w:r>
          </w:p>
        </w:tc>
        <w:tc>
          <w:tcPr>
            <w:tcW w:w="120" w:type="dxa"/>
            <w:vAlign w:val="bottom"/>
            <w:shd w:val="clear" w:color="auto" w:fill="CFF0FC"/>
          </w:tcPr>
          <w:p>
            <w:pPr>
              <w:spacing w:after="0"/>
              <w:rPr>
                <w:sz w:val="12"/>
                <w:szCs w:val="12"/>
                <w:color w:val="auto"/>
              </w:rPr>
            </w:pPr>
          </w:p>
        </w:tc>
        <w:tc>
          <w:tcPr>
            <w:tcW w:w="2420" w:type="dxa"/>
            <w:vAlign w:val="bottom"/>
            <w:gridSpan w:val="2"/>
            <w:shd w:val="clear" w:color="auto" w:fill="CFF0FC"/>
          </w:tcPr>
          <w:p>
            <w:pPr>
              <w:jc w:val="center"/>
              <w:ind w:right="120"/>
              <w:spacing w:after="0"/>
              <w:rPr>
                <w:sz w:val="20"/>
                <w:szCs w:val="20"/>
                <w:color w:val="auto"/>
              </w:rPr>
            </w:pPr>
            <w:r>
              <w:rPr>
                <w:rFonts w:ascii="Arial" w:cs="Arial" w:eastAsia="Arial" w:hAnsi="Arial"/>
                <w:sz w:val="12"/>
                <w:szCs w:val="12"/>
                <w:color w:val="auto"/>
                <w:w w:val="87"/>
              </w:rPr>
              <w:t>Capital Equipment</w:t>
            </w:r>
          </w:p>
        </w:tc>
        <w:tc>
          <w:tcPr>
            <w:tcW w:w="74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6.70%</w:t>
            </w:r>
          </w:p>
        </w:tc>
        <w:tc>
          <w:tcPr>
            <w:tcW w:w="16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1M L+500</w:t>
            </w: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618,375</w:t>
            </w: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612,444</w:t>
            </w:r>
          </w:p>
        </w:tc>
        <w:tc>
          <w:tcPr>
            <w:tcW w:w="2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617,508</w:t>
            </w:r>
          </w:p>
        </w:tc>
        <w:tc>
          <w:tcPr>
            <w:tcW w:w="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560" w:type="dxa"/>
            <w:vAlign w:val="bottom"/>
          </w:tcPr>
          <w:p>
            <w:pPr>
              <w:spacing w:after="0" w:line="149" w:lineRule="exact"/>
              <w:rPr>
                <w:sz w:val="20"/>
                <w:szCs w:val="20"/>
                <w:color w:val="auto"/>
              </w:rPr>
            </w:pPr>
            <w:r>
              <w:rPr>
                <w:rFonts w:ascii="Arial" w:cs="Arial" w:eastAsia="Arial" w:hAnsi="Arial"/>
                <w:sz w:val="11"/>
                <w:szCs w:val="11"/>
                <w:color w:val="auto"/>
              </w:rPr>
              <w:t xml:space="preserve">Mission Critical Electronics, Inc. (Revolver) </w:t>
            </w:r>
            <w:r>
              <w:rPr>
                <w:rFonts w:ascii="Arial" w:cs="Arial" w:eastAsia="Arial" w:hAnsi="Arial"/>
                <w:sz w:val="17"/>
                <w:szCs w:val="17"/>
                <w:color w:val="auto"/>
                <w:vertAlign w:val="superscript"/>
              </w:rPr>
              <w:t>(7)</w:t>
            </w:r>
          </w:p>
        </w:tc>
        <w:tc>
          <w:tcPr>
            <w:tcW w:w="720" w:type="dxa"/>
            <w:vAlign w:val="bottom"/>
            <w:gridSpan w:val="2"/>
          </w:tcPr>
          <w:p>
            <w:pPr>
              <w:jc w:val="center"/>
              <w:ind w:left="42"/>
              <w:spacing w:after="0"/>
              <w:rPr>
                <w:sz w:val="20"/>
                <w:szCs w:val="20"/>
                <w:color w:val="auto"/>
              </w:rPr>
            </w:pPr>
            <w:r>
              <w:rPr>
                <w:rFonts w:ascii="Arial" w:cs="Arial" w:eastAsia="Arial" w:hAnsi="Arial"/>
                <w:sz w:val="12"/>
                <w:szCs w:val="12"/>
                <w:color w:val="auto"/>
                <w:w w:val="89"/>
              </w:rPr>
              <w:t>09/28/2021</w:t>
            </w:r>
          </w:p>
        </w:tc>
        <w:tc>
          <w:tcPr>
            <w:tcW w:w="120" w:type="dxa"/>
            <w:vAlign w:val="bottom"/>
          </w:tcPr>
          <w:p>
            <w:pPr>
              <w:spacing w:after="0"/>
              <w:rPr>
                <w:sz w:val="12"/>
                <w:szCs w:val="12"/>
                <w:color w:val="auto"/>
              </w:rPr>
            </w:pPr>
          </w:p>
        </w:tc>
        <w:tc>
          <w:tcPr>
            <w:tcW w:w="2420" w:type="dxa"/>
            <w:vAlign w:val="bottom"/>
            <w:gridSpan w:val="2"/>
          </w:tcPr>
          <w:p>
            <w:pPr>
              <w:jc w:val="center"/>
              <w:ind w:right="120"/>
              <w:spacing w:after="0"/>
              <w:rPr>
                <w:sz w:val="20"/>
                <w:szCs w:val="20"/>
                <w:color w:val="auto"/>
              </w:rPr>
            </w:pPr>
            <w:r>
              <w:rPr>
                <w:rFonts w:ascii="Arial" w:cs="Arial" w:eastAsia="Arial" w:hAnsi="Arial"/>
                <w:sz w:val="12"/>
                <w:szCs w:val="12"/>
                <w:color w:val="auto"/>
                <w:w w:val="87"/>
              </w:rPr>
              <w:t>Capital Equipment</w:t>
            </w:r>
          </w:p>
        </w:tc>
        <w:tc>
          <w:tcPr>
            <w:tcW w:w="740" w:type="dxa"/>
            <w:vAlign w:val="bottom"/>
            <w:gridSpan w:val="2"/>
          </w:tcPr>
          <w:p>
            <w:pPr>
              <w:jc w:val="right"/>
              <w:spacing w:after="0"/>
              <w:rPr>
                <w:sz w:val="20"/>
                <w:szCs w:val="20"/>
                <w:color w:val="auto"/>
              </w:rPr>
            </w:pPr>
            <w:r>
              <w:rPr>
                <w:rFonts w:ascii="Arial" w:cs="Arial" w:eastAsia="Arial" w:hAnsi="Arial"/>
                <w:sz w:val="12"/>
                <w:szCs w:val="12"/>
                <w:color w:val="auto"/>
              </w:rPr>
              <w:t>6.70%</w:t>
            </w:r>
          </w:p>
        </w:tc>
        <w:tc>
          <w:tcPr>
            <w:tcW w:w="16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1M L+500</w:t>
            </w:r>
          </w:p>
        </w:tc>
        <w:tc>
          <w:tcPr>
            <w:tcW w:w="920" w:type="dxa"/>
            <w:vAlign w:val="bottom"/>
            <w:gridSpan w:val="2"/>
          </w:tcPr>
          <w:p>
            <w:pPr>
              <w:jc w:val="right"/>
              <w:spacing w:after="0"/>
              <w:rPr>
                <w:sz w:val="20"/>
                <w:szCs w:val="20"/>
                <w:color w:val="auto"/>
              </w:rPr>
            </w:pPr>
            <w:r>
              <w:rPr>
                <w:rFonts w:ascii="Arial" w:cs="Arial" w:eastAsia="Arial" w:hAnsi="Arial"/>
                <w:sz w:val="12"/>
                <w:szCs w:val="12"/>
                <w:color w:val="auto"/>
              </w:rPr>
              <w:t>176,678</w:t>
            </w:r>
          </w:p>
        </w:tc>
        <w:tc>
          <w:tcPr>
            <w:tcW w:w="920" w:type="dxa"/>
            <w:vAlign w:val="bottom"/>
            <w:gridSpan w:val="2"/>
          </w:tcPr>
          <w:p>
            <w:pPr>
              <w:jc w:val="right"/>
              <w:spacing w:after="0"/>
              <w:rPr>
                <w:sz w:val="20"/>
                <w:szCs w:val="20"/>
                <w:color w:val="auto"/>
              </w:rPr>
            </w:pPr>
            <w:r>
              <w:rPr>
                <w:rFonts w:ascii="Arial" w:cs="Arial" w:eastAsia="Arial" w:hAnsi="Arial"/>
                <w:sz w:val="12"/>
                <w:szCs w:val="12"/>
                <w:color w:val="auto"/>
              </w:rPr>
              <w:t>176,678</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176,431</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560" w:type="dxa"/>
            <w:vAlign w:val="bottom"/>
            <w:shd w:val="clear" w:color="auto" w:fill="CFF0FC"/>
          </w:tcPr>
          <w:p>
            <w:pPr>
              <w:spacing w:after="0" w:line="149" w:lineRule="exact"/>
              <w:rPr>
                <w:sz w:val="20"/>
                <w:szCs w:val="20"/>
                <w:color w:val="auto"/>
              </w:rPr>
            </w:pPr>
            <w:r>
              <w:rPr>
                <w:rFonts w:ascii="Arial" w:cs="Arial" w:eastAsia="Arial" w:hAnsi="Arial"/>
                <w:sz w:val="11"/>
                <w:szCs w:val="11"/>
                <w:color w:val="auto"/>
              </w:rPr>
              <w:t xml:space="preserve">Mission Critical Electronics, Inc. (Revolver) </w:t>
            </w:r>
            <w:r>
              <w:rPr>
                <w:rFonts w:ascii="Arial" w:cs="Arial" w:eastAsia="Arial" w:hAnsi="Arial"/>
                <w:sz w:val="17"/>
                <w:szCs w:val="17"/>
                <w:color w:val="auto"/>
                <w:vertAlign w:val="superscript"/>
              </w:rPr>
              <w:t>(7), (9)</w:t>
            </w:r>
          </w:p>
        </w:tc>
        <w:tc>
          <w:tcPr>
            <w:tcW w:w="720" w:type="dxa"/>
            <w:vAlign w:val="bottom"/>
            <w:gridSpan w:val="2"/>
            <w:shd w:val="clear" w:color="auto" w:fill="CFF0FC"/>
          </w:tcPr>
          <w:p>
            <w:pPr>
              <w:jc w:val="center"/>
              <w:ind w:left="42"/>
              <w:spacing w:after="0"/>
              <w:rPr>
                <w:sz w:val="20"/>
                <w:szCs w:val="20"/>
                <w:color w:val="auto"/>
              </w:rPr>
            </w:pPr>
            <w:r>
              <w:rPr>
                <w:rFonts w:ascii="Arial" w:cs="Arial" w:eastAsia="Arial" w:hAnsi="Arial"/>
                <w:sz w:val="12"/>
                <w:szCs w:val="12"/>
                <w:color w:val="auto"/>
                <w:w w:val="89"/>
              </w:rPr>
              <w:t>09/28/2021</w:t>
            </w:r>
          </w:p>
        </w:tc>
        <w:tc>
          <w:tcPr>
            <w:tcW w:w="120" w:type="dxa"/>
            <w:vAlign w:val="bottom"/>
            <w:shd w:val="clear" w:color="auto" w:fill="CFF0FC"/>
          </w:tcPr>
          <w:p>
            <w:pPr>
              <w:spacing w:after="0"/>
              <w:rPr>
                <w:sz w:val="12"/>
                <w:szCs w:val="12"/>
                <w:color w:val="auto"/>
              </w:rPr>
            </w:pPr>
          </w:p>
        </w:tc>
        <w:tc>
          <w:tcPr>
            <w:tcW w:w="2420" w:type="dxa"/>
            <w:vAlign w:val="bottom"/>
            <w:gridSpan w:val="2"/>
            <w:shd w:val="clear" w:color="auto" w:fill="CFF0FC"/>
          </w:tcPr>
          <w:p>
            <w:pPr>
              <w:jc w:val="center"/>
              <w:ind w:right="120"/>
              <w:spacing w:after="0"/>
              <w:rPr>
                <w:sz w:val="20"/>
                <w:szCs w:val="20"/>
                <w:color w:val="auto"/>
              </w:rPr>
            </w:pPr>
            <w:r>
              <w:rPr>
                <w:rFonts w:ascii="Arial" w:cs="Arial" w:eastAsia="Arial" w:hAnsi="Arial"/>
                <w:sz w:val="12"/>
                <w:szCs w:val="12"/>
                <w:color w:val="auto"/>
                <w:w w:val="87"/>
              </w:rPr>
              <w:t>Capital Equipment</w:t>
            </w:r>
          </w:p>
        </w:tc>
        <w:tc>
          <w:tcPr>
            <w:tcW w:w="74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w:t>
            </w:r>
          </w:p>
        </w:tc>
        <w:tc>
          <w:tcPr>
            <w:tcW w:w="16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1,148,410</w:t>
            </w:r>
          </w:p>
        </w:tc>
        <w:tc>
          <w:tcPr>
            <w:tcW w:w="20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00" w:type="dxa"/>
            <w:vAlign w:val="bottom"/>
            <w:gridSpan w:val="2"/>
            <w:shd w:val="clear" w:color="auto" w:fill="CFF0FC"/>
          </w:tcPr>
          <w:p>
            <w:pPr>
              <w:jc w:val="right"/>
              <w:ind w:right="40"/>
              <w:spacing w:after="0"/>
              <w:rPr>
                <w:sz w:val="20"/>
                <w:szCs w:val="20"/>
                <w:color w:val="auto"/>
              </w:rPr>
            </w:pPr>
            <w:r>
              <w:rPr>
                <w:rFonts w:ascii="Arial" w:cs="Arial" w:eastAsia="Arial" w:hAnsi="Arial"/>
                <w:sz w:val="12"/>
                <w:szCs w:val="12"/>
                <w:color w:val="auto"/>
              </w:rPr>
              <w:t>(1,608)</w:t>
            </w:r>
          </w:p>
        </w:tc>
        <w:tc>
          <w:tcPr>
            <w:tcW w:w="0" w:type="dxa"/>
            <w:vAlign w:val="bottom"/>
          </w:tcPr>
          <w:p>
            <w:pPr>
              <w:spacing w:after="0"/>
              <w:rPr>
                <w:sz w:val="1"/>
                <w:szCs w:val="1"/>
                <w:color w:val="auto"/>
              </w:rPr>
            </w:pPr>
          </w:p>
        </w:tc>
      </w:tr>
      <w:tr>
        <w:trPr>
          <w:trHeight w:val="148"/>
        </w:trPr>
        <w:tc>
          <w:tcPr>
            <w:tcW w:w="3560" w:type="dxa"/>
            <w:vAlign w:val="bottom"/>
          </w:tcPr>
          <w:p>
            <w:pPr>
              <w:spacing w:after="0"/>
              <w:rPr>
                <w:sz w:val="20"/>
                <w:szCs w:val="20"/>
                <w:color w:val="auto"/>
              </w:rPr>
            </w:pPr>
            <w:r>
              <w:rPr>
                <w:rFonts w:ascii="Arial" w:cs="Arial" w:eastAsia="Arial" w:hAnsi="Arial"/>
                <w:sz w:val="12"/>
                <w:szCs w:val="12"/>
                <w:color w:val="auto"/>
              </w:rPr>
              <w:t>Montreign Operating Company, LLC</w:t>
            </w:r>
          </w:p>
        </w:tc>
        <w:tc>
          <w:tcPr>
            <w:tcW w:w="720" w:type="dxa"/>
            <w:vAlign w:val="bottom"/>
            <w:gridSpan w:val="2"/>
          </w:tcPr>
          <w:p>
            <w:pPr>
              <w:jc w:val="center"/>
              <w:ind w:left="42"/>
              <w:spacing w:after="0"/>
              <w:rPr>
                <w:sz w:val="20"/>
                <w:szCs w:val="20"/>
                <w:color w:val="auto"/>
              </w:rPr>
            </w:pPr>
            <w:r>
              <w:rPr>
                <w:rFonts w:ascii="Arial" w:cs="Arial" w:eastAsia="Arial" w:hAnsi="Arial"/>
                <w:sz w:val="12"/>
                <w:szCs w:val="12"/>
                <w:color w:val="auto"/>
                <w:w w:val="89"/>
              </w:rPr>
              <w:t>01/24/2023</w:t>
            </w:r>
          </w:p>
        </w:tc>
        <w:tc>
          <w:tcPr>
            <w:tcW w:w="120" w:type="dxa"/>
            <w:vAlign w:val="bottom"/>
          </w:tcPr>
          <w:p>
            <w:pPr>
              <w:spacing w:after="0"/>
              <w:rPr>
                <w:sz w:val="12"/>
                <w:szCs w:val="12"/>
                <w:color w:val="auto"/>
              </w:rPr>
            </w:pPr>
          </w:p>
        </w:tc>
        <w:tc>
          <w:tcPr>
            <w:tcW w:w="2420" w:type="dxa"/>
            <w:vAlign w:val="bottom"/>
            <w:gridSpan w:val="2"/>
          </w:tcPr>
          <w:p>
            <w:pPr>
              <w:jc w:val="center"/>
              <w:ind w:right="120"/>
              <w:spacing w:after="0"/>
              <w:rPr>
                <w:sz w:val="20"/>
                <w:szCs w:val="20"/>
                <w:color w:val="auto"/>
              </w:rPr>
            </w:pPr>
            <w:r>
              <w:rPr>
                <w:rFonts w:ascii="Arial" w:cs="Arial" w:eastAsia="Arial" w:hAnsi="Arial"/>
                <w:sz w:val="12"/>
                <w:szCs w:val="12"/>
                <w:color w:val="auto"/>
                <w:w w:val="88"/>
              </w:rPr>
              <w:t>Hotel, Gaming and Leisure</w:t>
            </w:r>
          </w:p>
        </w:tc>
        <w:tc>
          <w:tcPr>
            <w:tcW w:w="740" w:type="dxa"/>
            <w:vAlign w:val="bottom"/>
            <w:gridSpan w:val="2"/>
          </w:tcPr>
          <w:p>
            <w:pPr>
              <w:jc w:val="right"/>
              <w:spacing w:after="0"/>
              <w:rPr>
                <w:sz w:val="20"/>
                <w:szCs w:val="20"/>
                <w:color w:val="auto"/>
              </w:rPr>
            </w:pPr>
            <w:r>
              <w:rPr>
                <w:rFonts w:ascii="Arial" w:cs="Arial" w:eastAsia="Arial" w:hAnsi="Arial"/>
                <w:sz w:val="12"/>
                <w:szCs w:val="12"/>
                <w:color w:val="auto"/>
              </w:rPr>
              <w:t>10.16%</w:t>
            </w:r>
          </w:p>
        </w:tc>
        <w:tc>
          <w:tcPr>
            <w:tcW w:w="16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3M L+825</w:t>
            </w:r>
          </w:p>
        </w:tc>
        <w:tc>
          <w:tcPr>
            <w:tcW w:w="920" w:type="dxa"/>
            <w:vAlign w:val="bottom"/>
            <w:gridSpan w:val="2"/>
          </w:tcPr>
          <w:p>
            <w:pPr>
              <w:jc w:val="right"/>
              <w:spacing w:after="0"/>
              <w:rPr>
                <w:sz w:val="20"/>
                <w:szCs w:val="20"/>
                <w:color w:val="auto"/>
              </w:rPr>
            </w:pPr>
            <w:r>
              <w:rPr>
                <w:rFonts w:ascii="Arial" w:cs="Arial" w:eastAsia="Arial" w:hAnsi="Arial"/>
                <w:sz w:val="12"/>
                <w:szCs w:val="12"/>
                <w:color w:val="auto"/>
              </w:rPr>
              <w:t>27,120,836</w:t>
            </w:r>
          </w:p>
        </w:tc>
        <w:tc>
          <w:tcPr>
            <w:tcW w:w="920" w:type="dxa"/>
            <w:vAlign w:val="bottom"/>
            <w:gridSpan w:val="2"/>
          </w:tcPr>
          <w:p>
            <w:pPr>
              <w:jc w:val="right"/>
              <w:spacing w:after="0"/>
              <w:rPr>
                <w:sz w:val="20"/>
                <w:szCs w:val="20"/>
                <w:color w:val="auto"/>
              </w:rPr>
            </w:pPr>
            <w:r>
              <w:rPr>
                <w:rFonts w:ascii="Arial" w:cs="Arial" w:eastAsia="Arial" w:hAnsi="Arial"/>
                <w:sz w:val="12"/>
                <w:szCs w:val="12"/>
                <w:color w:val="auto"/>
              </w:rPr>
              <w:t>27,309,681</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w w:val="96"/>
              </w:rPr>
              <w:t>23,307,104</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60" w:type="dxa"/>
            <w:vAlign w:val="bottom"/>
            <w:shd w:val="clear" w:color="auto" w:fill="CFF0FC"/>
          </w:tcPr>
          <w:p>
            <w:pPr>
              <w:spacing w:after="0" w:line="149" w:lineRule="exact"/>
              <w:rPr>
                <w:sz w:val="20"/>
                <w:szCs w:val="20"/>
                <w:color w:val="auto"/>
              </w:rPr>
            </w:pPr>
            <w:r>
              <w:rPr>
                <w:rFonts w:ascii="Arial" w:cs="Arial" w:eastAsia="Arial" w:hAnsi="Arial"/>
                <w:sz w:val="11"/>
                <w:szCs w:val="11"/>
                <w:color w:val="auto"/>
              </w:rPr>
              <w:t xml:space="preserve">Nuvei Technologies Corp. </w:t>
            </w:r>
            <w:r>
              <w:rPr>
                <w:rFonts w:ascii="Arial" w:cs="Arial" w:eastAsia="Arial" w:hAnsi="Arial"/>
                <w:sz w:val="17"/>
                <w:szCs w:val="17"/>
                <w:color w:val="auto"/>
                <w:vertAlign w:val="superscript"/>
              </w:rPr>
              <w:t>(5), (10)</w:t>
            </w:r>
          </w:p>
        </w:tc>
        <w:tc>
          <w:tcPr>
            <w:tcW w:w="720" w:type="dxa"/>
            <w:vAlign w:val="bottom"/>
            <w:gridSpan w:val="2"/>
            <w:shd w:val="clear" w:color="auto" w:fill="CFF0FC"/>
          </w:tcPr>
          <w:p>
            <w:pPr>
              <w:jc w:val="center"/>
              <w:ind w:left="42"/>
              <w:spacing w:after="0"/>
              <w:rPr>
                <w:sz w:val="20"/>
                <w:szCs w:val="20"/>
                <w:color w:val="auto"/>
              </w:rPr>
            </w:pPr>
            <w:r>
              <w:rPr>
                <w:rFonts w:ascii="Arial" w:cs="Arial" w:eastAsia="Arial" w:hAnsi="Arial"/>
                <w:sz w:val="12"/>
                <w:szCs w:val="12"/>
                <w:color w:val="auto"/>
                <w:w w:val="89"/>
              </w:rPr>
              <w:t>09/28/2025</w:t>
            </w:r>
          </w:p>
        </w:tc>
        <w:tc>
          <w:tcPr>
            <w:tcW w:w="120" w:type="dxa"/>
            <w:vAlign w:val="bottom"/>
            <w:shd w:val="clear" w:color="auto" w:fill="CFF0FC"/>
          </w:tcPr>
          <w:p>
            <w:pPr>
              <w:spacing w:after="0"/>
              <w:rPr>
                <w:sz w:val="12"/>
                <w:szCs w:val="12"/>
                <w:color w:val="auto"/>
              </w:rPr>
            </w:pPr>
          </w:p>
        </w:tc>
        <w:tc>
          <w:tcPr>
            <w:tcW w:w="2420" w:type="dxa"/>
            <w:vAlign w:val="bottom"/>
            <w:gridSpan w:val="2"/>
            <w:shd w:val="clear" w:color="auto" w:fill="CFF0FC"/>
          </w:tcPr>
          <w:p>
            <w:pPr>
              <w:jc w:val="center"/>
              <w:ind w:right="120"/>
              <w:spacing w:after="0"/>
              <w:rPr>
                <w:sz w:val="20"/>
                <w:szCs w:val="20"/>
                <w:color w:val="auto"/>
              </w:rPr>
            </w:pPr>
            <w:r>
              <w:rPr>
                <w:rFonts w:ascii="Arial" w:cs="Arial" w:eastAsia="Arial" w:hAnsi="Arial"/>
                <w:sz w:val="12"/>
                <w:szCs w:val="12"/>
                <w:color w:val="auto"/>
                <w:w w:val="90"/>
              </w:rPr>
              <w:t>Diversified Financial Services</w:t>
            </w:r>
          </w:p>
        </w:tc>
        <w:tc>
          <w:tcPr>
            <w:tcW w:w="74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6.80%</w:t>
            </w:r>
          </w:p>
        </w:tc>
        <w:tc>
          <w:tcPr>
            <w:tcW w:w="16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1M L+500</w:t>
            </w: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6,269,637</w:t>
            </w: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6,178,434</w:t>
            </w:r>
          </w:p>
        </w:tc>
        <w:tc>
          <w:tcPr>
            <w:tcW w:w="2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6,300,986</w:t>
            </w:r>
          </w:p>
        </w:tc>
        <w:tc>
          <w:tcPr>
            <w:tcW w:w="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560" w:type="dxa"/>
            <w:vAlign w:val="bottom"/>
          </w:tcPr>
          <w:p>
            <w:pPr>
              <w:spacing w:after="0"/>
              <w:rPr>
                <w:sz w:val="20"/>
                <w:szCs w:val="20"/>
                <w:color w:val="auto"/>
              </w:rPr>
            </w:pPr>
            <w:r>
              <w:rPr>
                <w:rFonts w:ascii="Arial" w:cs="Arial" w:eastAsia="Arial" w:hAnsi="Arial"/>
                <w:sz w:val="12"/>
                <w:szCs w:val="12"/>
                <w:color w:val="auto"/>
              </w:rPr>
              <w:t>Olde Thompson, LLC</w:t>
            </w:r>
          </w:p>
        </w:tc>
        <w:tc>
          <w:tcPr>
            <w:tcW w:w="720" w:type="dxa"/>
            <w:vAlign w:val="bottom"/>
            <w:gridSpan w:val="2"/>
          </w:tcPr>
          <w:p>
            <w:pPr>
              <w:jc w:val="center"/>
              <w:ind w:left="42"/>
              <w:spacing w:after="0"/>
              <w:rPr>
                <w:sz w:val="20"/>
                <w:szCs w:val="20"/>
                <w:color w:val="auto"/>
              </w:rPr>
            </w:pPr>
            <w:r>
              <w:rPr>
                <w:rFonts w:ascii="Arial" w:cs="Arial" w:eastAsia="Arial" w:hAnsi="Arial"/>
                <w:sz w:val="12"/>
                <w:szCs w:val="12"/>
                <w:color w:val="auto"/>
                <w:w w:val="89"/>
              </w:rPr>
              <w:t>05/14/2024</w:t>
            </w:r>
          </w:p>
        </w:tc>
        <w:tc>
          <w:tcPr>
            <w:tcW w:w="120" w:type="dxa"/>
            <w:vAlign w:val="bottom"/>
          </w:tcPr>
          <w:p>
            <w:pPr>
              <w:spacing w:after="0"/>
              <w:rPr>
                <w:sz w:val="12"/>
                <w:szCs w:val="12"/>
                <w:color w:val="auto"/>
              </w:rPr>
            </w:pPr>
          </w:p>
        </w:tc>
        <w:tc>
          <w:tcPr>
            <w:tcW w:w="2420" w:type="dxa"/>
            <w:vAlign w:val="bottom"/>
            <w:gridSpan w:val="2"/>
          </w:tcPr>
          <w:p>
            <w:pPr>
              <w:jc w:val="center"/>
              <w:ind w:right="120"/>
              <w:spacing w:after="0"/>
              <w:rPr>
                <w:sz w:val="20"/>
                <w:szCs w:val="20"/>
                <w:color w:val="auto"/>
              </w:rPr>
            </w:pPr>
            <w:r>
              <w:rPr>
                <w:rFonts w:ascii="Arial" w:cs="Arial" w:eastAsia="Arial" w:hAnsi="Arial"/>
                <w:sz w:val="12"/>
                <w:szCs w:val="12"/>
                <w:color w:val="auto"/>
                <w:w w:val="87"/>
              </w:rPr>
              <w:t>Beverage, Food and Tobacco</w:t>
            </w:r>
          </w:p>
        </w:tc>
        <w:tc>
          <w:tcPr>
            <w:tcW w:w="740" w:type="dxa"/>
            <w:vAlign w:val="bottom"/>
            <w:gridSpan w:val="2"/>
          </w:tcPr>
          <w:p>
            <w:pPr>
              <w:jc w:val="right"/>
              <w:spacing w:after="0"/>
              <w:rPr>
                <w:sz w:val="20"/>
                <w:szCs w:val="20"/>
                <w:color w:val="auto"/>
              </w:rPr>
            </w:pPr>
            <w:r>
              <w:rPr>
                <w:rFonts w:ascii="Arial" w:cs="Arial" w:eastAsia="Arial" w:hAnsi="Arial"/>
                <w:sz w:val="12"/>
                <w:szCs w:val="12"/>
                <w:color w:val="auto"/>
              </w:rPr>
              <w:t>6.05%</w:t>
            </w:r>
          </w:p>
        </w:tc>
        <w:tc>
          <w:tcPr>
            <w:tcW w:w="16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1M L+425</w:t>
            </w:r>
          </w:p>
        </w:tc>
        <w:tc>
          <w:tcPr>
            <w:tcW w:w="920" w:type="dxa"/>
            <w:vAlign w:val="bottom"/>
            <w:gridSpan w:val="2"/>
          </w:tcPr>
          <w:p>
            <w:pPr>
              <w:jc w:val="right"/>
              <w:spacing w:after="0"/>
              <w:rPr>
                <w:sz w:val="20"/>
                <w:szCs w:val="20"/>
                <w:color w:val="auto"/>
              </w:rPr>
            </w:pPr>
            <w:r>
              <w:rPr>
                <w:rFonts w:ascii="Arial" w:cs="Arial" w:eastAsia="Arial" w:hAnsi="Arial"/>
                <w:sz w:val="12"/>
                <w:szCs w:val="12"/>
                <w:color w:val="auto"/>
              </w:rPr>
              <w:t>1,513,571</w:t>
            </w:r>
          </w:p>
        </w:tc>
        <w:tc>
          <w:tcPr>
            <w:tcW w:w="920" w:type="dxa"/>
            <w:vAlign w:val="bottom"/>
            <w:gridSpan w:val="2"/>
          </w:tcPr>
          <w:p>
            <w:pPr>
              <w:jc w:val="right"/>
              <w:spacing w:after="0"/>
              <w:rPr>
                <w:sz w:val="20"/>
                <w:szCs w:val="20"/>
                <w:color w:val="auto"/>
              </w:rPr>
            </w:pPr>
            <w:r>
              <w:rPr>
                <w:rFonts w:ascii="Arial" w:cs="Arial" w:eastAsia="Arial" w:hAnsi="Arial"/>
                <w:sz w:val="12"/>
                <w:szCs w:val="12"/>
                <w:color w:val="auto"/>
              </w:rPr>
              <w:t>1,498,436</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1,513,571</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560" w:type="dxa"/>
            <w:vAlign w:val="bottom"/>
            <w:shd w:val="clear" w:color="auto" w:fill="CFF0FC"/>
          </w:tcPr>
          <w:p>
            <w:pPr>
              <w:spacing w:after="0" w:line="149" w:lineRule="exact"/>
              <w:rPr>
                <w:sz w:val="20"/>
                <w:szCs w:val="20"/>
                <w:color w:val="auto"/>
              </w:rPr>
            </w:pPr>
            <w:r>
              <w:rPr>
                <w:rFonts w:ascii="Arial" w:cs="Arial" w:eastAsia="Arial" w:hAnsi="Arial"/>
                <w:sz w:val="11"/>
                <w:szCs w:val="11"/>
                <w:color w:val="auto"/>
              </w:rPr>
              <w:t xml:space="preserve">Olde Thompson, LLC - Revolver </w:t>
            </w:r>
            <w:r>
              <w:rPr>
                <w:rFonts w:ascii="Arial" w:cs="Arial" w:eastAsia="Arial" w:hAnsi="Arial"/>
                <w:sz w:val="17"/>
                <w:szCs w:val="17"/>
                <w:color w:val="auto"/>
                <w:vertAlign w:val="superscript"/>
              </w:rPr>
              <w:t>(7), (9)</w:t>
            </w:r>
          </w:p>
        </w:tc>
        <w:tc>
          <w:tcPr>
            <w:tcW w:w="720" w:type="dxa"/>
            <w:vAlign w:val="bottom"/>
            <w:gridSpan w:val="2"/>
            <w:shd w:val="clear" w:color="auto" w:fill="CFF0FC"/>
          </w:tcPr>
          <w:p>
            <w:pPr>
              <w:jc w:val="center"/>
              <w:ind w:left="42"/>
              <w:spacing w:after="0"/>
              <w:rPr>
                <w:sz w:val="20"/>
                <w:szCs w:val="20"/>
                <w:color w:val="auto"/>
              </w:rPr>
            </w:pPr>
            <w:r>
              <w:rPr>
                <w:rFonts w:ascii="Arial" w:cs="Arial" w:eastAsia="Arial" w:hAnsi="Arial"/>
                <w:sz w:val="12"/>
                <w:szCs w:val="12"/>
                <w:color w:val="auto"/>
                <w:w w:val="89"/>
              </w:rPr>
              <w:t>05/14/2024</w:t>
            </w:r>
          </w:p>
        </w:tc>
        <w:tc>
          <w:tcPr>
            <w:tcW w:w="120" w:type="dxa"/>
            <w:vAlign w:val="bottom"/>
            <w:shd w:val="clear" w:color="auto" w:fill="CFF0FC"/>
          </w:tcPr>
          <w:p>
            <w:pPr>
              <w:spacing w:after="0"/>
              <w:rPr>
                <w:sz w:val="12"/>
                <w:szCs w:val="12"/>
                <w:color w:val="auto"/>
              </w:rPr>
            </w:pPr>
          </w:p>
        </w:tc>
        <w:tc>
          <w:tcPr>
            <w:tcW w:w="2420" w:type="dxa"/>
            <w:vAlign w:val="bottom"/>
            <w:gridSpan w:val="2"/>
            <w:shd w:val="clear" w:color="auto" w:fill="CFF0FC"/>
          </w:tcPr>
          <w:p>
            <w:pPr>
              <w:jc w:val="center"/>
              <w:ind w:right="120"/>
              <w:spacing w:after="0"/>
              <w:rPr>
                <w:sz w:val="20"/>
                <w:szCs w:val="20"/>
                <w:color w:val="auto"/>
              </w:rPr>
            </w:pPr>
            <w:r>
              <w:rPr>
                <w:rFonts w:ascii="Arial" w:cs="Arial" w:eastAsia="Arial" w:hAnsi="Arial"/>
                <w:sz w:val="12"/>
                <w:szCs w:val="12"/>
                <w:color w:val="auto"/>
                <w:w w:val="87"/>
              </w:rPr>
              <w:t>Beverage, Food and Tobacco</w:t>
            </w:r>
          </w:p>
        </w:tc>
        <w:tc>
          <w:tcPr>
            <w:tcW w:w="74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w:t>
            </w:r>
          </w:p>
        </w:tc>
        <w:tc>
          <w:tcPr>
            <w:tcW w:w="16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2,642,857</w:t>
            </w:r>
          </w:p>
        </w:tc>
        <w:tc>
          <w:tcPr>
            <w:tcW w:w="20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00" w:type="dxa"/>
            <w:vAlign w:val="bottom"/>
            <w:gridSpan w:val="2"/>
            <w:shd w:val="clear" w:color="auto" w:fill="CFF0FC"/>
          </w:tcPr>
          <w:p>
            <w:pPr>
              <w:jc w:val="right"/>
              <w:ind w:right="1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8"/>
        </w:trPr>
        <w:tc>
          <w:tcPr>
            <w:tcW w:w="3560" w:type="dxa"/>
            <w:vAlign w:val="bottom"/>
          </w:tcPr>
          <w:p>
            <w:pPr>
              <w:spacing w:after="0"/>
              <w:rPr>
                <w:sz w:val="20"/>
                <w:szCs w:val="20"/>
                <w:color w:val="auto"/>
              </w:rPr>
            </w:pPr>
            <w:r>
              <w:rPr>
                <w:rFonts w:ascii="Arial" w:cs="Arial" w:eastAsia="Arial" w:hAnsi="Arial"/>
                <w:sz w:val="12"/>
                <w:szCs w:val="12"/>
                <w:color w:val="auto"/>
              </w:rPr>
              <w:t>Output Services Group, Inc.</w:t>
            </w:r>
          </w:p>
        </w:tc>
        <w:tc>
          <w:tcPr>
            <w:tcW w:w="720" w:type="dxa"/>
            <w:vAlign w:val="bottom"/>
            <w:gridSpan w:val="2"/>
          </w:tcPr>
          <w:p>
            <w:pPr>
              <w:jc w:val="center"/>
              <w:ind w:left="42"/>
              <w:spacing w:after="0"/>
              <w:rPr>
                <w:sz w:val="20"/>
                <w:szCs w:val="20"/>
                <w:color w:val="auto"/>
              </w:rPr>
            </w:pPr>
            <w:r>
              <w:rPr>
                <w:rFonts w:ascii="Arial" w:cs="Arial" w:eastAsia="Arial" w:hAnsi="Arial"/>
                <w:sz w:val="12"/>
                <w:szCs w:val="12"/>
                <w:color w:val="auto"/>
                <w:w w:val="89"/>
              </w:rPr>
              <w:t>03/27/2024</w:t>
            </w:r>
          </w:p>
        </w:tc>
        <w:tc>
          <w:tcPr>
            <w:tcW w:w="120" w:type="dxa"/>
            <w:vAlign w:val="bottom"/>
          </w:tcPr>
          <w:p>
            <w:pPr>
              <w:spacing w:after="0"/>
              <w:rPr>
                <w:sz w:val="12"/>
                <w:szCs w:val="12"/>
                <w:color w:val="auto"/>
              </w:rPr>
            </w:pPr>
          </w:p>
        </w:tc>
        <w:tc>
          <w:tcPr>
            <w:tcW w:w="2420" w:type="dxa"/>
            <w:vAlign w:val="bottom"/>
            <w:gridSpan w:val="2"/>
          </w:tcPr>
          <w:p>
            <w:pPr>
              <w:jc w:val="center"/>
              <w:ind w:right="120"/>
              <w:spacing w:after="0"/>
              <w:rPr>
                <w:sz w:val="20"/>
                <w:szCs w:val="20"/>
                <w:color w:val="auto"/>
              </w:rPr>
            </w:pPr>
            <w:r>
              <w:rPr>
                <w:rFonts w:ascii="Arial" w:cs="Arial" w:eastAsia="Arial" w:hAnsi="Arial"/>
                <w:sz w:val="12"/>
                <w:szCs w:val="12"/>
                <w:color w:val="auto"/>
                <w:w w:val="87"/>
              </w:rPr>
              <w:t>Business Services</w:t>
            </w:r>
          </w:p>
        </w:tc>
        <w:tc>
          <w:tcPr>
            <w:tcW w:w="740" w:type="dxa"/>
            <w:vAlign w:val="bottom"/>
            <w:gridSpan w:val="2"/>
          </w:tcPr>
          <w:p>
            <w:pPr>
              <w:jc w:val="right"/>
              <w:spacing w:after="0"/>
              <w:rPr>
                <w:sz w:val="20"/>
                <w:szCs w:val="20"/>
                <w:color w:val="auto"/>
              </w:rPr>
            </w:pPr>
            <w:r>
              <w:rPr>
                <w:rFonts w:ascii="Arial" w:cs="Arial" w:eastAsia="Arial" w:hAnsi="Arial"/>
                <w:sz w:val="12"/>
                <w:szCs w:val="12"/>
                <w:color w:val="auto"/>
              </w:rPr>
              <w:t>6.38%</w:t>
            </w:r>
          </w:p>
        </w:tc>
        <w:tc>
          <w:tcPr>
            <w:tcW w:w="16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1M L+450</w:t>
            </w:r>
          </w:p>
        </w:tc>
        <w:tc>
          <w:tcPr>
            <w:tcW w:w="920" w:type="dxa"/>
            <w:vAlign w:val="bottom"/>
            <w:gridSpan w:val="2"/>
          </w:tcPr>
          <w:p>
            <w:pPr>
              <w:jc w:val="right"/>
              <w:spacing w:after="0"/>
              <w:rPr>
                <w:sz w:val="20"/>
                <w:szCs w:val="20"/>
                <w:color w:val="auto"/>
              </w:rPr>
            </w:pPr>
            <w:r>
              <w:rPr>
                <w:rFonts w:ascii="Arial" w:cs="Arial" w:eastAsia="Arial" w:hAnsi="Arial"/>
                <w:sz w:val="12"/>
                <w:szCs w:val="12"/>
                <w:color w:val="auto"/>
              </w:rPr>
              <w:t>4,501,465</w:t>
            </w:r>
          </w:p>
        </w:tc>
        <w:tc>
          <w:tcPr>
            <w:tcW w:w="920" w:type="dxa"/>
            <w:vAlign w:val="bottom"/>
            <w:gridSpan w:val="2"/>
          </w:tcPr>
          <w:p>
            <w:pPr>
              <w:jc w:val="right"/>
              <w:spacing w:after="0"/>
              <w:rPr>
                <w:sz w:val="20"/>
                <w:szCs w:val="20"/>
                <w:color w:val="auto"/>
              </w:rPr>
            </w:pPr>
            <w:r>
              <w:rPr>
                <w:rFonts w:ascii="Arial" w:cs="Arial" w:eastAsia="Arial" w:hAnsi="Arial"/>
                <w:sz w:val="12"/>
                <w:szCs w:val="12"/>
                <w:color w:val="auto"/>
              </w:rPr>
              <w:t>3,896,309</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4,276,392</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560" w:type="dxa"/>
            <w:vAlign w:val="bottom"/>
            <w:shd w:val="clear" w:color="auto" w:fill="CFF0FC"/>
          </w:tcPr>
          <w:p>
            <w:pPr>
              <w:spacing w:after="0" w:line="149" w:lineRule="exact"/>
              <w:rPr>
                <w:sz w:val="20"/>
                <w:szCs w:val="20"/>
                <w:color w:val="auto"/>
              </w:rPr>
            </w:pPr>
            <w:r>
              <w:rPr>
                <w:rFonts w:ascii="Arial" w:cs="Arial" w:eastAsia="Arial" w:hAnsi="Arial"/>
                <w:sz w:val="11"/>
                <w:szCs w:val="11"/>
                <w:color w:val="auto"/>
              </w:rPr>
              <w:t xml:space="preserve">Output Services Group, Inc. </w:t>
            </w:r>
            <w:r>
              <w:rPr>
                <w:rFonts w:ascii="Arial" w:cs="Arial" w:eastAsia="Arial" w:hAnsi="Arial"/>
                <w:sz w:val="17"/>
                <w:szCs w:val="17"/>
                <w:color w:val="auto"/>
                <w:vertAlign w:val="superscript"/>
              </w:rPr>
              <w:t>(7), (9)</w:t>
            </w:r>
          </w:p>
        </w:tc>
        <w:tc>
          <w:tcPr>
            <w:tcW w:w="720" w:type="dxa"/>
            <w:vAlign w:val="bottom"/>
            <w:gridSpan w:val="2"/>
            <w:shd w:val="clear" w:color="auto" w:fill="CFF0FC"/>
          </w:tcPr>
          <w:p>
            <w:pPr>
              <w:jc w:val="center"/>
              <w:ind w:left="42"/>
              <w:spacing w:after="0"/>
              <w:rPr>
                <w:sz w:val="20"/>
                <w:szCs w:val="20"/>
                <w:color w:val="auto"/>
              </w:rPr>
            </w:pPr>
            <w:r>
              <w:rPr>
                <w:rFonts w:ascii="Arial" w:cs="Arial" w:eastAsia="Arial" w:hAnsi="Arial"/>
                <w:sz w:val="12"/>
                <w:szCs w:val="12"/>
                <w:color w:val="auto"/>
                <w:w w:val="89"/>
              </w:rPr>
              <w:t>03/27/2024</w:t>
            </w:r>
          </w:p>
        </w:tc>
        <w:tc>
          <w:tcPr>
            <w:tcW w:w="120" w:type="dxa"/>
            <w:vAlign w:val="bottom"/>
            <w:shd w:val="clear" w:color="auto" w:fill="CFF0FC"/>
          </w:tcPr>
          <w:p>
            <w:pPr>
              <w:spacing w:after="0"/>
              <w:rPr>
                <w:sz w:val="12"/>
                <w:szCs w:val="12"/>
                <w:color w:val="auto"/>
              </w:rPr>
            </w:pPr>
          </w:p>
        </w:tc>
        <w:tc>
          <w:tcPr>
            <w:tcW w:w="2420" w:type="dxa"/>
            <w:vAlign w:val="bottom"/>
            <w:gridSpan w:val="2"/>
            <w:shd w:val="clear" w:color="auto" w:fill="CFF0FC"/>
          </w:tcPr>
          <w:p>
            <w:pPr>
              <w:jc w:val="center"/>
              <w:ind w:right="120"/>
              <w:spacing w:after="0"/>
              <w:rPr>
                <w:sz w:val="20"/>
                <w:szCs w:val="20"/>
                <w:color w:val="auto"/>
              </w:rPr>
            </w:pPr>
            <w:r>
              <w:rPr>
                <w:rFonts w:ascii="Arial" w:cs="Arial" w:eastAsia="Arial" w:hAnsi="Arial"/>
                <w:sz w:val="12"/>
                <w:szCs w:val="12"/>
                <w:color w:val="auto"/>
                <w:w w:val="87"/>
              </w:rPr>
              <w:t>Business Services</w:t>
            </w:r>
          </w:p>
        </w:tc>
        <w:tc>
          <w:tcPr>
            <w:tcW w:w="74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w:t>
            </w:r>
          </w:p>
        </w:tc>
        <w:tc>
          <w:tcPr>
            <w:tcW w:w="16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74,527</w:t>
            </w:r>
          </w:p>
        </w:tc>
        <w:tc>
          <w:tcPr>
            <w:tcW w:w="20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00" w:type="dxa"/>
            <w:vAlign w:val="bottom"/>
            <w:gridSpan w:val="2"/>
            <w:shd w:val="clear" w:color="auto" w:fill="CFF0FC"/>
          </w:tcPr>
          <w:p>
            <w:pPr>
              <w:jc w:val="right"/>
              <w:ind w:right="40"/>
              <w:spacing w:after="0"/>
              <w:rPr>
                <w:sz w:val="20"/>
                <w:szCs w:val="20"/>
                <w:color w:val="auto"/>
              </w:rPr>
            </w:pPr>
            <w:r>
              <w:rPr>
                <w:rFonts w:ascii="Arial" w:cs="Arial" w:eastAsia="Arial" w:hAnsi="Arial"/>
                <w:sz w:val="12"/>
                <w:szCs w:val="12"/>
                <w:color w:val="auto"/>
              </w:rPr>
              <w:t>(3,354)</w:t>
            </w:r>
          </w:p>
        </w:tc>
        <w:tc>
          <w:tcPr>
            <w:tcW w:w="0" w:type="dxa"/>
            <w:vAlign w:val="bottom"/>
          </w:tcPr>
          <w:p>
            <w:pPr>
              <w:spacing w:after="0"/>
              <w:rPr>
                <w:sz w:val="1"/>
                <w:szCs w:val="1"/>
                <w:color w:val="auto"/>
              </w:rPr>
            </w:pPr>
          </w:p>
        </w:tc>
      </w:tr>
      <w:tr>
        <w:trPr>
          <w:trHeight w:val="148"/>
        </w:trPr>
        <w:tc>
          <w:tcPr>
            <w:tcW w:w="3560" w:type="dxa"/>
            <w:vAlign w:val="bottom"/>
          </w:tcPr>
          <w:p>
            <w:pPr>
              <w:spacing w:after="0"/>
              <w:rPr>
                <w:sz w:val="20"/>
                <w:szCs w:val="20"/>
                <w:color w:val="auto"/>
              </w:rPr>
            </w:pPr>
            <w:r>
              <w:rPr>
                <w:rFonts w:ascii="Arial" w:cs="Arial" w:eastAsia="Arial" w:hAnsi="Arial"/>
                <w:sz w:val="12"/>
                <w:szCs w:val="12"/>
                <w:color w:val="auto"/>
              </w:rPr>
              <w:t>Ox Two, LLC</w:t>
            </w:r>
          </w:p>
        </w:tc>
        <w:tc>
          <w:tcPr>
            <w:tcW w:w="720" w:type="dxa"/>
            <w:vAlign w:val="bottom"/>
            <w:gridSpan w:val="2"/>
          </w:tcPr>
          <w:p>
            <w:pPr>
              <w:jc w:val="center"/>
              <w:ind w:left="42"/>
              <w:spacing w:after="0"/>
              <w:rPr>
                <w:sz w:val="20"/>
                <w:szCs w:val="20"/>
                <w:color w:val="auto"/>
              </w:rPr>
            </w:pPr>
            <w:r>
              <w:rPr>
                <w:rFonts w:ascii="Arial" w:cs="Arial" w:eastAsia="Arial" w:hAnsi="Arial"/>
                <w:sz w:val="12"/>
                <w:szCs w:val="12"/>
                <w:color w:val="auto"/>
                <w:w w:val="89"/>
              </w:rPr>
              <w:t>02/27/2023</w:t>
            </w:r>
          </w:p>
        </w:tc>
        <w:tc>
          <w:tcPr>
            <w:tcW w:w="120" w:type="dxa"/>
            <w:vAlign w:val="bottom"/>
          </w:tcPr>
          <w:p>
            <w:pPr>
              <w:spacing w:after="0"/>
              <w:rPr>
                <w:sz w:val="12"/>
                <w:szCs w:val="12"/>
                <w:color w:val="auto"/>
              </w:rPr>
            </w:pPr>
          </w:p>
        </w:tc>
        <w:tc>
          <w:tcPr>
            <w:tcW w:w="2420" w:type="dxa"/>
            <w:vAlign w:val="bottom"/>
            <w:gridSpan w:val="2"/>
          </w:tcPr>
          <w:p>
            <w:pPr>
              <w:jc w:val="center"/>
              <w:ind w:right="140"/>
              <w:spacing w:after="0"/>
              <w:rPr>
                <w:sz w:val="20"/>
                <w:szCs w:val="20"/>
                <w:color w:val="auto"/>
              </w:rPr>
            </w:pPr>
            <w:r>
              <w:rPr>
                <w:rFonts w:ascii="Arial" w:cs="Arial" w:eastAsia="Arial" w:hAnsi="Arial"/>
                <w:sz w:val="12"/>
                <w:szCs w:val="12"/>
                <w:color w:val="auto"/>
                <w:w w:val="90"/>
              </w:rPr>
              <w:t>Construction and Building</w:t>
            </w:r>
          </w:p>
        </w:tc>
        <w:tc>
          <w:tcPr>
            <w:tcW w:w="740" w:type="dxa"/>
            <w:vAlign w:val="bottom"/>
            <w:gridSpan w:val="2"/>
          </w:tcPr>
          <w:p>
            <w:pPr>
              <w:jc w:val="right"/>
              <w:spacing w:after="0"/>
              <w:rPr>
                <w:sz w:val="20"/>
                <w:szCs w:val="20"/>
                <w:color w:val="auto"/>
              </w:rPr>
            </w:pPr>
            <w:r>
              <w:rPr>
                <w:rFonts w:ascii="Arial" w:cs="Arial" w:eastAsia="Arial" w:hAnsi="Arial"/>
                <w:sz w:val="12"/>
                <w:szCs w:val="12"/>
                <w:color w:val="auto"/>
              </w:rPr>
              <w:t>8.05%</w:t>
            </w:r>
          </w:p>
        </w:tc>
        <w:tc>
          <w:tcPr>
            <w:tcW w:w="16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1M L+625</w:t>
            </w:r>
          </w:p>
        </w:tc>
        <w:tc>
          <w:tcPr>
            <w:tcW w:w="920" w:type="dxa"/>
            <w:vAlign w:val="bottom"/>
            <w:gridSpan w:val="2"/>
          </w:tcPr>
          <w:p>
            <w:pPr>
              <w:jc w:val="right"/>
              <w:spacing w:after="0"/>
              <w:rPr>
                <w:sz w:val="20"/>
                <w:szCs w:val="20"/>
                <w:color w:val="auto"/>
              </w:rPr>
            </w:pPr>
            <w:r>
              <w:rPr>
                <w:rFonts w:ascii="Arial" w:cs="Arial" w:eastAsia="Arial" w:hAnsi="Arial"/>
                <w:sz w:val="12"/>
                <w:szCs w:val="12"/>
                <w:color w:val="auto"/>
              </w:rPr>
              <w:t>12,716,974</w:t>
            </w:r>
          </w:p>
        </w:tc>
        <w:tc>
          <w:tcPr>
            <w:tcW w:w="920" w:type="dxa"/>
            <w:vAlign w:val="bottom"/>
            <w:gridSpan w:val="2"/>
          </w:tcPr>
          <w:p>
            <w:pPr>
              <w:jc w:val="right"/>
              <w:spacing w:after="0"/>
              <w:rPr>
                <w:sz w:val="20"/>
                <w:szCs w:val="20"/>
                <w:color w:val="auto"/>
              </w:rPr>
            </w:pPr>
            <w:r>
              <w:rPr>
                <w:rFonts w:ascii="Arial" w:cs="Arial" w:eastAsia="Arial" w:hAnsi="Arial"/>
                <w:sz w:val="12"/>
                <w:szCs w:val="12"/>
                <w:color w:val="auto"/>
              </w:rPr>
              <w:t>12,649,154</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w w:val="96"/>
              </w:rPr>
              <w:t>12,716,974</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60" w:type="dxa"/>
            <w:vAlign w:val="bottom"/>
            <w:shd w:val="clear" w:color="auto" w:fill="CFF0FC"/>
          </w:tcPr>
          <w:p>
            <w:pPr>
              <w:spacing w:after="0" w:line="149" w:lineRule="exact"/>
              <w:rPr>
                <w:sz w:val="20"/>
                <w:szCs w:val="20"/>
                <w:color w:val="auto"/>
              </w:rPr>
            </w:pPr>
            <w:r>
              <w:rPr>
                <w:rFonts w:ascii="Arial" w:cs="Arial" w:eastAsia="Arial" w:hAnsi="Arial"/>
                <w:sz w:val="11"/>
                <w:szCs w:val="11"/>
                <w:color w:val="auto"/>
              </w:rPr>
              <w:t xml:space="preserve">Ox Two, LLC (Revolver) </w:t>
            </w:r>
            <w:r>
              <w:rPr>
                <w:rFonts w:ascii="Arial" w:cs="Arial" w:eastAsia="Arial" w:hAnsi="Arial"/>
                <w:sz w:val="17"/>
                <w:szCs w:val="17"/>
                <w:color w:val="auto"/>
                <w:vertAlign w:val="superscript"/>
              </w:rPr>
              <w:t>(7)</w:t>
            </w:r>
          </w:p>
        </w:tc>
        <w:tc>
          <w:tcPr>
            <w:tcW w:w="720" w:type="dxa"/>
            <w:vAlign w:val="bottom"/>
            <w:gridSpan w:val="2"/>
            <w:shd w:val="clear" w:color="auto" w:fill="CFF0FC"/>
          </w:tcPr>
          <w:p>
            <w:pPr>
              <w:jc w:val="center"/>
              <w:ind w:left="42"/>
              <w:spacing w:after="0"/>
              <w:rPr>
                <w:sz w:val="20"/>
                <w:szCs w:val="20"/>
                <w:color w:val="auto"/>
              </w:rPr>
            </w:pPr>
            <w:r>
              <w:rPr>
                <w:rFonts w:ascii="Arial" w:cs="Arial" w:eastAsia="Arial" w:hAnsi="Arial"/>
                <w:sz w:val="12"/>
                <w:szCs w:val="12"/>
                <w:color w:val="auto"/>
                <w:w w:val="89"/>
              </w:rPr>
              <w:t>02/27/2023</w:t>
            </w:r>
          </w:p>
        </w:tc>
        <w:tc>
          <w:tcPr>
            <w:tcW w:w="120" w:type="dxa"/>
            <w:vAlign w:val="bottom"/>
            <w:shd w:val="clear" w:color="auto" w:fill="CFF0FC"/>
          </w:tcPr>
          <w:p>
            <w:pPr>
              <w:spacing w:after="0"/>
              <w:rPr>
                <w:sz w:val="12"/>
                <w:szCs w:val="12"/>
                <w:color w:val="auto"/>
              </w:rPr>
            </w:pPr>
          </w:p>
        </w:tc>
        <w:tc>
          <w:tcPr>
            <w:tcW w:w="2420" w:type="dxa"/>
            <w:vAlign w:val="bottom"/>
            <w:gridSpan w:val="2"/>
            <w:shd w:val="clear" w:color="auto" w:fill="CFF0FC"/>
          </w:tcPr>
          <w:p>
            <w:pPr>
              <w:jc w:val="center"/>
              <w:ind w:right="140"/>
              <w:spacing w:after="0"/>
              <w:rPr>
                <w:sz w:val="20"/>
                <w:szCs w:val="20"/>
                <w:color w:val="auto"/>
              </w:rPr>
            </w:pPr>
            <w:r>
              <w:rPr>
                <w:rFonts w:ascii="Arial" w:cs="Arial" w:eastAsia="Arial" w:hAnsi="Arial"/>
                <w:sz w:val="12"/>
                <w:szCs w:val="12"/>
                <w:color w:val="auto"/>
                <w:w w:val="90"/>
              </w:rPr>
              <w:t>Construction and Building</w:t>
            </w:r>
          </w:p>
        </w:tc>
        <w:tc>
          <w:tcPr>
            <w:tcW w:w="74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8.05%</w:t>
            </w:r>
          </w:p>
        </w:tc>
        <w:tc>
          <w:tcPr>
            <w:tcW w:w="16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1M L+625</w:t>
            </w: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230,666</w:t>
            </w: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230,666</w:t>
            </w:r>
          </w:p>
        </w:tc>
        <w:tc>
          <w:tcPr>
            <w:tcW w:w="2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230,666</w:t>
            </w:r>
          </w:p>
        </w:tc>
        <w:tc>
          <w:tcPr>
            <w:tcW w:w="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560" w:type="dxa"/>
            <w:vAlign w:val="bottom"/>
          </w:tcPr>
          <w:p>
            <w:pPr>
              <w:spacing w:after="0" w:line="149" w:lineRule="exact"/>
              <w:rPr>
                <w:sz w:val="20"/>
                <w:szCs w:val="20"/>
                <w:color w:val="auto"/>
              </w:rPr>
            </w:pPr>
            <w:r>
              <w:rPr>
                <w:rFonts w:ascii="Arial" w:cs="Arial" w:eastAsia="Arial" w:hAnsi="Arial"/>
                <w:sz w:val="11"/>
                <w:szCs w:val="11"/>
                <w:color w:val="auto"/>
              </w:rPr>
              <w:t xml:space="preserve">Ox Two, LLC (Revolver) </w:t>
            </w:r>
            <w:r>
              <w:rPr>
                <w:rFonts w:ascii="Arial" w:cs="Arial" w:eastAsia="Arial" w:hAnsi="Arial"/>
                <w:sz w:val="17"/>
                <w:szCs w:val="17"/>
                <w:color w:val="auto"/>
                <w:vertAlign w:val="superscript"/>
              </w:rPr>
              <w:t>(7), (9)</w:t>
            </w:r>
          </w:p>
        </w:tc>
        <w:tc>
          <w:tcPr>
            <w:tcW w:w="720" w:type="dxa"/>
            <w:vAlign w:val="bottom"/>
            <w:gridSpan w:val="2"/>
          </w:tcPr>
          <w:p>
            <w:pPr>
              <w:jc w:val="center"/>
              <w:ind w:left="42"/>
              <w:spacing w:after="0"/>
              <w:rPr>
                <w:sz w:val="20"/>
                <w:szCs w:val="20"/>
                <w:color w:val="auto"/>
              </w:rPr>
            </w:pPr>
            <w:r>
              <w:rPr>
                <w:rFonts w:ascii="Arial" w:cs="Arial" w:eastAsia="Arial" w:hAnsi="Arial"/>
                <w:sz w:val="12"/>
                <w:szCs w:val="12"/>
                <w:color w:val="auto"/>
                <w:w w:val="89"/>
              </w:rPr>
              <w:t>02/27/2023</w:t>
            </w:r>
          </w:p>
        </w:tc>
        <w:tc>
          <w:tcPr>
            <w:tcW w:w="120" w:type="dxa"/>
            <w:vAlign w:val="bottom"/>
          </w:tcPr>
          <w:p>
            <w:pPr>
              <w:spacing w:after="0"/>
              <w:rPr>
                <w:sz w:val="12"/>
                <w:szCs w:val="12"/>
                <w:color w:val="auto"/>
              </w:rPr>
            </w:pPr>
          </w:p>
        </w:tc>
        <w:tc>
          <w:tcPr>
            <w:tcW w:w="2420" w:type="dxa"/>
            <w:vAlign w:val="bottom"/>
            <w:gridSpan w:val="2"/>
          </w:tcPr>
          <w:p>
            <w:pPr>
              <w:jc w:val="center"/>
              <w:ind w:right="140"/>
              <w:spacing w:after="0"/>
              <w:rPr>
                <w:sz w:val="20"/>
                <w:szCs w:val="20"/>
                <w:color w:val="auto"/>
              </w:rPr>
            </w:pPr>
            <w:r>
              <w:rPr>
                <w:rFonts w:ascii="Arial" w:cs="Arial" w:eastAsia="Arial" w:hAnsi="Arial"/>
                <w:sz w:val="12"/>
                <w:szCs w:val="12"/>
                <w:color w:val="auto"/>
                <w:w w:val="90"/>
              </w:rPr>
              <w:t>Construction and Building</w:t>
            </w:r>
          </w:p>
        </w:tc>
        <w:tc>
          <w:tcPr>
            <w:tcW w:w="7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w:t>
            </w:r>
          </w:p>
        </w:tc>
        <w:tc>
          <w:tcPr>
            <w:tcW w:w="920" w:type="dxa"/>
            <w:vAlign w:val="bottom"/>
            <w:gridSpan w:val="2"/>
          </w:tcPr>
          <w:p>
            <w:pPr>
              <w:jc w:val="right"/>
              <w:spacing w:after="0"/>
              <w:rPr>
                <w:sz w:val="20"/>
                <w:szCs w:val="20"/>
                <w:color w:val="auto"/>
              </w:rPr>
            </w:pPr>
            <w:r>
              <w:rPr>
                <w:rFonts w:ascii="Arial" w:cs="Arial" w:eastAsia="Arial" w:hAnsi="Arial"/>
                <w:sz w:val="12"/>
                <w:szCs w:val="12"/>
                <w:color w:val="auto"/>
              </w:rPr>
              <w:t>324,889</w:t>
            </w:r>
          </w:p>
        </w:tc>
        <w:tc>
          <w:tcPr>
            <w:tcW w:w="20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8"/>
        </w:trPr>
        <w:tc>
          <w:tcPr>
            <w:tcW w:w="3560" w:type="dxa"/>
            <w:vAlign w:val="bottom"/>
            <w:shd w:val="clear" w:color="auto" w:fill="CFF0FC"/>
          </w:tcPr>
          <w:p>
            <w:pPr>
              <w:spacing w:after="0"/>
              <w:rPr>
                <w:sz w:val="20"/>
                <w:szCs w:val="20"/>
                <w:color w:val="auto"/>
              </w:rPr>
            </w:pPr>
            <w:r>
              <w:rPr>
                <w:rFonts w:ascii="Arial" w:cs="Arial" w:eastAsia="Arial" w:hAnsi="Arial"/>
                <w:sz w:val="12"/>
                <w:szCs w:val="12"/>
                <w:color w:val="auto"/>
              </w:rPr>
              <w:t>Peninsula Pacific Entertainment LLC</w:t>
            </w:r>
          </w:p>
        </w:tc>
        <w:tc>
          <w:tcPr>
            <w:tcW w:w="720" w:type="dxa"/>
            <w:vAlign w:val="bottom"/>
            <w:gridSpan w:val="2"/>
            <w:shd w:val="clear" w:color="auto" w:fill="CFF0FC"/>
          </w:tcPr>
          <w:p>
            <w:pPr>
              <w:jc w:val="center"/>
              <w:ind w:left="42"/>
              <w:spacing w:after="0"/>
              <w:rPr>
                <w:sz w:val="20"/>
                <w:szCs w:val="20"/>
                <w:color w:val="auto"/>
              </w:rPr>
            </w:pPr>
            <w:r>
              <w:rPr>
                <w:rFonts w:ascii="Arial" w:cs="Arial" w:eastAsia="Arial" w:hAnsi="Arial"/>
                <w:sz w:val="12"/>
                <w:szCs w:val="12"/>
                <w:color w:val="auto"/>
                <w:w w:val="89"/>
              </w:rPr>
              <w:t>11/13/2024</w:t>
            </w:r>
          </w:p>
        </w:tc>
        <w:tc>
          <w:tcPr>
            <w:tcW w:w="120" w:type="dxa"/>
            <w:vAlign w:val="bottom"/>
            <w:shd w:val="clear" w:color="auto" w:fill="CFF0FC"/>
          </w:tcPr>
          <w:p>
            <w:pPr>
              <w:spacing w:after="0"/>
              <w:rPr>
                <w:sz w:val="12"/>
                <w:szCs w:val="12"/>
                <w:color w:val="auto"/>
              </w:rPr>
            </w:pPr>
          </w:p>
        </w:tc>
        <w:tc>
          <w:tcPr>
            <w:tcW w:w="2420" w:type="dxa"/>
            <w:vAlign w:val="bottom"/>
            <w:gridSpan w:val="2"/>
            <w:shd w:val="clear" w:color="auto" w:fill="CFF0FC"/>
          </w:tcPr>
          <w:p>
            <w:pPr>
              <w:jc w:val="center"/>
              <w:ind w:right="120"/>
              <w:spacing w:after="0"/>
              <w:rPr>
                <w:sz w:val="20"/>
                <w:szCs w:val="20"/>
                <w:color w:val="auto"/>
              </w:rPr>
            </w:pPr>
            <w:r>
              <w:rPr>
                <w:rFonts w:ascii="Arial" w:cs="Arial" w:eastAsia="Arial" w:hAnsi="Arial"/>
                <w:sz w:val="12"/>
                <w:szCs w:val="12"/>
                <w:color w:val="auto"/>
                <w:w w:val="88"/>
              </w:rPr>
              <w:t>Hotel, Gaming and Leisure</w:t>
            </w:r>
          </w:p>
        </w:tc>
        <w:tc>
          <w:tcPr>
            <w:tcW w:w="74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9.19%</w:t>
            </w:r>
          </w:p>
        </w:tc>
        <w:tc>
          <w:tcPr>
            <w:tcW w:w="16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1M L+725</w:t>
            </w: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13,275,810</w:t>
            </w: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13,226,830</w:t>
            </w:r>
          </w:p>
        </w:tc>
        <w:tc>
          <w:tcPr>
            <w:tcW w:w="2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2"/>
                <w:szCs w:val="12"/>
                <w:color w:val="auto"/>
                <w:w w:val="96"/>
              </w:rPr>
              <w:t>13,209,431</w:t>
            </w:r>
          </w:p>
        </w:tc>
        <w:tc>
          <w:tcPr>
            <w:tcW w:w="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560" w:type="dxa"/>
            <w:vAlign w:val="bottom"/>
          </w:tcPr>
          <w:p>
            <w:pPr>
              <w:spacing w:after="0"/>
              <w:rPr>
                <w:sz w:val="20"/>
                <w:szCs w:val="20"/>
                <w:color w:val="auto"/>
              </w:rPr>
            </w:pPr>
            <w:r>
              <w:rPr>
                <w:rFonts w:ascii="Arial" w:cs="Arial" w:eastAsia="Arial" w:hAnsi="Arial"/>
                <w:sz w:val="12"/>
                <w:szCs w:val="12"/>
                <w:color w:val="auto"/>
              </w:rPr>
              <w:t>Plant Health Intermediate, Inc.</w:t>
            </w:r>
          </w:p>
        </w:tc>
        <w:tc>
          <w:tcPr>
            <w:tcW w:w="720" w:type="dxa"/>
            <w:vAlign w:val="bottom"/>
            <w:gridSpan w:val="2"/>
          </w:tcPr>
          <w:p>
            <w:pPr>
              <w:jc w:val="center"/>
              <w:ind w:left="42"/>
              <w:spacing w:after="0"/>
              <w:rPr>
                <w:sz w:val="20"/>
                <w:szCs w:val="20"/>
                <w:color w:val="auto"/>
              </w:rPr>
            </w:pPr>
            <w:r>
              <w:rPr>
                <w:rFonts w:ascii="Arial" w:cs="Arial" w:eastAsia="Arial" w:hAnsi="Arial"/>
                <w:sz w:val="12"/>
                <w:szCs w:val="12"/>
                <w:color w:val="auto"/>
                <w:w w:val="89"/>
              </w:rPr>
              <w:t>10/19/2022</w:t>
            </w:r>
          </w:p>
        </w:tc>
        <w:tc>
          <w:tcPr>
            <w:tcW w:w="120" w:type="dxa"/>
            <w:vAlign w:val="bottom"/>
          </w:tcPr>
          <w:p>
            <w:pPr>
              <w:spacing w:after="0"/>
              <w:rPr>
                <w:sz w:val="12"/>
                <w:szCs w:val="12"/>
                <w:color w:val="auto"/>
              </w:rPr>
            </w:pPr>
          </w:p>
        </w:tc>
        <w:tc>
          <w:tcPr>
            <w:tcW w:w="2420" w:type="dxa"/>
            <w:vAlign w:val="bottom"/>
            <w:gridSpan w:val="2"/>
          </w:tcPr>
          <w:p>
            <w:pPr>
              <w:jc w:val="center"/>
              <w:ind w:right="140"/>
              <w:spacing w:after="0"/>
              <w:rPr>
                <w:sz w:val="20"/>
                <w:szCs w:val="20"/>
                <w:color w:val="auto"/>
              </w:rPr>
            </w:pPr>
            <w:r>
              <w:rPr>
                <w:rFonts w:ascii="Arial" w:cs="Arial" w:eastAsia="Arial" w:hAnsi="Arial"/>
                <w:sz w:val="12"/>
                <w:szCs w:val="12"/>
                <w:color w:val="auto"/>
                <w:w w:val="87"/>
              </w:rPr>
              <w:t>Chemicals, Plastics and Rubber</w:t>
            </w:r>
          </w:p>
        </w:tc>
        <w:tc>
          <w:tcPr>
            <w:tcW w:w="740" w:type="dxa"/>
            <w:vAlign w:val="bottom"/>
            <w:gridSpan w:val="2"/>
          </w:tcPr>
          <w:p>
            <w:pPr>
              <w:jc w:val="right"/>
              <w:spacing w:after="0"/>
              <w:rPr>
                <w:sz w:val="20"/>
                <w:szCs w:val="20"/>
                <w:color w:val="auto"/>
              </w:rPr>
            </w:pPr>
            <w:r>
              <w:rPr>
                <w:rFonts w:ascii="Arial" w:cs="Arial" w:eastAsia="Arial" w:hAnsi="Arial"/>
                <w:sz w:val="12"/>
                <w:szCs w:val="12"/>
                <w:color w:val="auto"/>
              </w:rPr>
              <w:t>7.69%</w:t>
            </w:r>
          </w:p>
        </w:tc>
        <w:tc>
          <w:tcPr>
            <w:tcW w:w="16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3M L+575</w:t>
            </w:r>
          </w:p>
        </w:tc>
        <w:tc>
          <w:tcPr>
            <w:tcW w:w="920" w:type="dxa"/>
            <w:vAlign w:val="bottom"/>
            <w:gridSpan w:val="2"/>
          </w:tcPr>
          <w:p>
            <w:pPr>
              <w:jc w:val="right"/>
              <w:spacing w:after="0"/>
              <w:rPr>
                <w:sz w:val="20"/>
                <w:szCs w:val="20"/>
                <w:color w:val="auto"/>
              </w:rPr>
            </w:pPr>
            <w:r>
              <w:rPr>
                <w:rFonts w:ascii="Arial" w:cs="Arial" w:eastAsia="Arial" w:hAnsi="Arial"/>
                <w:sz w:val="12"/>
                <w:szCs w:val="12"/>
                <w:color w:val="auto"/>
              </w:rPr>
              <w:t>2,108,380</w:t>
            </w:r>
          </w:p>
        </w:tc>
        <w:tc>
          <w:tcPr>
            <w:tcW w:w="920" w:type="dxa"/>
            <w:vAlign w:val="bottom"/>
            <w:gridSpan w:val="2"/>
          </w:tcPr>
          <w:p>
            <w:pPr>
              <w:jc w:val="right"/>
              <w:spacing w:after="0"/>
              <w:rPr>
                <w:sz w:val="20"/>
                <w:szCs w:val="20"/>
                <w:color w:val="auto"/>
              </w:rPr>
            </w:pPr>
            <w:r>
              <w:rPr>
                <w:rFonts w:ascii="Arial" w:cs="Arial" w:eastAsia="Arial" w:hAnsi="Arial"/>
                <w:sz w:val="12"/>
                <w:szCs w:val="12"/>
                <w:color w:val="auto"/>
              </w:rPr>
              <w:t>2,083,705</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2,087,296</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560" w:type="dxa"/>
            <w:vAlign w:val="bottom"/>
            <w:shd w:val="clear" w:color="auto" w:fill="CFF0FC"/>
          </w:tcPr>
          <w:p>
            <w:pPr>
              <w:spacing w:after="0"/>
              <w:rPr>
                <w:sz w:val="20"/>
                <w:szCs w:val="20"/>
                <w:color w:val="auto"/>
              </w:rPr>
            </w:pPr>
            <w:r>
              <w:rPr>
                <w:rFonts w:ascii="Arial" w:cs="Arial" w:eastAsia="Arial" w:hAnsi="Arial"/>
                <w:sz w:val="12"/>
                <w:szCs w:val="12"/>
                <w:color w:val="auto"/>
              </w:rPr>
              <w:t>PlayPower, Inc.</w:t>
            </w:r>
          </w:p>
        </w:tc>
        <w:tc>
          <w:tcPr>
            <w:tcW w:w="720" w:type="dxa"/>
            <w:vAlign w:val="bottom"/>
            <w:gridSpan w:val="2"/>
            <w:shd w:val="clear" w:color="auto" w:fill="CFF0FC"/>
          </w:tcPr>
          <w:p>
            <w:pPr>
              <w:jc w:val="center"/>
              <w:ind w:left="42"/>
              <w:spacing w:after="0"/>
              <w:rPr>
                <w:sz w:val="20"/>
                <w:szCs w:val="20"/>
                <w:color w:val="auto"/>
              </w:rPr>
            </w:pPr>
            <w:r>
              <w:rPr>
                <w:rFonts w:ascii="Arial" w:cs="Arial" w:eastAsia="Arial" w:hAnsi="Arial"/>
                <w:sz w:val="12"/>
                <w:szCs w:val="12"/>
                <w:color w:val="auto"/>
                <w:w w:val="89"/>
              </w:rPr>
              <w:t>05/08/2026</w:t>
            </w:r>
          </w:p>
        </w:tc>
        <w:tc>
          <w:tcPr>
            <w:tcW w:w="120" w:type="dxa"/>
            <w:vAlign w:val="bottom"/>
            <w:shd w:val="clear" w:color="auto" w:fill="CFF0FC"/>
          </w:tcPr>
          <w:p>
            <w:pPr>
              <w:spacing w:after="0"/>
              <w:rPr>
                <w:sz w:val="12"/>
                <w:szCs w:val="12"/>
                <w:color w:val="auto"/>
              </w:rPr>
            </w:pPr>
          </w:p>
        </w:tc>
        <w:tc>
          <w:tcPr>
            <w:tcW w:w="2420" w:type="dxa"/>
            <w:vAlign w:val="bottom"/>
            <w:gridSpan w:val="2"/>
            <w:shd w:val="clear" w:color="auto" w:fill="CFF0FC"/>
          </w:tcPr>
          <w:p>
            <w:pPr>
              <w:jc w:val="center"/>
              <w:ind w:right="120"/>
              <w:spacing w:after="0"/>
              <w:rPr>
                <w:sz w:val="20"/>
                <w:szCs w:val="20"/>
                <w:color w:val="auto"/>
              </w:rPr>
            </w:pPr>
            <w:r>
              <w:rPr>
                <w:rFonts w:ascii="Arial" w:cs="Arial" w:eastAsia="Arial" w:hAnsi="Arial"/>
                <w:sz w:val="12"/>
                <w:szCs w:val="12"/>
                <w:color w:val="auto"/>
                <w:w w:val="86"/>
              </w:rPr>
              <w:t>Leisure Products</w:t>
            </w:r>
          </w:p>
        </w:tc>
        <w:tc>
          <w:tcPr>
            <w:tcW w:w="74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7.46%</w:t>
            </w:r>
          </w:p>
        </w:tc>
        <w:tc>
          <w:tcPr>
            <w:tcW w:w="16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1M L+550</w:t>
            </w: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5,572,000</w:t>
            </w: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5,518,678</w:t>
            </w:r>
          </w:p>
        </w:tc>
        <w:tc>
          <w:tcPr>
            <w:tcW w:w="2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5,502,350</w:t>
            </w:r>
          </w:p>
        </w:tc>
        <w:tc>
          <w:tcPr>
            <w:tcW w:w="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60" w:type="dxa"/>
            <w:vAlign w:val="bottom"/>
          </w:tcPr>
          <w:p>
            <w:pPr>
              <w:spacing w:after="0"/>
              <w:rPr>
                <w:sz w:val="20"/>
                <w:szCs w:val="20"/>
                <w:color w:val="auto"/>
              </w:rPr>
            </w:pPr>
            <w:r>
              <w:rPr>
                <w:rFonts w:ascii="Arial" w:cs="Arial" w:eastAsia="Arial" w:hAnsi="Arial"/>
                <w:sz w:val="12"/>
                <w:szCs w:val="12"/>
                <w:color w:val="auto"/>
              </w:rPr>
              <w:t>PRA Events, Inc.</w:t>
            </w:r>
          </w:p>
        </w:tc>
        <w:tc>
          <w:tcPr>
            <w:tcW w:w="720" w:type="dxa"/>
            <w:vAlign w:val="bottom"/>
            <w:gridSpan w:val="2"/>
          </w:tcPr>
          <w:p>
            <w:pPr>
              <w:jc w:val="center"/>
              <w:ind w:left="42"/>
              <w:spacing w:after="0"/>
              <w:rPr>
                <w:sz w:val="20"/>
                <w:szCs w:val="20"/>
                <w:color w:val="auto"/>
              </w:rPr>
            </w:pPr>
            <w:r>
              <w:rPr>
                <w:rFonts w:ascii="Arial" w:cs="Arial" w:eastAsia="Arial" w:hAnsi="Arial"/>
                <w:sz w:val="12"/>
                <w:szCs w:val="12"/>
                <w:color w:val="auto"/>
                <w:w w:val="89"/>
              </w:rPr>
              <w:t>08/08/2022</w:t>
            </w:r>
          </w:p>
        </w:tc>
        <w:tc>
          <w:tcPr>
            <w:tcW w:w="120" w:type="dxa"/>
            <w:vAlign w:val="bottom"/>
          </w:tcPr>
          <w:p>
            <w:pPr>
              <w:spacing w:after="0"/>
              <w:rPr>
                <w:sz w:val="12"/>
                <w:szCs w:val="12"/>
                <w:color w:val="auto"/>
              </w:rPr>
            </w:pPr>
          </w:p>
        </w:tc>
        <w:tc>
          <w:tcPr>
            <w:tcW w:w="2420" w:type="dxa"/>
            <w:vAlign w:val="bottom"/>
            <w:gridSpan w:val="2"/>
          </w:tcPr>
          <w:p>
            <w:pPr>
              <w:jc w:val="center"/>
              <w:ind w:right="120"/>
              <w:spacing w:after="0"/>
              <w:rPr>
                <w:sz w:val="20"/>
                <w:szCs w:val="20"/>
                <w:color w:val="auto"/>
              </w:rPr>
            </w:pPr>
            <w:r>
              <w:rPr>
                <w:rFonts w:ascii="Arial" w:cs="Arial" w:eastAsia="Arial" w:hAnsi="Arial"/>
                <w:sz w:val="12"/>
                <w:szCs w:val="12"/>
                <w:color w:val="auto"/>
                <w:w w:val="87"/>
              </w:rPr>
              <w:t>Business Services</w:t>
            </w:r>
          </w:p>
        </w:tc>
        <w:tc>
          <w:tcPr>
            <w:tcW w:w="740" w:type="dxa"/>
            <w:vAlign w:val="bottom"/>
            <w:gridSpan w:val="2"/>
          </w:tcPr>
          <w:p>
            <w:pPr>
              <w:jc w:val="right"/>
              <w:spacing w:after="0"/>
              <w:rPr>
                <w:sz w:val="20"/>
                <w:szCs w:val="20"/>
                <w:color w:val="auto"/>
              </w:rPr>
            </w:pPr>
            <w:r>
              <w:rPr>
                <w:rFonts w:ascii="Arial" w:cs="Arial" w:eastAsia="Arial" w:hAnsi="Arial"/>
                <w:sz w:val="12"/>
                <w:szCs w:val="12"/>
                <w:color w:val="auto"/>
              </w:rPr>
              <w:t>8.95%</w:t>
            </w:r>
          </w:p>
        </w:tc>
        <w:tc>
          <w:tcPr>
            <w:tcW w:w="16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1M L+700</w:t>
            </w:r>
          </w:p>
        </w:tc>
        <w:tc>
          <w:tcPr>
            <w:tcW w:w="920" w:type="dxa"/>
            <w:vAlign w:val="bottom"/>
            <w:gridSpan w:val="2"/>
          </w:tcPr>
          <w:p>
            <w:pPr>
              <w:jc w:val="right"/>
              <w:spacing w:after="0"/>
              <w:rPr>
                <w:sz w:val="20"/>
                <w:szCs w:val="20"/>
                <w:color w:val="auto"/>
              </w:rPr>
            </w:pPr>
            <w:r>
              <w:rPr>
                <w:rFonts w:ascii="Arial" w:cs="Arial" w:eastAsia="Arial" w:hAnsi="Arial"/>
                <w:sz w:val="12"/>
                <w:szCs w:val="12"/>
                <w:color w:val="auto"/>
              </w:rPr>
              <w:t>2,572,032</w:t>
            </w:r>
          </w:p>
        </w:tc>
        <w:tc>
          <w:tcPr>
            <w:tcW w:w="920" w:type="dxa"/>
            <w:vAlign w:val="bottom"/>
            <w:gridSpan w:val="2"/>
          </w:tcPr>
          <w:p>
            <w:pPr>
              <w:jc w:val="right"/>
              <w:spacing w:after="0"/>
              <w:rPr>
                <w:sz w:val="20"/>
                <w:szCs w:val="20"/>
                <w:color w:val="auto"/>
              </w:rPr>
            </w:pPr>
            <w:r>
              <w:rPr>
                <w:rFonts w:ascii="Arial" w:cs="Arial" w:eastAsia="Arial" w:hAnsi="Arial"/>
                <w:sz w:val="12"/>
                <w:szCs w:val="12"/>
                <w:color w:val="auto"/>
              </w:rPr>
              <w:t>2,533,353</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2,572,032</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560" w:type="dxa"/>
            <w:vAlign w:val="bottom"/>
            <w:shd w:val="clear" w:color="auto" w:fill="CFF0FC"/>
          </w:tcPr>
          <w:p>
            <w:pPr>
              <w:spacing w:after="0"/>
              <w:rPr>
                <w:sz w:val="20"/>
                <w:szCs w:val="20"/>
                <w:color w:val="auto"/>
              </w:rPr>
            </w:pPr>
            <w:r>
              <w:rPr>
                <w:rFonts w:ascii="Arial" w:cs="Arial" w:eastAsia="Arial" w:hAnsi="Arial"/>
                <w:sz w:val="12"/>
                <w:szCs w:val="12"/>
                <w:color w:val="auto"/>
              </w:rPr>
              <w:t>Questex, LLC</w:t>
            </w:r>
          </w:p>
        </w:tc>
        <w:tc>
          <w:tcPr>
            <w:tcW w:w="720" w:type="dxa"/>
            <w:vAlign w:val="bottom"/>
            <w:gridSpan w:val="2"/>
            <w:shd w:val="clear" w:color="auto" w:fill="CFF0FC"/>
          </w:tcPr>
          <w:p>
            <w:pPr>
              <w:jc w:val="center"/>
              <w:ind w:left="42"/>
              <w:spacing w:after="0"/>
              <w:rPr>
                <w:sz w:val="20"/>
                <w:szCs w:val="20"/>
                <w:color w:val="auto"/>
              </w:rPr>
            </w:pPr>
            <w:r>
              <w:rPr>
                <w:rFonts w:ascii="Arial" w:cs="Arial" w:eastAsia="Arial" w:hAnsi="Arial"/>
                <w:sz w:val="12"/>
                <w:szCs w:val="12"/>
                <w:color w:val="auto"/>
                <w:w w:val="89"/>
              </w:rPr>
              <w:t>09/09/2024</w:t>
            </w:r>
          </w:p>
        </w:tc>
        <w:tc>
          <w:tcPr>
            <w:tcW w:w="120" w:type="dxa"/>
            <w:vAlign w:val="bottom"/>
            <w:shd w:val="clear" w:color="auto" w:fill="CFF0FC"/>
          </w:tcPr>
          <w:p>
            <w:pPr>
              <w:spacing w:after="0"/>
              <w:rPr>
                <w:sz w:val="12"/>
                <w:szCs w:val="12"/>
                <w:color w:val="auto"/>
              </w:rPr>
            </w:pPr>
          </w:p>
        </w:tc>
        <w:tc>
          <w:tcPr>
            <w:tcW w:w="2420" w:type="dxa"/>
            <w:vAlign w:val="bottom"/>
            <w:gridSpan w:val="2"/>
            <w:shd w:val="clear" w:color="auto" w:fill="CFF0FC"/>
          </w:tcPr>
          <w:p>
            <w:pPr>
              <w:jc w:val="center"/>
              <w:ind w:right="120"/>
              <w:spacing w:after="0"/>
              <w:rPr>
                <w:sz w:val="20"/>
                <w:szCs w:val="20"/>
                <w:color w:val="auto"/>
              </w:rPr>
            </w:pPr>
            <w:r>
              <w:rPr>
                <w:rFonts w:ascii="Arial" w:cs="Arial" w:eastAsia="Arial" w:hAnsi="Arial"/>
                <w:sz w:val="12"/>
                <w:szCs w:val="12"/>
                <w:color w:val="auto"/>
                <w:w w:val="90"/>
              </w:rPr>
              <w:t>Media: Diversified and Production</w:t>
            </w:r>
          </w:p>
        </w:tc>
        <w:tc>
          <w:tcPr>
            <w:tcW w:w="74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6.89%</w:t>
            </w:r>
          </w:p>
        </w:tc>
        <w:tc>
          <w:tcPr>
            <w:tcW w:w="16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3M L+500</w:t>
            </w: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7,406,250</w:t>
            </w: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7,284,808</w:t>
            </w:r>
          </w:p>
        </w:tc>
        <w:tc>
          <w:tcPr>
            <w:tcW w:w="2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7,332,188</w:t>
            </w:r>
          </w:p>
        </w:tc>
        <w:tc>
          <w:tcPr>
            <w:tcW w:w="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560" w:type="dxa"/>
            <w:vAlign w:val="bottom"/>
          </w:tcPr>
          <w:p>
            <w:pPr>
              <w:spacing w:after="0" w:line="149" w:lineRule="exact"/>
              <w:rPr>
                <w:sz w:val="20"/>
                <w:szCs w:val="20"/>
                <w:color w:val="auto"/>
              </w:rPr>
            </w:pPr>
            <w:r>
              <w:rPr>
                <w:rFonts w:ascii="Arial" w:cs="Arial" w:eastAsia="Arial" w:hAnsi="Arial"/>
                <w:sz w:val="11"/>
                <w:szCs w:val="11"/>
                <w:color w:val="auto"/>
              </w:rPr>
              <w:t xml:space="preserve">Questex, LLC (Revolver) </w:t>
            </w:r>
            <w:r>
              <w:rPr>
                <w:rFonts w:ascii="Arial" w:cs="Arial" w:eastAsia="Arial" w:hAnsi="Arial"/>
                <w:sz w:val="17"/>
                <w:szCs w:val="17"/>
                <w:color w:val="auto"/>
                <w:vertAlign w:val="superscript"/>
              </w:rPr>
              <w:t>(7)</w:t>
            </w:r>
          </w:p>
        </w:tc>
        <w:tc>
          <w:tcPr>
            <w:tcW w:w="720" w:type="dxa"/>
            <w:vAlign w:val="bottom"/>
            <w:gridSpan w:val="2"/>
          </w:tcPr>
          <w:p>
            <w:pPr>
              <w:jc w:val="center"/>
              <w:ind w:left="42"/>
              <w:spacing w:after="0"/>
              <w:rPr>
                <w:sz w:val="20"/>
                <w:szCs w:val="20"/>
                <w:color w:val="auto"/>
              </w:rPr>
            </w:pPr>
            <w:r>
              <w:rPr>
                <w:rFonts w:ascii="Arial" w:cs="Arial" w:eastAsia="Arial" w:hAnsi="Arial"/>
                <w:sz w:val="12"/>
                <w:szCs w:val="12"/>
                <w:color w:val="auto"/>
                <w:w w:val="89"/>
              </w:rPr>
              <w:t>09/09/2024</w:t>
            </w:r>
          </w:p>
        </w:tc>
        <w:tc>
          <w:tcPr>
            <w:tcW w:w="120" w:type="dxa"/>
            <w:vAlign w:val="bottom"/>
          </w:tcPr>
          <w:p>
            <w:pPr>
              <w:spacing w:after="0"/>
              <w:rPr>
                <w:sz w:val="12"/>
                <w:szCs w:val="12"/>
                <w:color w:val="auto"/>
              </w:rPr>
            </w:pPr>
          </w:p>
        </w:tc>
        <w:tc>
          <w:tcPr>
            <w:tcW w:w="2420" w:type="dxa"/>
            <w:vAlign w:val="bottom"/>
            <w:gridSpan w:val="2"/>
          </w:tcPr>
          <w:p>
            <w:pPr>
              <w:jc w:val="center"/>
              <w:ind w:right="120"/>
              <w:spacing w:after="0"/>
              <w:rPr>
                <w:sz w:val="20"/>
                <w:szCs w:val="20"/>
                <w:color w:val="auto"/>
              </w:rPr>
            </w:pPr>
            <w:r>
              <w:rPr>
                <w:rFonts w:ascii="Arial" w:cs="Arial" w:eastAsia="Arial" w:hAnsi="Arial"/>
                <w:sz w:val="12"/>
                <w:szCs w:val="12"/>
                <w:color w:val="auto"/>
                <w:w w:val="90"/>
              </w:rPr>
              <w:t>Media: Diversified and Production</w:t>
            </w:r>
          </w:p>
        </w:tc>
        <w:tc>
          <w:tcPr>
            <w:tcW w:w="740" w:type="dxa"/>
            <w:vAlign w:val="bottom"/>
            <w:gridSpan w:val="2"/>
          </w:tcPr>
          <w:p>
            <w:pPr>
              <w:jc w:val="right"/>
              <w:spacing w:after="0"/>
              <w:rPr>
                <w:sz w:val="20"/>
                <w:szCs w:val="20"/>
                <w:color w:val="auto"/>
              </w:rPr>
            </w:pPr>
            <w:r>
              <w:rPr>
                <w:rFonts w:ascii="Arial" w:cs="Arial" w:eastAsia="Arial" w:hAnsi="Arial"/>
                <w:sz w:val="12"/>
                <w:szCs w:val="12"/>
                <w:color w:val="auto"/>
              </w:rPr>
              <w:t>6.91%</w:t>
            </w:r>
          </w:p>
        </w:tc>
        <w:tc>
          <w:tcPr>
            <w:tcW w:w="16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3M L+500</w:t>
            </w:r>
          </w:p>
        </w:tc>
        <w:tc>
          <w:tcPr>
            <w:tcW w:w="920" w:type="dxa"/>
            <w:vAlign w:val="bottom"/>
            <w:gridSpan w:val="2"/>
          </w:tcPr>
          <w:p>
            <w:pPr>
              <w:jc w:val="right"/>
              <w:spacing w:after="0"/>
              <w:rPr>
                <w:sz w:val="20"/>
                <w:szCs w:val="20"/>
                <w:color w:val="auto"/>
              </w:rPr>
            </w:pPr>
            <w:r>
              <w:rPr>
                <w:rFonts w:ascii="Arial" w:cs="Arial" w:eastAsia="Arial" w:hAnsi="Arial"/>
                <w:sz w:val="12"/>
                <w:szCs w:val="12"/>
                <w:color w:val="auto"/>
              </w:rPr>
              <w:t>319,149</w:t>
            </w:r>
          </w:p>
        </w:tc>
        <w:tc>
          <w:tcPr>
            <w:tcW w:w="920" w:type="dxa"/>
            <w:vAlign w:val="bottom"/>
            <w:gridSpan w:val="2"/>
          </w:tcPr>
          <w:p>
            <w:pPr>
              <w:jc w:val="right"/>
              <w:spacing w:after="0"/>
              <w:rPr>
                <w:sz w:val="20"/>
                <w:szCs w:val="20"/>
                <w:color w:val="auto"/>
              </w:rPr>
            </w:pPr>
            <w:r>
              <w:rPr>
                <w:rFonts w:ascii="Arial" w:cs="Arial" w:eastAsia="Arial" w:hAnsi="Arial"/>
                <w:sz w:val="12"/>
                <w:szCs w:val="12"/>
                <w:color w:val="auto"/>
              </w:rPr>
              <w:t>319,149</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315,957</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560" w:type="dxa"/>
            <w:vAlign w:val="bottom"/>
            <w:shd w:val="clear" w:color="auto" w:fill="CFF0FC"/>
          </w:tcPr>
          <w:p>
            <w:pPr>
              <w:spacing w:after="0" w:line="149" w:lineRule="exact"/>
              <w:rPr>
                <w:sz w:val="20"/>
                <w:szCs w:val="20"/>
                <w:color w:val="auto"/>
              </w:rPr>
            </w:pPr>
            <w:r>
              <w:rPr>
                <w:rFonts w:ascii="Arial" w:cs="Arial" w:eastAsia="Arial" w:hAnsi="Arial"/>
                <w:sz w:val="11"/>
                <w:szCs w:val="11"/>
                <w:color w:val="auto"/>
              </w:rPr>
              <w:t xml:space="preserve">Questex, LLC (Revolver) </w:t>
            </w:r>
            <w:r>
              <w:rPr>
                <w:rFonts w:ascii="Arial" w:cs="Arial" w:eastAsia="Arial" w:hAnsi="Arial"/>
                <w:sz w:val="17"/>
                <w:szCs w:val="17"/>
                <w:color w:val="auto"/>
                <w:vertAlign w:val="superscript"/>
              </w:rPr>
              <w:t>(7), (9)</w:t>
            </w:r>
          </w:p>
        </w:tc>
        <w:tc>
          <w:tcPr>
            <w:tcW w:w="720" w:type="dxa"/>
            <w:vAlign w:val="bottom"/>
            <w:gridSpan w:val="2"/>
            <w:shd w:val="clear" w:color="auto" w:fill="CFF0FC"/>
          </w:tcPr>
          <w:p>
            <w:pPr>
              <w:jc w:val="center"/>
              <w:ind w:left="42"/>
              <w:spacing w:after="0"/>
              <w:rPr>
                <w:sz w:val="20"/>
                <w:szCs w:val="20"/>
                <w:color w:val="auto"/>
              </w:rPr>
            </w:pPr>
            <w:r>
              <w:rPr>
                <w:rFonts w:ascii="Arial" w:cs="Arial" w:eastAsia="Arial" w:hAnsi="Arial"/>
                <w:sz w:val="12"/>
                <w:szCs w:val="12"/>
                <w:color w:val="auto"/>
                <w:w w:val="89"/>
              </w:rPr>
              <w:t>09/09/2024</w:t>
            </w:r>
          </w:p>
        </w:tc>
        <w:tc>
          <w:tcPr>
            <w:tcW w:w="120" w:type="dxa"/>
            <w:vAlign w:val="bottom"/>
            <w:shd w:val="clear" w:color="auto" w:fill="CFF0FC"/>
          </w:tcPr>
          <w:p>
            <w:pPr>
              <w:spacing w:after="0"/>
              <w:rPr>
                <w:sz w:val="12"/>
                <w:szCs w:val="12"/>
                <w:color w:val="auto"/>
              </w:rPr>
            </w:pPr>
          </w:p>
        </w:tc>
        <w:tc>
          <w:tcPr>
            <w:tcW w:w="2420" w:type="dxa"/>
            <w:vAlign w:val="bottom"/>
            <w:gridSpan w:val="2"/>
            <w:shd w:val="clear" w:color="auto" w:fill="CFF0FC"/>
          </w:tcPr>
          <w:p>
            <w:pPr>
              <w:jc w:val="center"/>
              <w:ind w:right="120"/>
              <w:spacing w:after="0"/>
              <w:rPr>
                <w:sz w:val="20"/>
                <w:szCs w:val="20"/>
                <w:color w:val="auto"/>
              </w:rPr>
            </w:pPr>
            <w:r>
              <w:rPr>
                <w:rFonts w:ascii="Arial" w:cs="Arial" w:eastAsia="Arial" w:hAnsi="Arial"/>
                <w:sz w:val="12"/>
                <w:szCs w:val="12"/>
                <w:color w:val="auto"/>
                <w:w w:val="90"/>
              </w:rPr>
              <w:t>Media: Diversified and Production</w:t>
            </w:r>
          </w:p>
        </w:tc>
        <w:tc>
          <w:tcPr>
            <w:tcW w:w="74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w:t>
            </w:r>
          </w:p>
        </w:tc>
        <w:tc>
          <w:tcPr>
            <w:tcW w:w="16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877,660</w:t>
            </w:r>
          </w:p>
        </w:tc>
        <w:tc>
          <w:tcPr>
            <w:tcW w:w="20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00" w:type="dxa"/>
            <w:vAlign w:val="bottom"/>
            <w:gridSpan w:val="2"/>
            <w:shd w:val="clear" w:color="auto" w:fill="CFF0FC"/>
          </w:tcPr>
          <w:p>
            <w:pPr>
              <w:jc w:val="right"/>
              <w:ind w:right="40"/>
              <w:spacing w:after="0"/>
              <w:rPr>
                <w:sz w:val="20"/>
                <w:szCs w:val="20"/>
                <w:color w:val="auto"/>
              </w:rPr>
            </w:pPr>
            <w:r>
              <w:rPr>
                <w:rFonts w:ascii="Arial" w:cs="Arial" w:eastAsia="Arial" w:hAnsi="Arial"/>
                <w:sz w:val="12"/>
                <w:szCs w:val="12"/>
                <w:color w:val="auto"/>
              </w:rPr>
              <w:t>(8,777)</w:t>
            </w:r>
          </w:p>
        </w:tc>
        <w:tc>
          <w:tcPr>
            <w:tcW w:w="0" w:type="dxa"/>
            <w:vAlign w:val="bottom"/>
          </w:tcPr>
          <w:p>
            <w:pPr>
              <w:spacing w:after="0"/>
              <w:rPr>
                <w:sz w:val="1"/>
                <w:szCs w:val="1"/>
                <w:color w:val="auto"/>
              </w:rPr>
            </w:pPr>
          </w:p>
        </w:tc>
      </w:tr>
      <w:tr>
        <w:trPr>
          <w:trHeight w:val="156"/>
        </w:trPr>
        <w:tc>
          <w:tcPr>
            <w:tcW w:w="3560" w:type="dxa"/>
            <w:vAlign w:val="bottom"/>
          </w:tcPr>
          <w:p>
            <w:pPr>
              <w:spacing w:after="0"/>
              <w:rPr>
                <w:sz w:val="20"/>
                <w:szCs w:val="20"/>
                <w:color w:val="auto"/>
              </w:rPr>
            </w:pPr>
            <w:r>
              <w:rPr>
                <w:rFonts w:ascii="Arial" w:cs="Arial" w:eastAsia="Arial" w:hAnsi="Arial"/>
                <w:sz w:val="12"/>
                <w:szCs w:val="12"/>
                <w:color w:val="auto"/>
              </w:rPr>
              <w:t>Research Horizons, LLC</w:t>
            </w:r>
          </w:p>
        </w:tc>
        <w:tc>
          <w:tcPr>
            <w:tcW w:w="720" w:type="dxa"/>
            <w:vAlign w:val="bottom"/>
            <w:gridSpan w:val="2"/>
          </w:tcPr>
          <w:p>
            <w:pPr>
              <w:jc w:val="center"/>
              <w:ind w:left="42"/>
              <w:spacing w:after="0"/>
              <w:rPr>
                <w:sz w:val="20"/>
                <w:szCs w:val="20"/>
                <w:color w:val="auto"/>
              </w:rPr>
            </w:pPr>
            <w:r>
              <w:rPr>
                <w:rFonts w:ascii="Arial" w:cs="Arial" w:eastAsia="Arial" w:hAnsi="Arial"/>
                <w:sz w:val="12"/>
                <w:szCs w:val="12"/>
                <w:color w:val="auto"/>
                <w:w w:val="89"/>
              </w:rPr>
              <w:t>06/28/2022</w:t>
            </w:r>
          </w:p>
        </w:tc>
        <w:tc>
          <w:tcPr>
            <w:tcW w:w="120" w:type="dxa"/>
            <w:vAlign w:val="bottom"/>
          </w:tcPr>
          <w:p>
            <w:pPr>
              <w:spacing w:after="0"/>
              <w:rPr>
                <w:sz w:val="13"/>
                <w:szCs w:val="13"/>
                <w:color w:val="auto"/>
              </w:rPr>
            </w:pPr>
          </w:p>
        </w:tc>
        <w:tc>
          <w:tcPr>
            <w:tcW w:w="2420" w:type="dxa"/>
            <w:vAlign w:val="bottom"/>
            <w:gridSpan w:val="2"/>
          </w:tcPr>
          <w:p>
            <w:pPr>
              <w:jc w:val="center"/>
              <w:ind w:right="120"/>
              <w:spacing w:after="0"/>
              <w:rPr>
                <w:sz w:val="20"/>
                <w:szCs w:val="20"/>
                <w:color w:val="auto"/>
              </w:rPr>
            </w:pPr>
            <w:r>
              <w:rPr>
                <w:rFonts w:ascii="Arial" w:cs="Arial" w:eastAsia="Arial" w:hAnsi="Arial"/>
                <w:sz w:val="12"/>
                <w:szCs w:val="12"/>
                <w:color w:val="auto"/>
                <w:w w:val="90"/>
              </w:rPr>
              <w:t>Media: Advertising, Printing and Publishing</w:t>
            </w:r>
          </w:p>
        </w:tc>
        <w:tc>
          <w:tcPr>
            <w:tcW w:w="740" w:type="dxa"/>
            <w:vAlign w:val="bottom"/>
            <w:gridSpan w:val="2"/>
            <w:vMerge w:val="restart"/>
          </w:tcPr>
          <w:p>
            <w:pPr>
              <w:jc w:val="right"/>
              <w:spacing w:after="0"/>
              <w:rPr>
                <w:sz w:val="20"/>
                <w:szCs w:val="20"/>
                <w:color w:val="auto"/>
              </w:rPr>
            </w:pPr>
            <w:r>
              <w:rPr>
                <w:rFonts w:ascii="Arial" w:cs="Arial" w:eastAsia="Arial" w:hAnsi="Arial"/>
                <w:sz w:val="12"/>
                <w:szCs w:val="12"/>
                <w:color w:val="auto"/>
              </w:rPr>
              <w:t>7.95%</w:t>
            </w:r>
          </w:p>
        </w:tc>
        <w:tc>
          <w:tcPr>
            <w:tcW w:w="160" w:type="dxa"/>
            <w:vAlign w:val="bottom"/>
          </w:tcPr>
          <w:p>
            <w:pPr>
              <w:spacing w:after="0"/>
              <w:rPr>
                <w:sz w:val="13"/>
                <w:szCs w:val="13"/>
                <w:color w:val="auto"/>
              </w:rPr>
            </w:pPr>
          </w:p>
        </w:tc>
        <w:tc>
          <w:tcPr>
            <w:tcW w:w="740" w:type="dxa"/>
            <w:vAlign w:val="bottom"/>
            <w:vMerge w:val="restart"/>
          </w:tcPr>
          <w:p>
            <w:pPr>
              <w:jc w:val="right"/>
              <w:spacing w:after="0"/>
              <w:rPr>
                <w:sz w:val="20"/>
                <w:szCs w:val="20"/>
                <w:color w:val="auto"/>
              </w:rPr>
            </w:pPr>
            <w:r>
              <w:rPr>
                <w:rFonts w:ascii="Arial" w:cs="Arial" w:eastAsia="Arial" w:hAnsi="Arial"/>
                <w:sz w:val="12"/>
                <w:szCs w:val="12"/>
                <w:color w:val="auto"/>
              </w:rPr>
              <w:t>3M L+625</w:t>
            </w:r>
          </w:p>
        </w:tc>
        <w:tc>
          <w:tcPr>
            <w:tcW w:w="920" w:type="dxa"/>
            <w:vAlign w:val="bottom"/>
            <w:gridSpan w:val="2"/>
            <w:vMerge w:val="restart"/>
          </w:tcPr>
          <w:p>
            <w:pPr>
              <w:jc w:val="right"/>
              <w:spacing w:after="0"/>
              <w:rPr>
                <w:sz w:val="20"/>
                <w:szCs w:val="20"/>
                <w:color w:val="auto"/>
              </w:rPr>
            </w:pPr>
            <w:r>
              <w:rPr>
                <w:rFonts w:ascii="Arial" w:cs="Arial" w:eastAsia="Arial" w:hAnsi="Arial"/>
                <w:sz w:val="12"/>
                <w:szCs w:val="12"/>
                <w:color w:val="auto"/>
              </w:rPr>
              <w:t>7,170,861</w:t>
            </w:r>
          </w:p>
        </w:tc>
        <w:tc>
          <w:tcPr>
            <w:tcW w:w="920" w:type="dxa"/>
            <w:vAlign w:val="bottom"/>
            <w:gridSpan w:val="2"/>
            <w:vMerge w:val="restart"/>
          </w:tcPr>
          <w:p>
            <w:pPr>
              <w:jc w:val="right"/>
              <w:spacing w:after="0"/>
              <w:rPr>
                <w:sz w:val="20"/>
                <w:szCs w:val="20"/>
                <w:color w:val="auto"/>
              </w:rPr>
            </w:pPr>
            <w:r>
              <w:rPr>
                <w:rFonts w:ascii="Arial" w:cs="Arial" w:eastAsia="Arial" w:hAnsi="Arial"/>
                <w:sz w:val="12"/>
                <w:szCs w:val="12"/>
                <w:color w:val="auto"/>
              </w:rPr>
              <w:t>7,103,425</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vMerge w:val="restart"/>
          </w:tcPr>
          <w:p>
            <w:pPr>
              <w:jc w:val="right"/>
              <w:spacing w:after="0"/>
              <w:rPr>
                <w:sz w:val="20"/>
                <w:szCs w:val="20"/>
                <w:color w:val="auto"/>
              </w:rPr>
            </w:pPr>
            <w:r>
              <w:rPr>
                <w:rFonts w:ascii="Arial" w:cs="Arial" w:eastAsia="Arial" w:hAnsi="Arial"/>
                <w:sz w:val="12"/>
                <w:szCs w:val="12"/>
                <w:color w:val="auto"/>
              </w:rPr>
              <w:t>6,955,736</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8"/>
        </w:trPr>
        <w:tc>
          <w:tcPr>
            <w:tcW w:w="3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vMerge w:val="continue"/>
          </w:tcPr>
          <w:p>
            <w:pPr>
              <w:spacing w:after="0"/>
              <w:rPr>
                <w:sz w:val="11"/>
                <w:szCs w:val="11"/>
                <w:color w:val="auto"/>
              </w:rPr>
            </w:pPr>
          </w:p>
        </w:tc>
        <w:tc>
          <w:tcPr>
            <w:tcW w:w="920" w:type="dxa"/>
            <w:vAlign w:val="bottom"/>
            <w:gridSpan w:val="2"/>
            <w:vMerge w:val="continue"/>
          </w:tcPr>
          <w:p>
            <w:pPr>
              <w:spacing w:after="0"/>
              <w:rPr>
                <w:sz w:val="11"/>
                <w:szCs w:val="11"/>
                <w:color w:val="auto"/>
              </w:rPr>
            </w:pPr>
          </w:p>
        </w:tc>
        <w:tc>
          <w:tcPr>
            <w:tcW w:w="92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560" w:type="dxa"/>
            <w:vAlign w:val="bottom"/>
            <w:shd w:val="clear" w:color="auto" w:fill="CFF0FC"/>
          </w:tcPr>
          <w:p>
            <w:pPr>
              <w:spacing w:after="0"/>
              <w:rPr>
                <w:sz w:val="20"/>
                <w:szCs w:val="20"/>
                <w:color w:val="auto"/>
              </w:rPr>
            </w:pPr>
            <w:r>
              <w:rPr>
                <w:rFonts w:ascii="Arial" w:cs="Arial" w:eastAsia="Arial" w:hAnsi="Arial"/>
                <w:sz w:val="12"/>
                <w:szCs w:val="12"/>
                <w:color w:val="auto"/>
              </w:rPr>
              <w:t>Research Now Group, Inc. and Survey Sampling</w:t>
            </w:r>
          </w:p>
        </w:tc>
        <w:tc>
          <w:tcPr>
            <w:tcW w:w="720" w:type="dxa"/>
            <w:vAlign w:val="bottom"/>
            <w:gridSpan w:val="2"/>
            <w:shd w:val="clear" w:color="auto" w:fill="CFF0FC"/>
          </w:tcPr>
          <w:p>
            <w:pPr>
              <w:jc w:val="center"/>
              <w:ind w:left="42"/>
              <w:spacing w:after="0"/>
              <w:rPr>
                <w:sz w:val="20"/>
                <w:szCs w:val="20"/>
                <w:color w:val="auto"/>
              </w:rPr>
            </w:pPr>
            <w:r>
              <w:rPr>
                <w:rFonts w:ascii="Arial" w:cs="Arial" w:eastAsia="Arial" w:hAnsi="Arial"/>
                <w:sz w:val="12"/>
                <w:szCs w:val="12"/>
                <w:color w:val="auto"/>
                <w:w w:val="89"/>
              </w:rPr>
              <w:t>12/20/2024</w:t>
            </w:r>
          </w:p>
        </w:tc>
        <w:tc>
          <w:tcPr>
            <w:tcW w:w="120" w:type="dxa"/>
            <w:vAlign w:val="bottom"/>
            <w:shd w:val="clear" w:color="auto" w:fill="CFF0FC"/>
          </w:tcPr>
          <w:p>
            <w:pPr>
              <w:spacing w:after="0"/>
              <w:rPr>
                <w:sz w:val="12"/>
                <w:szCs w:val="12"/>
                <w:color w:val="auto"/>
              </w:rPr>
            </w:pPr>
          </w:p>
        </w:tc>
        <w:tc>
          <w:tcPr>
            <w:tcW w:w="2420" w:type="dxa"/>
            <w:vAlign w:val="bottom"/>
            <w:gridSpan w:val="2"/>
            <w:shd w:val="clear" w:color="auto" w:fill="CFF0FC"/>
          </w:tcPr>
          <w:p>
            <w:pPr>
              <w:jc w:val="center"/>
              <w:ind w:right="120"/>
              <w:spacing w:after="0"/>
              <w:rPr>
                <w:sz w:val="20"/>
                <w:szCs w:val="20"/>
                <w:color w:val="auto"/>
              </w:rPr>
            </w:pPr>
            <w:r>
              <w:rPr>
                <w:rFonts w:ascii="Arial" w:cs="Arial" w:eastAsia="Arial" w:hAnsi="Arial"/>
                <w:sz w:val="12"/>
                <w:szCs w:val="12"/>
                <w:color w:val="auto"/>
                <w:w w:val="87"/>
              </w:rPr>
              <w:t>Business Services</w:t>
            </w:r>
          </w:p>
        </w:tc>
        <w:tc>
          <w:tcPr>
            <w:tcW w:w="74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7.41%</w:t>
            </w:r>
          </w:p>
        </w:tc>
        <w:tc>
          <w:tcPr>
            <w:tcW w:w="16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3M L+550</w:t>
            </w: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30,451,426</w:t>
            </w: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29,507,638</w:t>
            </w:r>
          </w:p>
        </w:tc>
        <w:tc>
          <w:tcPr>
            <w:tcW w:w="2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2"/>
                <w:szCs w:val="12"/>
                <w:color w:val="auto"/>
                <w:w w:val="96"/>
              </w:rPr>
              <w:t>30,405,749</w:t>
            </w:r>
          </w:p>
        </w:tc>
        <w:tc>
          <w:tcPr>
            <w:tcW w:w="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560" w:type="dxa"/>
            <w:vAlign w:val="bottom"/>
            <w:shd w:val="clear" w:color="auto" w:fill="CFF0FC"/>
          </w:tcPr>
          <w:p>
            <w:pPr>
              <w:ind w:left="140"/>
              <w:spacing w:after="0"/>
              <w:rPr>
                <w:sz w:val="20"/>
                <w:szCs w:val="20"/>
                <w:color w:val="auto"/>
              </w:rPr>
            </w:pPr>
            <w:r>
              <w:rPr>
                <w:rFonts w:ascii="Arial" w:cs="Arial" w:eastAsia="Arial" w:hAnsi="Arial"/>
                <w:sz w:val="12"/>
                <w:szCs w:val="12"/>
                <w:color w:val="auto"/>
              </w:rPr>
              <w:t>International LLC</w:t>
            </w:r>
          </w:p>
        </w:tc>
        <w:tc>
          <w:tcPr>
            <w:tcW w:w="10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3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60" w:type="dxa"/>
            <w:vAlign w:val="bottom"/>
          </w:tcPr>
          <w:p>
            <w:pPr>
              <w:spacing w:after="0"/>
              <w:rPr>
                <w:sz w:val="20"/>
                <w:szCs w:val="20"/>
                <w:color w:val="auto"/>
              </w:rPr>
            </w:pPr>
            <w:r>
              <w:rPr>
                <w:rFonts w:ascii="Arial" w:cs="Arial" w:eastAsia="Arial" w:hAnsi="Arial"/>
                <w:sz w:val="12"/>
                <w:szCs w:val="12"/>
                <w:color w:val="auto"/>
              </w:rPr>
              <w:t>Riverpoint Medical, LLC</w:t>
            </w:r>
          </w:p>
        </w:tc>
        <w:tc>
          <w:tcPr>
            <w:tcW w:w="720" w:type="dxa"/>
            <w:vAlign w:val="bottom"/>
            <w:gridSpan w:val="2"/>
          </w:tcPr>
          <w:p>
            <w:pPr>
              <w:jc w:val="center"/>
              <w:ind w:left="42"/>
              <w:spacing w:after="0"/>
              <w:rPr>
                <w:sz w:val="20"/>
                <w:szCs w:val="20"/>
                <w:color w:val="auto"/>
              </w:rPr>
            </w:pPr>
            <w:r>
              <w:rPr>
                <w:rFonts w:ascii="Arial" w:cs="Arial" w:eastAsia="Arial" w:hAnsi="Arial"/>
                <w:sz w:val="12"/>
                <w:szCs w:val="12"/>
                <w:color w:val="auto"/>
                <w:w w:val="89"/>
              </w:rPr>
              <w:t>06/20/2025</w:t>
            </w:r>
          </w:p>
        </w:tc>
        <w:tc>
          <w:tcPr>
            <w:tcW w:w="120" w:type="dxa"/>
            <w:vAlign w:val="bottom"/>
          </w:tcPr>
          <w:p>
            <w:pPr>
              <w:spacing w:after="0"/>
              <w:rPr>
                <w:sz w:val="12"/>
                <w:szCs w:val="12"/>
                <w:color w:val="auto"/>
              </w:rPr>
            </w:pPr>
          </w:p>
        </w:tc>
        <w:tc>
          <w:tcPr>
            <w:tcW w:w="2420" w:type="dxa"/>
            <w:vAlign w:val="bottom"/>
            <w:gridSpan w:val="2"/>
          </w:tcPr>
          <w:p>
            <w:pPr>
              <w:jc w:val="center"/>
              <w:ind w:right="120"/>
              <w:spacing w:after="0"/>
              <w:rPr>
                <w:sz w:val="20"/>
                <w:szCs w:val="20"/>
                <w:color w:val="auto"/>
              </w:rPr>
            </w:pPr>
            <w:r>
              <w:rPr>
                <w:rFonts w:ascii="Arial" w:cs="Arial" w:eastAsia="Arial" w:hAnsi="Arial"/>
                <w:sz w:val="12"/>
                <w:szCs w:val="12"/>
                <w:color w:val="auto"/>
                <w:w w:val="86"/>
              </w:rPr>
              <w:t>Healthcare Equipment and Supplies</w:t>
            </w:r>
          </w:p>
        </w:tc>
        <w:tc>
          <w:tcPr>
            <w:tcW w:w="740" w:type="dxa"/>
            <w:vAlign w:val="bottom"/>
            <w:gridSpan w:val="2"/>
          </w:tcPr>
          <w:p>
            <w:pPr>
              <w:jc w:val="right"/>
              <w:spacing w:after="0"/>
              <w:rPr>
                <w:sz w:val="20"/>
                <w:szCs w:val="20"/>
                <w:color w:val="auto"/>
              </w:rPr>
            </w:pPr>
            <w:r>
              <w:rPr>
                <w:rFonts w:ascii="Arial" w:cs="Arial" w:eastAsia="Arial" w:hAnsi="Arial"/>
                <w:sz w:val="12"/>
                <w:szCs w:val="12"/>
                <w:color w:val="auto"/>
              </w:rPr>
              <w:t>6.97%</w:t>
            </w:r>
          </w:p>
        </w:tc>
        <w:tc>
          <w:tcPr>
            <w:tcW w:w="16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3M L+500</w:t>
            </w:r>
          </w:p>
        </w:tc>
        <w:tc>
          <w:tcPr>
            <w:tcW w:w="920" w:type="dxa"/>
            <w:vAlign w:val="bottom"/>
            <w:gridSpan w:val="2"/>
          </w:tcPr>
          <w:p>
            <w:pPr>
              <w:jc w:val="right"/>
              <w:spacing w:after="0"/>
              <w:rPr>
                <w:sz w:val="20"/>
                <w:szCs w:val="20"/>
                <w:color w:val="auto"/>
              </w:rPr>
            </w:pPr>
            <w:r>
              <w:rPr>
                <w:rFonts w:ascii="Arial" w:cs="Arial" w:eastAsia="Arial" w:hAnsi="Arial"/>
                <w:sz w:val="12"/>
                <w:szCs w:val="12"/>
                <w:color w:val="auto"/>
              </w:rPr>
              <w:t>4,975,000</w:t>
            </w:r>
          </w:p>
        </w:tc>
        <w:tc>
          <w:tcPr>
            <w:tcW w:w="920" w:type="dxa"/>
            <w:vAlign w:val="bottom"/>
            <w:gridSpan w:val="2"/>
          </w:tcPr>
          <w:p>
            <w:pPr>
              <w:jc w:val="right"/>
              <w:spacing w:after="0"/>
              <w:rPr>
                <w:sz w:val="20"/>
                <w:szCs w:val="20"/>
                <w:color w:val="auto"/>
              </w:rPr>
            </w:pPr>
            <w:r>
              <w:rPr>
                <w:rFonts w:ascii="Arial" w:cs="Arial" w:eastAsia="Arial" w:hAnsi="Arial"/>
                <w:sz w:val="12"/>
                <w:szCs w:val="12"/>
                <w:color w:val="auto"/>
              </w:rPr>
              <w:t>4,928,165</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4,938,683</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560" w:type="dxa"/>
            <w:vAlign w:val="bottom"/>
            <w:shd w:val="clear" w:color="auto" w:fill="CFF0FC"/>
          </w:tcPr>
          <w:p>
            <w:pPr>
              <w:spacing w:after="0" w:line="149" w:lineRule="exact"/>
              <w:rPr>
                <w:sz w:val="20"/>
                <w:szCs w:val="20"/>
                <w:color w:val="auto"/>
              </w:rPr>
            </w:pPr>
            <w:r>
              <w:rPr>
                <w:rFonts w:ascii="Arial" w:cs="Arial" w:eastAsia="Arial" w:hAnsi="Arial"/>
                <w:sz w:val="11"/>
                <w:szCs w:val="11"/>
                <w:color w:val="auto"/>
              </w:rPr>
              <w:t xml:space="preserve">Riverpoint Medical, LLC (Revolver) </w:t>
            </w:r>
            <w:r>
              <w:rPr>
                <w:rFonts w:ascii="Arial" w:cs="Arial" w:eastAsia="Arial" w:hAnsi="Arial"/>
                <w:sz w:val="17"/>
                <w:szCs w:val="17"/>
                <w:color w:val="auto"/>
                <w:vertAlign w:val="superscript"/>
              </w:rPr>
              <w:t>(7), (9)</w:t>
            </w:r>
          </w:p>
        </w:tc>
        <w:tc>
          <w:tcPr>
            <w:tcW w:w="720" w:type="dxa"/>
            <w:vAlign w:val="bottom"/>
            <w:gridSpan w:val="2"/>
            <w:shd w:val="clear" w:color="auto" w:fill="CFF0FC"/>
          </w:tcPr>
          <w:p>
            <w:pPr>
              <w:jc w:val="center"/>
              <w:ind w:left="42"/>
              <w:spacing w:after="0"/>
              <w:rPr>
                <w:sz w:val="20"/>
                <w:szCs w:val="20"/>
                <w:color w:val="auto"/>
              </w:rPr>
            </w:pPr>
            <w:r>
              <w:rPr>
                <w:rFonts w:ascii="Arial" w:cs="Arial" w:eastAsia="Arial" w:hAnsi="Arial"/>
                <w:sz w:val="12"/>
                <w:szCs w:val="12"/>
                <w:color w:val="auto"/>
                <w:w w:val="89"/>
              </w:rPr>
              <w:t>06/20/2025</w:t>
            </w:r>
          </w:p>
        </w:tc>
        <w:tc>
          <w:tcPr>
            <w:tcW w:w="120" w:type="dxa"/>
            <w:vAlign w:val="bottom"/>
            <w:shd w:val="clear" w:color="auto" w:fill="CFF0FC"/>
          </w:tcPr>
          <w:p>
            <w:pPr>
              <w:spacing w:after="0"/>
              <w:rPr>
                <w:sz w:val="12"/>
                <w:szCs w:val="12"/>
                <w:color w:val="auto"/>
              </w:rPr>
            </w:pPr>
          </w:p>
        </w:tc>
        <w:tc>
          <w:tcPr>
            <w:tcW w:w="2420" w:type="dxa"/>
            <w:vAlign w:val="bottom"/>
            <w:gridSpan w:val="2"/>
            <w:shd w:val="clear" w:color="auto" w:fill="CFF0FC"/>
          </w:tcPr>
          <w:p>
            <w:pPr>
              <w:jc w:val="center"/>
              <w:ind w:right="120"/>
              <w:spacing w:after="0"/>
              <w:rPr>
                <w:sz w:val="20"/>
                <w:szCs w:val="20"/>
                <w:color w:val="auto"/>
              </w:rPr>
            </w:pPr>
            <w:r>
              <w:rPr>
                <w:rFonts w:ascii="Arial" w:cs="Arial" w:eastAsia="Arial" w:hAnsi="Arial"/>
                <w:sz w:val="12"/>
                <w:szCs w:val="12"/>
                <w:color w:val="auto"/>
                <w:w w:val="86"/>
              </w:rPr>
              <w:t>Healthcare Equipment and Supplies</w:t>
            </w:r>
          </w:p>
        </w:tc>
        <w:tc>
          <w:tcPr>
            <w:tcW w:w="74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w:t>
            </w:r>
          </w:p>
        </w:tc>
        <w:tc>
          <w:tcPr>
            <w:tcW w:w="16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909,091</w:t>
            </w:r>
          </w:p>
        </w:tc>
        <w:tc>
          <w:tcPr>
            <w:tcW w:w="20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00" w:type="dxa"/>
            <w:vAlign w:val="bottom"/>
            <w:gridSpan w:val="2"/>
            <w:shd w:val="clear" w:color="auto" w:fill="CFF0FC"/>
          </w:tcPr>
          <w:p>
            <w:pPr>
              <w:jc w:val="right"/>
              <w:ind w:right="40"/>
              <w:spacing w:after="0"/>
              <w:rPr>
                <w:sz w:val="20"/>
                <w:szCs w:val="20"/>
                <w:color w:val="auto"/>
              </w:rPr>
            </w:pPr>
            <w:r>
              <w:rPr>
                <w:rFonts w:ascii="Arial" w:cs="Arial" w:eastAsia="Arial" w:hAnsi="Arial"/>
                <w:sz w:val="12"/>
                <w:szCs w:val="12"/>
                <w:color w:val="auto"/>
              </w:rPr>
              <w:t>(6,636)</w:t>
            </w:r>
          </w:p>
        </w:tc>
        <w:tc>
          <w:tcPr>
            <w:tcW w:w="0" w:type="dxa"/>
            <w:vAlign w:val="bottom"/>
          </w:tcPr>
          <w:p>
            <w:pPr>
              <w:spacing w:after="0"/>
              <w:rPr>
                <w:sz w:val="1"/>
                <w:szCs w:val="1"/>
                <w:color w:val="auto"/>
              </w:rPr>
            </w:pPr>
          </w:p>
        </w:tc>
      </w:tr>
      <w:tr>
        <w:trPr>
          <w:trHeight w:val="149"/>
        </w:trPr>
        <w:tc>
          <w:tcPr>
            <w:tcW w:w="3560" w:type="dxa"/>
            <w:vAlign w:val="bottom"/>
          </w:tcPr>
          <w:p>
            <w:pPr>
              <w:spacing w:after="0"/>
              <w:rPr>
                <w:sz w:val="20"/>
                <w:szCs w:val="20"/>
                <w:color w:val="auto"/>
              </w:rPr>
            </w:pPr>
            <w:r>
              <w:rPr>
                <w:rFonts w:ascii="Arial" w:cs="Arial" w:eastAsia="Arial" w:hAnsi="Arial"/>
                <w:sz w:val="12"/>
                <w:szCs w:val="12"/>
                <w:color w:val="auto"/>
              </w:rPr>
              <w:t>Sales Benchmark Index LLC</w:t>
            </w:r>
          </w:p>
        </w:tc>
        <w:tc>
          <w:tcPr>
            <w:tcW w:w="720" w:type="dxa"/>
            <w:vAlign w:val="bottom"/>
            <w:gridSpan w:val="2"/>
          </w:tcPr>
          <w:p>
            <w:pPr>
              <w:jc w:val="center"/>
              <w:ind w:left="42"/>
              <w:spacing w:after="0"/>
              <w:rPr>
                <w:sz w:val="20"/>
                <w:szCs w:val="20"/>
                <w:color w:val="auto"/>
              </w:rPr>
            </w:pPr>
            <w:r>
              <w:rPr>
                <w:rFonts w:ascii="Arial" w:cs="Arial" w:eastAsia="Arial" w:hAnsi="Arial"/>
                <w:sz w:val="12"/>
                <w:szCs w:val="12"/>
                <w:color w:val="auto"/>
                <w:w w:val="86"/>
              </w:rPr>
              <w:t>01/3/2025</w:t>
            </w:r>
          </w:p>
        </w:tc>
        <w:tc>
          <w:tcPr>
            <w:tcW w:w="120" w:type="dxa"/>
            <w:vAlign w:val="bottom"/>
          </w:tcPr>
          <w:p>
            <w:pPr>
              <w:spacing w:after="0"/>
              <w:rPr>
                <w:sz w:val="12"/>
                <w:szCs w:val="12"/>
                <w:color w:val="auto"/>
              </w:rPr>
            </w:pPr>
          </w:p>
        </w:tc>
        <w:tc>
          <w:tcPr>
            <w:tcW w:w="2420" w:type="dxa"/>
            <w:vAlign w:val="bottom"/>
            <w:gridSpan w:val="2"/>
          </w:tcPr>
          <w:p>
            <w:pPr>
              <w:jc w:val="center"/>
              <w:ind w:right="120"/>
              <w:spacing w:after="0"/>
              <w:rPr>
                <w:sz w:val="20"/>
                <w:szCs w:val="20"/>
                <w:color w:val="auto"/>
              </w:rPr>
            </w:pPr>
            <w:r>
              <w:rPr>
                <w:rFonts w:ascii="Arial" w:cs="Arial" w:eastAsia="Arial" w:hAnsi="Arial"/>
                <w:sz w:val="12"/>
                <w:szCs w:val="12"/>
                <w:color w:val="auto"/>
                <w:w w:val="88"/>
              </w:rPr>
              <w:t>Professional Services</w:t>
            </w:r>
          </w:p>
        </w:tc>
        <w:tc>
          <w:tcPr>
            <w:tcW w:w="740" w:type="dxa"/>
            <w:vAlign w:val="bottom"/>
            <w:gridSpan w:val="2"/>
          </w:tcPr>
          <w:p>
            <w:pPr>
              <w:jc w:val="right"/>
              <w:spacing w:after="0"/>
              <w:rPr>
                <w:sz w:val="20"/>
                <w:szCs w:val="20"/>
                <w:color w:val="auto"/>
              </w:rPr>
            </w:pPr>
            <w:r>
              <w:rPr>
                <w:rFonts w:ascii="Arial" w:cs="Arial" w:eastAsia="Arial" w:hAnsi="Arial"/>
                <w:sz w:val="12"/>
                <w:szCs w:val="12"/>
                <w:color w:val="auto"/>
              </w:rPr>
              <w:t>7.76%</w:t>
            </w:r>
          </w:p>
        </w:tc>
        <w:tc>
          <w:tcPr>
            <w:tcW w:w="16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3M L+600</w:t>
            </w:r>
          </w:p>
        </w:tc>
        <w:tc>
          <w:tcPr>
            <w:tcW w:w="920" w:type="dxa"/>
            <w:vAlign w:val="bottom"/>
            <w:gridSpan w:val="2"/>
          </w:tcPr>
          <w:p>
            <w:pPr>
              <w:jc w:val="right"/>
              <w:spacing w:after="0"/>
              <w:rPr>
                <w:sz w:val="20"/>
                <w:szCs w:val="20"/>
                <w:color w:val="auto"/>
              </w:rPr>
            </w:pPr>
            <w:r>
              <w:rPr>
                <w:rFonts w:ascii="Arial" w:cs="Arial" w:eastAsia="Arial" w:hAnsi="Arial"/>
                <w:sz w:val="12"/>
                <w:szCs w:val="12"/>
                <w:color w:val="auto"/>
              </w:rPr>
              <w:t>14,004,065</w:t>
            </w:r>
          </w:p>
        </w:tc>
        <w:tc>
          <w:tcPr>
            <w:tcW w:w="920" w:type="dxa"/>
            <w:vAlign w:val="bottom"/>
            <w:gridSpan w:val="2"/>
          </w:tcPr>
          <w:p>
            <w:pPr>
              <w:jc w:val="right"/>
              <w:spacing w:after="0"/>
              <w:rPr>
                <w:sz w:val="20"/>
                <w:szCs w:val="20"/>
                <w:color w:val="auto"/>
              </w:rPr>
            </w:pPr>
            <w:r>
              <w:rPr>
                <w:rFonts w:ascii="Arial" w:cs="Arial" w:eastAsia="Arial" w:hAnsi="Arial"/>
                <w:sz w:val="12"/>
                <w:szCs w:val="12"/>
                <w:color w:val="auto"/>
              </w:rPr>
              <w:t>13,723,984</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w w:val="96"/>
              </w:rPr>
              <w:t>13,723,984</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560" w:type="dxa"/>
            <w:vAlign w:val="bottom"/>
            <w:shd w:val="clear" w:color="auto" w:fill="CFF0FC"/>
          </w:tcPr>
          <w:p>
            <w:pPr>
              <w:spacing w:after="0" w:line="149" w:lineRule="exact"/>
              <w:rPr>
                <w:sz w:val="20"/>
                <w:szCs w:val="20"/>
                <w:color w:val="auto"/>
              </w:rPr>
            </w:pPr>
            <w:r>
              <w:rPr>
                <w:rFonts w:ascii="Arial" w:cs="Arial" w:eastAsia="Arial" w:hAnsi="Arial"/>
                <w:sz w:val="11"/>
                <w:szCs w:val="11"/>
                <w:color w:val="auto"/>
              </w:rPr>
              <w:t xml:space="preserve">Sales Benchmark Index LLC </w:t>
            </w:r>
            <w:r>
              <w:rPr>
                <w:rFonts w:ascii="Arial" w:cs="Arial" w:eastAsia="Arial" w:hAnsi="Arial"/>
                <w:sz w:val="17"/>
                <w:szCs w:val="17"/>
                <w:color w:val="auto"/>
                <w:vertAlign w:val="superscript"/>
              </w:rPr>
              <w:t>(7), (9)</w:t>
            </w:r>
          </w:p>
        </w:tc>
        <w:tc>
          <w:tcPr>
            <w:tcW w:w="720" w:type="dxa"/>
            <w:vAlign w:val="bottom"/>
            <w:gridSpan w:val="2"/>
            <w:shd w:val="clear" w:color="auto" w:fill="CFF0FC"/>
          </w:tcPr>
          <w:p>
            <w:pPr>
              <w:jc w:val="center"/>
              <w:ind w:left="42"/>
              <w:spacing w:after="0"/>
              <w:rPr>
                <w:sz w:val="20"/>
                <w:szCs w:val="20"/>
                <w:color w:val="auto"/>
              </w:rPr>
            </w:pPr>
            <w:r>
              <w:rPr>
                <w:rFonts w:ascii="Arial" w:cs="Arial" w:eastAsia="Arial" w:hAnsi="Arial"/>
                <w:sz w:val="12"/>
                <w:szCs w:val="12"/>
                <w:color w:val="auto"/>
                <w:w w:val="86"/>
              </w:rPr>
              <w:t>06/3/2021</w:t>
            </w:r>
          </w:p>
        </w:tc>
        <w:tc>
          <w:tcPr>
            <w:tcW w:w="120" w:type="dxa"/>
            <w:vAlign w:val="bottom"/>
            <w:shd w:val="clear" w:color="auto" w:fill="CFF0FC"/>
          </w:tcPr>
          <w:p>
            <w:pPr>
              <w:spacing w:after="0"/>
              <w:rPr>
                <w:sz w:val="12"/>
                <w:szCs w:val="12"/>
                <w:color w:val="auto"/>
              </w:rPr>
            </w:pPr>
          </w:p>
        </w:tc>
        <w:tc>
          <w:tcPr>
            <w:tcW w:w="2420" w:type="dxa"/>
            <w:vAlign w:val="bottom"/>
            <w:gridSpan w:val="2"/>
            <w:shd w:val="clear" w:color="auto" w:fill="CFF0FC"/>
          </w:tcPr>
          <w:p>
            <w:pPr>
              <w:jc w:val="center"/>
              <w:ind w:right="120"/>
              <w:spacing w:after="0"/>
              <w:rPr>
                <w:sz w:val="20"/>
                <w:szCs w:val="20"/>
                <w:color w:val="auto"/>
              </w:rPr>
            </w:pPr>
            <w:r>
              <w:rPr>
                <w:rFonts w:ascii="Arial" w:cs="Arial" w:eastAsia="Arial" w:hAnsi="Arial"/>
                <w:sz w:val="12"/>
                <w:szCs w:val="12"/>
                <w:color w:val="auto"/>
                <w:w w:val="88"/>
              </w:rPr>
              <w:t>Professional Services</w:t>
            </w:r>
          </w:p>
        </w:tc>
        <w:tc>
          <w:tcPr>
            <w:tcW w:w="74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w:t>
            </w:r>
          </w:p>
        </w:tc>
        <w:tc>
          <w:tcPr>
            <w:tcW w:w="16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3,231,707</w:t>
            </w:r>
          </w:p>
        </w:tc>
        <w:tc>
          <w:tcPr>
            <w:tcW w:w="20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00" w:type="dxa"/>
            <w:vAlign w:val="bottom"/>
            <w:gridSpan w:val="2"/>
            <w:shd w:val="clear" w:color="auto" w:fill="CFF0FC"/>
          </w:tcPr>
          <w:p>
            <w:pPr>
              <w:jc w:val="right"/>
              <w:ind w:right="1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8"/>
        </w:trPr>
        <w:tc>
          <w:tcPr>
            <w:tcW w:w="3560" w:type="dxa"/>
            <w:vAlign w:val="bottom"/>
          </w:tcPr>
          <w:p>
            <w:pPr>
              <w:spacing w:after="0" w:line="149" w:lineRule="exact"/>
              <w:rPr>
                <w:sz w:val="20"/>
                <w:szCs w:val="20"/>
                <w:color w:val="auto"/>
              </w:rPr>
            </w:pPr>
            <w:r>
              <w:rPr>
                <w:rFonts w:ascii="Arial" w:cs="Arial" w:eastAsia="Arial" w:hAnsi="Arial"/>
                <w:sz w:val="11"/>
                <w:szCs w:val="11"/>
                <w:color w:val="auto"/>
              </w:rPr>
              <w:t xml:space="preserve">Sales Benchmark Index LLC (Revolver) </w:t>
            </w:r>
            <w:r>
              <w:rPr>
                <w:rFonts w:ascii="Arial" w:cs="Arial" w:eastAsia="Arial" w:hAnsi="Arial"/>
                <w:sz w:val="17"/>
                <w:szCs w:val="17"/>
                <w:color w:val="auto"/>
                <w:vertAlign w:val="superscript"/>
              </w:rPr>
              <w:t>(7), (9)</w:t>
            </w:r>
          </w:p>
        </w:tc>
        <w:tc>
          <w:tcPr>
            <w:tcW w:w="720" w:type="dxa"/>
            <w:vAlign w:val="bottom"/>
            <w:gridSpan w:val="2"/>
          </w:tcPr>
          <w:p>
            <w:pPr>
              <w:jc w:val="center"/>
              <w:ind w:left="42"/>
              <w:spacing w:after="0"/>
              <w:rPr>
                <w:sz w:val="20"/>
                <w:szCs w:val="20"/>
                <w:color w:val="auto"/>
              </w:rPr>
            </w:pPr>
            <w:r>
              <w:rPr>
                <w:rFonts w:ascii="Arial" w:cs="Arial" w:eastAsia="Arial" w:hAnsi="Arial"/>
                <w:sz w:val="12"/>
                <w:szCs w:val="12"/>
                <w:color w:val="auto"/>
                <w:w w:val="86"/>
              </w:rPr>
              <w:t>01/3/2025</w:t>
            </w:r>
          </w:p>
        </w:tc>
        <w:tc>
          <w:tcPr>
            <w:tcW w:w="120" w:type="dxa"/>
            <w:vAlign w:val="bottom"/>
          </w:tcPr>
          <w:p>
            <w:pPr>
              <w:spacing w:after="0"/>
              <w:rPr>
                <w:sz w:val="12"/>
                <w:szCs w:val="12"/>
                <w:color w:val="auto"/>
              </w:rPr>
            </w:pPr>
          </w:p>
        </w:tc>
        <w:tc>
          <w:tcPr>
            <w:tcW w:w="2420" w:type="dxa"/>
            <w:vAlign w:val="bottom"/>
            <w:gridSpan w:val="2"/>
          </w:tcPr>
          <w:p>
            <w:pPr>
              <w:jc w:val="center"/>
              <w:ind w:right="120"/>
              <w:spacing w:after="0"/>
              <w:rPr>
                <w:sz w:val="20"/>
                <w:szCs w:val="20"/>
                <w:color w:val="auto"/>
              </w:rPr>
            </w:pPr>
            <w:r>
              <w:rPr>
                <w:rFonts w:ascii="Arial" w:cs="Arial" w:eastAsia="Arial" w:hAnsi="Arial"/>
                <w:sz w:val="12"/>
                <w:szCs w:val="12"/>
                <w:color w:val="auto"/>
                <w:w w:val="88"/>
              </w:rPr>
              <w:t>Professional Services</w:t>
            </w:r>
          </w:p>
        </w:tc>
        <w:tc>
          <w:tcPr>
            <w:tcW w:w="7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w:t>
            </w:r>
          </w:p>
        </w:tc>
        <w:tc>
          <w:tcPr>
            <w:tcW w:w="920" w:type="dxa"/>
            <w:vAlign w:val="bottom"/>
            <w:gridSpan w:val="2"/>
          </w:tcPr>
          <w:p>
            <w:pPr>
              <w:jc w:val="right"/>
              <w:spacing w:after="0"/>
              <w:rPr>
                <w:sz w:val="20"/>
                <w:szCs w:val="20"/>
                <w:color w:val="auto"/>
              </w:rPr>
            </w:pPr>
            <w:r>
              <w:rPr>
                <w:rFonts w:ascii="Arial" w:cs="Arial" w:eastAsia="Arial" w:hAnsi="Arial"/>
                <w:sz w:val="12"/>
                <w:szCs w:val="12"/>
                <w:color w:val="auto"/>
              </w:rPr>
              <w:t>1,292,683</w:t>
            </w:r>
          </w:p>
        </w:tc>
        <w:tc>
          <w:tcPr>
            <w:tcW w:w="20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9"/>
        </w:trPr>
        <w:tc>
          <w:tcPr>
            <w:tcW w:w="3560" w:type="dxa"/>
            <w:vAlign w:val="bottom"/>
            <w:shd w:val="clear" w:color="auto" w:fill="CFF0FC"/>
          </w:tcPr>
          <w:p>
            <w:pPr>
              <w:spacing w:after="0"/>
              <w:rPr>
                <w:sz w:val="20"/>
                <w:szCs w:val="20"/>
                <w:color w:val="auto"/>
              </w:rPr>
            </w:pPr>
            <w:r>
              <w:rPr>
                <w:rFonts w:ascii="Arial" w:cs="Arial" w:eastAsia="Arial" w:hAnsi="Arial"/>
                <w:sz w:val="12"/>
                <w:szCs w:val="12"/>
                <w:color w:val="auto"/>
              </w:rPr>
              <w:t>Salient CRGT Inc.</w:t>
            </w:r>
          </w:p>
        </w:tc>
        <w:tc>
          <w:tcPr>
            <w:tcW w:w="720" w:type="dxa"/>
            <w:vAlign w:val="bottom"/>
            <w:gridSpan w:val="2"/>
            <w:shd w:val="clear" w:color="auto" w:fill="CFF0FC"/>
          </w:tcPr>
          <w:p>
            <w:pPr>
              <w:jc w:val="center"/>
              <w:ind w:left="42"/>
              <w:spacing w:after="0"/>
              <w:rPr>
                <w:sz w:val="20"/>
                <w:szCs w:val="20"/>
                <w:color w:val="auto"/>
              </w:rPr>
            </w:pPr>
            <w:r>
              <w:rPr>
                <w:rFonts w:ascii="Arial" w:cs="Arial" w:eastAsia="Arial" w:hAnsi="Arial"/>
                <w:sz w:val="12"/>
                <w:szCs w:val="12"/>
                <w:color w:val="auto"/>
                <w:w w:val="89"/>
              </w:rPr>
              <w:t>02/28/2022</w:t>
            </w:r>
          </w:p>
        </w:tc>
        <w:tc>
          <w:tcPr>
            <w:tcW w:w="120" w:type="dxa"/>
            <w:vAlign w:val="bottom"/>
            <w:shd w:val="clear" w:color="auto" w:fill="CFF0FC"/>
          </w:tcPr>
          <w:p>
            <w:pPr>
              <w:spacing w:after="0"/>
              <w:rPr>
                <w:sz w:val="12"/>
                <w:szCs w:val="12"/>
                <w:color w:val="auto"/>
              </w:rPr>
            </w:pPr>
          </w:p>
        </w:tc>
        <w:tc>
          <w:tcPr>
            <w:tcW w:w="2420" w:type="dxa"/>
            <w:vAlign w:val="bottom"/>
            <w:gridSpan w:val="2"/>
            <w:shd w:val="clear" w:color="auto" w:fill="CFF0FC"/>
          </w:tcPr>
          <w:p>
            <w:pPr>
              <w:jc w:val="center"/>
              <w:ind w:right="120"/>
              <w:spacing w:after="0"/>
              <w:rPr>
                <w:sz w:val="20"/>
                <w:szCs w:val="20"/>
                <w:color w:val="auto"/>
              </w:rPr>
            </w:pPr>
            <w:r>
              <w:rPr>
                <w:rFonts w:ascii="Arial" w:cs="Arial" w:eastAsia="Arial" w:hAnsi="Arial"/>
                <w:sz w:val="12"/>
                <w:szCs w:val="12"/>
                <w:color w:val="auto"/>
                <w:w w:val="89"/>
              </w:rPr>
              <w:t>High Tech Industries</w:t>
            </w:r>
          </w:p>
        </w:tc>
        <w:tc>
          <w:tcPr>
            <w:tcW w:w="74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8.29%</w:t>
            </w:r>
          </w:p>
        </w:tc>
        <w:tc>
          <w:tcPr>
            <w:tcW w:w="16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1M L+600</w:t>
            </w: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1,759,183</w:t>
            </w: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1,741,579</w:t>
            </w:r>
          </w:p>
        </w:tc>
        <w:tc>
          <w:tcPr>
            <w:tcW w:w="2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1,653,632</w:t>
            </w:r>
          </w:p>
        </w:tc>
        <w:tc>
          <w:tcPr>
            <w:tcW w:w="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560" w:type="dxa"/>
            <w:vAlign w:val="bottom"/>
          </w:tcPr>
          <w:p>
            <w:pPr>
              <w:spacing w:after="0"/>
              <w:rPr>
                <w:sz w:val="20"/>
                <w:szCs w:val="20"/>
                <w:color w:val="auto"/>
              </w:rPr>
            </w:pPr>
            <w:r>
              <w:rPr>
                <w:rFonts w:ascii="Arial" w:cs="Arial" w:eastAsia="Arial" w:hAnsi="Arial"/>
                <w:sz w:val="12"/>
                <w:szCs w:val="12"/>
                <w:color w:val="auto"/>
              </w:rPr>
              <w:t>Sargent &amp; Greenleaf Inc.</w:t>
            </w:r>
          </w:p>
        </w:tc>
        <w:tc>
          <w:tcPr>
            <w:tcW w:w="720" w:type="dxa"/>
            <w:vAlign w:val="bottom"/>
            <w:gridSpan w:val="2"/>
          </w:tcPr>
          <w:p>
            <w:pPr>
              <w:jc w:val="center"/>
              <w:ind w:left="42"/>
              <w:spacing w:after="0"/>
              <w:rPr>
                <w:sz w:val="20"/>
                <w:szCs w:val="20"/>
                <w:color w:val="auto"/>
              </w:rPr>
            </w:pPr>
            <w:r>
              <w:rPr>
                <w:rFonts w:ascii="Arial" w:cs="Arial" w:eastAsia="Arial" w:hAnsi="Arial"/>
                <w:sz w:val="12"/>
                <w:szCs w:val="12"/>
                <w:color w:val="auto"/>
                <w:w w:val="89"/>
              </w:rPr>
              <w:t>12/20/2024</w:t>
            </w:r>
          </w:p>
        </w:tc>
        <w:tc>
          <w:tcPr>
            <w:tcW w:w="120" w:type="dxa"/>
            <w:vAlign w:val="bottom"/>
          </w:tcPr>
          <w:p>
            <w:pPr>
              <w:spacing w:after="0"/>
              <w:rPr>
                <w:sz w:val="12"/>
                <w:szCs w:val="12"/>
                <w:color w:val="auto"/>
              </w:rPr>
            </w:pPr>
          </w:p>
        </w:tc>
        <w:tc>
          <w:tcPr>
            <w:tcW w:w="2420" w:type="dxa"/>
            <w:vAlign w:val="bottom"/>
            <w:gridSpan w:val="2"/>
          </w:tcPr>
          <w:p>
            <w:pPr>
              <w:jc w:val="center"/>
              <w:ind w:right="120"/>
              <w:spacing w:after="0"/>
              <w:rPr>
                <w:sz w:val="20"/>
                <w:szCs w:val="20"/>
                <w:color w:val="auto"/>
              </w:rPr>
            </w:pPr>
            <w:r>
              <w:rPr>
                <w:rFonts w:ascii="Arial" w:cs="Arial" w:eastAsia="Arial" w:hAnsi="Arial"/>
                <w:sz w:val="12"/>
                <w:szCs w:val="12"/>
                <w:color w:val="auto"/>
                <w:w w:val="88"/>
              </w:rPr>
              <w:t>Electronic Equipment, Instruments, and</w:t>
            </w: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3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20" w:type="dxa"/>
            <w:vAlign w:val="bottom"/>
            <w:gridSpan w:val="2"/>
          </w:tcPr>
          <w:p>
            <w:pPr>
              <w:jc w:val="center"/>
              <w:ind w:right="120"/>
              <w:spacing w:after="0"/>
              <w:rPr>
                <w:sz w:val="20"/>
                <w:szCs w:val="20"/>
                <w:color w:val="auto"/>
              </w:rPr>
            </w:pPr>
            <w:r>
              <w:rPr>
                <w:rFonts w:ascii="Arial" w:cs="Arial" w:eastAsia="Arial" w:hAnsi="Arial"/>
                <w:sz w:val="12"/>
                <w:szCs w:val="12"/>
                <w:color w:val="auto"/>
                <w:w w:val="85"/>
              </w:rPr>
              <w:t>Components</w:t>
            </w:r>
          </w:p>
        </w:tc>
        <w:tc>
          <w:tcPr>
            <w:tcW w:w="740" w:type="dxa"/>
            <w:vAlign w:val="bottom"/>
            <w:gridSpan w:val="2"/>
          </w:tcPr>
          <w:p>
            <w:pPr>
              <w:jc w:val="right"/>
              <w:spacing w:after="0"/>
              <w:rPr>
                <w:sz w:val="20"/>
                <w:szCs w:val="20"/>
                <w:color w:val="auto"/>
              </w:rPr>
            </w:pPr>
            <w:r>
              <w:rPr>
                <w:rFonts w:ascii="Arial" w:cs="Arial" w:eastAsia="Arial" w:hAnsi="Arial"/>
                <w:sz w:val="12"/>
                <w:szCs w:val="12"/>
                <w:color w:val="auto"/>
              </w:rPr>
              <w:t>7.30%</w:t>
            </w:r>
          </w:p>
        </w:tc>
        <w:tc>
          <w:tcPr>
            <w:tcW w:w="16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1M L+550</w:t>
            </w:r>
          </w:p>
        </w:tc>
        <w:tc>
          <w:tcPr>
            <w:tcW w:w="920" w:type="dxa"/>
            <w:vAlign w:val="bottom"/>
            <w:gridSpan w:val="2"/>
          </w:tcPr>
          <w:p>
            <w:pPr>
              <w:jc w:val="right"/>
              <w:spacing w:after="0"/>
              <w:rPr>
                <w:sz w:val="20"/>
                <w:szCs w:val="20"/>
                <w:color w:val="auto"/>
              </w:rPr>
            </w:pPr>
            <w:r>
              <w:rPr>
                <w:rFonts w:ascii="Arial" w:cs="Arial" w:eastAsia="Arial" w:hAnsi="Arial"/>
                <w:sz w:val="12"/>
                <w:szCs w:val="12"/>
                <w:color w:val="auto"/>
              </w:rPr>
              <w:t>9,772,237</w:t>
            </w:r>
          </w:p>
        </w:tc>
        <w:tc>
          <w:tcPr>
            <w:tcW w:w="920" w:type="dxa"/>
            <w:vAlign w:val="bottom"/>
            <w:gridSpan w:val="2"/>
          </w:tcPr>
          <w:p>
            <w:pPr>
              <w:jc w:val="right"/>
              <w:spacing w:after="0"/>
              <w:rPr>
                <w:sz w:val="20"/>
                <w:szCs w:val="20"/>
                <w:color w:val="auto"/>
              </w:rPr>
            </w:pPr>
            <w:r>
              <w:rPr>
                <w:rFonts w:ascii="Arial" w:cs="Arial" w:eastAsia="Arial" w:hAnsi="Arial"/>
                <w:sz w:val="12"/>
                <w:szCs w:val="12"/>
                <w:color w:val="auto"/>
              </w:rPr>
              <w:t>9,626,210</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9,625,654</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560" w:type="dxa"/>
            <w:vAlign w:val="bottom"/>
            <w:shd w:val="clear" w:color="auto" w:fill="CFF0FC"/>
          </w:tcPr>
          <w:p>
            <w:pPr>
              <w:spacing w:after="0" w:line="142" w:lineRule="exact"/>
              <w:rPr>
                <w:sz w:val="20"/>
                <w:szCs w:val="20"/>
                <w:color w:val="auto"/>
              </w:rPr>
            </w:pPr>
            <w:r>
              <w:rPr>
                <w:rFonts w:ascii="Arial" w:cs="Arial" w:eastAsia="Arial" w:hAnsi="Arial"/>
                <w:sz w:val="10"/>
                <w:szCs w:val="10"/>
                <w:color w:val="auto"/>
              </w:rPr>
              <w:t xml:space="preserve">Sargent &amp; Greenleaf Inc. (Revolver) </w:t>
            </w:r>
            <w:r>
              <w:rPr>
                <w:rFonts w:ascii="Arial" w:cs="Arial" w:eastAsia="Arial" w:hAnsi="Arial"/>
                <w:sz w:val="16"/>
                <w:szCs w:val="16"/>
                <w:color w:val="auto"/>
                <w:vertAlign w:val="superscript"/>
              </w:rPr>
              <w:t>(7), (9)</w:t>
            </w:r>
          </w:p>
        </w:tc>
        <w:tc>
          <w:tcPr>
            <w:tcW w:w="720" w:type="dxa"/>
            <w:vAlign w:val="bottom"/>
            <w:gridSpan w:val="2"/>
            <w:shd w:val="clear" w:color="auto" w:fill="CFF0FC"/>
          </w:tcPr>
          <w:p>
            <w:pPr>
              <w:jc w:val="center"/>
              <w:ind w:left="42"/>
              <w:spacing w:after="0"/>
              <w:rPr>
                <w:sz w:val="20"/>
                <w:szCs w:val="20"/>
                <w:color w:val="auto"/>
              </w:rPr>
            </w:pPr>
            <w:r>
              <w:rPr>
                <w:rFonts w:ascii="Arial" w:cs="Arial" w:eastAsia="Arial" w:hAnsi="Arial"/>
                <w:sz w:val="12"/>
                <w:szCs w:val="12"/>
                <w:color w:val="auto"/>
                <w:w w:val="89"/>
              </w:rPr>
              <w:t>12/20/2024</w:t>
            </w:r>
          </w:p>
        </w:tc>
        <w:tc>
          <w:tcPr>
            <w:tcW w:w="120" w:type="dxa"/>
            <w:vAlign w:val="bottom"/>
            <w:shd w:val="clear" w:color="auto" w:fill="CFF0FC"/>
          </w:tcPr>
          <w:p>
            <w:pPr>
              <w:spacing w:after="0"/>
              <w:rPr>
                <w:sz w:val="12"/>
                <w:szCs w:val="12"/>
                <w:color w:val="auto"/>
              </w:rPr>
            </w:pPr>
          </w:p>
        </w:tc>
        <w:tc>
          <w:tcPr>
            <w:tcW w:w="2420" w:type="dxa"/>
            <w:vAlign w:val="bottom"/>
            <w:gridSpan w:val="2"/>
            <w:shd w:val="clear" w:color="auto" w:fill="CFF0FC"/>
          </w:tcPr>
          <w:p>
            <w:pPr>
              <w:jc w:val="center"/>
              <w:ind w:right="120"/>
              <w:spacing w:after="0"/>
              <w:rPr>
                <w:sz w:val="20"/>
                <w:szCs w:val="20"/>
                <w:color w:val="auto"/>
              </w:rPr>
            </w:pPr>
            <w:r>
              <w:rPr>
                <w:rFonts w:ascii="Arial" w:cs="Arial" w:eastAsia="Arial" w:hAnsi="Arial"/>
                <w:sz w:val="12"/>
                <w:szCs w:val="12"/>
                <w:color w:val="auto"/>
                <w:w w:val="88"/>
              </w:rPr>
              <w:t>Electronic Equipment, Instruments, and</w:t>
            </w:r>
          </w:p>
        </w:tc>
        <w:tc>
          <w:tcPr>
            <w:tcW w:w="6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35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420" w:type="dxa"/>
            <w:vAlign w:val="bottom"/>
            <w:gridSpan w:val="2"/>
            <w:shd w:val="clear" w:color="auto" w:fill="CFF0FC"/>
          </w:tcPr>
          <w:p>
            <w:pPr>
              <w:jc w:val="center"/>
              <w:ind w:right="120"/>
              <w:spacing w:after="0"/>
              <w:rPr>
                <w:sz w:val="20"/>
                <w:szCs w:val="20"/>
                <w:color w:val="auto"/>
              </w:rPr>
            </w:pPr>
            <w:r>
              <w:rPr>
                <w:rFonts w:ascii="Arial" w:cs="Arial" w:eastAsia="Arial" w:hAnsi="Arial"/>
                <w:sz w:val="12"/>
                <w:szCs w:val="12"/>
                <w:color w:val="auto"/>
                <w:w w:val="85"/>
              </w:rPr>
              <w:t>Components</w:t>
            </w:r>
          </w:p>
        </w:tc>
        <w:tc>
          <w:tcPr>
            <w:tcW w:w="74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w:t>
            </w:r>
          </w:p>
        </w:tc>
        <w:tc>
          <w:tcPr>
            <w:tcW w:w="16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1,056,367</w:t>
            </w:r>
          </w:p>
        </w:tc>
        <w:tc>
          <w:tcPr>
            <w:tcW w:w="20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00" w:type="dxa"/>
            <w:vAlign w:val="bottom"/>
            <w:gridSpan w:val="2"/>
            <w:shd w:val="clear" w:color="auto" w:fill="CFF0FC"/>
          </w:tcPr>
          <w:p>
            <w:pPr>
              <w:jc w:val="right"/>
              <w:ind w:right="1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9"/>
        </w:trPr>
        <w:tc>
          <w:tcPr>
            <w:tcW w:w="3560" w:type="dxa"/>
            <w:vAlign w:val="bottom"/>
          </w:tcPr>
          <w:p>
            <w:pPr>
              <w:spacing w:after="0"/>
              <w:rPr>
                <w:sz w:val="20"/>
                <w:szCs w:val="20"/>
                <w:color w:val="auto"/>
              </w:rPr>
            </w:pPr>
            <w:r>
              <w:rPr>
                <w:rFonts w:ascii="Arial" w:cs="Arial" w:eastAsia="Arial" w:hAnsi="Arial"/>
                <w:sz w:val="12"/>
                <w:szCs w:val="12"/>
                <w:color w:val="auto"/>
              </w:rPr>
              <w:t>Schlesinger Global, Inc.</w:t>
            </w:r>
          </w:p>
        </w:tc>
        <w:tc>
          <w:tcPr>
            <w:tcW w:w="720" w:type="dxa"/>
            <w:vAlign w:val="bottom"/>
            <w:gridSpan w:val="2"/>
          </w:tcPr>
          <w:p>
            <w:pPr>
              <w:jc w:val="center"/>
              <w:ind w:left="42"/>
              <w:spacing w:after="0"/>
              <w:rPr>
                <w:sz w:val="20"/>
                <w:szCs w:val="20"/>
                <w:color w:val="auto"/>
              </w:rPr>
            </w:pPr>
            <w:r>
              <w:rPr>
                <w:rFonts w:ascii="Arial" w:cs="Arial" w:eastAsia="Arial" w:hAnsi="Arial"/>
                <w:sz w:val="12"/>
                <w:szCs w:val="12"/>
                <w:color w:val="auto"/>
                <w:w w:val="89"/>
              </w:rPr>
              <w:t>07/14/2025</w:t>
            </w:r>
          </w:p>
        </w:tc>
        <w:tc>
          <w:tcPr>
            <w:tcW w:w="120" w:type="dxa"/>
            <w:vAlign w:val="bottom"/>
          </w:tcPr>
          <w:p>
            <w:pPr>
              <w:spacing w:after="0"/>
              <w:rPr>
                <w:sz w:val="12"/>
                <w:szCs w:val="12"/>
                <w:color w:val="auto"/>
              </w:rPr>
            </w:pPr>
          </w:p>
        </w:tc>
        <w:tc>
          <w:tcPr>
            <w:tcW w:w="2420" w:type="dxa"/>
            <w:vAlign w:val="bottom"/>
            <w:gridSpan w:val="2"/>
          </w:tcPr>
          <w:p>
            <w:pPr>
              <w:jc w:val="center"/>
              <w:ind w:right="120"/>
              <w:spacing w:after="0"/>
              <w:rPr>
                <w:sz w:val="20"/>
                <w:szCs w:val="20"/>
                <w:color w:val="auto"/>
              </w:rPr>
            </w:pPr>
            <w:r>
              <w:rPr>
                <w:rFonts w:ascii="Arial" w:cs="Arial" w:eastAsia="Arial" w:hAnsi="Arial"/>
                <w:sz w:val="12"/>
                <w:szCs w:val="12"/>
                <w:color w:val="auto"/>
                <w:w w:val="88"/>
              </w:rPr>
              <w:t>Professional Services</w:t>
            </w:r>
          </w:p>
        </w:tc>
        <w:tc>
          <w:tcPr>
            <w:tcW w:w="740" w:type="dxa"/>
            <w:vAlign w:val="bottom"/>
            <w:gridSpan w:val="2"/>
          </w:tcPr>
          <w:p>
            <w:pPr>
              <w:jc w:val="right"/>
              <w:spacing w:after="0"/>
              <w:rPr>
                <w:sz w:val="20"/>
                <w:szCs w:val="20"/>
                <w:color w:val="auto"/>
              </w:rPr>
            </w:pPr>
            <w:r>
              <w:rPr>
                <w:rFonts w:ascii="Arial" w:cs="Arial" w:eastAsia="Arial" w:hAnsi="Arial"/>
                <w:sz w:val="12"/>
                <w:szCs w:val="12"/>
                <w:color w:val="auto"/>
              </w:rPr>
              <w:t>6.91%</w:t>
            </w:r>
          </w:p>
        </w:tc>
        <w:tc>
          <w:tcPr>
            <w:tcW w:w="16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1M L+500</w:t>
            </w:r>
          </w:p>
        </w:tc>
        <w:tc>
          <w:tcPr>
            <w:tcW w:w="920" w:type="dxa"/>
            <w:vAlign w:val="bottom"/>
            <w:gridSpan w:val="2"/>
          </w:tcPr>
          <w:p>
            <w:pPr>
              <w:jc w:val="right"/>
              <w:spacing w:after="0"/>
              <w:rPr>
                <w:sz w:val="20"/>
                <w:szCs w:val="20"/>
                <w:color w:val="auto"/>
              </w:rPr>
            </w:pPr>
            <w:r>
              <w:rPr>
                <w:rFonts w:ascii="Arial" w:cs="Arial" w:eastAsia="Arial" w:hAnsi="Arial"/>
                <w:sz w:val="12"/>
                <w:szCs w:val="12"/>
                <w:color w:val="auto"/>
              </w:rPr>
              <w:t>17,313,723</w:t>
            </w:r>
          </w:p>
        </w:tc>
        <w:tc>
          <w:tcPr>
            <w:tcW w:w="920" w:type="dxa"/>
            <w:vAlign w:val="bottom"/>
            <w:gridSpan w:val="2"/>
          </w:tcPr>
          <w:p>
            <w:pPr>
              <w:jc w:val="right"/>
              <w:spacing w:after="0"/>
              <w:rPr>
                <w:sz w:val="20"/>
                <w:szCs w:val="20"/>
                <w:color w:val="auto"/>
              </w:rPr>
            </w:pPr>
            <w:r>
              <w:rPr>
                <w:rFonts w:ascii="Arial" w:cs="Arial" w:eastAsia="Arial" w:hAnsi="Arial"/>
                <w:sz w:val="12"/>
                <w:szCs w:val="12"/>
                <w:color w:val="auto"/>
              </w:rPr>
              <w:t>17,119,560</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w w:val="96"/>
              </w:rPr>
              <w:t>17,313,723</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560" w:type="dxa"/>
            <w:vAlign w:val="bottom"/>
            <w:shd w:val="clear" w:color="auto" w:fill="CFF0FC"/>
          </w:tcPr>
          <w:p>
            <w:pPr>
              <w:spacing w:after="0" w:line="149" w:lineRule="exact"/>
              <w:rPr>
                <w:sz w:val="20"/>
                <w:szCs w:val="20"/>
                <w:color w:val="auto"/>
              </w:rPr>
            </w:pPr>
            <w:r>
              <w:rPr>
                <w:rFonts w:ascii="Arial" w:cs="Arial" w:eastAsia="Arial" w:hAnsi="Arial"/>
                <w:sz w:val="11"/>
                <w:szCs w:val="11"/>
                <w:color w:val="auto"/>
              </w:rPr>
              <w:t xml:space="preserve">Schlesinger Global, Inc. (Revolver) </w:t>
            </w:r>
            <w:r>
              <w:rPr>
                <w:rFonts w:ascii="Arial" w:cs="Arial" w:eastAsia="Arial" w:hAnsi="Arial"/>
                <w:sz w:val="17"/>
                <w:szCs w:val="17"/>
                <w:color w:val="auto"/>
                <w:vertAlign w:val="superscript"/>
              </w:rPr>
              <w:t>(7), (9)</w:t>
            </w:r>
          </w:p>
        </w:tc>
        <w:tc>
          <w:tcPr>
            <w:tcW w:w="720" w:type="dxa"/>
            <w:vAlign w:val="bottom"/>
            <w:gridSpan w:val="2"/>
            <w:shd w:val="clear" w:color="auto" w:fill="CFF0FC"/>
          </w:tcPr>
          <w:p>
            <w:pPr>
              <w:jc w:val="center"/>
              <w:ind w:left="42"/>
              <w:spacing w:after="0"/>
              <w:rPr>
                <w:sz w:val="20"/>
                <w:szCs w:val="20"/>
                <w:color w:val="auto"/>
              </w:rPr>
            </w:pPr>
            <w:r>
              <w:rPr>
                <w:rFonts w:ascii="Arial" w:cs="Arial" w:eastAsia="Arial" w:hAnsi="Arial"/>
                <w:sz w:val="12"/>
                <w:szCs w:val="12"/>
                <w:color w:val="auto"/>
                <w:w w:val="89"/>
              </w:rPr>
              <w:t>07/14/2025</w:t>
            </w:r>
          </w:p>
        </w:tc>
        <w:tc>
          <w:tcPr>
            <w:tcW w:w="120" w:type="dxa"/>
            <w:vAlign w:val="bottom"/>
            <w:shd w:val="clear" w:color="auto" w:fill="CFF0FC"/>
          </w:tcPr>
          <w:p>
            <w:pPr>
              <w:spacing w:after="0"/>
              <w:rPr>
                <w:sz w:val="12"/>
                <w:szCs w:val="12"/>
                <w:color w:val="auto"/>
              </w:rPr>
            </w:pPr>
          </w:p>
        </w:tc>
        <w:tc>
          <w:tcPr>
            <w:tcW w:w="2420" w:type="dxa"/>
            <w:vAlign w:val="bottom"/>
            <w:gridSpan w:val="2"/>
            <w:shd w:val="clear" w:color="auto" w:fill="CFF0FC"/>
          </w:tcPr>
          <w:p>
            <w:pPr>
              <w:jc w:val="center"/>
              <w:ind w:right="120"/>
              <w:spacing w:after="0"/>
              <w:rPr>
                <w:sz w:val="20"/>
                <w:szCs w:val="20"/>
                <w:color w:val="auto"/>
              </w:rPr>
            </w:pPr>
            <w:r>
              <w:rPr>
                <w:rFonts w:ascii="Arial" w:cs="Arial" w:eastAsia="Arial" w:hAnsi="Arial"/>
                <w:sz w:val="12"/>
                <w:szCs w:val="12"/>
                <w:color w:val="auto"/>
                <w:w w:val="88"/>
              </w:rPr>
              <w:t>Professional Services</w:t>
            </w:r>
          </w:p>
        </w:tc>
        <w:tc>
          <w:tcPr>
            <w:tcW w:w="74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w:t>
            </w:r>
          </w:p>
        </w:tc>
        <w:tc>
          <w:tcPr>
            <w:tcW w:w="16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1,870,302</w:t>
            </w:r>
          </w:p>
        </w:tc>
        <w:tc>
          <w:tcPr>
            <w:tcW w:w="20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00" w:type="dxa"/>
            <w:vAlign w:val="bottom"/>
            <w:gridSpan w:val="2"/>
            <w:shd w:val="clear" w:color="auto" w:fill="CFF0FC"/>
          </w:tcPr>
          <w:p>
            <w:pPr>
              <w:jc w:val="right"/>
              <w:ind w:right="1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8"/>
        </w:trPr>
        <w:tc>
          <w:tcPr>
            <w:tcW w:w="3560" w:type="dxa"/>
            <w:vAlign w:val="bottom"/>
          </w:tcPr>
          <w:p>
            <w:pPr>
              <w:spacing w:after="0"/>
              <w:rPr>
                <w:sz w:val="20"/>
                <w:szCs w:val="20"/>
                <w:color w:val="auto"/>
              </w:rPr>
            </w:pPr>
            <w:r>
              <w:rPr>
                <w:rFonts w:ascii="Arial" w:cs="Arial" w:eastAsia="Arial" w:hAnsi="Arial"/>
                <w:sz w:val="12"/>
                <w:szCs w:val="12"/>
                <w:color w:val="auto"/>
              </w:rPr>
              <w:t>Signature Systems Holding Company</w:t>
            </w:r>
          </w:p>
        </w:tc>
        <w:tc>
          <w:tcPr>
            <w:tcW w:w="720" w:type="dxa"/>
            <w:vAlign w:val="bottom"/>
            <w:gridSpan w:val="2"/>
          </w:tcPr>
          <w:p>
            <w:pPr>
              <w:jc w:val="center"/>
              <w:ind w:left="42"/>
              <w:spacing w:after="0"/>
              <w:rPr>
                <w:sz w:val="20"/>
                <w:szCs w:val="20"/>
                <w:color w:val="auto"/>
              </w:rPr>
            </w:pPr>
            <w:r>
              <w:rPr>
                <w:rFonts w:ascii="Arial" w:cs="Arial" w:eastAsia="Arial" w:hAnsi="Arial"/>
                <w:sz w:val="12"/>
                <w:szCs w:val="12"/>
                <w:color w:val="auto"/>
                <w:w w:val="89"/>
              </w:rPr>
              <w:t>05/03/2024</w:t>
            </w:r>
          </w:p>
        </w:tc>
        <w:tc>
          <w:tcPr>
            <w:tcW w:w="120" w:type="dxa"/>
            <w:vAlign w:val="bottom"/>
          </w:tcPr>
          <w:p>
            <w:pPr>
              <w:spacing w:after="0"/>
              <w:rPr>
                <w:sz w:val="12"/>
                <w:szCs w:val="12"/>
                <w:color w:val="auto"/>
              </w:rPr>
            </w:pPr>
          </w:p>
        </w:tc>
        <w:tc>
          <w:tcPr>
            <w:tcW w:w="2420" w:type="dxa"/>
            <w:vAlign w:val="bottom"/>
            <w:gridSpan w:val="2"/>
          </w:tcPr>
          <w:p>
            <w:pPr>
              <w:jc w:val="center"/>
              <w:ind w:right="120"/>
              <w:spacing w:after="0"/>
              <w:rPr>
                <w:sz w:val="20"/>
                <w:szCs w:val="20"/>
                <w:color w:val="auto"/>
              </w:rPr>
            </w:pPr>
            <w:r>
              <w:rPr>
                <w:rFonts w:ascii="Arial" w:cs="Arial" w:eastAsia="Arial" w:hAnsi="Arial"/>
                <w:sz w:val="12"/>
                <w:szCs w:val="12"/>
                <w:color w:val="auto"/>
                <w:w w:val="88"/>
              </w:rPr>
              <w:t>Commercial Services &amp; Supplies</w:t>
            </w:r>
          </w:p>
        </w:tc>
        <w:tc>
          <w:tcPr>
            <w:tcW w:w="740" w:type="dxa"/>
            <w:vAlign w:val="bottom"/>
            <w:gridSpan w:val="2"/>
          </w:tcPr>
          <w:p>
            <w:pPr>
              <w:jc w:val="right"/>
              <w:spacing w:after="0"/>
              <w:rPr>
                <w:sz w:val="20"/>
                <w:szCs w:val="20"/>
                <w:color w:val="auto"/>
              </w:rPr>
            </w:pPr>
            <w:r>
              <w:rPr>
                <w:rFonts w:ascii="Arial" w:cs="Arial" w:eastAsia="Arial" w:hAnsi="Arial"/>
                <w:sz w:val="12"/>
                <w:szCs w:val="12"/>
                <w:color w:val="auto"/>
              </w:rPr>
              <w:t>8.44%</w:t>
            </w:r>
          </w:p>
        </w:tc>
        <w:tc>
          <w:tcPr>
            <w:tcW w:w="16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1M L+650</w:t>
            </w:r>
          </w:p>
        </w:tc>
        <w:tc>
          <w:tcPr>
            <w:tcW w:w="920" w:type="dxa"/>
            <w:vAlign w:val="bottom"/>
            <w:gridSpan w:val="2"/>
          </w:tcPr>
          <w:p>
            <w:pPr>
              <w:jc w:val="right"/>
              <w:spacing w:after="0"/>
              <w:rPr>
                <w:sz w:val="20"/>
                <w:szCs w:val="20"/>
                <w:color w:val="auto"/>
              </w:rPr>
            </w:pPr>
            <w:r>
              <w:rPr>
                <w:rFonts w:ascii="Arial" w:cs="Arial" w:eastAsia="Arial" w:hAnsi="Arial"/>
                <w:sz w:val="12"/>
                <w:szCs w:val="12"/>
                <w:color w:val="auto"/>
              </w:rPr>
              <w:t>12,837,500</w:t>
            </w:r>
          </w:p>
        </w:tc>
        <w:tc>
          <w:tcPr>
            <w:tcW w:w="920" w:type="dxa"/>
            <w:vAlign w:val="bottom"/>
            <w:gridSpan w:val="2"/>
          </w:tcPr>
          <w:p>
            <w:pPr>
              <w:jc w:val="right"/>
              <w:spacing w:after="0"/>
              <w:rPr>
                <w:sz w:val="20"/>
                <w:szCs w:val="20"/>
                <w:color w:val="auto"/>
              </w:rPr>
            </w:pPr>
            <w:r>
              <w:rPr>
                <w:rFonts w:ascii="Arial" w:cs="Arial" w:eastAsia="Arial" w:hAnsi="Arial"/>
                <w:sz w:val="12"/>
                <w:szCs w:val="12"/>
                <w:color w:val="auto"/>
              </w:rPr>
              <w:t>12,661,474</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w w:val="96"/>
              </w:rPr>
              <w:t>12,837,500</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60" w:type="dxa"/>
            <w:vAlign w:val="bottom"/>
            <w:shd w:val="clear" w:color="auto" w:fill="CFF0FC"/>
          </w:tcPr>
          <w:p>
            <w:pPr>
              <w:spacing w:after="0" w:line="149" w:lineRule="exact"/>
              <w:rPr>
                <w:sz w:val="20"/>
                <w:szCs w:val="20"/>
                <w:color w:val="auto"/>
              </w:rPr>
            </w:pPr>
            <w:r>
              <w:rPr>
                <w:rFonts w:ascii="Arial" w:cs="Arial" w:eastAsia="Arial" w:hAnsi="Arial"/>
                <w:sz w:val="11"/>
                <w:szCs w:val="11"/>
                <w:color w:val="auto"/>
              </w:rPr>
              <w:t xml:space="preserve">Signature Systems Holding Company (Revolver) </w:t>
            </w:r>
            <w:r>
              <w:rPr>
                <w:rFonts w:ascii="Arial" w:cs="Arial" w:eastAsia="Arial" w:hAnsi="Arial"/>
                <w:sz w:val="17"/>
                <w:szCs w:val="17"/>
                <w:color w:val="auto"/>
                <w:vertAlign w:val="superscript"/>
              </w:rPr>
              <w:t>(7)</w:t>
            </w:r>
          </w:p>
        </w:tc>
        <w:tc>
          <w:tcPr>
            <w:tcW w:w="720" w:type="dxa"/>
            <w:vAlign w:val="bottom"/>
            <w:gridSpan w:val="2"/>
            <w:shd w:val="clear" w:color="auto" w:fill="CFF0FC"/>
          </w:tcPr>
          <w:p>
            <w:pPr>
              <w:jc w:val="center"/>
              <w:ind w:left="42"/>
              <w:spacing w:after="0"/>
              <w:rPr>
                <w:sz w:val="20"/>
                <w:szCs w:val="20"/>
                <w:color w:val="auto"/>
              </w:rPr>
            </w:pPr>
            <w:r>
              <w:rPr>
                <w:rFonts w:ascii="Arial" w:cs="Arial" w:eastAsia="Arial" w:hAnsi="Arial"/>
                <w:sz w:val="12"/>
                <w:szCs w:val="12"/>
                <w:color w:val="auto"/>
                <w:w w:val="89"/>
              </w:rPr>
              <w:t>05/03/2024</w:t>
            </w:r>
          </w:p>
        </w:tc>
        <w:tc>
          <w:tcPr>
            <w:tcW w:w="120" w:type="dxa"/>
            <w:vAlign w:val="bottom"/>
            <w:shd w:val="clear" w:color="auto" w:fill="CFF0FC"/>
          </w:tcPr>
          <w:p>
            <w:pPr>
              <w:spacing w:after="0"/>
              <w:rPr>
                <w:sz w:val="12"/>
                <w:szCs w:val="12"/>
                <w:color w:val="auto"/>
              </w:rPr>
            </w:pPr>
          </w:p>
        </w:tc>
        <w:tc>
          <w:tcPr>
            <w:tcW w:w="2420" w:type="dxa"/>
            <w:vAlign w:val="bottom"/>
            <w:gridSpan w:val="2"/>
            <w:shd w:val="clear" w:color="auto" w:fill="CFF0FC"/>
          </w:tcPr>
          <w:p>
            <w:pPr>
              <w:jc w:val="center"/>
              <w:ind w:right="120"/>
              <w:spacing w:after="0"/>
              <w:rPr>
                <w:sz w:val="20"/>
                <w:szCs w:val="20"/>
                <w:color w:val="auto"/>
              </w:rPr>
            </w:pPr>
            <w:r>
              <w:rPr>
                <w:rFonts w:ascii="Arial" w:cs="Arial" w:eastAsia="Arial" w:hAnsi="Arial"/>
                <w:sz w:val="12"/>
                <w:szCs w:val="12"/>
                <w:color w:val="auto"/>
                <w:w w:val="88"/>
              </w:rPr>
              <w:t>Commercial Services &amp; Supplies</w:t>
            </w:r>
          </w:p>
        </w:tc>
        <w:tc>
          <w:tcPr>
            <w:tcW w:w="74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10.25%</w:t>
            </w:r>
          </w:p>
        </w:tc>
        <w:tc>
          <w:tcPr>
            <w:tcW w:w="16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P+550</w:t>
            </w: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768,817</w:t>
            </w: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768,817</w:t>
            </w:r>
          </w:p>
        </w:tc>
        <w:tc>
          <w:tcPr>
            <w:tcW w:w="2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768,817</w:t>
            </w:r>
          </w:p>
        </w:tc>
        <w:tc>
          <w:tcPr>
            <w:tcW w:w="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560" w:type="dxa"/>
            <w:vAlign w:val="bottom"/>
          </w:tcPr>
          <w:p>
            <w:pPr>
              <w:spacing w:after="0" w:line="149" w:lineRule="exact"/>
              <w:rPr>
                <w:sz w:val="20"/>
                <w:szCs w:val="20"/>
                <w:color w:val="auto"/>
              </w:rPr>
            </w:pPr>
            <w:r>
              <w:rPr>
                <w:rFonts w:ascii="Arial" w:cs="Arial" w:eastAsia="Arial" w:hAnsi="Arial"/>
                <w:sz w:val="11"/>
                <w:szCs w:val="11"/>
                <w:color w:val="auto"/>
              </w:rPr>
              <w:t xml:space="preserve">Signature Systems Holding Company (Revolver) </w:t>
            </w:r>
            <w:r>
              <w:rPr>
                <w:rFonts w:ascii="Arial" w:cs="Arial" w:eastAsia="Arial" w:hAnsi="Arial"/>
                <w:sz w:val="17"/>
                <w:szCs w:val="17"/>
                <w:color w:val="auto"/>
                <w:vertAlign w:val="superscript"/>
              </w:rPr>
              <w:t>(7), (9)</w:t>
            </w:r>
          </w:p>
        </w:tc>
        <w:tc>
          <w:tcPr>
            <w:tcW w:w="720" w:type="dxa"/>
            <w:vAlign w:val="bottom"/>
            <w:gridSpan w:val="2"/>
          </w:tcPr>
          <w:p>
            <w:pPr>
              <w:jc w:val="center"/>
              <w:ind w:left="42"/>
              <w:spacing w:after="0"/>
              <w:rPr>
                <w:sz w:val="20"/>
                <w:szCs w:val="20"/>
                <w:color w:val="auto"/>
              </w:rPr>
            </w:pPr>
            <w:r>
              <w:rPr>
                <w:rFonts w:ascii="Arial" w:cs="Arial" w:eastAsia="Arial" w:hAnsi="Arial"/>
                <w:sz w:val="12"/>
                <w:szCs w:val="12"/>
                <w:color w:val="auto"/>
                <w:w w:val="89"/>
              </w:rPr>
              <w:t>05/03/2024</w:t>
            </w:r>
          </w:p>
        </w:tc>
        <w:tc>
          <w:tcPr>
            <w:tcW w:w="120" w:type="dxa"/>
            <w:vAlign w:val="bottom"/>
          </w:tcPr>
          <w:p>
            <w:pPr>
              <w:spacing w:after="0"/>
              <w:rPr>
                <w:sz w:val="12"/>
                <w:szCs w:val="12"/>
                <w:color w:val="auto"/>
              </w:rPr>
            </w:pPr>
          </w:p>
        </w:tc>
        <w:tc>
          <w:tcPr>
            <w:tcW w:w="2420" w:type="dxa"/>
            <w:vAlign w:val="bottom"/>
            <w:gridSpan w:val="2"/>
          </w:tcPr>
          <w:p>
            <w:pPr>
              <w:jc w:val="center"/>
              <w:ind w:right="120"/>
              <w:spacing w:after="0"/>
              <w:rPr>
                <w:sz w:val="20"/>
                <w:szCs w:val="20"/>
                <w:color w:val="auto"/>
              </w:rPr>
            </w:pPr>
            <w:r>
              <w:rPr>
                <w:rFonts w:ascii="Arial" w:cs="Arial" w:eastAsia="Arial" w:hAnsi="Arial"/>
                <w:sz w:val="12"/>
                <w:szCs w:val="12"/>
                <w:color w:val="auto"/>
                <w:w w:val="88"/>
              </w:rPr>
              <w:t>Commercial Services &amp; Supplies</w:t>
            </w:r>
          </w:p>
        </w:tc>
        <w:tc>
          <w:tcPr>
            <w:tcW w:w="7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w:t>
            </w:r>
          </w:p>
        </w:tc>
        <w:tc>
          <w:tcPr>
            <w:tcW w:w="920" w:type="dxa"/>
            <w:vAlign w:val="bottom"/>
            <w:gridSpan w:val="2"/>
          </w:tcPr>
          <w:p>
            <w:pPr>
              <w:jc w:val="right"/>
              <w:spacing w:after="0"/>
              <w:rPr>
                <w:sz w:val="20"/>
                <w:szCs w:val="20"/>
                <w:color w:val="auto"/>
              </w:rPr>
            </w:pPr>
            <w:r>
              <w:rPr>
                <w:rFonts w:ascii="Arial" w:cs="Arial" w:eastAsia="Arial" w:hAnsi="Arial"/>
                <w:sz w:val="12"/>
                <w:szCs w:val="12"/>
                <w:color w:val="auto"/>
              </w:rPr>
              <w:t>978,495</w:t>
            </w:r>
          </w:p>
        </w:tc>
        <w:tc>
          <w:tcPr>
            <w:tcW w:w="20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9"/>
        </w:trPr>
        <w:tc>
          <w:tcPr>
            <w:tcW w:w="3560" w:type="dxa"/>
            <w:vAlign w:val="bottom"/>
            <w:shd w:val="clear" w:color="auto" w:fill="CFF0FC"/>
          </w:tcPr>
          <w:p>
            <w:pPr>
              <w:spacing w:after="0" w:line="149" w:lineRule="exact"/>
              <w:rPr>
                <w:sz w:val="20"/>
                <w:szCs w:val="20"/>
                <w:color w:val="auto"/>
              </w:rPr>
            </w:pPr>
            <w:r>
              <w:rPr>
                <w:rFonts w:ascii="Arial" w:cs="Arial" w:eastAsia="Arial" w:hAnsi="Arial"/>
                <w:sz w:val="11"/>
                <w:szCs w:val="11"/>
                <w:color w:val="auto"/>
              </w:rPr>
              <w:t xml:space="preserve">Smile Brands Inc. </w:t>
            </w:r>
            <w:r>
              <w:rPr>
                <w:rFonts w:ascii="Arial" w:cs="Arial" w:eastAsia="Arial" w:hAnsi="Arial"/>
                <w:sz w:val="17"/>
                <w:szCs w:val="17"/>
                <w:color w:val="auto"/>
                <w:vertAlign w:val="superscript"/>
              </w:rPr>
              <w:t>(7)</w:t>
            </w:r>
          </w:p>
        </w:tc>
        <w:tc>
          <w:tcPr>
            <w:tcW w:w="720" w:type="dxa"/>
            <w:vAlign w:val="bottom"/>
            <w:gridSpan w:val="2"/>
            <w:shd w:val="clear" w:color="auto" w:fill="CFF0FC"/>
          </w:tcPr>
          <w:p>
            <w:pPr>
              <w:jc w:val="center"/>
              <w:ind w:left="42"/>
              <w:spacing w:after="0"/>
              <w:rPr>
                <w:sz w:val="20"/>
                <w:szCs w:val="20"/>
                <w:color w:val="auto"/>
              </w:rPr>
            </w:pPr>
            <w:r>
              <w:rPr>
                <w:rFonts w:ascii="Arial" w:cs="Arial" w:eastAsia="Arial" w:hAnsi="Arial"/>
                <w:sz w:val="12"/>
                <w:szCs w:val="12"/>
                <w:color w:val="auto"/>
                <w:w w:val="89"/>
              </w:rPr>
              <w:t>10/14/2024</w:t>
            </w:r>
          </w:p>
        </w:tc>
        <w:tc>
          <w:tcPr>
            <w:tcW w:w="120" w:type="dxa"/>
            <w:vAlign w:val="bottom"/>
            <w:shd w:val="clear" w:color="auto" w:fill="CFF0FC"/>
          </w:tcPr>
          <w:p>
            <w:pPr>
              <w:spacing w:after="0"/>
              <w:rPr>
                <w:sz w:val="12"/>
                <w:szCs w:val="12"/>
                <w:color w:val="auto"/>
              </w:rPr>
            </w:pPr>
          </w:p>
        </w:tc>
        <w:tc>
          <w:tcPr>
            <w:tcW w:w="2420" w:type="dxa"/>
            <w:vAlign w:val="bottom"/>
            <w:gridSpan w:val="2"/>
            <w:shd w:val="clear" w:color="auto" w:fill="CFF0FC"/>
          </w:tcPr>
          <w:p>
            <w:pPr>
              <w:jc w:val="center"/>
              <w:ind w:right="120"/>
              <w:spacing w:after="0"/>
              <w:rPr>
                <w:sz w:val="20"/>
                <w:szCs w:val="20"/>
                <w:color w:val="auto"/>
              </w:rPr>
            </w:pPr>
            <w:r>
              <w:rPr>
                <w:rFonts w:ascii="Arial" w:cs="Arial" w:eastAsia="Arial" w:hAnsi="Arial"/>
                <w:sz w:val="12"/>
                <w:szCs w:val="12"/>
                <w:color w:val="auto"/>
                <w:w w:val="86"/>
              </w:rPr>
              <w:t>Healthcare and Pharmaceuticals</w:t>
            </w:r>
          </w:p>
        </w:tc>
        <w:tc>
          <w:tcPr>
            <w:tcW w:w="74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6.60%</w:t>
            </w:r>
          </w:p>
        </w:tc>
        <w:tc>
          <w:tcPr>
            <w:tcW w:w="16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1M L+450</w:t>
            </w: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2,136,667</w:t>
            </w: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2,136,667</w:t>
            </w:r>
          </w:p>
        </w:tc>
        <w:tc>
          <w:tcPr>
            <w:tcW w:w="2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2,115,300</w:t>
            </w:r>
          </w:p>
        </w:tc>
        <w:tc>
          <w:tcPr>
            <w:tcW w:w="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560" w:type="dxa"/>
            <w:vAlign w:val="bottom"/>
          </w:tcPr>
          <w:p>
            <w:pPr>
              <w:spacing w:after="0" w:line="149" w:lineRule="exact"/>
              <w:rPr>
                <w:sz w:val="20"/>
                <w:szCs w:val="20"/>
                <w:color w:val="auto"/>
              </w:rPr>
            </w:pPr>
            <w:r>
              <w:rPr>
                <w:rFonts w:ascii="Arial" w:cs="Arial" w:eastAsia="Arial" w:hAnsi="Arial"/>
                <w:sz w:val="11"/>
                <w:szCs w:val="11"/>
                <w:color w:val="auto"/>
              </w:rPr>
              <w:t xml:space="preserve">Smile Brands Inc. </w:t>
            </w:r>
            <w:r>
              <w:rPr>
                <w:rFonts w:ascii="Arial" w:cs="Arial" w:eastAsia="Arial" w:hAnsi="Arial"/>
                <w:sz w:val="17"/>
                <w:szCs w:val="17"/>
                <w:color w:val="auto"/>
                <w:vertAlign w:val="superscript"/>
              </w:rPr>
              <w:t>(7), (9)</w:t>
            </w:r>
          </w:p>
        </w:tc>
        <w:tc>
          <w:tcPr>
            <w:tcW w:w="720" w:type="dxa"/>
            <w:vAlign w:val="bottom"/>
            <w:gridSpan w:val="2"/>
          </w:tcPr>
          <w:p>
            <w:pPr>
              <w:jc w:val="center"/>
              <w:ind w:left="42"/>
              <w:spacing w:after="0"/>
              <w:rPr>
                <w:sz w:val="20"/>
                <w:szCs w:val="20"/>
                <w:color w:val="auto"/>
              </w:rPr>
            </w:pPr>
            <w:r>
              <w:rPr>
                <w:rFonts w:ascii="Arial" w:cs="Arial" w:eastAsia="Arial" w:hAnsi="Arial"/>
                <w:sz w:val="12"/>
                <w:szCs w:val="12"/>
                <w:color w:val="auto"/>
                <w:w w:val="89"/>
              </w:rPr>
              <w:t>10/14/2024</w:t>
            </w:r>
          </w:p>
        </w:tc>
        <w:tc>
          <w:tcPr>
            <w:tcW w:w="120" w:type="dxa"/>
            <w:vAlign w:val="bottom"/>
          </w:tcPr>
          <w:p>
            <w:pPr>
              <w:spacing w:after="0"/>
              <w:rPr>
                <w:sz w:val="12"/>
                <w:szCs w:val="12"/>
                <w:color w:val="auto"/>
              </w:rPr>
            </w:pPr>
          </w:p>
        </w:tc>
        <w:tc>
          <w:tcPr>
            <w:tcW w:w="2420" w:type="dxa"/>
            <w:vAlign w:val="bottom"/>
            <w:gridSpan w:val="2"/>
          </w:tcPr>
          <w:p>
            <w:pPr>
              <w:jc w:val="center"/>
              <w:ind w:right="120"/>
              <w:spacing w:after="0"/>
              <w:rPr>
                <w:sz w:val="20"/>
                <w:szCs w:val="20"/>
                <w:color w:val="auto"/>
              </w:rPr>
            </w:pPr>
            <w:r>
              <w:rPr>
                <w:rFonts w:ascii="Arial" w:cs="Arial" w:eastAsia="Arial" w:hAnsi="Arial"/>
                <w:sz w:val="12"/>
                <w:szCs w:val="12"/>
                <w:color w:val="auto"/>
                <w:w w:val="86"/>
              </w:rPr>
              <w:t>Healthcare and Pharmaceuticals</w:t>
            </w:r>
          </w:p>
        </w:tc>
        <w:tc>
          <w:tcPr>
            <w:tcW w:w="7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w:t>
            </w:r>
          </w:p>
        </w:tc>
        <w:tc>
          <w:tcPr>
            <w:tcW w:w="920" w:type="dxa"/>
            <w:vAlign w:val="bottom"/>
            <w:gridSpan w:val="2"/>
          </w:tcPr>
          <w:p>
            <w:pPr>
              <w:jc w:val="right"/>
              <w:spacing w:after="0"/>
              <w:rPr>
                <w:sz w:val="20"/>
                <w:szCs w:val="20"/>
                <w:color w:val="auto"/>
              </w:rPr>
            </w:pPr>
            <w:r>
              <w:rPr>
                <w:rFonts w:ascii="Arial" w:cs="Arial" w:eastAsia="Arial" w:hAnsi="Arial"/>
                <w:sz w:val="12"/>
                <w:szCs w:val="12"/>
                <w:color w:val="auto"/>
              </w:rPr>
              <w:t>2,362,585</w:t>
            </w:r>
          </w:p>
        </w:tc>
        <w:tc>
          <w:tcPr>
            <w:tcW w:w="20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2"/>
                <w:szCs w:val="12"/>
                <w:color w:val="auto"/>
              </w:rPr>
              <w:t>(23,626)</w:t>
            </w:r>
          </w:p>
        </w:tc>
        <w:tc>
          <w:tcPr>
            <w:tcW w:w="0" w:type="dxa"/>
            <w:vAlign w:val="bottom"/>
          </w:tcPr>
          <w:p>
            <w:pPr>
              <w:spacing w:after="0"/>
              <w:rPr>
                <w:sz w:val="1"/>
                <w:szCs w:val="1"/>
                <w:color w:val="auto"/>
              </w:rPr>
            </w:pPr>
          </w:p>
        </w:tc>
      </w:tr>
      <w:tr>
        <w:trPr>
          <w:trHeight w:val="148"/>
        </w:trPr>
        <w:tc>
          <w:tcPr>
            <w:tcW w:w="3560" w:type="dxa"/>
            <w:vAlign w:val="bottom"/>
            <w:shd w:val="clear" w:color="auto" w:fill="CFF0FC"/>
          </w:tcPr>
          <w:p>
            <w:pPr>
              <w:spacing w:after="0" w:line="149" w:lineRule="exact"/>
              <w:rPr>
                <w:sz w:val="20"/>
                <w:szCs w:val="20"/>
                <w:color w:val="auto"/>
              </w:rPr>
            </w:pPr>
            <w:r>
              <w:rPr>
                <w:rFonts w:ascii="Arial" w:cs="Arial" w:eastAsia="Arial" w:hAnsi="Arial"/>
                <w:sz w:val="11"/>
                <w:szCs w:val="11"/>
                <w:color w:val="auto"/>
              </w:rPr>
              <w:t xml:space="preserve">Smile Brands Inc. (Revolver) </w:t>
            </w:r>
            <w:r>
              <w:rPr>
                <w:rFonts w:ascii="Arial" w:cs="Arial" w:eastAsia="Arial" w:hAnsi="Arial"/>
                <w:sz w:val="17"/>
                <w:szCs w:val="17"/>
                <w:color w:val="auto"/>
                <w:vertAlign w:val="superscript"/>
              </w:rPr>
              <w:t>(7)</w:t>
            </w:r>
          </w:p>
        </w:tc>
        <w:tc>
          <w:tcPr>
            <w:tcW w:w="720" w:type="dxa"/>
            <w:vAlign w:val="bottom"/>
            <w:gridSpan w:val="2"/>
            <w:shd w:val="clear" w:color="auto" w:fill="CFF0FC"/>
          </w:tcPr>
          <w:p>
            <w:pPr>
              <w:jc w:val="center"/>
              <w:ind w:left="42"/>
              <w:spacing w:after="0"/>
              <w:rPr>
                <w:sz w:val="20"/>
                <w:szCs w:val="20"/>
                <w:color w:val="auto"/>
              </w:rPr>
            </w:pPr>
            <w:r>
              <w:rPr>
                <w:rFonts w:ascii="Arial" w:cs="Arial" w:eastAsia="Arial" w:hAnsi="Arial"/>
                <w:sz w:val="12"/>
                <w:szCs w:val="12"/>
                <w:color w:val="auto"/>
                <w:w w:val="89"/>
              </w:rPr>
              <w:t>10/14/2024</w:t>
            </w:r>
          </w:p>
        </w:tc>
        <w:tc>
          <w:tcPr>
            <w:tcW w:w="120" w:type="dxa"/>
            <w:vAlign w:val="bottom"/>
            <w:shd w:val="clear" w:color="auto" w:fill="CFF0FC"/>
          </w:tcPr>
          <w:p>
            <w:pPr>
              <w:spacing w:after="0"/>
              <w:rPr>
                <w:sz w:val="12"/>
                <w:szCs w:val="12"/>
                <w:color w:val="auto"/>
              </w:rPr>
            </w:pPr>
          </w:p>
        </w:tc>
        <w:tc>
          <w:tcPr>
            <w:tcW w:w="2420" w:type="dxa"/>
            <w:vAlign w:val="bottom"/>
            <w:gridSpan w:val="2"/>
            <w:shd w:val="clear" w:color="auto" w:fill="CFF0FC"/>
          </w:tcPr>
          <w:p>
            <w:pPr>
              <w:jc w:val="center"/>
              <w:ind w:right="120"/>
              <w:spacing w:after="0"/>
              <w:rPr>
                <w:sz w:val="20"/>
                <w:szCs w:val="20"/>
                <w:color w:val="auto"/>
              </w:rPr>
            </w:pPr>
            <w:r>
              <w:rPr>
                <w:rFonts w:ascii="Arial" w:cs="Arial" w:eastAsia="Arial" w:hAnsi="Arial"/>
                <w:sz w:val="12"/>
                <w:szCs w:val="12"/>
                <w:color w:val="auto"/>
                <w:w w:val="86"/>
              </w:rPr>
              <w:t>Healthcare and Pharmaceuticals</w:t>
            </w:r>
          </w:p>
        </w:tc>
        <w:tc>
          <w:tcPr>
            <w:tcW w:w="74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8.25%</w:t>
            </w:r>
          </w:p>
        </w:tc>
        <w:tc>
          <w:tcPr>
            <w:tcW w:w="16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P+350</w:t>
            </w: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215,500</w:t>
            </w: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215,500</w:t>
            </w:r>
          </w:p>
        </w:tc>
        <w:tc>
          <w:tcPr>
            <w:tcW w:w="2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211,578</w:t>
            </w:r>
          </w:p>
        </w:tc>
        <w:tc>
          <w:tcPr>
            <w:tcW w:w="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60" w:type="dxa"/>
            <w:vAlign w:val="bottom"/>
          </w:tcPr>
          <w:p>
            <w:pPr>
              <w:spacing w:after="0" w:line="149" w:lineRule="exact"/>
              <w:rPr>
                <w:sz w:val="20"/>
                <w:szCs w:val="20"/>
                <w:color w:val="auto"/>
              </w:rPr>
            </w:pPr>
            <w:r>
              <w:rPr>
                <w:rFonts w:ascii="Arial" w:cs="Arial" w:eastAsia="Arial" w:hAnsi="Arial"/>
                <w:sz w:val="11"/>
                <w:szCs w:val="11"/>
                <w:color w:val="auto"/>
              </w:rPr>
              <w:t xml:space="preserve">Smile Brands Inc. (Revolver) </w:t>
            </w:r>
            <w:r>
              <w:rPr>
                <w:rFonts w:ascii="Arial" w:cs="Arial" w:eastAsia="Arial" w:hAnsi="Arial"/>
                <w:sz w:val="17"/>
                <w:szCs w:val="17"/>
                <w:color w:val="auto"/>
                <w:vertAlign w:val="superscript"/>
              </w:rPr>
              <w:t>(7), (9)</w:t>
            </w:r>
          </w:p>
        </w:tc>
        <w:tc>
          <w:tcPr>
            <w:tcW w:w="720" w:type="dxa"/>
            <w:vAlign w:val="bottom"/>
            <w:gridSpan w:val="2"/>
          </w:tcPr>
          <w:p>
            <w:pPr>
              <w:jc w:val="center"/>
              <w:ind w:left="42"/>
              <w:spacing w:after="0"/>
              <w:rPr>
                <w:sz w:val="20"/>
                <w:szCs w:val="20"/>
                <w:color w:val="auto"/>
              </w:rPr>
            </w:pPr>
            <w:r>
              <w:rPr>
                <w:rFonts w:ascii="Arial" w:cs="Arial" w:eastAsia="Arial" w:hAnsi="Arial"/>
                <w:sz w:val="12"/>
                <w:szCs w:val="12"/>
                <w:color w:val="auto"/>
                <w:w w:val="89"/>
              </w:rPr>
              <w:t>10/14/2024</w:t>
            </w:r>
          </w:p>
        </w:tc>
        <w:tc>
          <w:tcPr>
            <w:tcW w:w="120" w:type="dxa"/>
            <w:vAlign w:val="bottom"/>
          </w:tcPr>
          <w:p>
            <w:pPr>
              <w:spacing w:after="0"/>
              <w:rPr>
                <w:sz w:val="12"/>
                <w:szCs w:val="12"/>
                <w:color w:val="auto"/>
              </w:rPr>
            </w:pPr>
          </w:p>
        </w:tc>
        <w:tc>
          <w:tcPr>
            <w:tcW w:w="2420" w:type="dxa"/>
            <w:vAlign w:val="bottom"/>
            <w:gridSpan w:val="2"/>
          </w:tcPr>
          <w:p>
            <w:pPr>
              <w:jc w:val="center"/>
              <w:ind w:right="120"/>
              <w:spacing w:after="0"/>
              <w:rPr>
                <w:sz w:val="20"/>
                <w:szCs w:val="20"/>
                <w:color w:val="auto"/>
              </w:rPr>
            </w:pPr>
            <w:r>
              <w:rPr>
                <w:rFonts w:ascii="Arial" w:cs="Arial" w:eastAsia="Arial" w:hAnsi="Arial"/>
                <w:sz w:val="12"/>
                <w:szCs w:val="12"/>
                <w:color w:val="auto"/>
                <w:w w:val="86"/>
              </w:rPr>
              <w:t>Healthcare and Pharmaceuticals</w:t>
            </w:r>
          </w:p>
        </w:tc>
        <w:tc>
          <w:tcPr>
            <w:tcW w:w="7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w:t>
            </w:r>
          </w:p>
        </w:tc>
        <w:tc>
          <w:tcPr>
            <w:tcW w:w="920" w:type="dxa"/>
            <w:vAlign w:val="bottom"/>
            <w:gridSpan w:val="2"/>
          </w:tcPr>
          <w:p>
            <w:pPr>
              <w:jc w:val="right"/>
              <w:spacing w:after="0"/>
              <w:rPr>
                <w:sz w:val="20"/>
                <w:szCs w:val="20"/>
                <w:color w:val="auto"/>
              </w:rPr>
            </w:pPr>
            <w:r>
              <w:rPr>
                <w:rFonts w:ascii="Arial" w:cs="Arial" w:eastAsia="Arial" w:hAnsi="Arial"/>
                <w:sz w:val="12"/>
                <w:szCs w:val="12"/>
                <w:color w:val="auto"/>
              </w:rPr>
              <w:t>1,400,750</w:t>
            </w:r>
          </w:p>
        </w:tc>
        <w:tc>
          <w:tcPr>
            <w:tcW w:w="20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2"/>
                <w:szCs w:val="12"/>
                <w:color w:val="auto"/>
              </w:rPr>
              <w:t>(25,494)</w:t>
            </w:r>
          </w:p>
        </w:tc>
        <w:tc>
          <w:tcPr>
            <w:tcW w:w="0" w:type="dxa"/>
            <w:vAlign w:val="bottom"/>
          </w:tcPr>
          <w:p>
            <w:pPr>
              <w:spacing w:after="0"/>
              <w:rPr>
                <w:sz w:val="1"/>
                <w:szCs w:val="1"/>
                <w:color w:val="auto"/>
              </w:rPr>
            </w:pPr>
          </w:p>
        </w:tc>
      </w:tr>
      <w:tr>
        <w:trPr>
          <w:trHeight w:val="148"/>
        </w:trPr>
        <w:tc>
          <w:tcPr>
            <w:tcW w:w="3560" w:type="dxa"/>
            <w:vAlign w:val="bottom"/>
            <w:shd w:val="clear" w:color="auto" w:fill="CFF0FC"/>
          </w:tcPr>
          <w:p>
            <w:pPr>
              <w:spacing w:after="0" w:line="149" w:lineRule="exact"/>
              <w:rPr>
                <w:sz w:val="20"/>
                <w:szCs w:val="20"/>
                <w:color w:val="auto"/>
              </w:rPr>
            </w:pPr>
            <w:r>
              <w:rPr>
                <w:rFonts w:ascii="Arial" w:cs="Arial" w:eastAsia="Arial" w:hAnsi="Arial"/>
                <w:sz w:val="11"/>
                <w:szCs w:val="11"/>
                <w:color w:val="auto"/>
              </w:rPr>
              <w:t xml:space="preserve">Snak Club, LLC (Revolver) </w:t>
            </w:r>
            <w:r>
              <w:rPr>
                <w:rFonts w:ascii="Arial" w:cs="Arial" w:eastAsia="Arial" w:hAnsi="Arial"/>
                <w:sz w:val="17"/>
                <w:szCs w:val="17"/>
                <w:color w:val="auto"/>
                <w:vertAlign w:val="superscript"/>
              </w:rPr>
              <w:t>(7)</w:t>
            </w:r>
          </w:p>
        </w:tc>
        <w:tc>
          <w:tcPr>
            <w:tcW w:w="720" w:type="dxa"/>
            <w:vAlign w:val="bottom"/>
            <w:gridSpan w:val="2"/>
            <w:shd w:val="clear" w:color="auto" w:fill="CFF0FC"/>
          </w:tcPr>
          <w:p>
            <w:pPr>
              <w:jc w:val="center"/>
              <w:ind w:left="42"/>
              <w:spacing w:after="0"/>
              <w:rPr>
                <w:sz w:val="20"/>
                <w:szCs w:val="20"/>
                <w:color w:val="auto"/>
              </w:rPr>
            </w:pPr>
            <w:r>
              <w:rPr>
                <w:rFonts w:ascii="Arial" w:cs="Arial" w:eastAsia="Arial" w:hAnsi="Arial"/>
                <w:sz w:val="12"/>
                <w:szCs w:val="12"/>
                <w:color w:val="auto"/>
                <w:w w:val="89"/>
              </w:rPr>
              <w:t>07/19/2021</w:t>
            </w:r>
          </w:p>
        </w:tc>
        <w:tc>
          <w:tcPr>
            <w:tcW w:w="120" w:type="dxa"/>
            <w:vAlign w:val="bottom"/>
            <w:shd w:val="clear" w:color="auto" w:fill="CFF0FC"/>
          </w:tcPr>
          <w:p>
            <w:pPr>
              <w:spacing w:after="0"/>
              <w:rPr>
                <w:sz w:val="12"/>
                <w:szCs w:val="12"/>
                <w:color w:val="auto"/>
              </w:rPr>
            </w:pPr>
          </w:p>
        </w:tc>
        <w:tc>
          <w:tcPr>
            <w:tcW w:w="2420" w:type="dxa"/>
            <w:vAlign w:val="bottom"/>
            <w:gridSpan w:val="2"/>
            <w:shd w:val="clear" w:color="auto" w:fill="CFF0FC"/>
          </w:tcPr>
          <w:p>
            <w:pPr>
              <w:jc w:val="center"/>
              <w:ind w:right="120"/>
              <w:spacing w:after="0"/>
              <w:rPr>
                <w:sz w:val="20"/>
                <w:szCs w:val="20"/>
                <w:color w:val="auto"/>
              </w:rPr>
            </w:pPr>
            <w:r>
              <w:rPr>
                <w:rFonts w:ascii="Arial" w:cs="Arial" w:eastAsia="Arial" w:hAnsi="Arial"/>
                <w:sz w:val="12"/>
                <w:szCs w:val="12"/>
                <w:color w:val="auto"/>
                <w:w w:val="87"/>
              </w:rPr>
              <w:t>Beverage, Food and Tobacco</w:t>
            </w:r>
          </w:p>
        </w:tc>
        <w:tc>
          <w:tcPr>
            <w:tcW w:w="74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7.69%</w:t>
            </w:r>
          </w:p>
        </w:tc>
        <w:tc>
          <w:tcPr>
            <w:tcW w:w="16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3M L+600</w:t>
            </w: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50,000</w:t>
            </w: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50,000</w:t>
            </w:r>
          </w:p>
        </w:tc>
        <w:tc>
          <w:tcPr>
            <w:tcW w:w="2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48,000</w:t>
            </w:r>
          </w:p>
        </w:tc>
        <w:tc>
          <w:tcPr>
            <w:tcW w:w="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560" w:type="dxa"/>
            <w:vAlign w:val="bottom"/>
          </w:tcPr>
          <w:p>
            <w:pPr>
              <w:spacing w:after="0" w:line="149" w:lineRule="exact"/>
              <w:rPr>
                <w:sz w:val="20"/>
                <w:szCs w:val="20"/>
                <w:color w:val="auto"/>
              </w:rPr>
            </w:pPr>
            <w:r>
              <w:rPr>
                <w:rFonts w:ascii="Arial" w:cs="Arial" w:eastAsia="Arial" w:hAnsi="Arial"/>
                <w:sz w:val="11"/>
                <w:szCs w:val="11"/>
                <w:color w:val="auto"/>
              </w:rPr>
              <w:t xml:space="preserve">Snak Club, LLC (Revolver) </w:t>
            </w:r>
            <w:r>
              <w:rPr>
                <w:rFonts w:ascii="Arial" w:cs="Arial" w:eastAsia="Arial" w:hAnsi="Arial"/>
                <w:sz w:val="17"/>
                <w:szCs w:val="17"/>
                <w:color w:val="auto"/>
                <w:vertAlign w:val="superscript"/>
              </w:rPr>
              <w:t>(7), (9)</w:t>
            </w:r>
          </w:p>
        </w:tc>
        <w:tc>
          <w:tcPr>
            <w:tcW w:w="720" w:type="dxa"/>
            <w:vAlign w:val="bottom"/>
            <w:gridSpan w:val="2"/>
          </w:tcPr>
          <w:p>
            <w:pPr>
              <w:jc w:val="center"/>
              <w:ind w:left="42"/>
              <w:spacing w:after="0"/>
              <w:rPr>
                <w:sz w:val="20"/>
                <w:szCs w:val="20"/>
                <w:color w:val="auto"/>
              </w:rPr>
            </w:pPr>
            <w:r>
              <w:rPr>
                <w:rFonts w:ascii="Arial" w:cs="Arial" w:eastAsia="Arial" w:hAnsi="Arial"/>
                <w:sz w:val="12"/>
                <w:szCs w:val="12"/>
                <w:color w:val="auto"/>
                <w:w w:val="89"/>
              </w:rPr>
              <w:t>07/19/2021</w:t>
            </w:r>
          </w:p>
        </w:tc>
        <w:tc>
          <w:tcPr>
            <w:tcW w:w="120" w:type="dxa"/>
            <w:vAlign w:val="bottom"/>
          </w:tcPr>
          <w:p>
            <w:pPr>
              <w:spacing w:after="0"/>
              <w:rPr>
                <w:sz w:val="12"/>
                <w:szCs w:val="12"/>
                <w:color w:val="auto"/>
              </w:rPr>
            </w:pPr>
          </w:p>
        </w:tc>
        <w:tc>
          <w:tcPr>
            <w:tcW w:w="2420" w:type="dxa"/>
            <w:vAlign w:val="bottom"/>
            <w:gridSpan w:val="2"/>
          </w:tcPr>
          <w:p>
            <w:pPr>
              <w:jc w:val="center"/>
              <w:ind w:right="120"/>
              <w:spacing w:after="0"/>
              <w:rPr>
                <w:sz w:val="20"/>
                <w:szCs w:val="20"/>
                <w:color w:val="auto"/>
              </w:rPr>
            </w:pPr>
            <w:r>
              <w:rPr>
                <w:rFonts w:ascii="Arial" w:cs="Arial" w:eastAsia="Arial" w:hAnsi="Arial"/>
                <w:sz w:val="12"/>
                <w:szCs w:val="12"/>
                <w:color w:val="auto"/>
                <w:w w:val="87"/>
              </w:rPr>
              <w:t>Beverage, Food and Tobacco</w:t>
            </w:r>
          </w:p>
        </w:tc>
        <w:tc>
          <w:tcPr>
            <w:tcW w:w="7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w:t>
            </w:r>
          </w:p>
        </w:tc>
        <w:tc>
          <w:tcPr>
            <w:tcW w:w="920" w:type="dxa"/>
            <w:vAlign w:val="bottom"/>
            <w:gridSpan w:val="2"/>
          </w:tcPr>
          <w:p>
            <w:pPr>
              <w:jc w:val="right"/>
              <w:spacing w:after="0"/>
              <w:rPr>
                <w:sz w:val="20"/>
                <w:szCs w:val="20"/>
                <w:color w:val="auto"/>
              </w:rPr>
            </w:pPr>
            <w:r>
              <w:rPr>
                <w:rFonts w:ascii="Arial" w:cs="Arial" w:eastAsia="Arial" w:hAnsi="Arial"/>
                <w:sz w:val="12"/>
                <w:szCs w:val="12"/>
                <w:color w:val="auto"/>
              </w:rPr>
              <w:t>445,136</w:t>
            </w:r>
          </w:p>
        </w:tc>
        <w:tc>
          <w:tcPr>
            <w:tcW w:w="20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2"/>
                <w:szCs w:val="12"/>
                <w:color w:val="auto"/>
              </w:rPr>
              <w:t>(17,805)</w:t>
            </w:r>
          </w:p>
        </w:tc>
        <w:tc>
          <w:tcPr>
            <w:tcW w:w="0" w:type="dxa"/>
            <w:vAlign w:val="bottom"/>
          </w:tcPr>
          <w:p>
            <w:pPr>
              <w:spacing w:after="0"/>
              <w:rPr>
                <w:sz w:val="1"/>
                <w:szCs w:val="1"/>
                <w:color w:val="auto"/>
              </w:rPr>
            </w:pPr>
          </w:p>
        </w:tc>
      </w:tr>
      <w:tr>
        <w:trPr>
          <w:trHeight w:val="149"/>
        </w:trPr>
        <w:tc>
          <w:tcPr>
            <w:tcW w:w="3560" w:type="dxa"/>
            <w:vAlign w:val="bottom"/>
            <w:shd w:val="clear" w:color="auto" w:fill="CFF0FC"/>
          </w:tcPr>
          <w:p>
            <w:pPr>
              <w:spacing w:after="0"/>
              <w:rPr>
                <w:sz w:val="20"/>
                <w:szCs w:val="20"/>
                <w:color w:val="auto"/>
              </w:rPr>
            </w:pPr>
            <w:r>
              <w:rPr>
                <w:rFonts w:ascii="Arial" w:cs="Arial" w:eastAsia="Arial" w:hAnsi="Arial"/>
                <w:sz w:val="12"/>
                <w:szCs w:val="12"/>
                <w:color w:val="auto"/>
              </w:rPr>
              <w:t>Solutionreach, Inc.</w:t>
            </w:r>
          </w:p>
        </w:tc>
        <w:tc>
          <w:tcPr>
            <w:tcW w:w="720" w:type="dxa"/>
            <w:vAlign w:val="bottom"/>
            <w:gridSpan w:val="2"/>
            <w:shd w:val="clear" w:color="auto" w:fill="CFF0FC"/>
          </w:tcPr>
          <w:p>
            <w:pPr>
              <w:jc w:val="center"/>
              <w:ind w:left="42"/>
              <w:spacing w:after="0"/>
              <w:rPr>
                <w:sz w:val="20"/>
                <w:szCs w:val="20"/>
                <w:color w:val="auto"/>
              </w:rPr>
            </w:pPr>
            <w:r>
              <w:rPr>
                <w:rFonts w:ascii="Arial" w:cs="Arial" w:eastAsia="Arial" w:hAnsi="Arial"/>
                <w:sz w:val="12"/>
                <w:szCs w:val="12"/>
                <w:color w:val="auto"/>
                <w:w w:val="89"/>
              </w:rPr>
              <w:t>01/17/2024</w:t>
            </w:r>
          </w:p>
        </w:tc>
        <w:tc>
          <w:tcPr>
            <w:tcW w:w="120" w:type="dxa"/>
            <w:vAlign w:val="bottom"/>
            <w:shd w:val="clear" w:color="auto" w:fill="CFF0FC"/>
          </w:tcPr>
          <w:p>
            <w:pPr>
              <w:spacing w:after="0"/>
              <w:rPr>
                <w:sz w:val="12"/>
                <w:szCs w:val="12"/>
                <w:color w:val="auto"/>
              </w:rPr>
            </w:pPr>
          </w:p>
        </w:tc>
        <w:tc>
          <w:tcPr>
            <w:tcW w:w="2420" w:type="dxa"/>
            <w:vAlign w:val="bottom"/>
            <w:gridSpan w:val="2"/>
            <w:shd w:val="clear" w:color="auto" w:fill="CFF0FC"/>
          </w:tcPr>
          <w:p>
            <w:pPr>
              <w:jc w:val="center"/>
              <w:ind w:right="120"/>
              <w:spacing w:after="0"/>
              <w:rPr>
                <w:sz w:val="20"/>
                <w:szCs w:val="20"/>
                <w:color w:val="auto"/>
              </w:rPr>
            </w:pPr>
            <w:r>
              <w:rPr>
                <w:rFonts w:ascii="Arial" w:cs="Arial" w:eastAsia="Arial" w:hAnsi="Arial"/>
                <w:sz w:val="12"/>
                <w:szCs w:val="12"/>
                <w:color w:val="auto"/>
                <w:w w:val="89"/>
              </w:rPr>
              <w:t>Healthcare Technology</w:t>
            </w:r>
          </w:p>
        </w:tc>
        <w:tc>
          <w:tcPr>
            <w:tcW w:w="74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7.55%</w:t>
            </w:r>
          </w:p>
        </w:tc>
        <w:tc>
          <w:tcPr>
            <w:tcW w:w="16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3M L+575</w:t>
            </w: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6,664,125</w:t>
            </w: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6,552,013</w:t>
            </w:r>
          </w:p>
        </w:tc>
        <w:tc>
          <w:tcPr>
            <w:tcW w:w="2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6,628,805</w:t>
            </w:r>
          </w:p>
        </w:tc>
        <w:tc>
          <w:tcPr>
            <w:tcW w:w="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560" w:type="dxa"/>
            <w:vAlign w:val="bottom"/>
          </w:tcPr>
          <w:p>
            <w:pPr>
              <w:spacing w:after="0" w:line="149" w:lineRule="exact"/>
              <w:rPr>
                <w:sz w:val="20"/>
                <w:szCs w:val="20"/>
                <w:color w:val="auto"/>
              </w:rPr>
            </w:pPr>
            <w:r>
              <w:rPr>
                <w:rFonts w:ascii="Arial" w:cs="Arial" w:eastAsia="Arial" w:hAnsi="Arial"/>
                <w:sz w:val="11"/>
                <w:szCs w:val="11"/>
                <w:color w:val="auto"/>
              </w:rPr>
              <w:t xml:space="preserve">Solutionreach, Inc. (Revolver) </w:t>
            </w:r>
            <w:r>
              <w:rPr>
                <w:rFonts w:ascii="Arial" w:cs="Arial" w:eastAsia="Arial" w:hAnsi="Arial"/>
                <w:sz w:val="17"/>
                <w:szCs w:val="17"/>
                <w:color w:val="auto"/>
                <w:vertAlign w:val="superscript"/>
              </w:rPr>
              <w:t>(7), (9)</w:t>
            </w:r>
          </w:p>
        </w:tc>
        <w:tc>
          <w:tcPr>
            <w:tcW w:w="720" w:type="dxa"/>
            <w:vAlign w:val="bottom"/>
            <w:gridSpan w:val="2"/>
          </w:tcPr>
          <w:p>
            <w:pPr>
              <w:jc w:val="center"/>
              <w:ind w:left="42"/>
              <w:spacing w:after="0"/>
              <w:rPr>
                <w:sz w:val="20"/>
                <w:szCs w:val="20"/>
                <w:color w:val="auto"/>
              </w:rPr>
            </w:pPr>
            <w:r>
              <w:rPr>
                <w:rFonts w:ascii="Arial" w:cs="Arial" w:eastAsia="Arial" w:hAnsi="Arial"/>
                <w:sz w:val="12"/>
                <w:szCs w:val="12"/>
                <w:color w:val="auto"/>
                <w:w w:val="89"/>
              </w:rPr>
              <w:t>01/17/2024</w:t>
            </w:r>
          </w:p>
        </w:tc>
        <w:tc>
          <w:tcPr>
            <w:tcW w:w="120" w:type="dxa"/>
            <w:vAlign w:val="bottom"/>
          </w:tcPr>
          <w:p>
            <w:pPr>
              <w:spacing w:after="0"/>
              <w:rPr>
                <w:sz w:val="12"/>
                <w:szCs w:val="12"/>
                <w:color w:val="auto"/>
              </w:rPr>
            </w:pPr>
          </w:p>
        </w:tc>
        <w:tc>
          <w:tcPr>
            <w:tcW w:w="2420" w:type="dxa"/>
            <w:vAlign w:val="bottom"/>
            <w:gridSpan w:val="2"/>
          </w:tcPr>
          <w:p>
            <w:pPr>
              <w:jc w:val="center"/>
              <w:ind w:right="120"/>
              <w:spacing w:after="0"/>
              <w:rPr>
                <w:sz w:val="20"/>
                <w:szCs w:val="20"/>
                <w:color w:val="auto"/>
              </w:rPr>
            </w:pPr>
            <w:r>
              <w:rPr>
                <w:rFonts w:ascii="Arial" w:cs="Arial" w:eastAsia="Arial" w:hAnsi="Arial"/>
                <w:sz w:val="12"/>
                <w:szCs w:val="12"/>
                <w:color w:val="auto"/>
                <w:w w:val="89"/>
              </w:rPr>
              <w:t>Healthcare Technology</w:t>
            </w:r>
          </w:p>
        </w:tc>
        <w:tc>
          <w:tcPr>
            <w:tcW w:w="7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w:t>
            </w:r>
          </w:p>
        </w:tc>
        <w:tc>
          <w:tcPr>
            <w:tcW w:w="920" w:type="dxa"/>
            <w:vAlign w:val="bottom"/>
            <w:gridSpan w:val="2"/>
          </w:tcPr>
          <w:p>
            <w:pPr>
              <w:jc w:val="right"/>
              <w:spacing w:after="0"/>
              <w:rPr>
                <w:sz w:val="20"/>
                <w:szCs w:val="20"/>
                <w:color w:val="auto"/>
              </w:rPr>
            </w:pPr>
            <w:r>
              <w:rPr>
                <w:rFonts w:ascii="Arial" w:cs="Arial" w:eastAsia="Arial" w:hAnsi="Arial"/>
                <w:sz w:val="12"/>
                <w:szCs w:val="12"/>
                <w:color w:val="auto"/>
              </w:rPr>
              <w:t>1,665,000</w:t>
            </w:r>
          </w:p>
        </w:tc>
        <w:tc>
          <w:tcPr>
            <w:tcW w:w="20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2"/>
                <w:szCs w:val="12"/>
                <w:color w:val="auto"/>
              </w:rPr>
              <w:t>(8,824)</w:t>
            </w:r>
          </w:p>
        </w:tc>
        <w:tc>
          <w:tcPr>
            <w:tcW w:w="0" w:type="dxa"/>
            <w:vAlign w:val="bottom"/>
          </w:tcPr>
          <w:p>
            <w:pPr>
              <w:spacing w:after="0"/>
              <w:rPr>
                <w:sz w:val="1"/>
                <w:szCs w:val="1"/>
                <w:color w:val="auto"/>
              </w:rPr>
            </w:pPr>
          </w:p>
        </w:tc>
      </w:tr>
      <w:tr>
        <w:trPr>
          <w:trHeight w:val="149"/>
        </w:trPr>
        <w:tc>
          <w:tcPr>
            <w:tcW w:w="3560" w:type="dxa"/>
            <w:vAlign w:val="bottom"/>
            <w:shd w:val="clear" w:color="auto" w:fill="CFF0FC"/>
          </w:tcPr>
          <w:p>
            <w:pPr>
              <w:spacing w:after="0"/>
              <w:rPr>
                <w:sz w:val="20"/>
                <w:szCs w:val="20"/>
                <w:color w:val="auto"/>
              </w:rPr>
            </w:pPr>
            <w:r>
              <w:rPr>
                <w:rFonts w:ascii="Arial" w:cs="Arial" w:eastAsia="Arial" w:hAnsi="Arial"/>
                <w:sz w:val="12"/>
                <w:szCs w:val="12"/>
                <w:color w:val="auto"/>
              </w:rPr>
              <w:t>Spectacle Gary Holdings, LLC</w:t>
            </w:r>
          </w:p>
        </w:tc>
        <w:tc>
          <w:tcPr>
            <w:tcW w:w="720" w:type="dxa"/>
            <w:vAlign w:val="bottom"/>
            <w:gridSpan w:val="2"/>
            <w:shd w:val="clear" w:color="auto" w:fill="CFF0FC"/>
          </w:tcPr>
          <w:p>
            <w:pPr>
              <w:jc w:val="center"/>
              <w:ind w:left="42"/>
              <w:spacing w:after="0"/>
              <w:rPr>
                <w:sz w:val="20"/>
                <w:szCs w:val="20"/>
                <w:color w:val="auto"/>
              </w:rPr>
            </w:pPr>
            <w:r>
              <w:rPr>
                <w:rFonts w:ascii="Arial" w:cs="Arial" w:eastAsia="Arial" w:hAnsi="Arial"/>
                <w:sz w:val="12"/>
                <w:szCs w:val="12"/>
                <w:color w:val="auto"/>
                <w:w w:val="89"/>
              </w:rPr>
              <w:t>12/20/2025</w:t>
            </w:r>
          </w:p>
        </w:tc>
        <w:tc>
          <w:tcPr>
            <w:tcW w:w="120" w:type="dxa"/>
            <w:vAlign w:val="bottom"/>
            <w:shd w:val="clear" w:color="auto" w:fill="CFF0FC"/>
          </w:tcPr>
          <w:p>
            <w:pPr>
              <w:spacing w:after="0"/>
              <w:rPr>
                <w:sz w:val="12"/>
                <w:szCs w:val="12"/>
                <w:color w:val="auto"/>
              </w:rPr>
            </w:pPr>
          </w:p>
        </w:tc>
        <w:tc>
          <w:tcPr>
            <w:tcW w:w="2420" w:type="dxa"/>
            <w:vAlign w:val="bottom"/>
            <w:gridSpan w:val="2"/>
            <w:shd w:val="clear" w:color="auto" w:fill="CFF0FC"/>
          </w:tcPr>
          <w:p>
            <w:pPr>
              <w:jc w:val="center"/>
              <w:ind w:right="120"/>
              <w:spacing w:after="0"/>
              <w:rPr>
                <w:sz w:val="20"/>
                <w:szCs w:val="20"/>
                <w:color w:val="auto"/>
              </w:rPr>
            </w:pPr>
            <w:r>
              <w:rPr>
                <w:rFonts w:ascii="Arial" w:cs="Arial" w:eastAsia="Arial" w:hAnsi="Arial"/>
                <w:sz w:val="12"/>
                <w:szCs w:val="12"/>
                <w:color w:val="auto"/>
                <w:w w:val="87"/>
              </w:rPr>
              <w:t>Hotels, Restaurants and Leisure</w:t>
            </w:r>
          </w:p>
        </w:tc>
        <w:tc>
          <w:tcPr>
            <w:tcW w:w="74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11.00%</w:t>
            </w:r>
          </w:p>
        </w:tc>
        <w:tc>
          <w:tcPr>
            <w:tcW w:w="16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1M L+900</w:t>
            </w: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13,427,027</w:t>
            </w: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13,024,619</w:t>
            </w:r>
          </w:p>
        </w:tc>
        <w:tc>
          <w:tcPr>
            <w:tcW w:w="2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2"/>
                <w:szCs w:val="12"/>
                <w:color w:val="auto"/>
                <w:w w:val="96"/>
              </w:rPr>
              <w:t>13,561,297</w:t>
            </w:r>
          </w:p>
        </w:tc>
        <w:tc>
          <w:tcPr>
            <w:tcW w:w="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560" w:type="dxa"/>
            <w:vAlign w:val="bottom"/>
          </w:tcPr>
          <w:p>
            <w:pPr>
              <w:spacing w:after="0" w:line="149" w:lineRule="exact"/>
              <w:rPr>
                <w:sz w:val="20"/>
                <w:szCs w:val="20"/>
                <w:color w:val="auto"/>
              </w:rPr>
            </w:pPr>
            <w:r>
              <w:rPr>
                <w:rFonts w:ascii="Arial" w:cs="Arial" w:eastAsia="Arial" w:hAnsi="Arial"/>
                <w:sz w:val="11"/>
                <w:szCs w:val="11"/>
                <w:color w:val="auto"/>
              </w:rPr>
              <w:t xml:space="preserve">Spectacle Gary Holdings, LLC </w:t>
            </w:r>
            <w:r>
              <w:rPr>
                <w:rFonts w:ascii="Arial" w:cs="Arial" w:eastAsia="Arial" w:hAnsi="Arial"/>
                <w:sz w:val="17"/>
                <w:szCs w:val="17"/>
                <w:color w:val="auto"/>
                <w:vertAlign w:val="superscript"/>
              </w:rPr>
              <w:t>(7), (9)</w:t>
            </w:r>
          </w:p>
        </w:tc>
        <w:tc>
          <w:tcPr>
            <w:tcW w:w="720" w:type="dxa"/>
            <w:vAlign w:val="bottom"/>
            <w:gridSpan w:val="2"/>
          </w:tcPr>
          <w:p>
            <w:pPr>
              <w:jc w:val="center"/>
              <w:ind w:left="42"/>
              <w:spacing w:after="0"/>
              <w:rPr>
                <w:sz w:val="20"/>
                <w:szCs w:val="20"/>
                <w:color w:val="auto"/>
              </w:rPr>
            </w:pPr>
            <w:r>
              <w:rPr>
                <w:rFonts w:ascii="Arial" w:cs="Arial" w:eastAsia="Arial" w:hAnsi="Arial"/>
                <w:sz w:val="12"/>
                <w:szCs w:val="12"/>
                <w:color w:val="auto"/>
                <w:w w:val="89"/>
              </w:rPr>
              <w:t>12/20/2025</w:t>
            </w:r>
          </w:p>
        </w:tc>
        <w:tc>
          <w:tcPr>
            <w:tcW w:w="120" w:type="dxa"/>
            <w:vAlign w:val="bottom"/>
          </w:tcPr>
          <w:p>
            <w:pPr>
              <w:spacing w:after="0"/>
              <w:rPr>
                <w:sz w:val="12"/>
                <w:szCs w:val="12"/>
                <w:color w:val="auto"/>
              </w:rPr>
            </w:pPr>
          </w:p>
        </w:tc>
        <w:tc>
          <w:tcPr>
            <w:tcW w:w="2420" w:type="dxa"/>
            <w:vAlign w:val="bottom"/>
            <w:gridSpan w:val="2"/>
          </w:tcPr>
          <w:p>
            <w:pPr>
              <w:jc w:val="center"/>
              <w:ind w:right="120"/>
              <w:spacing w:after="0"/>
              <w:rPr>
                <w:sz w:val="20"/>
                <w:szCs w:val="20"/>
                <w:color w:val="auto"/>
              </w:rPr>
            </w:pPr>
            <w:r>
              <w:rPr>
                <w:rFonts w:ascii="Arial" w:cs="Arial" w:eastAsia="Arial" w:hAnsi="Arial"/>
                <w:sz w:val="12"/>
                <w:szCs w:val="12"/>
                <w:color w:val="auto"/>
                <w:w w:val="87"/>
              </w:rPr>
              <w:t>Hotels, Restaurants and Leisure</w:t>
            </w:r>
          </w:p>
        </w:tc>
        <w:tc>
          <w:tcPr>
            <w:tcW w:w="7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w:t>
            </w:r>
          </w:p>
        </w:tc>
        <w:tc>
          <w:tcPr>
            <w:tcW w:w="920" w:type="dxa"/>
            <w:vAlign w:val="bottom"/>
            <w:gridSpan w:val="2"/>
          </w:tcPr>
          <w:p>
            <w:pPr>
              <w:jc w:val="right"/>
              <w:spacing w:after="0"/>
              <w:rPr>
                <w:sz w:val="20"/>
                <w:szCs w:val="20"/>
                <w:color w:val="auto"/>
              </w:rPr>
            </w:pPr>
            <w:r>
              <w:rPr>
                <w:rFonts w:ascii="Arial" w:cs="Arial" w:eastAsia="Arial" w:hAnsi="Arial"/>
                <w:sz w:val="12"/>
                <w:szCs w:val="12"/>
                <w:color w:val="auto"/>
              </w:rPr>
              <w:t>972,973</w:t>
            </w:r>
          </w:p>
        </w:tc>
        <w:tc>
          <w:tcPr>
            <w:tcW w:w="20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9,730</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560" w:type="dxa"/>
            <w:vAlign w:val="bottom"/>
            <w:shd w:val="clear" w:color="auto" w:fill="CFF0FC"/>
          </w:tcPr>
          <w:p>
            <w:pPr>
              <w:spacing w:after="0"/>
              <w:rPr>
                <w:sz w:val="20"/>
                <w:szCs w:val="20"/>
                <w:color w:val="auto"/>
              </w:rPr>
            </w:pPr>
            <w:r>
              <w:rPr>
                <w:rFonts w:ascii="Arial" w:cs="Arial" w:eastAsia="Arial" w:hAnsi="Arial"/>
                <w:sz w:val="12"/>
                <w:szCs w:val="12"/>
                <w:color w:val="auto"/>
              </w:rPr>
              <w:t>STV Group Incorporated</w:t>
            </w:r>
          </w:p>
        </w:tc>
        <w:tc>
          <w:tcPr>
            <w:tcW w:w="720" w:type="dxa"/>
            <w:vAlign w:val="bottom"/>
            <w:gridSpan w:val="2"/>
            <w:shd w:val="clear" w:color="auto" w:fill="CFF0FC"/>
          </w:tcPr>
          <w:p>
            <w:pPr>
              <w:jc w:val="center"/>
              <w:ind w:left="42"/>
              <w:spacing w:after="0"/>
              <w:rPr>
                <w:sz w:val="20"/>
                <w:szCs w:val="20"/>
                <w:color w:val="auto"/>
              </w:rPr>
            </w:pPr>
            <w:r>
              <w:rPr>
                <w:rFonts w:ascii="Arial" w:cs="Arial" w:eastAsia="Arial" w:hAnsi="Arial"/>
                <w:sz w:val="12"/>
                <w:szCs w:val="12"/>
                <w:color w:val="auto"/>
                <w:w w:val="89"/>
              </w:rPr>
              <w:t>12/11/2026</w:t>
            </w:r>
          </w:p>
        </w:tc>
        <w:tc>
          <w:tcPr>
            <w:tcW w:w="120" w:type="dxa"/>
            <w:vAlign w:val="bottom"/>
            <w:shd w:val="clear" w:color="auto" w:fill="CFF0FC"/>
          </w:tcPr>
          <w:p>
            <w:pPr>
              <w:spacing w:after="0"/>
              <w:rPr>
                <w:sz w:val="12"/>
                <w:szCs w:val="12"/>
                <w:color w:val="auto"/>
              </w:rPr>
            </w:pPr>
          </w:p>
        </w:tc>
        <w:tc>
          <w:tcPr>
            <w:tcW w:w="2420" w:type="dxa"/>
            <w:vAlign w:val="bottom"/>
            <w:gridSpan w:val="2"/>
            <w:shd w:val="clear" w:color="auto" w:fill="CFF0FC"/>
          </w:tcPr>
          <w:p>
            <w:pPr>
              <w:jc w:val="center"/>
              <w:ind w:right="120"/>
              <w:spacing w:after="0"/>
              <w:rPr>
                <w:sz w:val="20"/>
                <w:szCs w:val="20"/>
                <w:color w:val="auto"/>
              </w:rPr>
            </w:pPr>
            <w:r>
              <w:rPr>
                <w:rFonts w:ascii="Arial" w:cs="Arial" w:eastAsia="Arial" w:hAnsi="Arial"/>
                <w:sz w:val="12"/>
                <w:szCs w:val="12"/>
                <w:color w:val="auto"/>
                <w:w w:val="91"/>
              </w:rPr>
              <w:t>Construction &amp; Engineering</w:t>
            </w:r>
          </w:p>
        </w:tc>
        <w:tc>
          <w:tcPr>
            <w:tcW w:w="74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7.01%</w:t>
            </w:r>
          </w:p>
        </w:tc>
        <w:tc>
          <w:tcPr>
            <w:tcW w:w="16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1M L+525</w:t>
            </w: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21,269,646</w:t>
            </w: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21,056,949</w:t>
            </w:r>
          </w:p>
        </w:tc>
        <w:tc>
          <w:tcPr>
            <w:tcW w:w="2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2"/>
                <w:szCs w:val="12"/>
                <w:color w:val="auto"/>
                <w:w w:val="96"/>
              </w:rPr>
              <w:t>21,056,949</w:t>
            </w:r>
          </w:p>
        </w:tc>
        <w:tc>
          <w:tcPr>
            <w:tcW w:w="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60" w:type="dxa"/>
            <w:vAlign w:val="bottom"/>
          </w:tcPr>
          <w:p>
            <w:pPr>
              <w:spacing w:after="0"/>
              <w:rPr>
                <w:sz w:val="20"/>
                <w:szCs w:val="20"/>
                <w:color w:val="auto"/>
              </w:rPr>
            </w:pPr>
            <w:r>
              <w:rPr>
                <w:rFonts w:ascii="Arial" w:cs="Arial" w:eastAsia="Arial" w:hAnsi="Arial"/>
                <w:sz w:val="12"/>
                <w:szCs w:val="12"/>
                <w:color w:val="auto"/>
              </w:rPr>
              <w:t>TeleGuam Holdings, LLC</w:t>
            </w:r>
          </w:p>
        </w:tc>
        <w:tc>
          <w:tcPr>
            <w:tcW w:w="720" w:type="dxa"/>
            <w:vAlign w:val="bottom"/>
            <w:gridSpan w:val="2"/>
          </w:tcPr>
          <w:p>
            <w:pPr>
              <w:jc w:val="center"/>
              <w:ind w:left="42"/>
              <w:spacing w:after="0"/>
              <w:rPr>
                <w:sz w:val="20"/>
                <w:szCs w:val="20"/>
                <w:color w:val="auto"/>
              </w:rPr>
            </w:pPr>
            <w:r>
              <w:rPr>
                <w:rFonts w:ascii="Arial" w:cs="Arial" w:eastAsia="Arial" w:hAnsi="Arial"/>
                <w:sz w:val="12"/>
                <w:szCs w:val="12"/>
                <w:color w:val="auto"/>
                <w:w w:val="89"/>
              </w:rPr>
              <w:t>11/20/2025</w:t>
            </w:r>
          </w:p>
        </w:tc>
        <w:tc>
          <w:tcPr>
            <w:tcW w:w="120" w:type="dxa"/>
            <w:vAlign w:val="bottom"/>
          </w:tcPr>
          <w:p>
            <w:pPr>
              <w:spacing w:after="0"/>
              <w:rPr>
                <w:sz w:val="12"/>
                <w:szCs w:val="12"/>
                <w:color w:val="auto"/>
              </w:rPr>
            </w:pPr>
          </w:p>
        </w:tc>
        <w:tc>
          <w:tcPr>
            <w:tcW w:w="2420" w:type="dxa"/>
            <w:vAlign w:val="bottom"/>
            <w:gridSpan w:val="2"/>
          </w:tcPr>
          <w:p>
            <w:pPr>
              <w:jc w:val="center"/>
              <w:ind w:right="120"/>
              <w:spacing w:after="0"/>
              <w:rPr>
                <w:sz w:val="20"/>
                <w:szCs w:val="20"/>
                <w:color w:val="auto"/>
              </w:rPr>
            </w:pPr>
            <w:r>
              <w:rPr>
                <w:rFonts w:ascii="Arial" w:cs="Arial" w:eastAsia="Arial" w:hAnsi="Arial"/>
                <w:sz w:val="12"/>
                <w:szCs w:val="12"/>
                <w:color w:val="auto"/>
                <w:w w:val="89"/>
              </w:rPr>
              <w:t>Telecommunications</w:t>
            </w:r>
          </w:p>
        </w:tc>
        <w:tc>
          <w:tcPr>
            <w:tcW w:w="740" w:type="dxa"/>
            <w:vAlign w:val="bottom"/>
            <w:gridSpan w:val="2"/>
          </w:tcPr>
          <w:p>
            <w:pPr>
              <w:jc w:val="right"/>
              <w:spacing w:after="0"/>
              <w:rPr>
                <w:sz w:val="20"/>
                <w:szCs w:val="20"/>
                <w:color w:val="auto"/>
              </w:rPr>
            </w:pPr>
            <w:r>
              <w:rPr>
                <w:rFonts w:ascii="Arial" w:cs="Arial" w:eastAsia="Arial" w:hAnsi="Arial"/>
                <w:sz w:val="12"/>
                <w:szCs w:val="12"/>
                <w:color w:val="auto"/>
              </w:rPr>
              <w:t>6.30%</w:t>
            </w:r>
          </w:p>
        </w:tc>
        <w:tc>
          <w:tcPr>
            <w:tcW w:w="16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1M L+450</w:t>
            </w:r>
          </w:p>
        </w:tc>
        <w:tc>
          <w:tcPr>
            <w:tcW w:w="920" w:type="dxa"/>
            <w:vAlign w:val="bottom"/>
            <w:gridSpan w:val="2"/>
          </w:tcPr>
          <w:p>
            <w:pPr>
              <w:jc w:val="right"/>
              <w:spacing w:after="0"/>
              <w:rPr>
                <w:sz w:val="20"/>
                <w:szCs w:val="20"/>
                <w:color w:val="auto"/>
              </w:rPr>
            </w:pPr>
            <w:r>
              <w:rPr>
                <w:rFonts w:ascii="Arial" w:cs="Arial" w:eastAsia="Arial" w:hAnsi="Arial"/>
                <w:sz w:val="12"/>
                <w:szCs w:val="12"/>
                <w:color w:val="auto"/>
              </w:rPr>
              <w:t>6,679,822</w:t>
            </w:r>
          </w:p>
        </w:tc>
        <w:tc>
          <w:tcPr>
            <w:tcW w:w="920" w:type="dxa"/>
            <w:vAlign w:val="bottom"/>
            <w:gridSpan w:val="2"/>
          </w:tcPr>
          <w:p>
            <w:pPr>
              <w:jc w:val="right"/>
              <w:spacing w:after="0"/>
              <w:rPr>
                <w:sz w:val="20"/>
                <w:szCs w:val="20"/>
                <w:color w:val="auto"/>
              </w:rPr>
            </w:pPr>
            <w:r>
              <w:rPr>
                <w:rFonts w:ascii="Arial" w:cs="Arial" w:eastAsia="Arial" w:hAnsi="Arial"/>
                <w:sz w:val="12"/>
                <w:szCs w:val="12"/>
                <w:color w:val="auto"/>
              </w:rPr>
              <w:t>6,610,971</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6,646,423</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560" w:type="dxa"/>
            <w:vAlign w:val="bottom"/>
            <w:shd w:val="clear" w:color="auto" w:fill="CFF0FC"/>
          </w:tcPr>
          <w:p>
            <w:pPr>
              <w:spacing w:after="0"/>
              <w:rPr>
                <w:sz w:val="20"/>
                <w:szCs w:val="20"/>
                <w:color w:val="auto"/>
              </w:rPr>
            </w:pPr>
            <w:r>
              <w:rPr>
                <w:rFonts w:ascii="Arial" w:cs="Arial" w:eastAsia="Arial" w:hAnsi="Arial"/>
                <w:sz w:val="12"/>
                <w:szCs w:val="12"/>
                <w:color w:val="auto"/>
              </w:rPr>
              <w:t>Teneo Holdings LLC</w:t>
            </w:r>
          </w:p>
        </w:tc>
        <w:tc>
          <w:tcPr>
            <w:tcW w:w="720" w:type="dxa"/>
            <w:vAlign w:val="bottom"/>
            <w:gridSpan w:val="2"/>
            <w:shd w:val="clear" w:color="auto" w:fill="CFF0FC"/>
          </w:tcPr>
          <w:p>
            <w:pPr>
              <w:jc w:val="center"/>
              <w:ind w:left="42"/>
              <w:spacing w:after="0"/>
              <w:rPr>
                <w:sz w:val="20"/>
                <w:szCs w:val="20"/>
                <w:color w:val="auto"/>
              </w:rPr>
            </w:pPr>
            <w:r>
              <w:rPr>
                <w:rFonts w:ascii="Arial" w:cs="Arial" w:eastAsia="Arial" w:hAnsi="Arial"/>
                <w:sz w:val="12"/>
                <w:szCs w:val="12"/>
                <w:color w:val="auto"/>
                <w:w w:val="89"/>
              </w:rPr>
              <w:t>07/18/2025</w:t>
            </w:r>
          </w:p>
        </w:tc>
        <w:tc>
          <w:tcPr>
            <w:tcW w:w="120" w:type="dxa"/>
            <w:vAlign w:val="bottom"/>
            <w:shd w:val="clear" w:color="auto" w:fill="CFF0FC"/>
          </w:tcPr>
          <w:p>
            <w:pPr>
              <w:spacing w:after="0"/>
              <w:rPr>
                <w:sz w:val="12"/>
                <w:szCs w:val="12"/>
                <w:color w:val="auto"/>
              </w:rPr>
            </w:pPr>
          </w:p>
        </w:tc>
        <w:tc>
          <w:tcPr>
            <w:tcW w:w="2420" w:type="dxa"/>
            <w:vAlign w:val="bottom"/>
            <w:gridSpan w:val="2"/>
            <w:shd w:val="clear" w:color="auto" w:fill="CFF0FC"/>
          </w:tcPr>
          <w:p>
            <w:pPr>
              <w:jc w:val="center"/>
              <w:ind w:right="120"/>
              <w:spacing w:after="0"/>
              <w:rPr>
                <w:sz w:val="20"/>
                <w:szCs w:val="20"/>
                <w:color w:val="auto"/>
              </w:rPr>
            </w:pPr>
            <w:r>
              <w:rPr>
                <w:rFonts w:ascii="Arial" w:cs="Arial" w:eastAsia="Arial" w:hAnsi="Arial"/>
                <w:sz w:val="12"/>
                <w:szCs w:val="12"/>
                <w:color w:val="auto"/>
                <w:w w:val="90"/>
              </w:rPr>
              <w:t>Diversified Financial Services</w:t>
            </w:r>
          </w:p>
        </w:tc>
        <w:tc>
          <w:tcPr>
            <w:tcW w:w="74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6.99%</w:t>
            </w:r>
          </w:p>
        </w:tc>
        <w:tc>
          <w:tcPr>
            <w:tcW w:w="16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1M L+525</w:t>
            </w: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9,975,000</w:t>
            </w: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9,593,287</w:t>
            </w:r>
          </w:p>
        </w:tc>
        <w:tc>
          <w:tcPr>
            <w:tcW w:w="2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9,451,313</w:t>
            </w:r>
          </w:p>
        </w:tc>
        <w:tc>
          <w:tcPr>
            <w:tcW w:w="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560" w:type="dxa"/>
            <w:vAlign w:val="bottom"/>
          </w:tcPr>
          <w:p>
            <w:pPr>
              <w:spacing w:after="0"/>
              <w:rPr>
                <w:sz w:val="20"/>
                <w:szCs w:val="20"/>
                <w:color w:val="auto"/>
              </w:rPr>
            </w:pPr>
            <w:r>
              <w:rPr>
                <w:rFonts w:ascii="Arial" w:cs="Arial" w:eastAsia="Arial" w:hAnsi="Arial"/>
                <w:sz w:val="12"/>
                <w:szCs w:val="12"/>
                <w:color w:val="auto"/>
              </w:rPr>
              <w:t>Tensar Corporation</w:t>
            </w:r>
          </w:p>
        </w:tc>
        <w:tc>
          <w:tcPr>
            <w:tcW w:w="720" w:type="dxa"/>
            <w:vAlign w:val="bottom"/>
            <w:gridSpan w:val="2"/>
          </w:tcPr>
          <w:p>
            <w:pPr>
              <w:jc w:val="center"/>
              <w:ind w:left="42"/>
              <w:spacing w:after="0"/>
              <w:rPr>
                <w:sz w:val="20"/>
                <w:szCs w:val="20"/>
                <w:color w:val="auto"/>
              </w:rPr>
            </w:pPr>
            <w:r>
              <w:rPr>
                <w:rFonts w:ascii="Arial" w:cs="Arial" w:eastAsia="Arial" w:hAnsi="Arial"/>
                <w:sz w:val="12"/>
                <w:szCs w:val="12"/>
                <w:color w:val="auto"/>
                <w:w w:val="89"/>
              </w:rPr>
              <w:t>07/09/2021</w:t>
            </w:r>
          </w:p>
        </w:tc>
        <w:tc>
          <w:tcPr>
            <w:tcW w:w="120" w:type="dxa"/>
            <w:vAlign w:val="bottom"/>
          </w:tcPr>
          <w:p>
            <w:pPr>
              <w:spacing w:after="0"/>
              <w:rPr>
                <w:sz w:val="12"/>
                <w:szCs w:val="12"/>
                <w:color w:val="auto"/>
              </w:rPr>
            </w:pPr>
          </w:p>
        </w:tc>
        <w:tc>
          <w:tcPr>
            <w:tcW w:w="2420" w:type="dxa"/>
            <w:vAlign w:val="bottom"/>
            <w:gridSpan w:val="2"/>
          </w:tcPr>
          <w:p>
            <w:pPr>
              <w:jc w:val="center"/>
              <w:ind w:right="140"/>
              <w:spacing w:after="0"/>
              <w:rPr>
                <w:sz w:val="20"/>
                <w:szCs w:val="20"/>
                <w:color w:val="auto"/>
              </w:rPr>
            </w:pPr>
            <w:r>
              <w:rPr>
                <w:rFonts w:ascii="Arial" w:cs="Arial" w:eastAsia="Arial" w:hAnsi="Arial"/>
                <w:sz w:val="12"/>
                <w:szCs w:val="12"/>
                <w:color w:val="auto"/>
                <w:w w:val="90"/>
              </w:rPr>
              <w:t>Construction and Building</w:t>
            </w:r>
          </w:p>
        </w:tc>
        <w:tc>
          <w:tcPr>
            <w:tcW w:w="740" w:type="dxa"/>
            <w:vAlign w:val="bottom"/>
            <w:gridSpan w:val="2"/>
          </w:tcPr>
          <w:p>
            <w:pPr>
              <w:jc w:val="right"/>
              <w:spacing w:after="0"/>
              <w:rPr>
                <w:sz w:val="20"/>
                <w:szCs w:val="20"/>
                <w:color w:val="auto"/>
              </w:rPr>
            </w:pPr>
            <w:r>
              <w:rPr>
                <w:rFonts w:ascii="Arial" w:cs="Arial" w:eastAsia="Arial" w:hAnsi="Arial"/>
                <w:sz w:val="12"/>
                <w:szCs w:val="12"/>
                <w:color w:val="auto"/>
              </w:rPr>
              <w:t>6.69%</w:t>
            </w:r>
          </w:p>
        </w:tc>
        <w:tc>
          <w:tcPr>
            <w:tcW w:w="16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3M L+475</w:t>
            </w:r>
          </w:p>
        </w:tc>
        <w:tc>
          <w:tcPr>
            <w:tcW w:w="920" w:type="dxa"/>
            <w:vAlign w:val="bottom"/>
            <w:gridSpan w:val="2"/>
          </w:tcPr>
          <w:p>
            <w:pPr>
              <w:jc w:val="right"/>
              <w:spacing w:after="0"/>
              <w:rPr>
                <w:sz w:val="20"/>
                <w:szCs w:val="20"/>
                <w:color w:val="auto"/>
              </w:rPr>
            </w:pPr>
            <w:r>
              <w:rPr>
                <w:rFonts w:ascii="Arial" w:cs="Arial" w:eastAsia="Arial" w:hAnsi="Arial"/>
                <w:sz w:val="12"/>
                <w:szCs w:val="12"/>
                <w:color w:val="auto"/>
              </w:rPr>
              <w:t>22,620,696</w:t>
            </w:r>
          </w:p>
        </w:tc>
        <w:tc>
          <w:tcPr>
            <w:tcW w:w="920" w:type="dxa"/>
            <w:vAlign w:val="bottom"/>
            <w:gridSpan w:val="2"/>
          </w:tcPr>
          <w:p>
            <w:pPr>
              <w:jc w:val="right"/>
              <w:spacing w:after="0"/>
              <w:rPr>
                <w:sz w:val="20"/>
                <w:szCs w:val="20"/>
                <w:color w:val="auto"/>
              </w:rPr>
            </w:pPr>
            <w:r>
              <w:rPr>
                <w:rFonts w:ascii="Arial" w:cs="Arial" w:eastAsia="Arial" w:hAnsi="Arial"/>
                <w:sz w:val="12"/>
                <w:szCs w:val="12"/>
                <w:color w:val="auto"/>
              </w:rPr>
              <w:t>22,535,398</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w w:val="96"/>
              </w:rPr>
              <w:t>21,433,110</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60" w:type="dxa"/>
            <w:vAlign w:val="bottom"/>
            <w:shd w:val="clear" w:color="auto" w:fill="CFF0FC"/>
          </w:tcPr>
          <w:p>
            <w:pPr>
              <w:spacing w:after="0"/>
              <w:rPr>
                <w:sz w:val="20"/>
                <w:szCs w:val="20"/>
                <w:color w:val="auto"/>
              </w:rPr>
            </w:pPr>
            <w:r>
              <w:rPr>
                <w:rFonts w:ascii="Arial" w:cs="Arial" w:eastAsia="Arial" w:hAnsi="Arial"/>
                <w:sz w:val="12"/>
                <w:szCs w:val="12"/>
                <w:color w:val="auto"/>
              </w:rPr>
              <w:t>The Infosoft Group, LLC</w:t>
            </w:r>
          </w:p>
        </w:tc>
        <w:tc>
          <w:tcPr>
            <w:tcW w:w="720" w:type="dxa"/>
            <w:vAlign w:val="bottom"/>
            <w:gridSpan w:val="2"/>
            <w:shd w:val="clear" w:color="auto" w:fill="CFF0FC"/>
          </w:tcPr>
          <w:p>
            <w:pPr>
              <w:jc w:val="center"/>
              <w:ind w:left="42"/>
              <w:spacing w:after="0"/>
              <w:rPr>
                <w:sz w:val="20"/>
                <w:szCs w:val="20"/>
                <w:color w:val="auto"/>
              </w:rPr>
            </w:pPr>
            <w:r>
              <w:rPr>
                <w:rFonts w:ascii="Arial" w:cs="Arial" w:eastAsia="Arial" w:hAnsi="Arial"/>
                <w:sz w:val="12"/>
                <w:szCs w:val="12"/>
                <w:color w:val="auto"/>
                <w:w w:val="89"/>
              </w:rPr>
              <w:t>09/16/2024</w:t>
            </w:r>
          </w:p>
        </w:tc>
        <w:tc>
          <w:tcPr>
            <w:tcW w:w="120" w:type="dxa"/>
            <w:vAlign w:val="bottom"/>
            <w:shd w:val="clear" w:color="auto" w:fill="CFF0FC"/>
          </w:tcPr>
          <w:p>
            <w:pPr>
              <w:spacing w:after="0"/>
              <w:rPr>
                <w:sz w:val="12"/>
                <w:szCs w:val="12"/>
                <w:color w:val="auto"/>
              </w:rPr>
            </w:pPr>
          </w:p>
        </w:tc>
        <w:tc>
          <w:tcPr>
            <w:tcW w:w="2420" w:type="dxa"/>
            <w:vAlign w:val="bottom"/>
            <w:gridSpan w:val="2"/>
            <w:shd w:val="clear" w:color="auto" w:fill="CFF0FC"/>
          </w:tcPr>
          <w:p>
            <w:pPr>
              <w:jc w:val="center"/>
              <w:ind w:right="120"/>
              <w:spacing w:after="0"/>
              <w:rPr>
                <w:sz w:val="20"/>
                <w:szCs w:val="20"/>
                <w:color w:val="auto"/>
              </w:rPr>
            </w:pPr>
            <w:r>
              <w:rPr>
                <w:rFonts w:ascii="Arial" w:cs="Arial" w:eastAsia="Arial" w:hAnsi="Arial"/>
                <w:sz w:val="12"/>
                <w:szCs w:val="12"/>
                <w:color w:val="auto"/>
                <w:w w:val="88"/>
              </w:rPr>
              <w:t>Media: Broadcasting and Subscription</w:t>
            </w:r>
          </w:p>
        </w:tc>
        <w:tc>
          <w:tcPr>
            <w:tcW w:w="74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7.34%</w:t>
            </w:r>
          </w:p>
        </w:tc>
        <w:tc>
          <w:tcPr>
            <w:tcW w:w="16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3M L+525</w:t>
            </w: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18,550,054</w:t>
            </w: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18,402,291</w:t>
            </w:r>
          </w:p>
        </w:tc>
        <w:tc>
          <w:tcPr>
            <w:tcW w:w="2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2"/>
                <w:szCs w:val="12"/>
                <w:color w:val="auto"/>
                <w:w w:val="96"/>
              </w:rPr>
              <w:t>18,364,553</w:t>
            </w:r>
          </w:p>
        </w:tc>
        <w:tc>
          <w:tcPr>
            <w:tcW w:w="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560" w:type="dxa"/>
            <w:vAlign w:val="bottom"/>
          </w:tcPr>
          <w:p>
            <w:pPr>
              <w:spacing w:after="0" w:line="149" w:lineRule="exact"/>
              <w:rPr>
                <w:sz w:val="20"/>
                <w:szCs w:val="20"/>
                <w:color w:val="auto"/>
              </w:rPr>
            </w:pPr>
            <w:r>
              <w:rPr>
                <w:rFonts w:ascii="Arial" w:cs="Arial" w:eastAsia="Arial" w:hAnsi="Arial"/>
                <w:sz w:val="11"/>
                <w:szCs w:val="11"/>
                <w:color w:val="auto"/>
              </w:rPr>
              <w:t xml:space="preserve">The Original Cakerie, Co. </w:t>
            </w:r>
            <w:r>
              <w:rPr>
                <w:rFonts w:ascii="Arial" w:cs="Arial" w:eastAsia="Arial" w:hAnsi="Arial"/>
                <w:sz w:val="17"/>
                <w:szCs w:val="17"/>
                <w:color w:val="auto"/>
                <w:vertAlign w:val="superscript"/>
              </w:rPr>
              <w:t>(5), (10)</w:t>
            </w:r>
          </w:p>
        </w:tc>
        <w:tc>
          <w:tcPr>
            <w:tcW w:w="720" w:type="dxa"/>
            <w:vAlign w:val="bottom"/>
            <w:gridSpan w:val="2"/>
          </w:tcPr>
          <w:p>
            <w:pPr>
              <w:jc w:val="center"/>
              <w:ind w:left="42"/>
              <w:spacing w:after="0"/>
              <w:rPr>
                <w:sz w:val="20"/>
                <w:szCs w:val="20"/>
                <w:color w:val="auto"/>
              </w:rPr>
            </w:pPr>
            <w:r>
              <w:rPr>
                <w:rFonts w:ascii="Arial" w:cs="Arial" w:eastAsia="Arial" w:hAnsi="Arial"/>
                <w:sz w:val="12"/>
                <w:szCs w:val="12"/>
                <w:color w:val="auto"/>
                <w:w w:val="89"/>
              </w:rPr>
              <w:t>07/20/2022</w:t>
            </w:r>
          </w:p>
        </w:tc>
        <w:tc>
          <w:tcPr>
            <w:tcW w:w="120" w:type="dxa"/>
            <w:vAlign w:val="bottom"/>
          </w:tcPr>
          <w:p>
            <w:pPr>
              <w:spacing w:after="0"/>
              <w:rPr>
                <w:sz w:val="12"/>
                <w:szCs w:val="12"/>
                <w:color w:val="auto"/>
              </w:rPr>
            </w:pPr>
          </w:p>
        </w:tc>
        <w:tc>
          <w:tcPr>
            <w:tcW w:w="2420" w:type="dxa"/>
            <w:vAlign w:val="bottom"/>
            <w:gridSpan w:val="2"/>
          </w:tcPr>
          <w:p>
            <w:pPr>
              <w:jc w:val="center"/>
              <w:ind w:right="120"/>
              <w:spacing w:after="0"/>
              <w:rPr>
                <w:sz w:val="20"/>
                <w:szCs w:val="20"/>
                <w:color w:val="auto"/>
              </w:rPr>
            </w:pPr>
            <w:r>
              <w:rPr>
                <w:rFonts w:ascii="Arial" w:cs="Arial" w:eastAsia="Arial" w:hAnsi="Arial"/>
                <w:sz w:val="12"/>
                <w:szCs w:val="12"/>
                <w:color w:val="auto"/>
                <w:w w:val="88"/>
              </w:rPr>
              <w:t>Consumer Goods: Non-Durable</w:t>
            </w:r>
          </w:p>
        </w:tc>
        <w:tc>
          <w:tcPr>
            <w:tcW w:w="740" w:type="dxa"/>
            <w:vAlign w:val="bottom"/>
            <w:gridSpan w:val="2"/>
          </w:tcPr>
          <w:p>
            <w:pPr>
              <w:jc w:val="right"/>
              <w:spacing w:after="0"/>
              <w:rPr>
                <w:sz w:val="20"/>
                <w:szCs w:val="20"/>
                <w:color w:val="auto"/>
              </w:rPr>
            </w:pPr>
            <w:r>
              <w:rPr>
                <w:rFonts w:ascii="Arial" w:cs="Arial" w:eastAsia="Arial" w:hAnsi="Arial"/>
                <w:sz w:val="12"/>
                <w:szCs w:val="12"/>
                <w:color w:val="auto"/>
              </w:rPr>
              <w:t>6.84%</w:t>
            </w:r>
          </w:p>
        </w:tc>
        <w:tc>
          <w:tcPr>
            <w:tcW w:w="16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2M L+500</w:t>
            </w:r>
          </w:p>
        </w:tc>
        <w:tc>
          <w:tcPr>
            <w:tcW w:w="920" w:type="dxa"/>
            <w:vAlign w:val="bottom"/>
            <w:gridSpan w:val="2"/>
          </w:tcPr>
          <w:p>
            <w:pPr>
              <w:jc w:val="right"/>
              <w:spacing w:after="0"/>
              <w:rPr>
                <w:sz w:val="20"/>
                <w:szCs w:val="20"/>
                <w:color w:val="auto"/>
              </w:rPr>
            </w:pPr>
            <w:r>
              <w:rPr>
                <w:rFonts w:ascii="Arial" w:cs="Arial" w:eastAsia="Arial" w:hAnsi="Arial"/>
                <w:sz w:val="12"/>
                <w:szCs w:val="12"/>
                <w:color w:val="auto"/>
              </w:rPr>
              <w:t>7,605,623</w:t>
            </w:r>
          </w:p>
        </w:tc>
        <w:tc>
          <w:tcPr>
            <w:tcW w:w="920" w:type="dxa"/>
            <w:vAlign w:val="bottom"/>
            <w:gridSpan w:val="2"/>
          </w:tcPr>
          <w:p>
            <w:pPr>
              <w:jc w:val="right"/>
              <w:spacing w:after="0"/>
              <w:rPr>
                <w:sz w:val="20"/>
                <w:szCs w:val="20"/>
                <w:color w:val="auto"/>
              </w:rPr>
            </w:pPr>
            <w:r>
              <w:rPr>
                <w:rFonts w:ascii="Arial" w:cs="Arial" w:eastAsia="Arial" w:hAnsi="Arial"/>
                <w:sz w:val="12"/>
                <w:szCs w:val="12"/>
                <w:color w:val="auto"/>
              </w:rPr>
              <w:t>7,536,794</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7,567,595</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60" w:type="dxa"/>
            <w:vAlign w:val="bottom"/>
            <w:shd w:val="clear" w:color="auto" w:fill="CFF0FC"/>
          </w:tcPr>
          <w:p>
            <w:pPr>
              <w:spacing w:after="0" w:line="149" w:lineRule="exact"/>
              <w:rPr>
                <w:sz w:val="20"/>
                <w:szCs w:val="20"/>
                <w:color w:val="auto"/>
              </w:rPr>
            </w:pPr>
            <w:r>
              <w:rPr>
                <w:rFonts w:ascii="Arial" w:cs="Arial" w:eastAsia="Arial" w:hAnsi="Arial"/>
                <w:sz w:val="11"/>
                <w:szCs w:val="11"/>
                <w:color w:val="auto"/>
              </w:rPr>
              <w:t xml:space="preserve">The Original Cakerie Ltd. </w:t>
            </w:r>
            <w:r>
              <w:rPr>
                <w:rFonts w:ascii="Arial" w:cs="Arial" w:eastAsia="Arial" w:hAnsi="Arial"/>
                <w:sz w:val="17"/>
                <w:szCs w:val="17"/>
                <w:color w:val="auto"/>
                <w:vertAlign w:val="superscript"/>
              </w:rPr>
              <w:t>(5), (10)</w:t>
            </w:r>
          </w:p>
        </w:tc>
        <w:tc>
          <w:tcPr>
            <w:tcW w:w="720" w:type="dxa"/>
            <w:vAlign w:val="bottom"/>
            <w:gridSpan w:val="2"/>
            <w:shd w:val="clear" w:color="auto" w:fill="CFF0FC"/>
          </w:tcPr>
          <w:p>
            <w:pPr>
              <w:jc w:val="center"/>
              <w:ind w:left="42"/>
              <w:spacing w:after="0"/>
              <w:rPr>
                <w:sz w:val="20"/>
                <w:szCs w:val="20"/>
                <w:color w:val="auto"/>
              </w:rPr>
            </w:pPr>
            <w:r>
              <w:rPr>
                <w:rFonts w:ascii="Arial" w:cs="Arial" w:eastAsia="Arial" w:hAnsi="Arial"/>
                <w:sz w:val="12"/>
                <w:szCs w:val="12"/>
                <w:color w:val="auto"/>
                <w:w w:val="89"/>
              </w:rPr>
              <w:t>07/20/2022</w:t>
            </w:r>
          </w:p>
        </w:tc>
        <w:tc>
          <w:tcPr>
            <w:tcW w:w="120" w:type="dxa"/>
            <w:vAlign w:val="bottom"/>
            <w:shd w:val="clear" w:color="auto" w:fill="CFF0FC"/>
          </w:tcPr>
          <w:p>
            <w:pPr>
              <w:spacing w:after="0"/>
              <w:rPr>
                <w:sz w:val="12"/>
                <w:szCs w:val="12"/>
                <w:color w:val="auto"/>
              </w:rPr>
            </w:pPr>
          </w:p>
        </w:tc>
        <w:tc>
          <w:tcPr>
            <w:tcW w:w="2420" w:type="dxa"/>
            <w:vAlign w:val="bottom"/>
            <w:gridSpan w:val="2"/>
            <w:shd w:val="clear" w:color="auto" w:fill="CFF0FC"/>
          </w:tcPr>
          <w:p>
            <w:pPr>
              <w:jc w:val="center"/>
              <w:ind w:right="120"/>
              <w:spacing w:after="0"/>
              <w:rPr>
                <w:sz w:val="20"/>
                <w:szCs w:val="20"/>
                <w:color w:val="auto"/>
              </w:rPr>
            </w:pPr>
            <w:r>
              <w:rPr>
                <w:rFonts w:ascii="Arial" w:cs="Arial" w:eastAsia="Arial" w:hAnsi="Arial"/>
                <w:sz w:val="12"/>
                <w:szCs w:val="12"/>
                <w:color w:val="auto"/>
                <w:w w:val="88"/>
              </w:rPr>
              <w:t>Consumer Goods: Non-Durable</w:t>
            </w:r>
          </w:p>
        </w:tc>
        <w:tc>
          <w:tcPr>
            <w:tcW w:w="74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6.34%</w:t>
            </w:r>
          </w:p>
        </w:tc>
        <w:tc>
          <w:tcPr>
            <w:tcW w:w="16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2M L+450</w:t>
            </w: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5,417,507</w:t>
            </w: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5,386,521</w:t>
            </w:r>
          </w:p>
        </w:tc>
        <w:tc>
          <w:tcPr>
            <w:tcW w:w="2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5,390,418</w:t>
            </w:r>
          </w:p>
        </w:tc>
        <w:tc>
          <w:tcPr>
            <w:tcW w:w="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60" w:type="dxa"/>
            <w:vAlign w:val="bottom"/>
          </w:tcPr>
          <w:p>
            <w:pPr>
              <w:spacing w:after="0" w:line="149" w:lineRule="exact"/>
              <w:rPr>
                <w:sz w:val="20"/>
                <w:szCs w:val="20"/>
                <w:color w:val="auto"/>
              </w:rPr>
            </w:pPr>
            <w:r>
              <w:rPr>
                <w:rFonts w:ascii="Arial" w:cs="Arial" w:eastAsia="Arial" w:hAnsi="Arial"/>
                <w:sz w:val="11"/>
                <w:szCs w:val="11"/>
                <w:color w:val="auto"/>
              </w:rPr>
              <w:t xml:space="preserve">The Original Cakerie Ltd. (Revolver) </w:t>
            </w:r>
            <w:r>
              <w:rPr>
                <w:rFonts w:ascii="Arial" w:cs="Arial" w:eastAsia="Arial" w:hAnsi="Arial"/>
                <w:sz w:val="17"/>
                <w:szCs w:val="17"/>
                <w:color w:val="auto"/>
                <w:vertAlign w:val="superscript"/>
              </w:rPr>
              <w:t>(5), (7), (10)</w:t>
            </w:r>
          </w:p>
        </w:tc>
        <w:tc>
          <w:tcPr>
            <w:tcW w:w="720" w:type="dxa"/>
            <w:vAlign w:val="bottom"/>
            <w:gridSpan w:val="2"/>
          </w:tcPr>
          <w:p>
            <w:pPr>
              <w:jc w:val="center"/>
              <w:ind w:left="42"/>
              <w:spacing w:after="0"/>
              <w:rPr>
                <w:sz w:val="20"/>
                <w:szCs w:val="20"/>
                <w:color w:val="auto"/>
              </w:rPr>
            </w:pPr>
            <w:r>
              <w:rPr>
                <w:rFonts w:ascii="Arial" w:cs="Arial" w:eastAsia="Arial" w:hAnsi="Arial"/>
                <w:sz w:val="12"/>
                <w:szCs w:val="12"/>
                <w:color w:val="auto"/>
                <w:w w:val="89"/>
              </w:rPr>
              <w:t>07/20/2022</w:t>
            </w:r>
          </w:p>
        </w:tc>
        <w:tc>
          <w:tcPr>
            <w:tcW w:w="120" w:type="dxa"/>
            <w:vAlign w:val="bottom"/>
          </w:tcPr>
          <w:p>
            <w:pPr>
              <w:spacing w:after="0"/>
              <w:rPr>
                <w:sz w:val="12"/>
                <w:szCs w:val="12"/>
                <w:color w:val="auto"/>
              </w:rPr>
            </w:pPr>
          </w:p>
        </w:tc>
        <w:tc>
          <w:tcPr>
            <w:tcW w:w="2420" w:type="dxa"/>
            <w:vAlign w:val="bottom"/>
            <w:gridSpan w:val="2"/>
          </w:tcPr>
          <w:p>
            <w:pPr>
              <w:jc w:val="center"/>
              <w:ind w:right="120"/>
              <w:spacing w:after="0"/>
              <w:rPr>
                <w:sz w:val="20"/>
                <w:szCs w:val="20"/>
                <w:color w:val="auto"/>
              </w:rPr>
            </w:pPr>
            <w:r>
              <w:rPr>
                <w:rFonts w:ascii="Arial" w:cs="Arial" w:eastAsia="Arial" w:hAnsi="Arial"/>
                <w:sz w:val="12"/>
                <w:szCs w:val="12"/>
                <w:color w:val="auto"/>
                <w:w w:val="88"/>
              </w:rPr>
              <w:t>Consumer Goods: Non-Durable</w:t>
            </w:r>
          </w:p>
        </w:tc>
        <w:tc>
          <w:tcPr>
            <w:tcW w:w="740" w:type="dxa"/>
            <w:vAlign w:val="bottom"/>
            <w:gridSpan w:val="2"/>
          </w:tcPr>
          <w:p>
            <w:pPr>
              <w:jc w:val="right"/>
              <w:spacing w:after="0"/>
              <w:rPr>
                <w:sz w:val="20"/>
                <w:szCs w:val="20"/>
                <w:color w:val="auto"/>
              </w:rPr>
            </w:pPr>
            <w:r>
              <w:rPr>
                <w:rFonts w:ascii="Arial" w:cs="Arial" w:eastAsia="Arial" w:hAnsi="Arial"/>
                <w:sz w:val="12"/>
                <w:szCs w:val="12"/>
                <w:color w:val="auto"/>
              </w:rPr>
              <w:t>6.30%</w:t>
            </w:r>
          </w:p>
        </w:tc>
        <w:tc>
          <w:tcPr>
            <w:tcW w:w="16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3M L+450</w:t>
            </w:r>
          </w:p>
        </w:tc>
        <w:tc>
          <w:tcPr>
            <w:tcW w:w="920" w:type="dxa"/>
            <w:vAlign w:val="bottom"/>
            <w:gridSpan w:val="2"/>
          </w:tcPr>
          <w:p>
            <w:pPr>
              <w:jc w:val="right"/>
              <w:spacing w:after="0"/>
              <w:rPr>
                <w:sz w:val="20"/>
                <w:szCs w:val="20"/>
                <w:color w:val="auto"/>
              </w:rPr>
            </w:pPr>
            <w:r>
              <w:rPr>
                <w:rFonts w:ascii="Arial" w:cs="Arial" w:eastAsia="Arial" w:hAnsi="Arial"/>
                <w:sz w:val="12"/>
                <w:szCs w:val="12"/>
                <w:color w:val="auto"/>
              </w:rPr>
              <w:t>397,175</w:t>
            </w:r>
          </w:p>
        </w:tc>
        <w:tc>
          <w:tcPr>
            <w:tcW w:w="920" w:type="dxa"/>
            <w:vAlign w:val="bottom"/>
            <w:gridSpan w:val="2"/>
          </w:tcPr>
          <w:p>
            <w:pPr>
              <w:jc w:val="right"/>
              <w:spacing w:after="0"/>
              <w:rPr>
                <w:sz w:val="20"/>
                <w:szCs w:val="20"/>
                <w:color w:val="auto"/>
              </w:rPr>
            </w:pPr>
            <w:r>
              <w:rPr>
                <w:rFonts w:ascii="Arial" w:cs="Arial" w:eastAsia="Arial" w:hAnsi="Arial"/>
                <w:sz w:val="12"/>
                <w:szCs w:val="12"/>
                <w:color w:val="auto"/>
              </w:rPr>
              <w:t>397,175</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395,190</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60" w:type="dxa"/>
            <w:vAlign w:val="bottom"/>
            <w:shd w:val="clear" w:color="auto" w:fill="CFF0FC"/>
          </w:tcPr>
          <w:p>
            <w:pPr>
              <w:spacing w:after="0" w:line="149" w:lineRule="exact"/>
              <w:rPr>
                <w:sz w:val="20"/>
                <w:szCs w:val="20"/>
                <w:color w:val="auto"/>
              </w:rPr>
            </w:pPr>
            <w:r>
              <w:rPr>
                <w:rFonts w:ascii="Arial" w:cs="Arial" w:eastAsia="Arial" w:hAnsi="Arial"/>
                <w:sz w:val="11"/>
                <w:szCs w:val="11"/>
                <w:color w:val="auto"/>
              </w:rPr>
              <w:t xml:space="preserve">The Original Cakerie Ltd. (Revolver) </w:t>
            </w:r>
            <w:r>
              <w:rPr>
                <w:rFonts w:ascii="Arial" w:cs="Arial" w:eastAsia="Arial" w:hAnsi="Arial"/>
                <w:sz w:val="17"/>
                <w:szCs w:val="17"/>
                <w:color w:val="auto"/>
                <w:vertAlign w:val="superscript"/>
              </w:rPr>
              <w:t>(5), (7), (9), (10)</w:t>
            </w:r>
          </w:p>
        </w:tc>
        <w:tc>
          <w:tcPr>
            <w:tcW w:w="720" w:type="dxa"/>
            <w:vAlign w:val="bottom"/>
            <w:gridSpan w:val="2"/>
            <w:shd w:val="clear" w:color="auto" w:fill="CFF0FC"/>
          </w:tcPr>
          <w:p>
            <w:pPr>
              <w:jc w:val="center"/>
              <w:ind w:left="42"/>
              <w:spacing w:after="0"/>
              <w:rPr>
                <w:sz w:val="20"/>
                <w:szCs w:val="20"/>
                <w:color w:val="auto"/>
              </w:rPr>
            </w:pPr>
            <w:r>
              <w:rPr>
                <w:rFonts w:ascii="Arial" w:cs="Arial" w:eastAsia="Arial" w:hAnsi="Arial"/>
                <w:sz w:val="12"/>
                <w:szCs w:val="12"/>
                <w:color w:val="auto"/>
                <w:w w:val="89"/>
              </w:rPr>
              <w:t>07/20/2022</w:t>
            </w:r>
          </w:p>
        </w:tc>
        <w:tc>
          <w:tcPr>
            <w:tcW w:w="120" w:type="dxa"/>
            <w:vAlign w:val="bottom"/>
            <w:shd w:val="clear" w:color="auto" w:fill="CFF0FC"/>
          </w:tcPr>
          <w:p>
            <w:pPr>
              <w:spacing w:after="0"/>
              <w:rPr>
                <w:sz w:val="12"/>
                <w:szCs w:val="12"/>
                <w:color w:val="auto"/>
              </w:rPr>
            </w:pPr>
          </w:p>
        </w:tc>
        <w:tc>
          <w:tcPr>
            <w:tcW w:w="2420" w:type="dxa"/>
            <w:vAlign w:val="bottom"/>
            <w:gridSpan w:val="2"/>
            <w:shd w:val="clear" w:color="auto" w:fill="CFF0FC"/>
          </w:tcPr>
          <w:p>
            <w:pPr>
              <w:jc w:val="center"/>
              <w:ind w:right="120"/>
              <w:spacing w:after="0"/>
              <w:rPr>
                <w:sz w:val="20"/>
                <w:szCs w:val="20"/>
                <w:color w:val="auto"/>
              </w:rPr>
            </w:pPr>
            <w:r>
              <w:rPr>
                <w:rFonts w:ascii="Arial" w:cs="Arial" w:eastAsia="Arial" w:hAnsi="Arial"/>
                <w:sz w:val="12"/>
                <w:szCs w:val="12"/>
                <w:color w:val="auto"/>
                <w:w w:val="88"/>
              </w:rPr>
              <w:t>Consumer Goods: Non-Durable</w:t>
            </w:r>
          </w:p>
        </w:tc>
        <w:tc>
          <w:tcPr>
            <w:tcW w:w="74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w:t>
            </w:r>
          </w:p>
        </w:tc>
        <w:tc>
          <w:tcPr>
            <w:tcW w:w="16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1,021,308</w:t>
            </w:r>
          </w:p>
        </w:tc>
        <w:tc>
          <w:tcPr>
            <w:tcW w:w="20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00" w:type="dxa"/>
            <w:vAlign w:val="bottom"/>
            <w:gridSpan w:val="2"/>
            <w:shd w:val="clear" w:color="auto" w:fill="CFF0FC"/>
          </w:tcPr>
          <w:p>
            <w:pPr>
              <w:jc w:val="right"/>
              <w:ind w:right="40"/>
              <w:spacing w:after="0"/>
              <w:rPr>
                <w:sz w:val="20"/>
                <w:szCs w:val="20"/>
                <w:color w:val="auto"/>
              </w:rPr>
            </w:pPr>
            <w:r>
              <w:rPr>
                <w:rFonts w:ascii="Arial" w:cs="Arial" w:eastAsia="Arial" w:hAnsi="Arial"/>
                <w:sz w:val="12"/>
                <w:szCs w:val="12"/>
                <w:color w:val="auto"/>
              </w:rPr>
              <w:t>(5,107)</w:t>
            </w:r>
          </w:p>
        </w:tc>
        <w:tc>
          <w:tcPr>
            <w:tcW w:w="0" w:type="dxa"/>
            <w:vAlign w:val="bottom"/>
          </w:tcPr>
          <w:p>
            <w:pPr>
              <w:spacing w:after="0"/>
              <w:rPr>
                <w:sz w:val="1"/>
                <w:szCs w:val="1"/>
                <w:color w:val="auto"/>
              </w:rPr>
            </w:pPr>
          </w:p>
        </w:tc>
      </w:tr>
      <w:tr>
        <w:trPr>
          <w:trHeight w:val="148"/>
        </w:trPr>
        <w:tc>
          <w:tcPr>
            <w:tcW w:w="3560" w:type="dxa"/>
            <w:vAlign w:val="bottom"/>
          </w:tcPr>
          <w:p>
            <w:pPr>
              <w:spacing w:after="0" w:line="149" w:lineRule="exact"/>
              <w:rPr>
                <w:sz w:val="20"/>
                <w:szCs w:val="20"/>
                <w:color w:val="auto"/>
              </w:rPr>
            </w:pPr>
            <w:r>
              <w:rPr>
                <w:rFonts w:ascii="Arial" w:cs="Arial" w:eastAsia="Arial" w:hAnsi="Arial"/>
                <w:sz w:val="11"/>
                <w:szCs w:val="11"/>
                <w:color w:val="auto"/>
              </w:rPr>
              <w:t xml:space="preserve">TPC Canada Parent, Inc. and TPC US Parent, LLC </w:t>
            </w:r>
            <w:r>
              <w:rPr>
                <w:rFonts w:ascii="Arial" w:cs="Arial" w:eastAsia="Arial" w:hAnsi="Arial"/>
                <w:sz w:val="17"/>
                <w:szCs w:val="17"/>
                <w:color w:val="auto"/>
                <w:vertAlign w:val="superscript"/>
              </w:rPr>
              <w:t>(5), (10)</w:t>
            </w:r>
          </w:p>
        </w:tc>
        <w:tc>
          <w:tcPr>
            <w:tcW w:w="720" w:type="dxa"/>
            <w:vAlign w:val="bottom"/>
            <w:gridSpan w:val="2"/>
          </w:tcPr>
          <w:p>
            <w:pPr>
              <w:jc w:val="center"/>
              <w:ind w:left="42"/>
              <w:spacing w:after="0"/>
              <w:rPr>
                <w:sz w:val="20"/>
                <w:szCs w:val="20"/>
                <w:color w:val="auto"/>
              </w:rPr>
            </w:pPr>
            <w:r>
              <w:rPr>
                <w:rFonts w:ascii="Arial" w:cs="Arial" w:eastAsia="Arial" w:hAnsi="Arial"/>
                <w:sz w:val="12"/>
                <w:szCs w:val="12"/>
                <w:color w:val="auto"/>
                <w:w w:val="89"/>
              </w:rPr>
              <w:t>11/24/2025</w:t>
            </w:r>
          </w:p>
        </w:tc>
        <w:tc>
          <w:tcPr>
            <w:tcW w:w="120" w:type="dxa"/>
            <w:vAlign w:val="bottom"/>
          </w:tcPr>
          <w:p>
            <w:pPr>
              <w:spacing w:after="0"/>
              <w:rPr>
                <w:sz w:val="12"/>
                <w:szCs w:val="12"/>
                <w:color w:val="auto"/>
              </w:rPr>
            </w:pPr>
          </w:p>
        </w:tc>
        <w:tc>
          <w:tcPr>
            <w:tcW w:w="2420" w:type="dxa"/>
            <w:vAlign w:val="bottom"/>
            <w:gridSpan w:val="2"/>
          </w:tcPr>
          <w:p>
            <w:pPr>
              <w:jc w:val="center"/>
              <w:ind w:right="120"/>
              <w:spacing w:after="0"/>
              <w:rPr>
                <w:sz w:val="20"/>
                <w:szCs w:val="20"/>
                <w:color w:val="auto"/>
              </w:rPr>
            </w:pPr>
            <w:r>
              <w:rPr>
                <w:rFonts w:ascii="Arial" w:cs="Arial" w:eastAsia="Arial" w:hAnsi="Arial"/>
                <w:sz w:val="12"/>
                <w:szCs w:val="12"/>
                <w:color w:val="auto"/>
                <w:w w:val="84"/>
              </w:rPr>
              <w:t>Food Products</w:t>
            </w:r>
          </w:p>
        </w:tc>
        <w:tc>
          <w:tcPr>
            <w:tcW w:w="740" w:type="dxa"/>
            <w:vAlign w:val="bottom"/>
            <w:gridSpan w:val="2"/>
          </w:tcPr>
          <w:p>
            <w:pPr>
              <w:jc w:val="right"/>
              <w:spacing w:after="0"/>
              <w:rPr>
                <w:sz w:val="20"/>
                <w:szCs w:val="20"/>
                <w:color w:val="auto"/>
              </w:rPr>
            </w:pPr>
            <w:r>
              <w:rPr>
                <w:rFonts w:ascii="Arial" w:cs="Arial" w:eastAsia="Arial" w:hAnsi="Arial"/>
                <w:sz w:val="12"/>
                <w:szCs w:val="12"/>
                <w:color w:val="auto"/>
              </w:rPr>
              <w:t>7.04%</w:t>
            </w:r>
          </w:p>
        </w:tc>
        <w:tc>
          <w:tcPr>
            <w:tcW w:w="16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3M L+525</w:t>
            </w:r>
          </w:p>
        </w:tc>
        <w:tc>
          <w:tcPr>
            <w:tcW w:w="920" w:type="dxa"/>
            <w:vAlign w:val="bottom"/>
            <w:gridSpan w:val="2"/>
          </w:tcPr>
          <w:p>
            <w:pPr>
              <w:jc w:val="right"/>
              <w:spacing w:after="0"/>
              <w:rPr>
                <w:sz w:val="20"/>
                <w:szCs w:val="20"/>
                <w:color w:val="auto"/>
              </w:rPr>
            </w:pPr>
            <w:r>
              <w:rPr>
                <w:rFonts w:ascii="Arial" w:cs="Arial" w:eastAsia="Arial" w:hAnsi="Arial"/>
                <w:sz w:val="12"/>
                <w:szCs w:val="12"/>
                <w:color w:val="auto"/>
              </w:rPr>
              <w:t>5,000,000</w:t>
            </w:r>
          </w:p>
        </w:tc>
        <w:tc>
          <w:tcPr>
            <w:tcW w:w="920" w:type="dxa"/>
            <w:vAlign w:val="bottom"/>
            <w:gridSpan w:val="2"/>
          </w:tcPr>
          <w:p>
            <w:pPr>
              <w:jc w:val="right"/>
              <w:spacing w:after="0"/>
              <w:rPr>
                <w:sz w:val="20"/>
                <w:szCs w:val="20"/>
                <w:color w:val="auto"/>
              </w:rPr>
            </w:pPr>
            <w:r>
              <w:rPr>
                <w:rFonts w:ascii="Arial" w:cs="Arial" w:eastAsia="Arial" w:hAnsi="Arial"/>
                <w:sz w:val="12"/>
                <w:szCs w:val="12"/>
                <w:color w:val="auto"/>
              </w:rPr>
              <w:t>4,950,401</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4,973,500</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60" w:type="dxa"/>
            <w:vAlign w:val="bottom"/>
            <w:shd w:val="clear" w:color="auto" w:fill="CFF0FC"/>
          </w:tcPr>
          <w:p>
            <w:pPr>
              <w:spacing w:after="0"/>
              <w:rPr>
                <w:sz w:val="20"/>
                <w:szCs w:val="20"/>
                <w:color w:val="auto"/>
              </w:rPr>
            </w:pPr>
            <w:r>
              <w:rPr>
                <w:rFonts w:ascii="Arial" w:cs="Arial" w:eastAsia="Arial" w:hAnsi="Arial"/>
                <w:sz w:val="12"/>
                <w:szCs w:val="12"/>
                <w:color w:val="auto"/>
              </w:rPr>
              <w:t>Triad Manufacturing, Inc.</w:t>
            </w:r>
          </w:p>
        </w:tc>
        <w:tc>
          <w:tcPr>
            <w:tcW w:w="720" w:type="dxa"/>
            <w:vAlign w:val="bottom"/>
            <w:gridSpan w:val="2"/>
            <w:shd w:val="clear" w:color="auto" w:fill="CFF0FC"/>
          </w:tcPr>
          <w:p>
            <w:pPr>
              <w:jc w:val="center"/>
              <w:ind w:left="42"/>
              <w:spacing w:after="0"/>
              <w:rPr>
                <w:sz w:val="20"/>
                <w:szCs w:val="20"/>
                <w:color w:val="auto"/>
              </w:rPr>
            </w:pPr>
            <w:r>
              <w:rPr>
                <w:rFonts w:ascii="Arial" w:cs="Arial" w:eastAsia="Arial" w:hAnsi="Arial"/>
                <w:sz w:val="12"/>
                <w:szCs w:val="12"/>
                <w:color w:val="auto"/>
                <w:w w:val="89"/>
              </w:rPr>
              <w:t>12/28/2020</w:t>
            </w:r>
          </w:p>
        </w:tc>
        <w:tc>
          <w:tcPr>
            <w:tcW w:w="120" w:type="dxa"/>
            <w:vAlign w:val="bottom"/>
            <w:shd w:val="clear" w:color="auto" w:fill="CFF0FC"/>
          </w:tcPr>
          <w:p>
            <w:pPr>
              <w:spacing w:after="0"/>
              <w:rPr>
                <w:sz w:val="12"/>
                <w:szCs w:val="12"/>
                <w:color w:val="auto"/>
              </w:rPr>
            </w:pPr>
          </w:p>
        </w:tc>
        <w:tc>
          <w:tcPr>
            <w:tcW w:w="2420" w:type="dxa"/>
            <w:vAlign w:val="bottom"/>
            <w:gridSpan w:val="2"/>
            <w:shd w:val="clear" w:color="auto" w:fill="CFF0FC"/>
          </w:tcPr>
          <w:p>
            <w:pPr>
              <w:jc w:val="center"/>
              <w:ind w:right="120"/>
              <w:spacing w:after="0"/>
              <w:rPr>
                <w:sz w:val="20"/>
                <w:szCs w:val="20"/>
                <w:color w:val="auto"/>
              </w:rPr>
            </w:pPr>
            <w:r>
              <w:rPr>
                <w:rFonts w:ascii="Arial" w:cs="Arial" w:eastAsia="Arial" w:hAnsi="Arial"/>
                <w:sz w:val="12"/>
                <w:szCs w:val="12"/>
                <w:color w:val="auto"/>
                <w:w w:val="87"/>
              </w:rPr>
              <w:t>Capital Equipment</w:t>
            </w:r>
          </w:p>
        </w:tc>
        <w:tc>
          <w:tcPr>
            <w:tcW w:w="74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13.05%</w:t>
            </w:r>
          </w:p>
        </w:tc>
        <w:tc>
          <w:tcPr>
            <w:tcW w:w="16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1M L+1,125</w:t>
            </w: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7,314,323</w:t>
            </w: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7,278,869</w:t>
            </w:r>
          </w:p>
        </w:tc>
        <w:tc>
          <w:tcPr>
            <w:tcW w:w="2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7,314,323</w:t>
            </w:r>
          </w:p>
        </w:tc>
        <w:tc>
          <w:tcPr>
            <w:tcW w:w="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60" w:type="dxa"/>
            <w:vAlign w:val="bottom"/>
          </w:tcPr>
          <w:p>
            <w:pPr>
              <w:spacing w:after="0"/>
              <w:rPr>
                <w:sz w:val="20"/>
                <w:szCs w:val="20"/>
                <w:color w:val="auto"/>
              </w:rPr>
            </w:pPr>
            <w:r>
              <w:rPr>
                <w:rFonts w:ascii="Arial" w:cs="Arial" w:eastAsia="Arial" w:hAnsi="Arial"/>
                <w:sz w:val="12"/>
                <w:szCs w:val="12"/>
                <w:color w:val="auto"/>
              </w:rPr>
              <w:t>TVC Enterprises, LLC</w:t>
            </w:r>
          </w:p>
        </w:tc>
        <w:tc>
          <w:tcPr>
            <w:tcW w:w="720" w:type="dxa"/>
            <w:vAlign w:val="bottom"/>
            <w:gridSpan w:val="2"/>
          </w:tcPr>
          <w:p>
            <w:pPr>
              <w:jc w:val="center"/>
              <w:ind w:left="42"/>
              <w:spacing w:after="0"/>
              <w:rPr>
                <w:sz w:val="20"/>
                <w:szCs w:val="20"/>
                <w:color w:val="auto"/>
              </w:rPr>
            </w:pPr>
            <w:r>
              <w:rPr>
                <w:rFonts w:ascii="Arial" w:cs="Arial" w:eastAsia="Arial" w:hAnsi="Arial"/>
                <w:sz w:val="12"/>
                <w:szCs w:val="12"/>
                <w:color w:val="auto"/>
                <w:w w:val="89"/>
              </w:rPr>
              <w:t>01/18/2024</w:t>
            </w:r>
          </w:p>
        </w:tc>
        <w:tc>
          <w:tcPr>
            <w:tcW w:w="120" w:type="dxa"/>
            <w:vAlign w:val="bottom"/>
          </w:tcPr>
          <w:p>
            <w:pPr>
              <w:spacing w:after="0"/>
              <w:rPr>
                <w:sz w:val="12"/>
                <w:szCs w:val="12"/>
                <w:color w:val="auto"/>
              </w:rPr>
            </w:pPr>
          </w:p>
        </w:tc>
        <w:tc>
          <w:tcPr>
            <w:tcW w:w="2420" w:type="dxa"/>
            <w:vAlign w:val="bottom"/>
            <w:gridSpan w:val="2"/>
          </w:tcPr>
          <w:p>
            <w:pPr>
              <w:jc w:val="center"/>
              <w:ind w:right="120"/>
              <w:spacing w:after="0"/>
              <w:rPr>
                <w:sz w:val="20"/>
                <w:szCs w:val="20"/>
                <w:color w:val="auto"/>
              </w:rPr>
            </w:pPr>
            <w:r>
              <w:rPr>
                <w:rFonts w:ascii="Arial" w:cs="Arial" w:eastAsia="Arial" w:hAnsi="Arial"/>
                <w:sz w:val="12"/>
                <w:szCs w:val="12"/>
                <w:color w:val="auto"/>
                <w:w w:val="88"/>
              </w:rPr>
              <w:t>Professional Services</w:t>
            </w:r>
          </w:p>
        </w:tc>
        <w:tc>
          <w:tcPr>
            <w:tcW w:w="740" w:type="dxa"/>
            <w:vAlign w:val="bottom"/>
            <w:gridSpan w:val="2"/>
          </w:tcPr>
          <w:p>
            <w:pPr>
              <w:jc w:val="right"/>
              <w:spacing w:after="0"/>
              <w:rPr>
                <w:sz w:val="20"/>
                <w:szCs w:val="20"/>
                <w:color w:val="auto"/>
              </w:rPr>
            </w:pPr>
            <w:r>
              <w:rPr>
                <w:rFonts w:ascii="Arial" w:cs="Arial" w:eastAsia="Arial" w:hAnsi="Arial"/>
                <w:sz w:val="12"/>
                <w:szCs w:val="12"/>
                <w:color w:val="auto"/>
              </w:rPr>
              <w:t>7.20%</w:t>
            </w:r>
          </w:p>
        </w:tc>
        <w:tc>
          <w:tcPr>
            <w:tcW w:w="16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1M L+550</w:t>
            </w:r>
          </w:p>
        </w:tc>
        <w:tc>
          <w:tcPr>
            <w:tcW w:w="920" w:type="dxa"/>
            <w:vAlign w:val="bottom"/>
            <w:gridSpan w:val="2"/>
          </w:tcPr>
          <w:p>
            <w:pPr>
              <w:jc w:val="right"/>
              <w:spacing w:after="0"/>
              <w:rPr>
                <w:sz w:val="20"/>
                <w:szCs w:val="20"/>
                <w:color w:val="auto"/>
              </w:rPr>
            </w:pPr>
            <w:r>
              <w:rPr>
                <w:rFonts w:ascii="Arial" w:cs="Arial" w:eastAsia="Arial" w:hAnsi="Arial"/>
                <w:sz w:val="12"/>
                <w:szCs w:val="12"/>
                <w:color w:val="auto"/>
              </w:rPr>
              <w:t>5,913,870</w:t>
            </w:r>
          </w:p>
        </w:tc>
        <w:tc>
          <w:tcPr>
            <w:tcW w:w="920" w:type="dxa"/>
            <w:vAlign w:val="bottom"/>
            <w:gridSpan w:val="2"/>
          </w:tcPr>
          <w:p>
            <w:pPr>
              <w:jc w:val="right"/>
              <w:spacing w:after="0"/>
              <w:rPr>
                <w:sz w:val="20"/>
                <w:szCs w:val="20"/>
                <w:color w:val="auto"/>
              </w:rPr>
            </w:pPr>
            <w:r>
              <w:rPr>
                <w:rFonts w:ascii="Arial" w:cs="Arial" w:eastAsia="Arial" w:hAnsi="Arial"/>
                <w:sz w:val="12"/>
                <w:szCs w:val="12"/>
                <w:color w:val="auto"/>
              </w:rPr>
              <w:t>5,814,454</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5,913,870</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60" w:type="dxa"/>
            <w:vAlign w:val="bottom"/>
            <w:shd w:val="clear" w:color="auto" w:fill="CFF0FC"/>
          </w:tcPr>
          <w:p>
            <w:pPr>
              <w:spacing w:after="0" w:line="149" w:lineRule="exact"/>
              <w:rPr>
                <w:sz w:val="20"/>
                <w:szCs w:val="20"/>
                <w:color w:val="auto"/>
              </w:rPr>
            </w:pPr>
            <w:r>
              <w:rPr>
                <w:rFonts w:ascii="Arial" w:cs="Arial" w:eastAsia="Arial" w:hAnsi="Arial"/>
                <w:sz w:val="11"/>
                <w:szCs w:val="11"/>
                <w:color w:val="auto"/>
              </w:rPr>
              <w:t xml:space="preserve">TVC Enterprises, LLC </w:t>
            </w:r>
            <w:r>
              <w:rPr>
                <w:rFonts w:ascii="Arial" w:cs="Arial" w:eastAsia="Arial" w:hAnsi="Arial"/>
                <w:sz w:val="17"/>
                <w:szCs w:val="17"/>
                <w:color w:val="auto"/>
                <w:vertAlign w:val="superscript"/>
              </w:rPr>
              <w:t>(7), (9)</w:t>
            </w:r>
          </w:p>
        </w:tc>
        <w:tc>
          <w:tcPr>
            <w:tcW w:w="720" w:type="dxa"/>
            <w:vAlign w:val="bottom"/>
            <w:gridSpan w:val="2"/>
            <w:shd w:val="clear" w:color="auto" w:fill="CFF0FC"/>
          </w:tcPr>
          <w:p>
            <w:pPr>
              <w:jc w:val="center"/>
              <w:ind w:left="42"/>
              <w:spacing w:after="0"/>
              <w:rPr>
                <w:sz w:val="20"/>
                <w:szCs w:val="20"/>
                <w:color w:val="auto"/>
              </w:rPr>
            </w:pPr>
            <w:r>
              <w:rPr>
                <w:rFonts w:ascii="Arial" w:cs="Arial" w:eastAsia="Arial" w:hAnsi="Arial"/>
                <w:sz w:val="12"/>
                <w:szCs w:val="12"/>
                <w:color w:val="auto"/>
                <w:w w:val="89"/>
              </w:rPr>
              <w:t>01/18/2024</w:t>
            </w:r>
          </w:p>
        </w:tc>
        <w:tc>
          <w:tcPr>
            <w:tcW w:w="120" w:type="dxa"/>
            <w:vAlign w:val="bottom"/>
            <w:shd w:val="clear" w:color="auto" w:fill="CFF0FC"/>
          </w:tcPr>
          <w:p>
            <w:pPr>
              <w:spacing w:after="0"/>
              <w:rPr>
                <w:sz w:val="12"/>
                <w:szCs w:val="12"/>
                <w:color w:val="auto"/>
              </w:rPr>
            </w:pPr>
          </w:p>
        </w:tc>
        <w:tc>
          <w:tcPr>
            <w:tcW w:w="2420" w:type="dxa"/>
            <w:vAlign w:val="bottom"/>
            <w:gridSpan w:val="2"/>
            <w:shd w:val="clear" w:color="auto" w:fill="CFF0FC"/>
          </w:tcPr>
          <w:p>
            <w:pPr>
              <w:jc w:val="center"/>
              <w:ind w:right="120"/>
              <w:spacing w:after="0"/>
              <w:rPr>
                <w:sz w:val="20"/>
                <w:szCs w:val="20"/>
                <w:color w:val="auto"/>
              </w:rPr>
            </w:pPr>
            <w:r>
              <w:rPr>
                <w:rFonts w:ascii="Arial" w:cs="Arial" w:eastAsia="Arial" w:hAnsi="Arial"/>
                <w:sz w:val="12"/>
                <w:szCs w:val="12"/>
                <w:color w:val="auto"/>
                <w:w w:val="88"/>
              </w:rPr>
              <w:t>Professional Services</w:t>
            </w:r>
          </w:p>
        </w:tc>
        <w:tc>
          <w:tcPr>
            <w:tcW w:w="74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w:t>
            </w:r>
          </w:p>
        </w:tc>
        <w:tc>
          <w:tcPr>
            <w:tcW w:w="16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1,955,719</w:t>
            </w:r>
          </w:p>
        </w:tc>
        <w:tc>
          <w:tcPr>
            <w:tcW w:w="20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00" w:type="dxa"/>
            <w:vAlign w:val="bottom"/>
            <w:gridSpan w:val="2"/>
            <w:shd w:val="clear" w:color="auto" w:fill="CFF0FC"/>
          </w:tcPr>
          <w:p>
            <w:pPr>
              <w:jc w:val="right"/>
              <w:ind w:right="1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8"/>
        </w:trPr>
        <w:tc>
          <w:tcPr>
            <w:tcW w:w="3560" w:type="dxa"/>
            <w:vAlign w:val="bottom"/>
          </w:tcPr>
          <w:p>
            <w:pPr>
              <w:spacing w:after="0" w:line="149" w:lineRule="exact"/>
              <w:rPr>
                <w:sz w:val="20"/>
                <w:szCs w:val="20"/>
                <w:color w:val="auto"/>
              </w:rPr>
            </w:pPr>
            <w:r>
              <w:rPr>
                <w:rFonts w:ascii="Arial" w:cs="Arial" w:eastAsia="Arial" w:hAnsi="Arial"/>
                <w:sz w:val="11"/>
                <w:szCs w:val="11"/>
                <w:color w:val="auto"/>
              </w:rPr>
              <w:t xml:space="preserve">TVC Enterprises, LLC (Revolver) </w:t>
            </w:r>
            <w:r>
              <w:rPr>
                <w:rFonts w:ascii="Arial" w:cs="Arial" w:eastAsia="Arial" w:hAnsi="Arial"/>
                <w:sz w:val="17"/>
                <w:szCs w:val="17"/>
                <w:color w:val="auto"/>
                <w:vertAlign w:val="superscript"/>
              </w:rPr>
              <w:t>(7)</w:t>
            </w:r>
          </w:p>
        </w:tc>
        <w:tc>
          <w:tcPr>
            <w:tcW w:w="720" w:type="dxa"/>
            <w:vAlign w:val="bottom"/>
            <w:gridSpan w:val="2"/>
          </w:tcPr>
          <w:p>
            <w:pPr>
              <w:jc w:val="center"/>
              <w:ind w:left="42"/>
              <w:spacing w:after="0"/>
              <w:rPr>
                <w:sz w:val="20"/>
                <w:szCs w:val="20"/>
                <w:color w:val="auto"/>
              </w:rPr>
            </w:pPr>
            <w:r>
              <w:rPr>
                <w:rFonts w:ascii="Arial" w:cs="Arial" w:eastAsia="Arial" w:hAnsi="Arial"/>
                <w:sz w:val="12"/>
                <w:szCs w:val="12"/>
                <w:color w:val="auto"/>
                <w:w w:val="89"/>
              </w:rPr>
              <w:t>01/18/2024</w:t>
            </w:r>
          </w:p>
        </w:tc>
        <w:tc>
          <w:tcPr>
            <w:tcW w:w="120" w:type="dxa"/>
            <w:vAlign w:val="bottom"/>
          </w:tcPr>
          <w:p>
            <w:pPr>
              <w:spacing w:after="0"/>
              <w:rPr>
                <w:sz w:val="12"/>
                <w:szCs w:val="12"/>
                <w:color w:val="auto"/>
              </w:rPr>
            </w:pPr>
          </w:p>
        </w:tc>
        <w:tc>
          <w:tcPr>
            <w:tcW w:w="2420" w:type="dxa"/>
            <w:vAlign w:val="bottom"/>
            <w:gridSpan w:val="2"/>
          </w:tcPr>
          <w:p>
            <w:pPr>
              <w:jc w:val="center"/>
              <w:ind w:right="120"/>
              <w:spacing w:after="0"/>
              <w:rPr>
                <w:sz w:val="20"/>
                <w:szCs w:val="20"/>
                <w:color w:val="auto"/>
              </w:rPr>
            </w:pPr>
            <w:r>
              <w:rPr>
                <w:rFonts w:ascii="Arial" w:cs="Arial" w:eastAsia="Arial" w:hAnsi="Arial"/>
                <w:sz w:val="12"/>
                <w:szCs w:val="12"/>
                <w:color w:val="auto"/>
                <w:w w:val="88"/>
              </w:rPr>
              <w:t>Professional Services</w:t>
            </w:r>
          </w:p>
        </w:tc>
        <w:tc>
          <w:tcPr>
            <w:tcW w:w="740" w:type="dxa"/>
            <w:vAlign w:val="bottom"/>
            <w:gridSpan w:val="2"/>
          </w:tcPr>
          <w:p>
            <w:pPr>
              <w:jc w:val="right"/>
              <w:spacing w:after="0"/>
              <w:rPr>
                <w:sz w:val="20"/>
                <w:szCs w:val="20"/>
                <w:color w:val="auto"/>
              </w:rPr>
            </w:pPr>
            <w:r>
              <w:rPr>
                <w:rFonts w:ascii="Arial" w:cs="Arial" w:eastAsia="Arial" w:hAnsi="Arial"/>
                <w:sz w:val="12"/>
                <w:szCs w:val="12"/>
                <w:color w:val="auto"/>
              </w:rPr>
              <w:t>8.01%</w:t>
            </w:r>
          </w:p>
        </w:tc>
        <w:tc>
          <w:tcPr>
            <w:tcW w:w="16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1M L+550</w:t>
            </w:r>
          </w:p>
        </w:tc>
        <w:tc>
          <w:tcPr>
            <w:tcW w:w="920" w:type="dxa"/>
            <w:vAlign w:val="bottom"/>
            <w:gridSpan w:val="2"/>
          </w:tcPr>
          <w:p>
            <w:pPr>
              <w:jc w:val="right"/>
              <w:spacing w:after="0"/>
              <w:rPr>
                <w:sz w:val="20"/>
                <w:szCs w:val="20"/>
                <w:color w:val="auto"/>
              </w:rPr>
            </w:pPr>
            <w:r>
              <w:rPr>
                <w:rFonts w:ascii="Arial" w:cs="Arial" w:eastAsia="Arial" w:hAnsi="Arial"/>
                <w:sz w:val="12"/>
                <w:szCs w:val="12"/>
                <w:color w:val="auto"/>
              </w:rPr>
              <w:t>733,273</w:t>
            </w:r>
          </w:p>
        </w:tc>
        <w:tc>
          <w:tcPr>
            <w:tcW w:w="920" w:type="dxa"/>
            <w:vAlign w:val="bottom"/>
            <w:gridSpan w:val="2"/>
          </w:tcPr>
          <w:p>
            <w:pPr>
              <w:jc w:val="right"/>
              <w:spacing w:after="0"/>
              <w:rPr>
                <w:sz w:val="20"/>
                <w:szCs w:val="20"/>
                <w:color w:val="auto"/>
              </w:rPr>
            </w:pPr>
            <w:r>
              <w:rPr>
                <w:rFonts w:ascii="Arial" w:cs="Arial" w:eastAsia="Arial" w:hAnsi="Arial"/>
                <w:sz w:val="12"/>
                <w:szCs w:val="12"/>
                <w:color w:val="auto"/>
              </w:rPr>
              <w:t>733,273</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733,273</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60" w:type="dxa"/>
            <w:vAlign w:val="bottom"/>
            <w:shd w:val="clear" w:color="auto" w:fill="CFF0FC"/>
          </w:tcPr>
          <w:p>
            <w:pPr>
              <w:spacing w:after="0" w:line="149" w:lineRule="exact"/>
              <w:rPr>
                <w:sz w:val="20"/>
                <w:szCs w:val="20"/>
                <w:color w:val="auto"/>
              </w:rPr>
            </w:pPr>
            <w:r>
              <w:rPr>
                <w:rFonts w:ascii="Arial" w:cs="Arial" w:eastAsia="Arial" w:hAnsi="Arial"/>
                <w:sz w:val="11"/>
                <w:szCs w:val="11"/>
                <w:color w:val="auto"/>
              </w:rPr>
              <w:t xml:space="preserve">TVC Enterprises, LLC (Revolver) </w:t>
            </w:r>
            <w:r>
              <w:rPr>
                <w:rFonts w:ascii="Arial" w:cs="Arial" w:eastAsia="Arial" w:hAnsi="Arial"/>
                <w:sz w:val="17"/>
                <w:szCs w:val="17"/>
                <w:color w:val="auto"/>
                <w:vertAlign w:val="superscript"/>
              </w:rPr>
              <w:t>(7), (9)</w:t>
            </w:r>
          </w:p>
        </w:tc>
        <w:tc>
          <w:tcPr>
            <w:tcW w:w="720" w:type="dxa"/>
            <w:vAlign w:val="bottom"/>
            <w:gridSpan w:val="2"/>
            <w:shd w:val="clear" w:color="auto" w:fill="CFF0FC"/>
          </w:tcPr>
          <w:p>
            <w:pPr>
              <w:jc w:val="center"/>
              <w:ind w:left="42"/>
              <w:spacing w:after="0"/>
              <w:rPr>
                <w:sz w:val="20"/>
                <w:szCs w:val="20"/>
                <w:color w:val="auto"/>
              </w:rPr>
            </w:pPr>
            <w:r>
              <w:rPr>
                <w:rFonts w:ascii="Arial" w:cs="Arial" w:eastAsia="Arial" w:hAnsi="Arial"/>
                <w:sz w:val="12"/>
                <w:szCs w:val="12"/>
                <w:color w:val="auto"/>
                <w:w w:val="89"/>
              </w:rPr>
              <w:t>01/18/2024</w:t>
            </w:r>
          </w:p>
        </w:tc>
        <w:tc>
          <w:tcPr>
            <w:tcW w:w="120" w:type="dxa"/>
            <w:vAlign w:val="bottom"/>
            <w:shd w:val="clear" w:color="auto" w:fill="CFF0FC"/>
          </w:tcPr>
          <w:p>
            <w:pPr>
              <w:spacing w:after="0"/>
              <w:rPr>
                <w:sz w:val="12"/>
                <w:szCs w:val="12"/>
                <w:color w:val="auto"/>
              </w:rPr>
            </w:pPr>
          </w:p>
        </w:tc>
        <w:tc>
          <w:tcPr>
            <w:tcW w:w="2420" w:type="dxa"/>
            <w:vAlign w:val="bottom"/>
            <w:gridSpan w:val="2"/>
            <w:shd w:val="clear" w:color="auto" w:fill="CFF0FC"/>
          </w:tcPr>
          <w:p>
            <w:pPr>
              <w:jc w:val="center"/>
              <w:ind w:right="120"/>
              <w:spacing w:after="0"/>
              <w:rPr>
                <w:sz w:val="20"/>
                <w:szCs w:val="20"/>
                <w:color w:val="auto"/>
              </w:rPr>
            </w:pPr>
            <w:r>
              <w:rPr>
                <w:rFonts w:ascii="Arial" w:cs="Arial" w:eastAsia="Arial" w:hAnsi="Arial"/>
                <w:sz w:val="12"/>
                <w:szCs w:val="12"/>
                <w:color w:val="auto"/>
                <w:w w:val="88"/>
              </w:rPr>
              <w:t>Professional Services</w:t>
            </w:r>
          </w:p>
        </w:tc>
        <w:tc>
          <w:tcPr>
            <w:tcW w:w="74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w:t>
            </w:r>
          </w:p>
        </w:tc>
        <w:tc>
          <w:tcPr>
            <w:tcW w:w="16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570,539</w:t>
            </w:r>
          </w:p>
        </w:tc>
        <w:tc>
          <w:tcPr>
            <w:tcW w:w="20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00" w:type="dxa"/>
            <w:vAlign w:val="bottom"/>
            <w:gridSpan w:val="2"/>
            <w:shd w:val="clear" w:color="auto" w:fill="CFF0FC"/>
          </w:tcPr>
          <w:p>
            <w:pPr>
              <w:jc w:val="right"/>
              <w:ind w:right="1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bl>
    <w:p>
      <w:pPr>
        <w:spacing w:after="0" w:line="242" w:lineRule="exact"/>
        <w:rPr>
          <w:sz w:val="20"/>
          <w:szCs w:val="20"/>
          <w:color w:val="auto"/>
        </w:rPr>
      </w:pPr>
    </w:p>
    <w:p>
      <w:pPr>
        <w:jc w:val="center"/>
        <w:ind w:right="100"/>
        <w:spacing w:after="0"/>
        <w:rPr>
          <w:sz w:val="20"/>
          <w:szCs w:val="20"/>
          <w:color w:val="auto"/>
        </w:rPr>
      </w:pPr>
      <w:r>
        <w:rPr>
          <w:rFonts w:ascii="Arial" w:cs="Arial" w:eastAsia="Arial" w:hAnsi="Arial"/>
          <w:sz w:val="13"/>
          <w:szCs w:val="13"/>
          <w:color w:val="auto"/>
        </w:rPr>
        <w:t>SEE NOTES TO CONSOLIDATED FINANCIAL STATEMENTS</w:t>
      </w:r>
    </w:p>
    <w:p>
      <w:pPr>
        <w:sectPr>
          <w:pgSz w:w="11900" w:h="16838" w:orient="portrait"/>
          <w:cols w:equalWidth="0" w:num="1">
            <w:col w:w="11340"/>
          </w:cols>
          <w:pgMar w:left="320" w:top="127" w:right="239" w:bottom="1440" w:gutter="0" w:footer="0" w:header="0"/>
        </w:sectPr>
      </w:pPr>
    </w:p>
    <w:p>
      <w:pPr>
        <w:spacing w:after="0" w:line="53" w:lineRule="exact"/>
        <w:rPr>
          <w:sz w:val="20"/>
          <w:szCs w:val="20"/>
          <w:color w:val="auto"/>
        </w:rPr>
      </w:pPr>
    </w:p>
    <w:p>
      <w:pPr>
        <w:jc w:val="center"/>
        <w:ind w:right="80"/>
        <w:spacing w:after="0"/>
        <w:rPr>
          <w:sz w:val="20"/>
          <w:szCs w:val="20"/>
          <w:color w:val="auto"/>
        </w:rPr>
      </w:pPr>
      <w:r>
        <w:rPr>
          <w:rFonts w:ascii="Arial" w:cs="Arial" w:eastAsia="Arial" w:hAnsi="Arial"/>
          <w:sz w:val="10"/>
          <w:szCs w:val="10"/>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90170</wp:posOffset>
            </wp:positionV>
            <wp:extent cx="714946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340"/>
          </w:cols>
          <w:pgMar w:left="320" w:top="127" w:right="239" w:bottom="1440" w:gutter="0" w:footer="0" w:header="0"/>
          <w:type w:val="continuous"/>
        </w:sectPr>
      </w:pPr>
    </w:p>
    <w:bookmarkStart w:id="9" w:name="page10"/>
    <w:bookmarkEnd w:id="9"/>
    <w:p>
      <w:pPr>
        <w:jc w:val="center"/>
        <w:ind w:right="60"/>
        <w:spacing w:after="0"/>
        <w:rPr>
          <w:sz w:val="20"/>
          <w:szCs w:val="20"/>
          <w:color w:val="auto"/>
        </w:rPr>
      </w:pPr>
      <w:r>
        <w:rPr>
          <w:rFonts w:ascii="Arial" w:cs="Arial" w:eastAsia="Arial" w:hAnsi="Arial"/>
          <w:sz w:val="14"/>
          <w:szCs w:val="14"/>
          <w:b w:val="1"/>
          <w:bCs w:val="1"/>
          <w:color w:val="auto"/>
        </w:rPr>
        <w:t>PENNANTPARK FLOATING RATE CAPITAL LTD. AND SUBSIDIARIES</w:t>
      </w:r>
    </w:p>
    <w:p>
      <w:pPr>
        <w:jc w:val="center"/>
        <w:ind w:right="60"/>
        <w:spacing w:after="0" w:line="225" w:lineRule="auto"/>
        <w:rPr>
          <w:sz w:val="20"/>
          <w:szCs w:val="20"/>
          <w:color w:val="auto"/>
        </w:rPr>
      </w:pPr>
      <w:r>
        <w:rPr>
          <w:rFonts w:ascii="Arial" w:cs="Arial" w:eastAsia="Arial" w:hAnsi="Arial"/>
          <w:sz w:val="14"/>
          <w:szCs w:val="14"/>
          <w:b w:val="1"/>
          <w:bCs w:val="1"/>
          <w:color w:val="auto"/>
        </w:rPr>
        <w:t>CONSOLIDATED SCHEDULE OF INVESTMENTS—(Continued)</w:t>
      </w:r>
    </w:p>
    <w:p>
      <w:pPr>
        <w:jc w:val="center"/>
        <w:ind w:right="60"/>
        <w:spacing w:after="0" w:line="221" w:lineRule="auto"/>
        <w:rPr>
          <w:sz w:val="20"/>
          <w:szCs w:val="20"/>
          <w:color w:val="auto"/>
        </w:rPr>
      </w:pPr>
      <w:r>
        <w:rPr>
          <w:rFonts w:ascii="Arial" w:cs="Arial" w:eastAsia="Arial" w:hAnsi="Arial"/>
          <w:sz w:val="14"/>
          <w:szCs w:val="14"/>
          <w:b w:val="1"/>
          <w:bCs w:val="1"/>
          <w:color w:val="auto"/>
        </w:rPr>
        <w:t>DECEMBER 31, 2019</w:t>
      </w:r>
    </w:p>
    <w:p>
      <w:pPr>
        <w:spacing w:after="0" w:line="1" w:lineRule="exact"/>
        <w:rPr>
          <w:sz w:val="20"/>
          <w:szCs w:val="20"/>
          <w:color w:val="auto"/>
        </w:rPr>
      </w:pPr>
    </w:p>
    <w:p>
      <w:pPr>
        <w:jc w:val="center"/>
        <w:ind w:right="60"/>
        <w:spacing w:after="0"/>
        <w:rPr>
          <w:sz w:val="20"/>
          <w:szCs w:val="20"/>
          <w:color w:val="auto"/>
        </w:rPr>
      </w:pPr>
      <w:r>
        <w:rPr>
          <w:rFonts w:ascii="Arial" w:cs="Arial" w:eastAsia="Arial" w:hAnsi="Arial"/>
          <w:sz w:val="14"/>
          <w:szCs w:val="14"/>
          <w:b w:val="1"/>
          <w:bCs w:val="1"/>
          <w:color w:val="auto"/>
        </w:rPr>
        <w:t>(Unaudited)</w:t>
      </w:r>
    </w:p>
    <w:tbl>
      <w:tblPr>
        <w:tblLayout w:type="fixed"/>
        <w:tblInd w:w="0" w:type="dxa"/>
        <w:tblCellMar>
          <w:top w:w="0" w:type="dxa"/>
          <w:left w:w="0" w:type="dxa"/>
          <w:bottom w:w="0" w:type="dxa"/>
          <w:right w:w="0" w:type="dxa"/>
        </w:tblCellMar>
      </w:tblPr>
      <w:tr>
        <w:trPr>
          <w:trHeight w:val="135"/>
        </w:trPr>
        <w:tc>
          <w:tcPr>
            <w:tcW w:w="3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00" w:type="dxa"/>
            <w:vAlign w:val="bottom"/>
            <w:gridSpan w:val="2"/>
          </w:tcPr>
          <w:p>
            <w:pPr>
              <w:jc w:val="center"/>
              <w:ind w:right="180"/>
              <w:spacing w:after="0" w:line="135" w:lineRule="exact"/>
              <w:rPr>
                <w:sz w:val="20"/>
                <w:szCs w:val="20"/>
                <w:color w:val="auto"/>
              </w:rPr>
            </w:pPr>
            <w:r>
              <w:rPr>
                <w:rFonts w:ascii="Arial" w:cs="Arial" w:eastAsia="Arial" w:hAnsi="Arial"/>
                <w:sz w:val="12"/>
                <w:szCs w:val="12"/>
                <w:b w:val="1"/>
                <w:bCs w:val="1"/>
                <w:color w:val="auto"/>
                <w:w w:val="85"/>
              </w:rPr>
              <w:t>Basis Point</w:t>
            </w: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00" w:type="dxa"/>
            <w:vAlign w:val="bottom"/>
            <w:gridSpan w:val="2"/>
          </w:tcPr>
          <w:p>
            <w:pPr>
              <w:jc w:val="center"/>
              <w:ind w:right="180"/>
              <w:spacing w:after="0" w:line="135" w:lineRule="exact"/>
              <w:rPr>
                <w:sz w:val="20"/>
                <w:szCs w:val="20"/>
                <w:color w:val="auto"/>
              </w:rPr>
            </w:pPr>
            <w:r>
              <w:rPr>
                <w:rFonts w:ascii="Arial" w:cs="Arial" w:eastAsia="Arial" w:hAnsi="Arial"/>
                <w:sz w:val="12"/>
                <w:szCs w:val="12"/>
                <w:b w:val="1"/>
                <w:bCs w:val="1"/>
                <w:color w:val="auto"/>
                <w:w w:val="88"/>
              </w:rPr>
              <w:t>Spread</w:t>
            </w: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3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gridSpan w:val="2"/>
          </w:tcPr>
          <w:p>
            <w:pPr>
              <w:jc w:val="right"/>
              <w:ind w:right="342"/>
              <w:spacing w:after="0" w:line="126" w:lineRule="exact"/>
              <w:rPr>
                <w:sz w:val="20"/>
                <w:szCs w:val="20"/>
                <w:color w:val="auto"/>
              </w:rPr>
            </w:pPr>
            <w:r>
              <w:rPr>
                <w:rFonts w:ascii="Arial" w:cs="Arial" w:eastAsia="Arial" w:hAnsi="Arial"/>
                <w:sz w:val="12"/>
                <w:szCs w:val="12"/>
                <w:b w:val="1"/>
                <w:bCs w:val="1"/>
                <w:color w:val="auto"/>
              </w:rPr>
              <w:t>Current</w:t>
            </w:r>
          </w:p>
        </w:tc>
        <w:tc>
          <w:tcPr>
            <w:tcW w:w="900" w:type="dxa"/>
            <w:vAlign w:val="bottom"/>
            <w:gridSpan w:val="2"/>
          </w:tcPr>
          <w:p>
            <w:pPr>
              <w:jc w:val="center"/>
              <w:ind w:right="180"/>
              <w:spacing w:after="0" w:line="126" w:lineRule="exact"/>
              <w:rPr>
                <w:sz w:val="20"/>
                <w:szCs w:val="20"/>
                <w:color w:val="auto"/>
              </w:rPr>
            </w:pPr>
            <w:r>
              <w:rPr>
                <w:rFonts w:ascii="Arial" w:cs="Arial" w:eastAsia="Arial" w:hAnsi="Arial"/>
                <w:sz w:val="12"/>
                <w:szCs w:val="12"/>
                <w:b w:val="1"/>
                <w:bCs w:val="1"/>
                <w:color w:val="auto"/>
                <w:w w:val="87"/>
              </w:rPr>
              <w:t>Above</w:t>
            </w:r>
          </w:p>
        </w:tc>
        <w:tc>
          <w:tcPr>
            <w:tcW w:w="680" w:type="dxa"/>
            <w:vAlign w:val="bottom"/>
          </w:tcPr>
          <w:p>
            <w:pPr>
              <w:jc w:val="right"/>
              <w:ind w:right="162"/>
              <w:spacing w:after="0" w:line="126" w:lineRule="exact"/>
              <w:rPr>
                <w:sz w:val="20"/>
                <w:szCs w:val="20"/>
                <w:color w:val="auto"/>
              </w:rPr>
            </w:pPr>
            <w:r>
              <w:rPr>
                <w:rFonts w:ascii="Arial" w:cs="Arial" w:eastAsia="Arial" w:hAnsi="Arial"/>
                <w:sz w:val="12"/>
                <w:szCs w:val="12"/>
                <w:b w:val="1"/>
                <w:bCs w:val="1"/>
                <w:color w:val="auto"/>
              </w:rPr>
              <w:t>Par /</w:t>
            </w: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354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rPr>
              <w:t>Issuer Name</w:t>
            </w:r>
          </w:p>
        </w:tc>
        <w:tc>
          <w:tcPr>
            <w:tcW w:w="100" w:type="dxa"/>
            <w:vAlign w:val="bottom"/>
            <w:tcBorders>
              <w:bottom w:val="single" w:sz="8" w:color="CCECFF"/>
            </w:tcBorders>
          </w:tcPr>
          <w:p>
            <w:pPr>
              <w:spacing w:after="0"/>
              <w:rPr>
                <w:sz w:val="13"/>
                <w:szCs w:val="13"/>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8"/>
              </w:rPr>
              <w:t>Maturity</w:t>
            </w:r>
          </w:p>
        </w:tc>
        <w:tc>
          <w:tcPr>
            <w:tcW w:w="160" w:type="dxa"/>
            <w:vAlign w:val="bottom"/>
            <w:tcBorders>
              <w:bottom w:val="single" w:sz="8" w:color="CCECFF"/>
            </w:tcBorders>
          </w:tcPr>
          <w:p>
            <w:pPr>
              <w:spacing w:after="0"/>
              <w:rPr>
                <w:sz w:val="13"/>
                <w:szCs w:val="13"/>
                <w:color w:val="auto"/>
              </w:rPr>
            </w:pPr>
          </w:p>
        </w:tc>
        <w:tc>
          <w:tcPr>
            <w:tcW w:w="232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2"/>
              </w:rPr>
              <w:t>Industry</w:t>
            </w:r>
          </w:p>
        </w:tc>
        <w:tc>
          <w:tcPr>
            <w:tcW w:w="100" w:type="dxa"/>
            <w:vAlign w:val="bottom"/>
            <w:tcBorders>
              <w:bottom w:val="single" w:sz="8" w:color="CCECFF"/>
            </w:tcBorders>
          </w:tcPr>
          <w:p>
            <w:pPr>
              <w:spacing w:after="0"/>
              <w:rPr>
                <w:sz w:val="13"/>
                <w:szCs w:val="13"/>
                <w:color w:val="auto"/>
              </w:rPr>
            </w:pPr>
          </w:p>
        </w:tc>
        <w:tc>
          <w:tcPr>
            <w:tcW w:w="660" w:type="dxa"/>
            <w:vAlign w:val="bottom"/>
            <w:tcBorders>
              <w:bottom w:val="single" w:sz="8" w:color="auto"/>
            </w:tcBorders>
          </w:tcPr>
          <w:p>
            <w:pPr>
              <w:jc w:val="right"/>
              <w:ind w:right="82"/>
              <w:spacing w:after="0"/>
              <w:rPr>
                <w:sz w:val="20"/>
                <w:szCs w:val="20"/>
                <w:color w:val="auto"/>
              </w:rPr>
            </w:pPr>
            <w:r>
              <w:rPr>
                <w:rFonts w:ascii="Arial" w:cs="Arial" w:eastAsia="Arial" w:hAnsi="Arial"/>
                <w:sz w:val="12"/>
                <w:szCs w:val="12"/>
                <w:b w:val="1"/>
                <w:bCs w:val="1"/>
                <w:color w:val="auto"/>
              </w:rPr>
              <w:t>Coupon</w:t>
            </w:r>
          </w:p>
        </w:tc>
        <w:tc>
          <w:tcPr>
            <w:tcW w:w="260" w:type="dxa"/>
            <w:vAlign w:val="bottom"/>
            <w:tcBorders>
              <w:bottom w:val="single" w:sz="8" w:color="CCECFF"/>
            </w:tcBorders>
          </w:tcPr>
          <w:p>
            <w:pPr>
              <w:spacing w:after="0"/>
              <w:rPr>
                <w:sz w:val="13"/>
                <w:szCs w:val="13"/>
                <w:color w:val="auto"/>
              </w:rPr>
            </w:pPr>
          </w:p>
        </w:tc>
        <w:tc>
          <w:tcPr>
            <w:tcW w:w="740" w:type="dxa"/>
            <w:vAlign w:val="bottom"/>
            <w:tcBorders>
              <w:bottom w:val="single" w:sz="8" w:color="auto"/>
            </w:tcBorders>
          </w:tcPr>
          <w:p>
            <w:pPr>
              <w:jc w:val="center"/>
              <w:spacing w:after="0" w:line="153" w:lineRule="exact"/>
              <w:rPr>
                <w:sz w:val="20"/>
                <w:szCs w:val="20"/>
                <w:color w:val="auto"/>
              </w:rPr>
            </w:pPr>
            <w:r>
              <w:rPr>
                <w:rFonts w:ascii="Arial" w:cs="Arial" w:eastAsia="Arial" w:hAnsi="Arial"/>
                <w:sz w:val="11"/>
                <w:szCs w:val="11"/>
                <w:b w:val="1"/>
                <w:bCs w:val="1"/>
                <w:color w:val="auto"/>
                <w:w w:val="96"/>
              </w:rPr>
              <w:t xml:space="preserve">Index </w:t>
            </w:r>
            <w:r>
              <w:rPr>
                <w:rFonts w:ascii="Arial" w:cs="Arial" w:eastAsia="Arial" w:hAnsi="Arial"/>
                <w:sz w:val="17"/>
                <w:szCs w:val="17"/>
                <w:b w:val="1"/>
                <w:bCs w:val="1"/>
                <w:color w:val="auto"/>
                <w:w w:val="96"/>
                <w:vertAlign w:val="superscript"/>
              </w:rPr>
              <w:t>(1)</w:t>
            </w:r>
          </w:p>
        </w:tc>
        <w:tc>
          <w:tcPr>
            <w:tcW w:w="160" w:type="dxa"/>
            <w:vAlign w:val="bottom"/>
            <w:tcBorders>
              <w:bottom w:val="single" w:sz="8" w:color="CCECFF"/>
            </w:tcBorders>
          </w:tcPr>
          <w:p>
            <w:pPr>
              <w:spacing w:after="0"/>
              <w:rPr>
                <w:sz w:val="13"/>
                <w:szCs w:val="13"/>
                <w:color w:val="auto"/>
              </w:rPr>
            </w:pPr>
          </w:p>
        </w:tc>
        <w:tc>
          <w:tcPr>
            <w:tcW w:w="680" w:type="dxa"/>
            <w:vAlign w:val="bottom"/>
            <w:tcBorders>
              <w:bottom w:val="single" w:sz="8" w:color="auto"/>
            </w:tcBorders>
          </w:tcPr>
          <w:p>
            <w:pPr>
              <w:jc w:val="right"/>
              <w:ind w:right="122"/>
              <w:spacing w:after="0"/>
              <w:rPr>
                <w:sz w:val="20"/>
                <w:szCs w:val="20"/>
                <w:color w:val="auto"/>
              </w:rPr>
            </w:pPr>
            <w:r>
              <w:rPr>
                <w:rFonts w:ascii="Arial" w:cs="Arial" w:eastAsia="Arial" w:hAnsi="Arial"/>
                <w:sz w:val="12"/>
                <w:szCs w:val="12"/>
                <w:b w:val="1"/>
                <w:bCs w:val="1"/>
                <w:color w:val="auto"/>
              </w:rPr>
              <w:t>Shares</w:t>
            </w:r>
          </w:p>
        </w:tc>
        <w:tc>
          <w:tcPr>
            <w:tcW w:w="180" w:type="dxa"/>
            <w:vAlign w:val="bottom"/>
            <w:tcBorders>
              <w:bottom w:val="single" w:sz="8" w:color="CCEC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222"/>
              <w:spacing w:after="0"/>
              <w:rPr>
                <w:sz w:val="20"/>
                <w:szCs w:val="20"/>
                <w:color w:val="auto"/>
              </w:rPr>
            </w:pPr>
            <w:r>
              <w:rPr>
                <w:rFonts w:ascii="Arial" w:cs="Arial" w:eastAsia="Arial" w:hAnsi="Arial"/>
                <w:sz w:val="12"/>
                <w:szCs w:val="12"/>
                <w:b w:val="1"/>
                <w:bCs w:val="1"/>
                <w:color w:val="auto"/>
              </w:rPr>
              <w:t>Cost</w:t>
            </w:r>
          </w:p>
        </w:tc>
        <w:tc>
          <w:tcPr>
            <w:tcW w:w="160" w:type="dxa"/>
            <w:vAlign w:val="bottom"/>
            <w:tcBorders>
              <w:bottom w:val="single" w:sz="8" w:color="CCECFF"/>
            </w:tcBorders>
          </w:tcPr>
          <w:p>
            <w:pPr>
              <w:spacing w:after="0"/>
              <w:rPr>
                <w:sz w:val="13"/>
                <w:szCs w:val="13"/>
                <w:color w:val="auto"/>
              </w:rPr>
            </w:pPr>
          </w:p>
        </w:tc>
        <w:tc>
          <w:tcPr>
            <w:tcW w:w="800" w:type="dxa"/>
            <w:vAlign w:val="bottom"/>
            <w:tcBorders>
              <w:bottom w:val="single" w:sz="8" w:color="auto"/>
            </w:tcBorders>
            <w:gridSpan w:val="2"/>
          </w:tcPr>
          <w:p>
            <w:pPr>
              <w:jc w:val="right"/>
              <w:ind w:right="22"/>
              <w:spacing w:after="0" w:line="153" w:lineRule="exact"/>
              <w:rPr>
                <w:sz w:val="20"/>
                <w:szCs w:val="20"/>
                <w:color w:val="auto"/>
              </w:rPr>
            </w:pPr>
            <w:r>
              <w:rPr>
                <w:rFonts w:ascii="Arial" w:cs="Arial" w:eastAsia="Arial" w:hAnsi="Arial"/>
                <w:sz w:val="11"/>
                <w:szCs w:val="11"/>
                <w:b w:val="1"/>
                <w:bCs w:val="1"/>
                <w:color w:val="auto"/>
              </w:rPr>
              <w:t xml:space="preserve">Fair Value </w:t>
            </w:r>
            <w:r>
              <w:rPr>
                <w:rFonts w:ascii="Arial" w:cs="Arial" w:eastAsia="Arial" w:hAnsi="Arial"/>
                <w:sz w:val="17"/>
                <w:szCs w:val="17"/>
                <w:b w:val="1"/>
                <w:bCs w:val="1"/>
                <w:color w:val="auto"/>
                <w:vertAlign w:val="superscript"/>
              </w:rPr>
              <w:t>(2)</w:t>
            </w:r>
          </w:p>
        </w:tc>
        <w:tc>
          <w:tcPr>
            <w:tcW w:w="80" w:type="dxa"/>
            <w:vAlign w:val="bottom"/>
            <w:tcBorders>
              <w:bottom w:val="single" w:sz="8" w:color="CCECFF"/>
            </w:tcBorders>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3540" w:type="dxa"/>
            <w:vAlign w:val="bottom"/>
            <w:shd w:val="clear" w:color="auto" w:fill="CCECFF"/>
          </w:tcPr>
          <w:p>
            <w:pPr>
              <w:spacing w:after="0"/>
              <w:rPr>
                <w:sz w:val="20"/>
                <w:szCs w:val="20"/>
                <w:color w:val="auto"/>
              </w:rPr>
            </w:pPr>
            <w:r>
              <w:rPr>
                <w:rFonts w:ascii="Arial" w:cs="Arial" w:eastAsia="Arial" w:hAnsi="Arial"/>
                <w:sz w:val="12"/>
                <w:szCs w:val="12"/>
                <w:color w:val="auto"/>
              </w:rPr>
              <w:t>TWS Acquisition Corporation</w:t>
            </w:r>
          </w:p>
        </w:tc>
        <w:tc>
          <w:tcPr>
            <w:tcW w:w="700" w:type="dxa"/>
            <w:vAlign w:val="bottom"/>
            <w:gridSpan w:val="2"/>
            <w:shd w:val="clear" w:color="auto" w:fill="CCECFF"/>
          </w:tcPr>
          <w:p>
            <w:pPr>
              <w:jc w:val="center"/>
              <w:ind w:left="22"/>
              <w:spacing w:after="0"/>
              <w:rPr>
                <w:sz w:val="20"/>
                <w:szCs w:val="20"/>
                <w:color w:val="auto"/>
              </w:rPr>
            </w:pPr>
            <w:r>
              <w:rPr>
                <w:rFonts w:ascii="Arial" w:cs="Arial" w:eastAsia="Arial" w:hAnsi="Arial"/>
                <w:sz w:val="12"/>
                <w:szCs w:val="12"/>
                <w:color w:val="auto"/>
                <w:w w:val="89"/>
              </w:rPr>
              <w:t>06/16/2025</w:t>
            </w:r>
          </w:p>
        </w:tc>
        <w:tc>
          <w:tcPr>
            <w:tcW w:w="160" w:type="dxa"/>
            <w:vAlign w:val="bottom"/>
            <w:shd w:val="clear" w:color="auto" w:fill="CCECFF"/>
          </w:tcPr>
          <w:p>
            <w:pPr>
              <w:spacing w:after="0"/>
              <w:rPr>
                <w:sz w:val="12"/>
                <w:szCs w:val="12"/>
                <w:color w:val="auto"/>
              </w:rPr>
            </w:pPr>
          </w:p>
        </w:tc>
        <w:tc>
          <w:tcPr>
            <w:tcW w:w="2420" w:type="dxa"/>
            <w:vAlign w:val="bottom"/>
            <w:gridSpan w:val="2"/>
            <w:shd w:val="clear" w:color="auto" w:fill="CCECFF"/>
          </w:tcPr>
          <w:p>
            <w:pPr>
              <w:jc w:val="center"/>
              <w:ind w:right="120"/>
              <w:spacing w:after="0"/>
              <w:rPr>
                <w:sz w:val="20"/>
                <w:szCs w:val="20"/>
                <w:color w:val="auto"/>
              </w:rPr>
            </w:pPr>
            <w:r>
              <w:rPr>
                <w:rFonts w:ascii="Arial" w:cs="Arial" w:eastAsia="Arial" w:hAnsi="Arial"/>
                <w:sz w:val="12"/>
                <w:szCs w:val="12"/>
                <w:color w:val="auto"/>
                <w:w w:val="88"/>
              </w:rPr>
              <w:t>Diversified Consumer Services</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7.99</w:t>
            </w:r>
          </w:p>
        </w:tc>
        <w:tc>
          <w:tcPr>
            <w:tcW w:w="260" w:type="dxa"/>
            <w:vAlign w:val="bottom"/>
            <w:shd w:val="clear" w:color="auto" w:fill="CCECFF"/>
          </w:tcPr>
          <w:p>
            <w:pPr>
              <w:jc w:val="right"/>
              <w:ind w:right="102"/>
              <w:spacing w:after="0" w:line="136" w:lineRule="exact"/>
              <w:rPr>
                <w:sz w:val="20"/>
                <w:szCs w:val="20"/>
                <w:color w:val="auto"/>
              </w:rPr>
            </w:pPr>
            <w:r>
              <w:rPr>
                <w:rFonts w:ascii="Arial" w:cs="Arial" w:eastAsia="Arial" w:hAnsi="Arial"/>
                <w:sz w:val="12"/>
                <w:szCs w:val="12"/>
                <w:color w:val="auto"/>
                <w:w w:val="74"/>
              </w:rPr>
              <w:t>%</w:t>
            </w:r>
          </w:p>
        </w:tc>
        <w:tc>
          <w:tcPr>
            <w:tcW w:w="90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1M L+625</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7,075,000</w:t>
            </w:r>
          </w:p>
        </w:tc>
        <w:tc>
          <w:tcPr>
            <w:tcW w:w="280" w:type="dxa"/>
            <w:vAlign w:val="bottom"/>
            <w:gridSpan w:val="2"/>
            <w:shd w:val="clear" w:color="auto" w:fill="CCECFF"/>
          </w:tcPr>
          <w:p>
            <w:pPr>
              <w:jc w:val="right"/>
              <w:ind w:right="40"/>
              <w:spacing w:after="0"/>
              <w:rPr>
                <w:sz w:val="20"/>
                <w:szCs w:val="20"/>
                <w:color w:val="auto"/>
              </w:rPr>
            </w:pPr>
            <w:r>
              <w:rPr>
                <w:rFonts w:ascii="Arial" w:cs="Arial" w:eastAsia="Arial" w:hAnsi="Arial"/>
                <w:sz w:val="12"/>
                <w:szCs w:val="12"/>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6,910,632</w:t>
            </w:r>
          </w:p>
        </w:tc>
        <w:tc>
          <w:tcPr>
            <w:tcW w:w="160" w:type="dxa"/>
            <w:vAlign w:val="bottom"/>
            <w:shd w:val="clear" w:color="auto" w:fill="CCECFF"/>
          </w:tcPr>
          <w:p>
            <w:pPr>
              <w:spacing w:after="0"/>
              <w:rPr>
                <w:sz w:val="12"/>
                <w:szCs w:val="12"/>
                <w:color w:val="auto"/>
              </w:rPr>
            </w:pPr>
          </w:p>
        </w:tc>
        <w:tc>
          <w:tcPr>
            <w:tcW w:w="140" w:type="dxa"/>
            <w:vAlign w:val="bottom"/>
            <w:shd w:val="clear" w:color="auto" w:fill="CCECFF"/>
          </w:tcPr>
          <w:p>
            <w:pPr>
              <w:jc w:val="right"/>
              <w:ind w:right="30"/>
              <w:spacing w:after="0"/>
              <w:rPr>
                <w:sz w:val="20"/>
                <w:szCs w:val="20"/>
                <w:color w:val="auto"/>
              </w:rPr>
            </w:pPr>
            <w:r>
              <w:rPr>
                <w:rFonts w:ascii="Arial" w:cs="Arial" w:eastAsia="Arial" w:hAnsi="Arial"/>
                <w:sz w:val="9"/>
                <w:szCs w:val="9"/>
                <w:color w:val="auto"/>
                <w:w w:val="78"/>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7,075,000</w:t>
            </w:r>
          </w:p>
        </w:tc>
        <w:tc>
          <w:tcPr>
            <w:tcW w:w="8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540" w:type="dxa"/>
            <w:vAlign w:val="bottom"/>
          </w:tcPr>
          <w:p>
            <w:pPr>
              <w:spacing w:after="0" w:line="149" w:lineRule="exact"/>
              <w:rPr>
                <w:sz w:val="20"/>
                <w:szCs w:val="20"/>
                <w:color w:val="auto"/>
              </w:rPr>
            </w:pPr>
            <w:r>
              <w:rPr>
                <w:rFonts w:ascii="Arial" w:cs="Arial" w:eastAsia="Arial" w:hAnsi="Arial"/>
                <w:sz w:val="11"/>
                <w:szCs w:val="11"/>
                <w:color w:val="auto"/>
              </w:rPr>
              <w:t xml:space="preserve">TWS Acquisition Corporation (Revolver) </w:t>
            </w:r>
            <w:r>
              <w:rPr>
                <w:rFonts w:ascii="Arial" w:cs="Arial" w:eastAsia="Arial" w:hAnsi="Arial"/>
                <w:sz w:val="17"/>
                <w:szCs w:val="17"/>
                <w:color w:val="auto"/>
                <w:vertAlign w:val="superscript"/>
              </w:rPr>
              <w:t>(7)</w:t>
            </w:r>
          </w:p>
        </w:tc>
        <w:tc>
          <w:tcPr>
            <w:tcW w:w="700" w:type="dxa"/>
            <w:vAlign w:val="bottom"/>
            <w:gridSpan w:val="2"/>
          </w:tcPr>
          <w:p>
            <w:pPr>
              <w:jc w:val="center"/>
              <w:ind w:left="22"/>
              <w:spacing w:after="0"/>
              <w:rPr>
                <w:sz w:val="20"/>
                <w:szCs w:val="20"/>
                <w:color w:val="auto"/>
              </w:rPr>
            </w:pPr>
            <w:r>
              <w:rPr>
                <w:rFonts w:ascii="Arial" w:cs="Arial" w:eastAsia="Arial" w:hAnsi="Arial"/>
                <w:sz w:val="12"/>
                <w:szCs w:val="12"/>
                <w:color w:val="auto"/>
                <w:w w:val="89"/>
              </w:rPr>
              <w:t>06/16/2025</w:t>
            </w:r>
          </w:p>
        </w:tc>
        <w:tc>
          <w:tcPr>
            <w:tcW w:w="160" w:type="dxa"/>
            <w:vAlign w:val="bottom"/>
          </w:tcPr>
          <w:p>
            <w:pPr>
              <w:spacing w:after="0"/>
              <w:rPr>
                <w:sz w:val="12"/>
                <w:szCs w:val="12"/>
                <w:color w:val="auto"/>
              </w:rPr>
            </w:pPr>
          </w:p>
        </w:tc>
        <w:tc>
          <w:tcPr>
            <w:tcW w:w="2420" w:type="dxa"/>
            <w:vAlign w:val="bottom"/>
            <w:gridSpan w:val="2"/>
          </w:tcPr>
          <w:p>
            <w:pPr>
              <w:jc w:val="center"/>
              <w:ind w:right="120"/>
              <w:spacing w:after="0"/>
              <w:rPr>
                <w:sz w:val="20"/>
                <w:szCs w:val="20"/>
                <w:color w:val="auto"/>
              </w:rPr>
            </w:pPr>
            <w:r>
              <w:rPr>
                <w:rFonts w:ascii="Arial" w:cs="Arial" w:eastAsia="Arial" w:hAnsi="Arial"/>
                <w:sz w:val="12"/>
                <w:szCs w:val="12"/>
                <w:color w:val="auto"/>
                <w:w w:val="88"/>
              </w:rPr>
              <w:t>Diversified Consumer Services</w:t>
            </w:r>
          </w:p>
        </w:tc>
        <w:tc>
          <w:tcPr>
            <w:tcW w:w="920" w:type="dxa"/>
            <w:vAlign w:val="bottom"/>
            <w:gridSpan w:val="2"/>
          </w:tcPr>
          <w:p>
            <w:pPr>
              <w:jc w:val="right"/>
              <w:ind w:right="102"/>
              <w:spacing w:after="0"/>
              <w:rPr>
                <w:sz w:val="20"/>
                <w:szCs w:val="20"/>
                <w:color w:val="auto"/>
              </w:rPr>
            </w:pPr>
            <w:r>
              <w:rPr>
                <w:rFonts w:ascii="Arial" w:cs="Arial" w:eastAsia="Arial" w:hAnsi="Arial"/>
                <w:sz w:val="12"/>
                <w:szCs w:val="12"/>
                <w:color w:val="auto"/>
              </w:rPr>
              <w:t>7.99%</w:t>
            </w:r>
          </w:p>
        </w:tc>
        <w:tc>
          <w:tcPr>
            <w:tcW w:w="900" w:type="dxa"/>
            <w:vAlign w:val="bottom"/>
            <w:gridSpan w:val="2"/>
          </w:tcPr>
          <w:p>
            <w:pPr>
              <w:jc w:val="right"/>
              <w:ind w:right="180"/>
              <w:spacing w:after="0"/>
              <w:rPr>
                <w:sz w:val="20"/>
                <w:szCs w:val="20"/>
                <w:color w:val="auto"/>
              </w:rPr>
            </w:pPr>
            <w:r>
              <w:rPr>
                <w:rFonts w:ascii="Arial" w:cs="Arial" w:eastAsia="Arial" w:hAnsi="Arial"/>
                <w:sz w:val="12"/>
                <w:szCs w:val="12"/>
                <w:color w:val="auto"/>
              </w:rPr>
              <w:t>1M L+625</w:t>
            </w:r>
          </w:p>
        </w:tc>
        <w:tc>
          <w:tcPr>
            <w:tcW w:w="680" w:type="dxa"/>
            <w:vAlign w:val="bottom"/>
          </w:tcPr>
          <w:p>
            <w:pPr>
              <w:jc w:val="right"/>
              <w:spacing w:after="0"/>
              <w:rPr>
                <w:sz w:val="20"/>
                <w:szCs w:val="20"/>
                <w:color w:val="auto"/>
              </w:rPr>
            </w:pPr>
            <w:r>
              <w:rPr>
                <w:rFonts w:ascii="Arial" w:cs="Arial" w:eastAsia="Arial" w:hAnsi="Arial"/>
                <w:sz w:val="12"/>
                <w:szCs w:val="12"/>
                <w:color w:val="auto"/>
              </w:rPr>
              <w:t>808,571</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808,571</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808,571</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540" w:type="dxa"/>
            <w:vAlign w:val="bottom"/>
            <w:shd w:val="clear" w:color="auto" w:fill="CCECFF"/>
          </w:tcPr>
          <w:p>
            <w:pPr>
              <w:spacing w:after="0" w:line="149" w:lineRule="exact"/>
              <w:rPr>
                <w:sz w:val="20"/>
                <w:szCs w:val="20"/>
                <w:color w:val="auto"/>
              </w:rPr>
            </w:pPr>
            <w:r>
              <w:rPr>
                <w:rFonts w:ascii="Arial" w:cs="Arial" w:eastAsia="Arial" w:hAnsi="Arial"/>
                <w:sz w:val="11"/>
                <w:szCs w:val="11"/>
                <w:color w:val="auto"/>
              </w:rPr>
              <w:t xml:space="preserve">TWS Acquisition Corporation (Revolver) </w:t>
            </w:r>
            <w:r>
              <w:rPr>
                <w:rFonts w:ascii="Arial" w:cs="Arial" w:eastAsia="Arial" w:hAnsi="Arial"/>
                <w:sz w:val="17"/>
                <w:szCs w:val="17"/>
                <w:color w:val="auto"/>
                <w:vertAlign w:val="superscript"/>
              </w:rPr>
              <w:t>(7), (9)</w:t>
            </w:r>
          </w:p>
        </w:tc>
        <w:tc>
          <w:tcPr>
            <w:tcW w:w="700" w:type="dxa"/>
            <w:vAlign w:val="bottom"/>
            <w:gridSpan w:val="2"/>
            <w:shd w:val="clear" w:color="auto" w:fill="CCECFF"/>
          </w:tcPr>
          <w:p>
            <w:pPr>
              <w:jc w:val="center"/>
              <w:ind w:left="22"/>
              <w:spacing w:after="0"/>
              <w:rPr>
                <w:sz w:val="20"/>
                <w:szCs w:val="20"/>
                <w:color w:val="auto"/>
              </w:rPr>
            </w:pPr>
            <w:r>
              <w:rPr>
                <w:rFonts w:ascii="Arial" w:cs="Arial" w:eastAsia="Arial" w:hAnsi="Arial"/>
                <w:sz w:val="12"/>
                <w:szCs w:val="12"/>
                <w:color w:val="auto"/>
                <w:w w:val="89"/>
              </w:rPr>
              <w:t>06/16/2025</w:t>
            </w:r>
          </w:p>
        </w:tc>
        <w:tc>
          <w:tcPr>
            <w:tcW w:w="160" w:type="dxa"/>
            <w:vAlign w:val="bottom"/>
            <w:shd w:val="clear" w:color="auto" w:fill="CCECFF"/>
          </w:tcPr>
          <w:p>
            <w:pPr>
              <w:spacing w:after="0"/>
              <w:rPr>
                <w:sz w:val="12"/>
                <w:szCs w:val="12"/>
                <w:color w:val="auto"/>
              </w:rPr>
            </w:pPr>
          </w:p>
        </w:tc>
        <w:tc>
          <w:tcPr>
            <w:tcW w:w="2420" w:type="dxa"/>
            <w:vAlign w:val="bottom"/>
            <w:gridSpan w:val="2"/>
            <w:shd w:val="clear" w:color="auto" w:fill="CCECFF"/>
          </w:tcPr>
          <w:p>
            <w:pPr>
              <w:jc w:val="center"/>
              <w:ind w:right="120"/>
              <w:spacing w:after="0"/>
              <w:rPr>
                <w:sz w:val="20"/>
                <w:szCs w:val="20"/>
                <w:color w:val="auto"/>
              </w:rPr>
            </w:pPr>
            <w:r>
              <w:rPr>
                <w:rFonts w:ascii="Arial" w:cs="Arial" w:eastAsia="Arial" w:hAnsi="Arial"/>
                <w:sz w:val="12"/>
                <w:szCs w:val="12"/>
                <w:color w:val="auto"/>
                <w:w w:val="88"/>
              </w:rPr>
              <w:t>Diversified Consumer Services</w:t>
            </w:r>
          </w:p>
        </w:tc>
        <w:tc>
          <w:tcPr>
            <w:tcW w:w="920" w:type="dxa"/>
            <w:vAlign w:val="bottom"/>
            <w:gridSpan w:val="2"/>
            <w:shd w:val="clear" w:color="auto" w:fill="CCECFF"/>
          </w:tcPr>
          <w:p>
            <w:pPr>
              <w:jc w:val="right"/>
              <w:ind w:right="202"/>
              <w:spacing w:after="0"/>
              <w:rPr>
                <w:sz w:val="20"/>
                <w:szCs w:val="20"/>
                <w:color w:val="auto"/>
              </w:rPr>
            </w:pPr>
            <w:r>
              <w:rPr>
                <w:rFonts w:ascii="Arial" w:cs="Arial" w:eastAsia="Arial" w:hAnsi="Arial"/>
                <w:sz w:val="12"/>
                <w:szCs w:val="12"/>
                <w:color w:val="auto"/>
              </w:rPr>
              <w:t>—</w:t>
            </w:r>
          </w:p>
        </w:tc>
        <w:tc>
          <w:tcPr>
            <w:tcW w:w="90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1,819,286</w:t>
            </w:r>
          </w:p>
        </w:tc>
        <w:tc>
          <w:tcPr>
            <w:tcW w:w="18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82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CFF"/>
          </w:tcPr>
          <w:p>
            <w:pPr>
              <w:spacing w:after="0"/>
              <w:rPr>
                <w:sz w:val="12"/>
                <w:szCs w:val="12"/>
                <w:color w:val="auto"/>
              </w:rPr>
            </w:pPr>
          </w:p>
        </w:tc>
        <w:tc>
          <w:tcPr>
            <w:tcW w:w="740" w:type="dxa"/>
            <w:vAlign w:val="bottom"/>
            <w:gridSpan w:val="2"/>
            <w:shd w:val="clear" w:color="auto" w:fill="CCECFF"/>
          </w:tcPr>
          <w:p>
            <w:pPr>
              <w:jc w:val="right"/>
              <w:ind w:right="1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8"/>
        </w:trPr>
        <w:tc>
          <w:tcPr>
            <w:tcW w:w="3540" w:type="dxa"/>
            <w:vAlign w:val="bottom"/>
          </w:tcPr>
          <w:p>
            <w:pPr>
              <w:spacing w:after="0"/>
              <w:rPr>
                <w:sz w:val="20"/>
                <w:szCs w:val="20"/>
                <w:color w:val="auto"/>
              </w:rPr>
            </w:pPr>
            <w:r>
              <w:rPr>
                <w:rFonts w:ascii="Arial" w:cs="Arial" w:eastAsia="Arial" w:hAnsi="Arial"/>
                <w:sz w:val="12"/>
                <w:szCs w:val="12"/>
                <w:color w:val="auto"/>
              </w:rPr>
              <w:t>Tyto Athene, LLC</w:t>
            </w:r>
          </w:p>
        </w:tc>
        <w:tc>
          <w:tcPr>
            <w:tcW w:w="700" w:type="dxa"/>
            <w:vAlign w:val="bottom"/>
            <w:gridSpan w:val="2"/>
          </w:tcPr>
          <w:p>
            <w:pPr>
              <w:jc w:val="center"/>
              <w:ind w:left="22"/>
              <w:spacing w:after="0"/>
              <w:rPr>
                <w:sz w:val="20"/>
                <w:szCs w:val="20"/>
                <w:color w:val="auto"/>
              </w:rPr>
            </w:pPr>
            <w:r>
              <w:rPr>
                <w:rFonts w:ascii="Arial" w:cs="Arial" w:eastAsia="Arial" w:hAnsi="Arial"/>
                <w:sz w:val="12"/>
                <w:szCs w:val="12"/>
                <w:color w:val="auto"/>
                <w:w w:val="89"/>
              </w:rPr>
              <w:t>08/27/2024</w:t>
            </w:r>
          </w:p>
        </w:tc>
        <w:tc>
          <w:tcPr>
            <w:tcW w:w="160" w:type="dxa"/>
            <w:vAlign w:val="bottom"/>
          </w:tcPr>
          <w:p>
            <w:pPr>
              <w:spacing w:after="0"/>
              <w:rPr>
                <w:sz w:val="12"/>
                <w:szCs w:val="12"/>
                <w:color w:val="auto"/>
              </w:rPr>
            </w:pPr>
          </w:p>
        </w:tc>
        <w:tc>
          <w:tcPr>
            <w:tcW w:w="2420" w:type="dxa"/>
            <w:vAlign w:val="bottom"/>
            <w:gridSpan w:val="2"/>
          </w:tcPr>
          <w:p>
            <w:pPr>
              <w:jc w:val="center"/>
              <w:ind w:right="120"/>
              <w:spacing w:after="0"/>
              <w:rPr>
                <w:sz w:val="20"/>
                <w:szCs w:val="20"/>
                <w:color w:val="auto"/>
              </w:rPr>
            </w:pPr>
            <w:r>
              <w:rPr>
                <w:rFonts w:ascii="Arial" w:cs="Arial" w:eastAsia="Arial" w:hAnsi="Arial"/>
                <w:sz w:val="12"/>
                <w:szCs w:val="12"/>
                <w:color w:val="auto"/>
                <w:w w:val="85"/>
              </w:rPr>
              <w:t>Aerospace and Defense</w:t>
            </w:r>
          </w:p>
        </w:tc>
        <w:tc>
          <w:tcPr>
            <w:tcW w:w="920" w:type="dxa"/>
            <w:vAlign w:val="bottom"/>
            <w:gridSpan w:val="2"/>
          </w:tcPr>
          <w:p>
            <w:pPr>
              <w:jc w:val="right"/>
              <w:ind w:right="102"/>
              <w:spacing w:after="0"/>
              <w:rPr>
                <w:sz w:val="20"/>
                <w:szCs w:val="20"/>
                <w:color w:val="auto"/>
              </w:rPr>
            </w:pPr>
            <w:r>
              <w:rPr>
                <w:rFonts w:ascii="Arial" w:cs="Arial" w:eastAsia="Arial" w:hAnsi="Arial"/>
                <w:sz w:val="12"/>
                <w:szCs w:val="12"/>
                <w:color w:val="auto"/>
              </w:rPr>
              <w:t>7.55%</w:t>
            </w:r>
          </w:p>
        </w:tc>
        <w:tc>
          <w:tcPr>
            <w:tcW w:w="900" w:type="dxa"/>
            <w:vAlign w:val="bottom"/>
            <w:gridSpan w:val="2"/>
          </w:tcPr>
          <w:p>
            <w:pPr>
              <w:jc w:val="right"/>
              <w:ind w:right="180"/>
              <w:spacing w:after="0"/>
              <w:rPr>
                <w:sz w:val="20"/>
                <w:szCs w:val="20"/>
                <w:color w:val="auto"/>
              </w:rPr>
            </w:pPr>
            <w:r>
              <w:rPr>
                <w:rFonts w:ascii="Arial" w:cs="Arial" w:eastAsia="Arial" w:hAnsi="Arial"/>
                <w:sz w:val="12"/>
                <w:szCs w:val="12"/>
                <w:color w:val="auto"/>
              </w:rPr>
              <w:t>1M L+575</w:t>
            </w:r>
          </w:p>
        </w:tc>
        <w:tc>
          <w:tcPr>
            <w:tcW w:w="680" w:type="dxa"/>
            <w:vAlign w:val="bottom"/>
          </w:tcPr>
          <w:p>
            <w:pPr>
              <w:jc w:val="right"/>
              <w:spacing w:after="0"/>
              <w:rPr>
                <w:sz w:val="20"/>
                <w:szCs w:val="20"/>
                <w:color w:val="auto"/>
              </w:rPr>
            </w:pPr>
            <w:r>
              <w:rPr>
                <w:rFonts w:ascii="Arial" w:cs="Arial" w:eastAsia="Arial" w:hAnsi="Arial"/>
                <w:sz w:val="12"/>
                <w:szCs w:val="12"/>
                <w:color w:val="auto"/>
              </w:rPr>
              <w:t>17,954,637</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17,725,805</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17,306,475</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40" w:type="dxa"/>
            <w:vAlign w:val="bottom"/>
            <w:shd w:val="clear" w:color="auto" w:fill="CCECFF"/>
          </w:tcPr>
          <w:p>
            <w:pPr>
              <w:spacing w:after="0" w:line="149" w:lineRule="exact"/>
              <w:rPr>
                <w:sz w:val="20"/>
                <w:szCs w:val="20"/>
                <w:color w:val="auto"/>
              </w:rPr>
            </w:pPr>
            <w:r>
              <w:rPr>
                <w:rFonts w:ascii="Arial" w:cs="Arial" w:eastAsia="Arial" w:hAnsi="Arial"/>
                <w:sz w:val="11"/>
                <w:szCs w:val="11"/>
                <w:color w:val="auto"/>
              </w:rPr>
              <w:t xml:space="preserve">Tyto Athene, LLC (Revolver) </w:t>
            </w:r>
            <w:r>
              <w:rPr>
                <w:rFonts w:ascii="Arial" w:cs="Arial" w:eastAsia="Arial" w:hAnsi="Arial"/>
                <w:sz w:val="17"/>
                <w:szCs w:val="17"/>
                <w:color w:val="auto"/>
                <w:vertAlign w:val="superscript"/>
              </w:rPr>
              <w:t>(7)</w:t>
            </w:r>
          </w:p>
        </w:tc>
        <w:tc>
          <w:tcPr>
            <w:tcW w:w="700" w:type="dxa"/>
            <w:vAlign w:val="bottom"/>
            <w:gridSpan w:val="2"/>
            <w:shd w:val="clear" w:color="auto" w:fill="CCECFF"/>
          </w:tcPr>
          <w:p>
            <w:pPr>
              <w:jc w:val="center"/>
              <w:ind w:left="22"/>
              <w:spacing w:after="0"/>
              <w:rPr>
                <w:sz w:val="20"/>
                <w:szCs w:val="20"/>
                <w:color w:val="auto"/>
              </w:rPr>
            </w:pPr>
            <w:r>
              <w:rPr>
                <w:rFonts w:ascii="Arial" w:cs="Arial" w:eastAsia="Arial" w:hAnsi="Arial"/>
                <w:sz w:val="12"/>
                <w:szCs w:val="12"/>
                <w:color w:val="auto"/>
                <w:w w:val="89"/>
              </w:rPr>
              <w:t>08/27/2024</w:t>
            </w:r>
          </w:p>
        </w:tc>
        <w:tc>
          <w:tcPr>
            <w:tcW w:w="160" w:type="dxa"/>
            <w:vAlign w:val="bottom"/>
            <w:shd w:val="clear" w:color="auto" w:fill="CCECFF"/>
          </w:tcPr>
          <w:p>
            <w:pPr>
              <w:spacing w:after="0"/>
              <w:rPr>
                <w:sz w:val="12"/>
                <w:szCs w:val="12"/>
                <w:color w:val="auto"/>
              </w:rPr>
            </w:pPr>
          </w:p>
        </w:tc>
        <w:tc>
          <w:tcPr>
            <w:tcW w:w="2420" w:type="dxa"/>
            <w:vAlign w:val="bottom"/>
            <w:gridSpan w:val="2"/>
            <w:shd w:val="clear" w:color="auto" w:fill="CCECFF"/>
          </w:tcPr>
          <w:p>
            <w:pPr>
              <w:jc w:val="center"/>
              <w:ind w:right="120"/>
              <w:spacing w:after="0"/>
              <w:rPr>
                <w:sz w:val="20"/>
                <w:szCs w:val="20"/>
                <w:color w:val="auto"/>
              </w:rPr>
            </w:pPr>
            <w:r>
              <w:rPr>
                <w:rFonts w:ascii="Arial" w:cs="Arial" w:eastAsia="Arial" w:hAnsi="Arial"/>
                <w:sz w:val="12"/>
                <w:szCs w:val="12"/>
                <w:color w:val="auto"/>
                <w:w w:val="85"/>
              </w:rPr>
              <w:t>Aerospace and Defense</w:t>
            </w:r>
          </w:p>
        </w:tc>
        <w:tc>
          <w:tcPr>
            <w:tcW w:w="920" w:type="dxa"/>
            <w:vAlign w:val="bottom"/>
            <w:gridSpan w:val="2"/>
            <w:shd w:val="clear" w:color="auto" w:fill="CCECFF"/>
          </w:tcPr>
          <w:p>
            <w:pPr>
              <w:jc w:val="right"/>
              <w:ind w:right="102"/>
              <w:spacing w:after="0"/>
              <w:rPr>
                <w:sz w:val="20"/>
                <w:szCs w:val="20"/>
                <w:color w:val="auto"/>
              </w:rPr>
            </w:pPr>
            <w:r>
              <w:rPr>
                <w:rFonts w:ascii="Arial" w:cs="Arial" w:eastAsia="Arial" w:hAnsi="Arial"/>
                <w:sz w:val="12"/>
                <w:szCs w:val="12"/>
                <w:color w:val="auto"/>
              </w:rPr>
              <w:t>7.55%</w:t>
            </w:r>
          </w:p>
        </w:tc>
        <w:tc>
          <w:tcPr>
            <w:tcW w:w="90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1M L+575</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4,011,364</w:t>
            </w:r>
          </w:p>
        </w:tc>
        <w:tc>
          <w:tcPr>
            <w:tcW w:w="18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4,011,364</w:t>
            </w:r>
          </w:p>
        </w:tc>
        <w:tc>
          <w:tcPr>
            <w:tcW w:w="16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3,866,553</w:t>
            </w:r>
          </w:p>
        </w:tc>
        <w:tc>
          <w:tcPr>
            <w:tcW w:w="8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540" w:type="dxa"/>
            <w:vAlign w:val="bottom"/>
          </w:tcPr>
          <w:p>
            <w:pPr>
              <w:spacing w:after="0" w:line="149" w:lineRule="exact"/>
              <w:rPr>
                <w:sz w:val="20"/>
                <w:szCs w:val="20"/>
                <w:color w:val="auto"/>
              </w:rPr>
            </w:pPr>
            <w:r>
              <w:rPr>
                <w:rFonts w:ascii="Arial" w:cs="Arial" w:eastAsia="Arial" w:hAnsi="Arial"/>
                <w:sz w:val="11"/>
                <w:szCs w:val="11"/>
                <w:color w:val="auto"/>
              </w:rPr>
              <w:t xml:space="preserve">Tyto Athene, LLC (Revolver) </w:t>
            </w:r>
            <w:r>
              <w:rPr>
                <w:rFonts w:ascii="Arial" w:cs="Arial" w:eastAsia="Arial" w:hAnsi="Arial"/>
                <w:sz w:val="17"/>
                <w:szCs w:val="17"/>
                <w:color w:val="auto"/>
                <w:vertAlign w:val="superscript"/>
              </w:rPr>
              <w:t>(7), (9)</w:t>
            </w:r>
          </w:p>
        </w:tc>
        <w:tc>
          <w:tcPr>
            <w:tcW w:w="700" w:type="dxa"/>
            <w:vAlign w:val="bottom"/>
            <w:gridSpan w:val="2"/>
          </w:tcPr>
          <w:p>
            <w:pPr>
              <w:jc w:val="center"/>
              <w:ind w:left="22"/>
              <w:spacing w:after="0"/>
              <w:rPr>
                <w:sz w:val="20"/>
                <w:szCs w:val="20"/>
                <w:color w:val="auto"/>
              </w:rPr>
            </w:pPr>
            <w:r>
              <w:rPr>
                <w:rFonts w:ascii="Arial" w:cs="Arial" w:eastAsia="Arial" w:hAnsi="Arial"/>
                <w:sz w:val="12"/>
                <w:szCs w:val="12"/>
                <w:color w:val="auto"/>
                <w:w w:val="89"/>
              </w:rPr>
              <w:t>08/27/2024</w:t>
            </w:r>
          </w:p>
        </w:tc>
        <w:tc>
          <w:tcPr>
            <w:tcW w:w="160" w:type="dxa"/>
            <w:vAlign w:val="bottom"/>
          </w:tcPr>
          <w:p>
            <w:pPr>
              <w:spacing w:after="0"/>
              <w:rPr>
                <w:sz w:val="12"/>
                <w:szCs w:val="12"/>
                <w:color w:val="auto"/>
              </w:rPr>
            </w:pPr>
          </w:p>
        </w:tc>
        <w:tc>
          <w:tcPr>
            <w:tcW w:w="2420" w:type="dxa"/>
            <w:vAlign w:val="bottom"/>
            <w:gridSpan w:val="2"/>
          </w:tcPr>
          <w:p>
            <w:pPr>
              <w:jc w:val="center"/>
              <w:ind w:right="120"/>
              <w:spacing w:after="0"/>
              <w:rPr>
                <w:sz w:val="20"/>
                <w:szCs w:val="20"/>
                <w:color w:val="auto"/>
              </w:rPr>
            </w:pPr>
            <w:r>
              <w:rPr>
                <w:rFonts w:ascii="Arial" w:cs="Arial" w:eastAsia="Arial" w:hAnsi="Arial"/>
                <w:sz w:val="12"/>
                <w:szCs w:val="12"/>
                <w:color w:val="auto"/>
                <w:w w:val="85"/>
              </w:rPr>
              <w:t>Aerospace and Defense</w:t>
            </w:r>
          </w:p>
        </w:tc>
        <w:tc>
          <w:tcPr>
            <w:tcW w:w="920" w:type="dxa"/>
            <w:vAlign w:val="bottom"/>
            <w:gridSpan w:val="2"/>
          </w:tcPr>
          <w:p>
            <w:pPr>
              <w:jc w:val="right"/>
              <w:ind w:right="202"/>
              <w:spacing w:after="0"/>
              <w:rPr>
                <w:sz w:val="20"/>
                <w:szCs w:val="20"/>
                <w:color w:val="auto"/>
              </w:rPr>
            </w:pPr>
            <w:r>
              <w:rPr>
                <w:rFonts w:ascii="Arial" w:cs="Arial" w:eastAsia="Arial" w:hAnsi="Arial"/>
                <w:sz w:val="12"/>
                <w:szCs w:val="12"/>
                <w:color w:val="auto"/>
              </w:rPr>
              <w:t>—</w:t>
            </w:r>
          </w:p>
        </w:tc>
        <w:tc>
          <w:tcPr>
            <w:tcW w:w="90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2,806,818</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2"/>
                <w:szCs w:val="12"/>
                <w:color w:val="auto"/>
              </w:rPr>
              <w:t>(101,326)</w:t>
            </w:r>
          </w:p>
        </w:tc>
        <w:tc>
          <w:tcPr>
            <w:tcW w:w="0" w:type="dxa"/>
            <w:vAlign w:val="bottom"/>
          </w:tcPr>
          <w:p>
            <w:pPr>
              <w:spacing w:after="0"/>
              <w:rPr>
                <w:sz w:val="1"/>
                <w:szCs w:val="1"/>
                <w:color w:val="auto"/>
              </w:rPr>
            </w:pPr>
          </w:p>
        </w:tc>
      </w:tr>
      <w:tr>
        <w:trPr>
          <w:trHeight w:val="148"/>
        </w:trPr>
        <w:tc>
          <w:tcPr>
            <w:tcW w:w="3540" w:type="dxa"/>
            <w:vAlign w:val="bottom"/>
            <w:shd w:val="clear" w:color="auto" w:fill="CCECFF"/>
          </w:tcPr>
          <w:p>
            <w:pPr>
              <w:spacing w:after="0"/>
              <w:rPr>
                <w:sz w:val="20"/>
                <w:szCs w:val="20"/>
                <w:color w:val="auto"/>
              </w:rPr>
            </w:pPr>
            <w:r>
              <w:rPr>
                <w:rFonts w:ascii="Arial" w:cs="Arial" w:eastAsia="Arial" w:hAnsi="Arial"/>
                <w:sz w:val="12"/>
                <w:szCs w:val="12"/>
                <w:color w:val="auto"/>
              </w:rPr>
              <w:t>UBEO, LLC</w:t>
            </w:r>
          </w:p>
        </w:tc>
        <w:tc>
          <w:tcPr>
            <w:tcW w:w="700" w:type="dxa"/>
            <w:vAlign w:val="bottom"/>
            <w:gridSpan w:val="2"/>
            <w:shd w:val="clear" w:color="auto" w:fill="CCECFF"/>
          </w:tcPr>
          <w:p>
            <w:pPr>
              <w:jc w:val="center"/>
              <w:ind w:left="22"/>
              <w:spacing w:after="0"/>
              <w:rPr>
                <w:sz w:val="20"/>
                <w:szCs w:val="20"/>
                <w:color w:val="auto"/>
              </w:rPr>
            </w:pPr>
            <w:r>
              <w:rPr>
                <w:rFonts w:ascii="Arial" w:cs="Arial" w:eastAsia="Arial" w:hAnsi="Arial"/>
                <w:sz w:val="12"/>
                <w:szCs w:val="12"/>
                <w:color w:val="auto"/>
                <w:w w:val="89"/>
              </w:rPr>
              <w:t>04/03/2024</w:t>
            </w:r>
          </w:p>
        </w:tc>
        <w:tc>
          <w:tcPr>
            <w:tcW w:w="160" w:type="dxa"/>
            <w:vAlign w:val="bottom"/>
            <w:shd w:val="clear" w:color="auto" w:fill="CCECFF"/>
          </w:tcPr>
          <w:p>
            <w:pPr>
              <w:spacing w:after="0"/>
              <w:rPr>
                <w:sz w:val="12"/>
                <w:szCs w:val="12"/>
                <w:color w:val="auto"/>
              </w:rPr>
            </w:pPr>
          </w:p>
        </w:tc>
        <w:tc>
          <w:tcPr>
            <w:tcW w:w="2420" w:type="dxa"/>
            <w:vAlign w:val="bottom"/>
            <w:gridSpan w:val="2"/>
            <w:shd w:val="clear" w:color="auto" w:fill="CCECFF"/>
          </w:tcPr>
          <w:p>
            <w:pPr>
              <w:jc w:val="center"/>
              <w:ind w:right="100"/>
              <w:spacing w:after="0"/>
              <w:rPr>
                <w:sz w:val="20"/>
                <w:szCs w:val="20"/>
                <w:color w:val="auto"/>
              </w:rPr>
            </w:pPr>
            <w:r>
              <w:rPr>
                <w:rFonts w:ascii="Arial" w:cs="Arial" w:eastAsia="Arial" w:hAnsi="Arial"/>
                <w:sz w:val="12"/>
                <w:szCs w:val="12"/>
                <w:color w:val="auto"/>
                <w:w w:val="89"/>
              </w:rPr>
              <w:t>Capital Equipment</w:t>
            </w:r>
          </w:p>
        </w:tc>
        <w:tc>
          <w:tcPr>
            <w:tcW w:w="920" w:type="dxa"/>
            <w:vAlign w:val="bottom"/>
            <w:gridSpan w:val="2"/>
            <w:shd w:val="clear" w:color="auto" w:fill="CCECFF"/>
          </w:tcPr>
          <w:p>
            <w:pPr>
              <w:jc w:val="right"/>
              <w:ind w:right="102"/>
              <w:spacing w:after="0"/>
              <w:rPr>
                <w:sz w:val="20"/>
                <w:szCs w:val="20"/>
                <w:color w:val="auto"/>
              </w:rPr>
            </w:pPr>
            <w:r>
              <w:rPr>
                <w:rFonts w:ascii="Arial" w:cs="Arial" w:eastAsia="Arial" w:hAnsi="Arial"/>
                <w:sz w:val="12"/>
                <w:szCs w:val="12"/>
                <w:color w:val="auto"/>
              </w:rPr>
              <w:t>6.76%</w:t>
            </w:r>
          </w:p>
        </w:tc>
        <w:tc>
          <w:tcPr>
            <w:tcW w:w="90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3M L+450</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14,154,326</w:t>
            </w:r>
          </w:p>
        </w:tc>
        <w:tc>
          <w:tcPr>
            <w:tcW w:w="18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14,062,790</w:t>
            </w:r>
          </w:p>
        </w:tc>
        <w:tc>
          <w:tcPr>
            <w:tcW w:w="16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14,012,783</w:t>
            </w:r>
          </w:p>
        </w:tc>
        <w:tc>
          <w:tcPr>
            <w:tcW w:w="8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540" w:type="dxa"/>
            <w:vAlign w:val="bottom"/>
          </w:tcPr>
          <w:p>
            <w:pPr>
              <w:spacing w:after="0" w:line="149" w:lineRule="exact"/>
              <w:rPr>
                <w:sz w:val="20"/>
                <w:szCs w:val="20"/>
                <w:color w:val="auto"/>
              </w:rPr>
            </w:pPr>
            <w:r>
              <w:rPr>
                <w:rFonts w:ascii="Arial" w:cs="Arial" w:eastAsia="Arial" w:hAnsi="Arial"/>
                <w:sz w:val="11"/>
                <w:szCs w:val="11"/>
                <w:color w:val="auto"/>
              </w:rPr>
              <w:t xml:space="preserve">UBEO, LLC (Revolver) </w:t>
            </w:r>
            <w:r>
              <w:rPr>
                <w:rFonts w:ascii="Arial" w:cs="Arial" w:eastAsia="Arial" w:hAnsi="Arial"/>
                <w:sz w:val="17"/>
                <w:szCs w:val="17"/>
                <w:color w:val="auto"/>
                <w:vertAlign w:val="superscript"/>
              </w:rPr>
              <w:t>(7), (9)</w:t>
            </w:r>
          </w:p>
        </w:tc>
        <w:tc>
          <w:tcPr>
            <w:tcW w:w="700" w:type="dxa"/>
            <w:vAlign w:val="bottom"/>
            <w:gridSpan w:val="2"/>
          </w:tcPr>
          <w:p>
            <w:pPr>
              <w:jc w:val="center"/>
              <w:ind w:left="22"/>
              <w:spacing w:after="0"/>
              <w:rPr>
                <w:sz w:val="20"/>
                <w:szCs w:val="20"/>
                <w:color w:val="auto"/>
              </w:rPr>
            </w:pPr>
            <w:r>
              <w:rPr>
                <w:rFonts w:ascii="Arial" w:cs="Arial" w:eastAsia="Arial" w:hAnsi="Arial"/>
                <w:sz w:val="12"/>
                <w:szCs w:val="12"/>
                <w:color w:val="auto"/>
                <w:w w:val="89"/>
              </w:rPr>
              <w:t>04/03/2024</w:t>
            </w:r>
          </w:p>
        </w:tc>
        <w:tc>
          <w:tcPr>
            <w:tcW w:w="160" w:type="dxa"/>
            <w:vAlign w:val="bottom"/>
          </w:tcPr>
          <w:p>
            <w:pPr>
              <w:spacing w:after="0"/>
              <w:rPr>
                <w:sz w:val="12"/>
                <w:szCs w:val="12"/>
                <w:color w:val="auto"/>
              </w:rPr>
            </w:pPr>
          </w:p>
        </w:tc>
        <w:tc>
          <w:tcPr>
            <w:tcW w:w="2420" w:type="dxa"/>
            <w:vAlign w:val="bottom"/>
            <w:gridSpan w:val="2"/>
          </w:tcPr>
          <w:p>
            <w:pPr>
              <w:jc w:val="center"/>
              <w:ind w:right="100"/>
              <w:spacing w:after="0"/>
              <w:rPr>
                <w:sz w:val="20"/>
                <w:szCs w:val="20"/>
                <w:color w:val="auto"/>
              </w:rPr>
            </w:pPr>
            <w:r>
              <w:rPr>
                <w:rFonts w:ascii="Arial" w:cs="Arial" w:eastAsia="Arial" w:hAnsi="Arial"/>
                <w:sz w:val="12"/>
                <w:szCs w:val="12"/>
                <w:color w:val="auto"/>
                <w:w w:val="89"/>
              </w:rPr>
              <w:t>Capital Equipment</w:t>
            </w:r>
          </w:p>
        </w:tc>
        <w:tc>
          <w:tcPr>
            <w:tcW w:w="920" w:type="dxa"/>
            <w:vAlign w:val="bottom"/>
            <w:gridSpan w:val="2"/>
          </w:tcPr>
          <w:p>
            <w:pPr>
              <w:jc w:val="right"/>
              <w:ind w:right="202"/>
              <w:spacing w:after="0"/>
              <w:rPr>
                <w:sz w:val="20"/>
                <w:szCs w:val="20"/>
                <w:color w:val="auto"/>
              </w:rPr>
            </w:pPr>
            <w:r>
              <w:rPr>
                <w:rFonts w:ascii="Arial" w:cs="Arial" w:eastAsia="Arial" w:hAnsi="Arial"/>
                <w:sz w:val="12"/>
                <w:szCs w:val="12"/>
                <w:color w:val="auto"/>
              </w:rPr>
              <w:t>—</w:t>
            </w:r>
          </w:p>
        </w:tc>
        <w:tc>
          <w:tcPr>
            <w:tcW w:w="90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2,933,333</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2"/>
                <w:szCs w:val="12"/>
                <w:color w:val="auto"/>
              </w:rPr>
              <w:t>(38,661)</w:t>
            </w:r>
          </w:p>
        </w:tc>
        <w:tc>
          <w:tcPr>
            <w:tcW w:w="0" w:type="dxa"/>
            <w:vAlign w:val="bottom"/>
          </w:tcPr>
          <w:p>
            <w:pPr>
              <w:spacing w:after="0"/>
              <w:rPr>
                <w:sz w:val="1"/>
                <w:szCs w:val="1"/>
                <w:color w:val="auto"/>
              </w:rPr>
            </w:pPr>
          </w:p>
        </w:tc>
      </w:tr>
      <w:tr>
        <w:trPr>
          <w:trHeight w:val="148"/>
        </w:trPr>
        <w:tc>
          <w:tcPr>
            <w:tcW w:w="3540" w:type="dxa"/>
            <w:vAlign w:val="bottom"/>
            <w:shd w:val="clear" w:color="auto" w:fill="CCECFF"/>
          </w:tcPr>
          <w:p>
            <w:pPr>
              <w:spacing w:after="0"/>
              <w:rPr>
                <w:sz w:val="20"/>
                <w:szCs w:val="20"/>
                <w:color w:val="auto"/>
              </w:rPr>
            </w:pPr>
            <w:r>
              <w:rPr>
                <w:rFonts w:ascii="Arial" w:cs="Arial" w:eastAsia="Arial" w:hAnsi="Arial"/>
                <w:sz w:val="12"/>
                <w:szCs w:val="12"/>
                <w:color w:val="auto"/>
              </w:rPr>
              <w:t>UniTek Global Services, Inc.</w:t>
            </w:r>
          </w:p>
        </w:tc>
        <w:tc>
          <w:tcPr>
            <w:tcW w:w="700" w:type="dxa"/>
            <w:vAlign w:val="bottom"/>
            <w:gridSpan w:val="2"/>
            <w:shd w:val="clear" w:color="auto" w:fill="CCECFF"/>
          </w:tcPr>
          <w:p>
            <w:pPr>
              <w:jc w:val="center"/>
              <w:ind w:left="22"/>
              <w:spacing w:after="0"/>
              <w:rPr>
                <w:sz w:val="20"/>
                <w:szCs w:val="20"/>
                <w:color w:val="auto"/>
              </w:rPr>
            </w:pPr>
            <w:r>
              <w:rPr>
                <w:rFonts w:ascii="Arial" w:cs="Arial" w:eastAsia="Arial" w:hAnsi="Arial"/>
                <w:sz w:val="12"/>
                <w:szCs w:val="12"/>
                <w:color w:val="auto"/>
                <w:w w:val="89"/>
              </w:rPr>
              <w:t>08/20/2024</w:t>
            </w:r>
          </w:p>
        </w:tc>
        <w:tc>
          <w:tcPr>
            <w:tcW w:w="160" w:type="dxa"/>
            <w:vAlign w:val="bottom"/>
            <w:shd w:val="clear" w:color="auto" w:fill="CCECFF"/>
          </w:tcPr>
          <w:p>
            <w:pPr>
              <w:spacing w:after="0"/>
              <w:rPr>
                <w:sz w:val="12"/>
                <w:szCs w:val="12"/>
                <w:color w:val="auto"/>
              </w:rPr>
            </w:pPr>
          </w:p>
        </w:tc>
        <w:tc>
          <w:tcPr>
            <w:tcW w:w="2420" w:type="dxa"/>
            <w:vAlign w:val="bottom"/>
            <w:gridSpan w:val="2"/>
            <w:shd w:val="clear" w:color="auto" w:fill="CCECFF"/>
          </w:tcPr>
          <w:p>
            <w:pPr>
              <w:jc w:val="center"/>
              <w:ind w:right="100"/>
              <w:spacing w:after="0"/>
              <w:rPr>
                <w:sz w:val="20"/>
                <w:szCs w:val="20"/>
                <w:color w:val="auto"/>
              </w:rPr>
            </w:pPr>
            <w:r>
              <w:rPr>
                <w:rFonts w:ascii="Arial" w:cs="Arial" w:eastAsia="Arial" w:hAnsi="Arial"/>
                <w:sz w:val="12"/>
                <w:szCs w:val="12"/>
                <w:color w:val="auto"/>
                <w:w w:val="87"/>
              </w:rPr>
              <w:t>Telecommunications</w:t>
            </w:r>
          </w:p>
        </w:tc>
        <w:tc>
          <w:tcPr>
            <w:tcW w:w="920" w:type="dxa"/>
            <w:vAlign w:val="bottom"/>
            <w:gridSpan w:val="2"/>
            <w:shd w:val="clear" w:color="auto" w:fill="CCECFF"/>
          </w:tcPr>
          <w:p>
            <w:pPr>
              <w:jc w:val="right"/>
              <w:ind w:right="102"/>
              <w:spacing w:after="0"/>
              <w:rPr>
                <w:sz w:val="20"/>
                <w:szCs w:val="20"/>
                <w:color w:val="auto"/>
              </w:rPr>
            </w:pPr>
            <w:r>
              <w:rPr>
                <w:rFonts w:ascii="Arial" w:cs="Arial" w:eastAsia="Arial" w:hAnsi="Arial"/>
                <w:sz w:val="12"/>
                <w:szCs w:val="12"/>
                <w:color w:val="auto"/>
              </w:rPr>
              <w:t>7.29%</w:t>
            </w:r>
          </w:p>
        </w:tc>
        <w:tc>
          <w:tcPr>
            <w:tcW w:w="90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3M L+550</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10,395,361</w:t>
            </w:r>
          </w:p>
        </w:tc>
        <w:tc>
          <w:tcPr>
            <w:tcW w:w="18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10,217,115</w:t>
            </w:r>
          </w:p>
        </w:tc>
        <w:tc>
          <w:tcPr>
            <w:tcW w:w="16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9,875,593</w:t>
            </w:r>
          </w:p>
        </w:tc>
        <w:tc>
          <w:tcPr>
            <w:tcW w:w="8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40" w:type="dxa"/>
            <w:vAlign w:val="bottom"/>
          </w:tcPr>
          <w:p>
            <w:pPr>
              <w:spacing w:after="0"/>
              <w:rPr>
                <w:sz w:val="20"/>
                <w:szCs w:val="20"/>
                <w:color w:val="auto"/>
              </w:rPr>
            </w:pPr>
            <w:r>
              <w:rPr>
                <w:rFonts w:ascii="Arial" w:cs="Arial" w:eastAsia="Arial" w:hAnsi="Arial"/>
                <w:sz w:val="12"/>
                <w:szCs w:val="12"/>
                <w:color w:val="auto"/>
              </w:rPr>
              <w:t>Urology Management Associates, LLC</w:t>
            </w:r>
          </w:p>
        </w:tc>
        <w:tc>
          <w:tcPr>
            <w:tcW w:w="700" w:type="dxa"/>
            <w:vAlign w:val="bottom"/>
            <w:gridSpan w:val="2"/>
          </w:tcPr>
          <w:p>
            <w:pPr>
              <w:jc w:val="center"/>
              <w:ind w:left="22"/>
              <w:spacing w:after="0"/>
              <w:rPr>
                <w:sz w:val="20"/>
                <w:szCs w:val="20"/>
                <w:color w:val="auto"/>
              </w:rPr>
            </w:pPr>
            <w:r>
              <w:rPr>
                <w:rFonts w:ascii="Arial" w:cs="Arial" w:eastAsia="Arial" w:hAnsi="Arial"/>
                <w:sz w:val="12"/>
                <w:szCs w:val="12"/>
                <w:color w:val="auto"/>
                <w:w w:val="89"/>
              </w:rPr>
              <w:t>08/30/2024</w:t>
            </w:r>
          </w:p>
        </w:tc>
        <w:tc>
          <w:tcPr>
            <w:tcW w:w="160" w:type="dxa"/>
            <w:vAlign w:val="bottom"/>
          </w:tcPr>
          <w:p>
            <w:pPr>
              <w:spacing w:after="0"/>
              <w:rPr>
                <w:sz w:val="12"/>
                <w:szCs w:val="12"/>
                <w:color w:val="auto"/>
              </w:rPr>
            </w:pPr>
          </w:p>
        </w:tc>
        <w:tc>
          <w:tcPr>
            <w:tcW w:w="2420" w:type="dxa"/>
            <w:vAlign w:val="bottom"/>
            <w:gridSpan w:val="2"/>
          </w:tcPr>
          <w:p>
            <w:pPr>
              <w:jc w:val="center"/>
              <w:ind w:right="100"/>
              <w:spacing w:after="0"/>
              <w:rPr>
                <w:sz w:val="20"/>
                <w:szCs w:val="20"/>
                <w:color w:val="auto"/>
              </w:rPr>
            </w:pPr>
            <w:r>
              <w:rPr>
                <w:rFonts w:ascii="Arial" w:cs="Arial" w:eastAsia="Arial" w:hAnsi="Arial"/>
                <w:sz w:val="12"/>
                <w:szCs w:val="12"/>
                <w:color w:val="auto"/>
                <w:w w:val="86"/>
              </w:rPr>
              <w:t>Healthcare Providers and Services</w:t>
            </w:r>
          </w:p>
        </w:tc>
        <w:tc>
          <w:tcPr>
            <w:tcW w:w="920" w:type="dxa"/>
            <w:vAlign w:val="bottom"/>
            <w:gridSpan w:val="2"/>
          </w:tcPr>
          <w:p>
            <w:pPr>
              <w:jc w:val="right"/>
              <w:ind w:right="102"/>
              <w:spacing w:after="0"/>
              <w:rPr>
                <w:sz w:val="20"/>
                <w:szCs w:val="20"/>
                <w:color w:val="auto"/>
              </w:rPr>
            </w:pPr>
            <w:r>
              <w:rPr>
                <w:rFonts w:ascii="Arial" w:cs="Arial" w:eastAsia="Arial" w:hAnsi="Arial"/>
                <w:sz w:val="12"/>
                <w:szCs w:val="12"/>
                <w:color w:val="auto"/>
              </w:rPr>
              <w:t>6.91%</w:t>
            </w:r>
          </w:p>
        </w:tc>
        <w:tc>
          <w:tcPr>
            <w:tcW w:w="900" w:type="dxa"/>
            <w:vAlign w:val="bottom"/>
            <w:gridSpan w:val="2"/>
          </w:tcPr>
          <w:p>
            <w:pPr>
              <w:jc w:val="right"/>
              <w:ind w:right="180"/>
              <w:spacing w:after="0"/>
              <w:rPr>
                <w:sz w:val="20"/>
                <w:szCs w:val="20"/>
                <w:color w:val="auto"/>
              </w:rPr>
            </w:pPr>
            <w:r>
              <w:rPr>
                <w:rFonts w:ascii="Arial" w:cs="Arial" w:eastAsia="Arial" w:hAnsi="Arial"/>
                <w:sz w:val="12"/>
                <w:szCs w:val="12"/>
                <w:color w:val="auto"/>
              </w:rPr>
              <w:t>3M L+500</w:t>
            </w:r>
          </w:p>
        </w:tc>
        <w:tc>
          <w:tcPr>
            <w:tcW w:w="680" w:type="dxa"/>
            <w:vAlign w:val="bottom"/>
          </w:tcPr>
          <w:p>
            <w:pPr>
              <w:jc w:val="right"/>
              <w:spacing w:after="0"/>
              <w:rPr>
                <w:sz w:val="20"/>
                <w:szCs w:val="20"/>
                <w:color w:val="auto"/>
              </w:rPr>
            </w:pPr>
            <w:r>
              <w:rPr>
                <w:rFonts w:ascii="Arial" w:cs="Arial" w:eastAsia="Arial" w:hAnsi="Arial"/>
                <w:sz w:val="12"/>
                <w:szCs w:val="12"/>
                <w:color w:val="auto"/>
              </w:rPr>
              <w:t>5,000,000</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4,913,865</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5,000,000</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540" w:type="dxa"/>
            <w:vAlign w:val="bottom"/>
            <w:shd w:val="clear" w:color="auto" w:fill="CCECFF"/>
          </w:tcPr>
          <w:p>
            <w:pPr>
              <w:spacing w:after="0" w:line="149" w:lineRule="exact"/>
              <w:rPr>
                <w:sz w:val="20"/>
                <w:szCs w:val="20"/>
                <w:color w:val="auto"/>
              </w:rPr>
            </w:pPr>
            <w:r>
              <w:rPr>
                <w:rFonts w:ascii="Arial" w:cs="Arial" w:eastAsia="Arial" w:hAnsi="Arial"/>
                <w:sz w:val="11"/>
                <w:szCs w:val="11"/>
                <w:color w:val="auto"/>
              </w:rPr>
              <w:t xml:space="preserve">US Med Acquisition, Inc. </w:t>
            </w:r>
            <w:r>
              <w:rPr>
                <w:rFonts w:ascii="Arial" w:cs="Arial" w:eastAsia="Arial" w:hAnsi="Arial"/>
                <w:sz w:val="17"/>
                <w:szCs w:val="17"/>
                <w:color w:val="auto"/>
                <w:vertAlign w:val="superscript"/>
              </w:rPr>
              <w:t>(7)</w:t>
            </w:r>
          </w:p>
        </w:tc>
        <w:tc>
          <w:tcPr>
            <w:tcW w:w="700" w:type="dxa"/>
            <w:vAlign w:val="bottom"/>
            <w:gridSpan w:val="2"/>
            <w:shd w:val="clear" w:color="auto" w:fill="CCECFF"/>
          </w:tcPr>
          <w:p>
            <w:pPr>
              <w:jc w:val="center"/>
              <w:ind w:left="22"/>
              <w:spacing w:after="0"/>
              <w:rPr>
                <w:sz w:val="20"/>
                <w:szCs w:val="20"/>
                <w:color w:val="auto"/>
              </w:rPr>
            </w:pPr>
            <w:r>
              <w:rPr>
                <w:rFonts w:ascii="Arial" w:cs="Arial" w:eastAsia="Arial" w:hAnsi="Arial"/>
                <w:sz w:val="12"/>
                <w:szCs w:val="12"/>
                <w:color w:val="auto"/>
                <w:w w:val="89"/>
              </w:rPr>
              <w:t>08/13/2021</w:t>
            </w:r>
          </w:p>
        </w:tc>
        <w:tc>
          <w:tcPr>
            <w:tcW w:w="160" w:type="dxa"/>
            <w:vAlign w:val="bottom"/>
            <w:shd w:val="clear" w:color="auto" w:fill="CCECFF"/>
          </w:tcPr>
          <w:p>
            <w:pPr>
              <w:spacing w:after="0"/>
              <w:rPr>
                <w:sz w:val="12"/>
                <w:szCs w:val="12"/>
                <w:color w:val="auto"/>
              </w:rPr>
            </w:pPr>
          </w:p>
        </w:tc>
        <w:tc>
          <w:tcPr>
            <w:tcW w:w="2420" w:type="dxa"/>
            <w:vAlign w:val="bottom"/>
            <w:gridSpan w:val="2"/>
            <w:shd w:val="clear" w:color="auto" w:fill="CCECFF"/>
          </w:tcPr>
          <w:p>
            <w:pPr>
              <w:jc w:val="center"/>
              <w:ind w:right="120"/>
              <w:spacing w:after="0"/>
              <w:rPr>
                <w:sz w:val="20"/>
                <w:szCs w:val="20"/>
                <w:color w:val="auto"/>
              </w:rPr>
            </w:pPr>
            <w:r>
              <w:rPr>
                <w:rFonts w:ascii="Arial" w:cs="Arial" w:eastAsia="Arial" w:hAnsi="Arial"/>
                <w:sz w:val="12"/>
                <w:szCs w:val="12"/>
                <w:color w:val="auto"/>
                <w:w w:val="86"/>
              </w:rPr>
              <w:t>Healthcare and Pharmaceuticals</w:t>
            </w:r>
          </w:p>
        </w:tc>
        <w:tc>
          <w:tcPr>
            <w:tcW w:w="920" w:type="dxa"/>
            <w:vAlign w:val="bottom"/>
            <w:gridSpan w:val="2"/>
            <w:shd w:val="clear" w:color="auto" w:fill="CCECFF"/>
          </w:tcPr>
          <w:p>
            <w:pPr>
              <w:jc w:val="right"/>
              <w:ind w:right="102"/>
              <w:spacing w:after="0"/>
              <w:rPr>
                <w:sz w:val="20"/>
                <w:szCs w:val="20"/>
                <w:color w:val="auto"/>
              </w:rPr>
            </w:pPr>
            <w:r>
              <w:rPr>
                <w:rFonts w:ascii="Arial" w:cs="Arial" w:eastAsia="Arial" w:hAnsi="Arial"/>
                <w:sz w:val="12"/>
                <w:szCs w:val="12"/>
                <w:color w:val="auto"/>
              </w:rPr>
              <w:t>10.44%</w:t>
            </w:r>
          </w:p>
        </w:tc>
        <w:tc>
          <w:tcPr>
            <w:tcW w:w="90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1M L+850</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2,988,281</w:t>
            </w:r>
          </w:p>
        </w:tc>
        <w:tc>
          <w:tcPr>
            <w:tcW w:w="18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2,988,281</w:t>
            </w:r>
          </w:p>
        </w:tc>
        <w:tc>
          <w:tcPr>
            <w:tcW w:w="16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2,988,281</w:t>
            </w:r>
          </w:p>
        </w:tc>
        <w:tc>
          <w:tcPr>
            <w:tcW w:w="8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540" w:type="dxa"/>
            <w:vAlign w:val="bottom"/>
          </w:tcPr>
          <w:p>
            <w:pPr>
              <w:spacing w:after="0"/>
              <w:rPr>
                <w:sz w:val="20"/>
                <w:szCs w:val="20"/>
                <w:color w:val="auto"/>
              </w:rPr>
            </w:pPr>
            <w:r>
              <w:rPr>
                <w:rFonts w:ascii="Arial" w:cs="Arial" w:eastAsia="Arial" w:hAnsi="Arial"/>
                <w:sz w:val="12"/>
                <w:szCs w:val="12"/>
                <w:color w:val="auto"/>
              </w:rPr>
              <w:t>Vision Purchaser Corporation</w:t>
            </w:r>
          </w:p>
        </w:tc>
        <w:tc>
          <w:tcPr>
            <w:tcW w:w="700" w:type="dxa"/>
            <w:vAlign w:val="bottom"/>
            <w:gridSpan w:val="2"/>
          </w:tcPr>
          <w:p>
            <w:pPr>
              <w:jc w:val="center"/>
              <w:ind w:left="22"/>
              <w:spacing w:after="0"/>
              <w:rPr>
                <w:sz w:val="20"/>
                <w:szCs w:val="20"/>
                <w:color w:val="auto"/>
              </w:rPr>
            </w:pPr>
            <w:r>
              <w:rPr>
                <w:rFonts w:ascii="Arial" w:cs="Arial" w:eastAsia="Arial" w:hAnsi="Arial"/>
                <w:sz w:val="12"/>
                <w:szCs w:val="12"/>
                <w:color w:val="auto"/>
                <w:w w:val="89"/>
              </w:rPr>
              <w:t>06/10/2025</w:t>
            </w:r>
          </w:p>
        </w:tc>
        <w:tc>
          <w:tcPr>
            <w:tcW w:w="160" w:type="dxa"/>
            <w:vAlign w:val="bottom"/>
          </w:tcPr>
          <w:p>
            <w:pPr>
              <w:spacing w:after="0"/>
              <w:rPr>
                <w:sz w:val="12"/>
                <w:szCs w:val="12"/>
                <w:color w:val="auto"/>
              </w:rPr>
            </w:pPr>
          </w:p>
        </w:tc>
        <w:tc>
          <w:tcPr>
            <w:tcW w:w="2420" w:type="dxa"/>
            <w:vAlign w:val="bottom"/>
            <w:gridSpan w:val="2"/>
          </w:tcPr>
          <w:p>
            <w:pPr>
              <w:jc w:val="center"/>
              <w:ind w:right="120"/>
              <w:spacing w:after="0"/>
              <w:rPr>
                <w:sz w:val="20"/>
                <w:szCs w:val="20"/>
                <w:color w:val="auto"/>
              </w:rPr>
            </w:pPr>
            <w:r>
              <w:rPr>
                <w:rFonts w:ascii="Arial" w:cs="Arial" w:eastAsia="Arial" w:hAnsi="Arial"/>
                <w:sz w:val="12"/>
                <w:szCs w:val="12"/>
                <w:color w:val="auto"/>
                <w:w w:val="91"/>
              </w:rPr>
              <w:t>Media</w:t>
            </w:r>
          </w:p>
        </w:tc>
        <w:tc>
          <w:tcPr>
            <w:tcW w:w="920" w:type="dxa"/>
            <w:vAlign w:val="bottom"/>
            <w:gridSpan w:val="2"/>
          </w:tcPr>
          <w:p>
            <w:pPr>
              <w:jc w:val="right"/>
              <w:ind w:right="102"/>
              <w:spacing w:after="0"/>
              <w:rPr>
                <w:sz w:val="20"/>
                <w:szCs w:val="20"/>
                <w:color w:val="auto"/>
              </w:rPr>
            </w:pPr>
            <w:r>
              <w:rPr>
                <w:rFonts w:ascii="Arial" w:cs="Arial" w:eastAsia="Arial" w:hAnsi="Arial"/>
                <w:sz w:val="12"/>
                <w:szCs w:val="12"/>
                <w:color w:val="auto"/>
              </w:rPr>
              <w:t>8.05%</w:t>
            </w:r>
          </w:p>
        </w:tc>
        <w:tc>
          <w:tcPr>
            <w:tcW w:w="900" w:type="dxa"/>
            <w:vAlign w:val="bottom"/>
            <w:gridSpan w:val="2"/>
          </w:tcPr>
          <w:p>
            <w:pPr>
              <w:jc w:val="right"/>
              <w:ind w:right="180"/>
              <w:spacing w:after="0"/>
              <w:rPr>
                <w:sz w:val="20"/>
                <w:szCs w:val="20"/>
                <w:color w:val="auto"/>
              </w:rPr>
            </w:pPr>
            <w:r>
              <w:rPr>
                <w:rFonts w:ascii="Arial" w:cs="Arial" w:eastAsia="Arial" w:hAnsi="Arial"/>
                <w:sz w:val="12"/>
                <w:szCs w:val="12"/>
                <w:color w:val="auto"/>
              </w:rPr>
              <w:t>1M L+625</w:t>
            </w:r>
          </w:p>
        </w:tc>
        <w:tc>
          <w:tcPr>
            <w:tcW w:w="680" w:type="dxa"/>
            <w:vAlign w:val="bottom"/>
          </w:tcPr>
          <w:p>
            <w:pPr>
              <w:jc w:val="right"/>
              <w:spacing w:after="0"/>
              <w:rPr>
                <w:sz w:val="20"/>
                <w:szCs w:val="20"/>
                <w:color w:val="auto"/>
              </w:rPr>
            </w:pPr>
            <w:r>
              <w:rPr>
                <w:rFonts w:ascii="Arial" w:cs="Arial" w:eastAsia="Arial" w:hAnsi="Arial"/>
                <w:sz w:val="12"/>
                <w:szCs w:val="12"/>
                <w:color w:val="auto"/>
              </w:rPr>
              <w:t>14,467,175</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14,182,587</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14,177,831</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540" w:type="dxa"/>
            <w:vAlign w:val="bottom"/>
            <w:shd w:val="clear" w:color="auto" w:fill="CCECFF"/>
          </w:tcPr>
          <w:p>
            <w:pPr>
              <w:spacing w:after="0"/>
              <w:rPr>
                <w:sz w:val="20"/>
                <w:szCs w:val="20"/>
                <w:color w:val="auto"/>
              </w:rPr>
            </w:pPr>
            <w:r>
              <w:rPr>
                <w:rFonts w:ascii="Arial" w:cs="Arial" w:eastAsia="Arial" w:hAnsi="Arial"/>
                <w:sz w:val="12"/>
                <w:szCs w:val="12"/>
                <w:color w:val="auto"/>
              </w:rPr>
              <w:t>Whitney, Bradley &amp; Brown, Inc.</w:t>
            </w:r>
          </w:p>
        </w:tc>
        <w:tc>
          <w:tcPr>
            <w:tcW w:w="700" w:type="dxa"/>
            <w:vAlign w:val="bottom"/>
            <w:gridSpan w:val="2"/>
            <w:shd w:val="clear" w:color="auto" w:fill="CCECFF"/>
          </w:tcPr>
          <w:p>
            <w:pPr>
              <w:jc w:val="center"/>
              <w:ind w:left="22"/>
              <w:spacing w:after="0"/>
              <w:rPr>
                <w:sz w:val="20"/>
                <w:szCs w:val="20"/>
                <w:color w:val="auto"/>
              </w:rPr>
            </w:pPr>
            <w:r>
              <w:rPr>
                <w:rFonts w:ascii="Arial" w:cs="Arial" w:eastAsia="Arial" w:hAnsi="Arial"/>
                <w:sz w:val="12"/>
                <w:szCs w:val="12"/>
                <w:color w:val="auto"/>
                <w:w w:val="89"/>
              </w:rPr>
              <w:t>10/18/2022</w:t>
            </w:r>
          </w:p>
        </w:tc>
        <w:tc>
          <w:tcPr>
            <w:tcW w:w="160" w:type="dxa"/>
            <w:vAlign w:val="bottom"/>
            <w:shd w:val="clear" w:color="auto" w:fill="CCECFF"/>
          </w:tcPr>
          <w:p>
            <w:pPr>
              <w:spacing w:after="0"/>
              <w:rPr>
                <w:sz w:val="12"/>
                <w:szCs w:val="12"/>
                <w:color w:val="auto"/>
              </w:rPr>
            </w:pPr>
          </w:p>
        </w:tc>
        <w:tc>
          <w:tcPr>
            <w:tcW w:w="2420" w:type="dxa"/>
            <w:vAlign w:val="bottom"/>
            <w:gridSpan w:val="2"/>
            <w:shd w:val="clear" w:color="auto" w:fill="CCECFF"/>
          </w:tcPr>
          <w:p>
            <w:pPr>
              <w:jc w:val="center"/>
              <w:ind w:right="120"/>
              <w:spacing w:after="0"/>
              <w:rPr>
                <w:sz w:val="20"/>
                <w:szCs w:val="20"/>
                <w:color w:val="auto"/>
              </w:rPr>
            </w:pPr>
            <w:r>
              <w:rPr>
                <w:rFonts w:ascii="Arial" w:cs="Arial" w:eastAsia="Arial" w:hAnsi="Arial"/>
                <w:sz w:val="12"/>
                <w:szCs w:val="12"/>
                <w:color w:val="auto"/>
                <w:w w:val="85"/>
              </w:rPr>
              <w:t>Aerospace and Defense</w:t>
            </w:r>
          </w:p>
        </w:tc>
        <w:tc>
          <w:tcPr>
            <w:tcW w:w="920" w:type="dxa"/>
            <w:vAlign w:val="bottom"/>
            <w:gridSpan w:val="2"/>
            <w:shd w:val="clear" w:color="auto" w:fill="CCECFF"/>
          </w:tcPr>
          <w:p>
            <w:pPr>
              <w:jc w:val="right"/>
              <w:ind w:right="102"/>
              <w:spacing w:after="0"/>
              <w:rPr>
                <w:sz w:val="20"/>
                <w:szCs w:val="20"/>
                <w:color w:val="auto"/>
              </w:rPr>
            </w:pPr>
            <w:r>
              <w:rPr>
                <w:rFonts w:ascii="Arial" w:cs="Arial" w:eastAsia="Arial" w:hAnsi="Arial"/>
                <w:sz w:val="12"/>
                <w:szCs w:val="12"/>
                <w:color w:val="auto"/>
              </w:rPr>
              <w:t>9.28%</w:t>
            </w:r>
          </w:p>
        </w:tc>
        <w:tc>
          <w:tcPr>
            <w:tcW w:w="90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1M L+750</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4,322,681</w:t>
            </w:r>
          </w:p>
        </w:tc>
        <w:tc>
          <w:tcPr>
            <w:tcW w:w="180" w:type="dxa"/>
            <w:vAlign w:val="bottom"/>
            <w:shd w:val="clear" w:color="auto" w:fill="CCECFF"/>
          </w:tcPr>
          <w:p>
            <w:pPr>
              <w:spacing w:after="0"/>
              <w:rPr>
                <w:sz w:val="12"/>
                <w:szCs w:val="12"/>
                <w:color w:val="auto"/>
              </w:rPr>
            </w:pPr>
          </w:p>
        </w:tc>
        <w:tc>
          <w:tcPr>
            <w:tcW w:w="100" w:type="dxa"/>
            <w:vAlign w:val="bottom"/>
            <w:tcBorders>
              <w:bottom w:val="single" w:sz="8" w:color="auto"/>
            </w:tcBorders>
            <w:shd w:val="clear" w:color="auto" w:fill="CCECFF"/>
          </w:tcPr>
          <w:p>
            <w:pPr>
              <w:spacing w:after="0"/>
              <w:rPr>
                <w:sz w:val="12"/>
                <w:szCs w:val="12"/>
                <w:color w:val="auto"/>
              </w:rPr>
            </w:pPr>
          </w:p>
        </w:tc>
        <w:tc>
          <w:tcPr>
            <w:tcW w:w="6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rPr>
              <w:t>4,259,179</w:t>
            </w:r>
          </w:p>
        </w:tc>
        <w:tc>
          <w:tcPr>
            <w:tcW w:w="160" w:type="dxa"/>
            <w:vAlign w:val="bottom"/>
            <w:shd w:val="clear" w:color="auto" w:fill="CCECFF"/>
          </w:tcPr>
          <w:p>
            <w:pPr>
              <w:spacing w:after="0"/>
              <w:rPr>
                <w:sz w:val="12"/>
                <w:szCs w:val="12"/>
                <w:color w:val="auto"/>
              </w:rPr>
            </w:pPr>
          </w:p>
        </w:tc>
        <w:tc>
          <w:tcPr>
            <w:tcW w:w="140" w:type="dxa"/>
            <w:vAlign w:val="bottom"/>
            <w:tcBorders>
              <w:bottom w:val="single" w:sz="8" w:color="auto"/>
            </w:tcBorders>
            <w:shd w:val="clear" w:color="auto" w:fill="CCECFF"/>
          </w:tcPr>
          <w:p>
            <w:pPr>
              <w:spacing w:after="0"/>
              <w:rPr>
                <w:sz w:val="12"/>
                <w:szCs w:val="12"/>
                <w:color w:val="auto"/>
              </w:rPr>
            </w:pPr>
          </w:p>
        </w:tc>
        <w:tc>
          <w:tcPr>
            <w:tcW w:w="6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rPr>
              <w:t>4,322,681</w:t>
            </w:r>
          </w:p>
        </w:tc>
        <w:tc>
          <w:tcPr>
            <w:tcW w:w="8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540" w:type="dxa"/>
            <w:vAlign w:val="bottom"/>
            <w:tcBorders>
              <w:bottom w:val="single" w:sz="8" w:color="CCECFF"/>
            </w:tcBorders>
          </w:tcPr>
          <w:p>
            <w:pPr>
              <w:spacing w:after="0"/>
              <w:rPr>
                <w:sz w:val="20"/>
                <w:szCs w:val="20"/>
                <w:color w:val="auto"/>
              </w:rPr>
            </w:pPr>
            <w:r>
              <w:rPr>
                <w:rFonts w:ascii="Arial" w:cs="Arial" w:eastAsia="Arial" w:hAnsi="Arial"/>
                <w:sz w:val="12"/>
                <w:szCs w:val="12"/>
                <w:b w:val="1"/>
                <w:bCs w:val="1"/>
                <w:color w:val="auto"/>
              </w:rPr>
              <w:t>Total First Lien Secured Debt</w:t>
            </w:r>
          </w:p>
        </w:tc>
        <w:tc>
          <w:tcPr>
            <w:tcW w:w="100" w:type="dxa"/>
            <w:vAlign w:val="bottom"/>
            <w:tcBorders>
              <w:bottom w:val="single" w:sz="8" w:color="CCECFF"/>
            </w:tcBorders>
          </w:tcPr>
          <w:p>
            <w:pPr>
              <w:spacing w:after="0"/>
              <w:rPr>
                <w:sz w:val="12"/>
                <w:szCs w:val="12"/>
                <w:color w:val="auto"/>
              </w:rPr>
            </w:pPr>
          </w:p>
        </w:tc>
        <w:tc>
          <w:tcPr>
            <w:tcW w:w="600" w:type="dxa"/>
            <w:vAlign w:val="bottom"/>
            <w:tcBorders>
              <w:bottom w:val="single" w:sz="8" w:color="CCECFF"/>
            </w:tcBorders>
          </w:tcPr>
          <w:p>
            <w:pPr>
              <w:spacing w:after="0"/>
              <w:rPr>
                <w:sz w:val="12"/>
                <w:szCs w:val="12"/>
                <w:color w:val="auto"/>
              </w:rPr>
            </w:pPr>
          </w:p>
        </w:tc>
        <w:tc>
          <w:tcPr>
            <w:tcW w:w="160" w:type="dxa"/>
            <w:vAlign w:val="bottom"/>
            <w:tcBorders>
              <w:bottom w:val="single" w:sz="8" w:color="CCECFF"/>
            </w:tcBorders>
          </w:tcPr>
          <w:p>
            <w:pPr>
              <w:spacing w:after="0"/>
              <w:rPr>
                <w:sz w:val="12"/>
                <w:szCs w:val="12"/>
                <w:color w:val="auto"/>
              </w:rPr>
            </w:pPr>
          </w:p>
        </w:tc>
        <w:tc>
          <w:tcPr>
            <w:tcW w:w="2320" w:type="dxa"/>
            <w:vAlign w:val="bottom"/>
            <w:tcBorders>
              <w:bottom w:val="single" w:sz="8" w:color="CCECFF"/>
            </w:tcBorders>
          </w:tcPr>
          <w:p>
            <w:pPr>
              <w:spacing w:after="0"/>
              <w:rPr>
                <w:sz w:val="12"/>
                <w:szCs w:val="12"/>
                <w:color w:val="auto"/>
              </w:rPr>
            </w:pPr>
          </w:p>
        </w:tc>
        <w:tc>
          <w:tcPr>
            <w:tcW w:w="100" w:type="dxa"/>
            <w:vAlign w:val="bottom"/>
            <w:tcBorders>
              <w:bottom w:val="single" w:sz="8" w:color="CCECFF"/>
            </w:tcBorders>
          </w:tcPr>
          <w:p>
            <w:pPr>
              <w:spacing w:after="0"/>
              <w:rPr>
                <w:sz w:val="12"/>
                <w:szCs w:val="12"/>
                <w:color w:val="auto"/>
              </w:rPr>
            </w:pPr>
          </w:p>
        </w:tc>
        <w:tc>
          <w:tcPr>
            <w:tcW w:w="660" w:type="dxa"/>
            <w:vAlign w:val="bottom"/>
            <w:tcBorders>
              <w:bottom w:val="single" w:sz="8" w:color="CCECFF"/>
            </w:tcBorders>
          </w:tcPr>
          <w:p>
            <w:pPr>
              <w:spacing w:after="0"/>
              <w:rPr>
                <w:sz w:val="12"/>
                <w:szCs w:val="12"/>
                <w:color w:val="auto"/>
              </w:rPr>
            </w:pPr>
          </w:p>
        </w:tc>
        <w:tc>
          <w:tcPr>
            <w:tcW w:w="260" w:type="dxa"/>
            <w:vAlign w:val="bottom"/>
            <w:tcBorders>
              <w:bottom w:val="single" w:sz="8" w:color="CCECFF"/>
            </w:tcBorders>
          </w:tcPr>
          <w:p>
            <w:pPr>
              <w:spacing w:after="0"/>
              <w:rPr>
                <w:sz w:val="12"/>
                <w:szCs w:val="12"/>
                <w:color w:val="auto"/>
              </w:rPr>
            </w:pPr>
          </w:p>
        </w:tc>
        <w:tc>
          <w:tcPr>
            <w:tcW w:w="740" w:type="dxa"/>
            <w:vAlign w:val="bottom"/>
            <w:tcBorders>
              <w:bottom w:val="single" w:sz="8" w:color="CCECFF"/>
            </w:tcBorders>
          </w:tcPr>
          <w:p>
            <w:pPr>
              <w:spacing w:after="0"/>
              <w:rPr>
                <w:sz w:val="12"/>
                <w:szCs w:val="12"/>
                <w:color w:val="auto"/>
              </w:rPr>
            </w:pPr>
          </w:p>
        </w:tc>
        <w:tc>
          <w:tcPr>
            <w:tcW w:w="160" w:type="dxa"/>
            <w:vAlign w:val="bottom"/>
            <w:tcBorders>
              <w:bottom w:val="single" w:sz="8" w:color="CCECFF"/>
            </w:tcBorders>
          </w:tcPr>
          <w:p>
            <w:pPr>
              <w:spacing w:after="0"/>
              <w:rPr>
                <w:sz w:val="12"/>
                <w:szCs w:val="12"/>
                <w:color w:val="auto"/>
              </w:rPr>
            </w:pPr>
          </w:p>
        </w:tc>
        <w:tc>
          <w:tcPr>
            <w:tcW w:w="680" w:type="dxa"/>
            <w:vAlign w:val="bottom"/>
            <w:tcBorders>
              <w:bottom w:val="single" w:sz="8" w:color="CCECFF"/>
            </w:tcBorders>
          </w:tcPr>
          <w:p>
            <w:pPr>
              <w:spacing w:after="0"/>
              <w:rPr>
                <w:sz w:val="12"/>
                <w:szCs w:val="12"/>
                <w:color w:val="auto"/>
              </w:rPr>
            </w:pPr>
          </w:p>
        </w:tc>
        <w:tc>
          <w:tcPr>
            <w:tcW w:w="180" w:type="dxa"/>
            <w:vAlign w:val="bottom"/>
            <w:tcBorders>
              <w:bottom w:val="single" w:sz="8" w:color="CCEC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92"/>
              </w:rPr>
              <w:t>925,199,275</w:t>
            </w:r>
          </w:p>
        </w:tc>
        <w:tc>
          <w:tcPr>
            <w:tcW w:w="160" w:type="dxa"/>
            <w:vAlign w:val="bottom"/>
            <w:tcBorders>
              <w:bottom w:val="single" w:sz="8" w:color="CCEC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92"/>
              </w:rPr>
              <w:t>914,871,029</w:t>
            </w:r>
          </w:p>
        </w:tc>
        <w:tc>
          <w:tcPr>
            <w:tcW w:w="80" w:type="dxa"/>
            <w:vAlign w:val="bottom"/>
            <w:tcBorders>
              <w:bottom w:val="single" w:sz="8" w:color="CCEC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540" w:type="dxa"/>
            <w:vAlign w:val="bottom"/>
            <w:shd w:val="clear" w:color="auto" w:fill="CCECFF"/>
          </w:tcPr>
          <w:p>
            <w:pPr>
              <w:spacing w:after="0"/>
              <w:rPr>
                <w:sz w:val="20"/>
                <w:szCs w:val="20"/>
                <w:color w:val="auto"/>
              </w:rPr>
            </w:pPr>
            <w:r>
              <w:rPr>
                <w:rFonts w:ascii="Arial" w:cs="Arial" w:eastAsia="Arial" w:hAnsi="Arial"/>
                <w:sz w:val="12"/>
                <w:szCs w:val="12"/>
                <w:b w:val="1"/>
                <w:bCs w:val="1"/>
                <w:color w:val="auto"/>
              </w:rPr>
              <w:t>Second Lien Secured Debt—5.4%</w:t>
            </w:r>
          </w:p>
        </w:tc>
        <w:tc>
          <w:tcPr>
            <w:tcW w:w="100" w:type="dxa"/>
            <w:vAlign w:val="bottom"/>
            <w:shd w:val="clear" w:color="auto" w:fill="CCECFF"/>
          </w:tcPr>
          <w:p>
            <w:pPr>
              <w:spacing w:after="0"/>
              <w:rPr>
                <w:sz w:val="12"/>
                <w:szCs w:val="12"/>
                <w:color w:val="auto"/>
              </w:rPr>
            </w:pPr>
          </w:p>
        </w:tc>
        <w:tc>
          <w:tcPr>
            <w:tcW w:w="60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23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60" w:type="dxa"/>
            <w:vAlign w:val="bottom"/>
            <w:shd w:val="clear" w:color="auto" w:fill="CCECFF"/>
          </w:tcPr>
          <w:p>
            <w:pPr>
              <w:spacing w:after="0"/>
              <w:rPr>
                <w:sz w:val="12"/>
                <w:szCs w:val="12"/>
                <w:color w:val="auto"/>
              </w:rPr>
            </w:pPr>
          </w:p>
        </w:tc>
        <w:tc>
          <w:tcPr>
            <w:tcW w:w="260" w:type="dxa"/>
            <w:vAlign w:val="bottom"/>
            <w:shd w:val="clear" w:color="auto" w:fill="CCECFF"/>
          </w:tcPr>
          <w:p>
            <w:pPr>
              <w:spacing w:after="0"/>
              <w:rPr>
                <w:sz w:val="12"/>
                <w:szCs w:val="12"/>
                <w:color w:val="auto"/>
              </w:rPr>
            </w:pPr>
          </w:p>
        </w:tc>
        <w:tc>
          <w:tcPr>
            <w:tcW w:w="74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6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66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540" w:type="dxa"/>
            <w:vAlign w:val="bottom"/>
          </w:tcPr>
          <w:p>
            <w:pPr>
              <w:spacing w:after="0" w:line="149" w:lineRule="exact"/>
              <w:rPr>
                <w:sz w:val="20"/>
                <w:szCs w:val="20"/>
                <w:color w:val="auto"/>
              </w:rPr>
            </w:pPr>
            <w:r>
              <w:rPr>
                <w:rFonts w:ascii="Arial" w:cs="Arial" w:eastAsia="Arial" w:hAnsi="Arial"/>
                <w:sz w:val="11"/>
                <w:szCs w:val="11"/>
                <w:color w:val="auto"/>
              </w:rPr>
              <w:t xml:space="preserve">Condor Borrower, LLC </w:t>
            </w:r>
            <w:r>
              <w:rPr>
                <w:rFonts w:ascii="Arial" w:cs="Arial" w:eastAsia="Arial" w:hAnsi="Arial"/>
                <w:sz w:val="17"/>
                <w:szCs w:val="17"/>
                <w:color w:val="auto"/>
                <w:vertAlign w:val="superscript"/>
              </w:rPr>
              <w:t>(7)</w:t>
            </w:r>
          </w:p>
        </w:tc>
        <w:tc>
          <w:tcPr>
            <w:tcW w:w="700" w:type="dxa"/>
            <w:vAlign w:val="bottom"/>
            <w:gridSpan w:val="2"/>
          </w:tcPr>
          <w:p>
            <w:pPr>
              <w:jc w:val="center"/>
              <w:ind w:left="22"/>
              <w:spacing w:after="0"/>
              <w:rPr>
                <w:sz w:val="20"/>
                <w:szCs w:val="20"/>
                <w:color w:val="auto"/>
              </w:rPr>
            </w:pPr>
            <w:r>
              <w:rPr>
                <w:rFonts w:ascii="Arial" w:cs="Arial" w:eastAsia="Arial" w:hAnsi="Arial"/>
                <w:sz w:val="12"/>
                <w:szCs w:val="12"/>
                <w:color w:val="auto"/>
                <w:w w:val="89"/>
              </w:rPr>
              <w:t>04/25/2025</w:t>
            </w:r>
          </w:p>
        </w:tc>
        <w:tc>
          <w:tcPr>
            <w:tcW w:w="160" w:type="dxa"/>
            <w:vAlign w:val="bottom"/>
          </w:tcPr>
          <w:p>
            <w:pPr>
              <w:spacing w:after="0"/>
              <w:rPr>
                <w:sz w:val="12"/>
                <w:szCs w:val="12"/>
                <w:color w:val="auto"/>
              </w:rPr>
            </w:pPr>
          </w:p>
        </w:tc>
        <w:tc>
          <w:tcPr>
            <w:tcW w:w="2420" w:type="dxa"/>
            <w:vAlign w:val="bottom"/>
            <w:gridSpan w:val="2"/>
          </w:tcPr>
          <w:p>
            <w:pPr>
              <w:jc w:val="center"/>
              <w:ind w:right="120"/>
              <w:spacing w:after="0"/>
              <w:rPr>
                <w:sz w:val="20"/>
                <w:szCs w:val="20"/>
                <w:color w:val="auto"/>
              </w:rPr>
            </w:pPr>
            <w:r>
              <w:rPr>
                <w:rFonts w:ascii="Arial" w:cs="Arial" w:eastAsia="Arial" w:hAnsi="Arial"/>
                <w:sz w:val="12"/>
                <w:szCs w:val="12"/>
                <w:color w:val="auto"/>
                <w:w w:val="89"/>
              </w:rPr>
              <w:t>High Tech Industries</w:t>
            </w:r>
          </w:p>
        </w:tc>
        <w:tc>
          <w:tcPr>
            <w:tcW w:w="920" w:type="dxa"/>
            <w:vAlign w:val="bottom"/>
            <w:gridSpan w:val="2"/>
          </w:tcPr>
          <w:p>
            <w:pPr>
              <w:jc w:val="right"/>
              <w:ind w:right="102"/>
              <w:spacing w:after="0"/>
              <w:rPr>
                <w:sz w:val="20"/>
                <w:szCs w:val="20"/>
                <w:color w:val="auto"/>
              </w:rPr>
            </w:pPr>
            <w:r>
              <w:rPr>
                <w:rFonts w:ascii="Arial" w:cs="Arial" w:eastAsia="Arial" w:hAnsi="Arial"/>
                <w:sz w:val="12"/>
                <w:szCs w:val="12"/>
                <w:color w:val="auto"/>
              </w:rPr>
              <w:t>10.68%</w:t>
            </w:r>
          </w:p>
        </w:tc>
        <w:tc>
          <w:tcPr>
            <w:tcW w:w="900" w:type="dxa"/>
            <w:vAlign w:val="bottom"/>
            <w:gridSpan w:val="2"/>
          </w:tcPr>
          <w:p>
            <w:pPr>
              <w:jc w:val="right"/>
              <w:ind w:right="180"/>
              <w:spacing w:after="0"/>
              <w:rPr>
                <w:sz w:val="20"/>
                <w:szCs w:val="20"/>
                <w:color w:val="auto"/>
              </w:rPr>
            </w:pPr>
            <w:r>
              <w:rPr>
                <w:rFonts w:ascii="Arial" w:cs="Arial" w:eastAsia="Arial" w:hAnsi="Arial"/>
                <w:sz w:val="12"/>
                <w:szCs w:val="12"/>
                <w:color w:val="auto"/>
              </w:rPr>
              <w:t>3M L+875</w:t>
            </w:r>
          </w:p>
        </w:tc>
        <w:tc>
          <w:tcPr>
            <w:tcW w:w="680" w:type="dxa"/>
            <w:vAlign w:val="bottom"/>
          </w:tcPr>
          <w:p>
            <w:pPr>
              <w:jc w:val="right"/>
              <w:spacing w:after="0"/>
              <w:rPr>
                <w:sz w:val="20"/>
                <w:szCs w:val="20"/>
                <w:color w:val="auto"/>
              </w:rPr>
            </w:pPr>
            <w:r>
              <w:rPr>
                <w:rFonts w:ascii="Arial" w:cs="Arial" w:eastAsia="Arial" w:hAnsi="Arial"/>
                <w:sz w:val="12"/>
                <w:szCs w:val="12"/>
                <w:color w:val="auto"/>
              </w:rPr>
              <w:t>1,655,172</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1,629,011</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1,638,621</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540" w:type="dxa"/>
            <w:vAlign w:val="bottom"/>
            <w:shd w:val="clear" w:color="auto" w:fill="CCECFF"/>
          </w:tcPr>
          <w:p>
            <w:pPr>
              <w:spacing w:after="0"/>
              <w:rPr>
                <w:sz w:val="20"/>
                <w:szCs w:val="20"/>
                <w:color w:val="auto"/>
              </w:rPr>
            </w:pPr>
            <w:r>
              <w:rPr>
                <w:rFonts w:ascii="Arial" w:cs="Arial" w:eastAsia="Arial" w:hAnsi="Arial"/>
                <w:sz w:val="12"/>
                <w:szCs w:val="12"/>
                <w:color w:val="auto"/>
              </w:rPr>
              <w:t>DBI Holdings, LLC, Term Loan B</w:t>
            </w:r>
          </w:p>
        </w:tc>
        <w:tc>
          <w:tcPr>
            <w:tcW w:w="700" w:type="dxa"/>
            <w:vAlign w:val="bottom"/>
            <w:gridSpan w:val="2"/>
            <w:shd w:val="clear" w:color="auto" w:fill="CCECFF"/>
          </w:tcPr>
          <w:p>
            <w:pPr>
              <w:jc w:val="center"/>
              <w:ind w:left="22"/>
              <w:spacing w:after="0"/>
              <w:rPr>
                <w:sz w:val="20"/>
                <w:szCs w:val="20"/>
                <w:color w:val="auto"/>
              </w:rPr>
            </w:pPr>
            <w:r>
              <w:rPr>
                <w:rFonts w:ascii="Arial" w:cs="Arial" w:eastAsia="Arial" w:hAnsi="Arial"/>
                <w:sz w:val="12"/>
                <w:szCs w:val="12"/>
                <w:color w:val="auto"/>
                <w:w w:val="89"/>
              </w:rPr>
              <w:t>02/01/2026</w:t>
            </w:r>
          </w:p>
        </w:tc>
        <w:tc>
          <w:tcPr>
            <w:tcW w:w="160" w:type="dxa"/>
            <w:vAlign w:val="bottom"/>
            <w:shd w:val="clear" w:color="auto" w:fill="CCECFF"/>
          </w:tcPr>
          <w:p>
            <w:pPr>
              <w:spacing w:after="0"/>
              <w:rPr>
                <w:sz w:val="12"/>
                <w:szCs w:val="12"/>
                <w:color w:val="auto"/>
              </w:rPr>
            </w:pPr>
          </w:p>
        </w:tc>
        <w:tc>
          <w:tcPr>
            <w:tcW w:w="2420" w:type="dxa"/>
            <w:vAlign w:val="bottom"/>
            <w:gridSpan w:val="2"/>
            <w:shd w:val="clear" w:color="auto" w:fill="CCECFF"/>
          </w:tcPr>
          <w:p>
            <w:pPr>
              <w:jc w:val="center"/>
              <w:ind w:right="100"/>
              <w:spacing w:after="0"/>
              <w:rPr>
                <w:sz w:val="20"/>
                <w:szCs w:val="20"/>
                <w:color w:val="auto"/>
              </w:rPr>
            </w:pPr>
            <w:r>
              <w:rPr>
                <w:rFonts w:ascii="Arial" w:cs="Arial" w:eastAsia="Arial" w:hAnsi="Arial"/>
                <w:sz w:val="12"/>
                <w:szCs w:val="12"/>
                <w:color w:val="auto"/>
                <w:w w:val="85"/>
              </w:rPr>
              <w:t>Business Services</w:t>
            </w:r>
          </w:p>
        </w:tc>
        <w:tc>
          <w:tcPr>
            <w:tcW w:w="920" w:type="dxa"/>
            <w:vAlign w:val="bottom"/>
            <w:gridSpan w:val="2"/>
            <w:shd w:val="clear" w:color="auto" w:fill="CCECFF"/>
          </w:tcPr>
          <w:p>
            <w:pPr>
              <w:jc w:val="right"/>
              <w:ind w:right="102"/>
              <w:spacing w:after="0"/>
              <w:rPr>
                <w:sz w:val="20"/>
                <w:szCs w:val="20"/>
                <w:color w:val="auto"/>
              </w:rPr>
            </w:pPr>
            <w:r>
              <w:rPr>
                <w:rFonts w:ascii="Arial" w:cs="Arial" w:eastAsia="Arial" w:hAnsi="Arial"/>
                <w:sz w:val="12"/>
                <w:szCs w:val="12"/>
                <w:color w:val="auto"/>
              </w:rPr>
              <w:t>8.00%</w:t>
            </w:r>
          </w:p>
        </w:tc>
        <w:tc>
          <w:tcPr>
            <w:tcW w:w="90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11,157,124</w:t>
            </w:r>
          </w:p>
        </w:tc>
        <w:tc>
          <w:tcPr>
            <w:tcW w:w="18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11,157,124</w:t>
            </w:r>
          </w:p>
        </w:tc>
        <w:tc>
          <w:tcPr>
            <w:tcW w:w="16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11,101,338</w:t>
            </w:r>
          </w:p>
        </w:tc>
        <w:tc>
          <w:tcPr>
            <w:tcW w:w="8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5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0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23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920" w:type="dxa"/>
            <w:vAlign w:val="bottom"/>
            <w:gridSpan w:val="2"/>
            <w:shd w:val="clear" w:color="auto" w:fill="CCECFF"/>
          </w:tcPr>
          <w:p>
            <w:pPr>
              <w:jc w:val="right"/>
              <w:ind w:right="62"/>
              <w:spacing w:after="0"/>
              <w:rPr>
                <w:sz w:val="20"/>
                <w:szCs w:val="20"/>
                <w:color w:val="auto"/>
              </w:rPr>
            </w:pPr>
            <w:r>
              <w:rPr>
                <w:rFonts w:ascii="Arial" w:cs="Arial" w:eastAsia="Arial" w:hAnsi="Arial"/>
                <w:sz w:val="12"/>
                <w:szCs w:val="12"/>
                <w:color w:val="auto"/>
              </w:rPr>
              <w:t>(PIK 8.00%)</w:t>
            </w:r>
          </w:p>
        </w:tc>
        <w:tc>
          <w:tcPr>
            <w:tcW w:w="74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6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66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3540" w:type="dxa"/>
            <w:vAlign w:val="bottom"/>
          </w:tcPr>
          <w:p>
            <w:pPr>
              <w:spacing w:after="0" w:line="156" w:lineRule="exact"/>
              <w:rPr>
                <w:sz w:val="20"/>
                <w:szCs w:val="20"/>
                <w:color w:val="auto"/>
              </w:rPr>
            </w:pPr>
            <w:r>
              <w:rPr>
                <w:rFonts w:ascii="Arial" w:cs="Arial" w:eastAsia="Arial" w:hAnsi="Arial"/>
                <w:sz w:val="11"/>
                <w:szCs w:val="11"/>
                <w:color w:val="auto"/>
              </w:rPr>
              <w:t xml:space="preserve">DBI Holdings, LLC, Term Loan C </w:t>
            </w:r>
            <w:r>
              <w:rPr>
                <w:rFonts w:ascii="Arial" w:cs="Arial" w:eastAsia="Arial" w:hAnsi="Arial"/>
                <w:sz w:val="18"/>
                <w:szCs w:val="18"/>
                <w:color w:val="auto"/>
                <w:vertAlign w:val="superscript"/>
              </w:rPr>
              <w:t>(7)</w:t>
            </w:r>
          </w:p>
        </w:tc>
        <w:tc>
          <w:tcPr>
            <w:tcW w:w="700" w:type="dxa"/>
            <w:vAlign w:val="bottom"/>
            <w:gridSpan w:val="2"/>
          </w:tcPr>
          <w:p>
            <w:pPr>
              <w:jc w:val="center"/>
              <w:ind w:left="22"/>
              <w:spacing w:after="0"/>
              <w:rPr>
                <w:sz w:val="20"/>
                <w:szCs w:val="20"/>
                <w:color w:val="auto"/>
              </w:rPr>
            </w:pPr>
            <w:r>
              <w:rPr>
                <w:rFonts w:ascii="Arial" w:cs="Arial" w:eastAsia="Arial" w:hAnsi="Arial"/>
                <w:sz w:val="12"/>
                <w:szCs w:val="12"/>
                <w:color w:val="auto"/>
                <w:w w:val="89"/>
              </w:rPr>
              <w:t>03/26/2021</w:t>
            </w:r>
          </w:p>
        </w:tc>
        <w:tc>
          <w:tcPr>
            <w:tcW w:w="160" w:type="dxa"/>
            <w:vAlign w:val="bottom"/>
          </w:tcPr>
          <w:p>
            <w:pPr>
              <w:spacing w:after="0"/>
              <w:rPr>
                <w:sz w:val="13"/>
                <w:szCs w:val="13"/>
                <w:color w:val="auto"/>
              </w:rPr>
            </w:pPr>
          </w:p>
        </w:tc>
        <w:tc>
          <w:tcPr>
            <w:tcW w:w="2420" w:type="dxa"/>
            <w:vAlign w:val="bottom"/>
            <w:gridSpan w:val="2"/>
          </w:tcPr>
          <w:p>
            <w:pPr>
              <w:jc w:val="center"/>
              <w:ind w:right="100"/>
              <w:spacing w:after="0"/>
              <w:rPr>
                <w:sz w:val="20"/>
                <w:szCs w:val="20"/>
                <w:color w:val="auto"/>
              </w:rPr>
            </w:pPr>
            <w:r>
              <w:rPr>
                <w:rFonts w:ascii="Arial" w:cs="Arial" w:eastAsia="Arial" w:hAnsi="Arial"/>
                <w:sz w:val="12"/>
                <w:szCs w:val="12"/>
                <w:color w:val="auto"/>
                <w:w w:val="85"/>
              </w:rPr>
              <w:t>Business Services</w:t>
            </w:r>
          </w:p>
        </w:tc>
        <w:tc>
          <w:tcPr>
            <w:tcW w:w="920" w:type="dxa"/>
            <w:vAlign w:val="bottom"/>
            <w:gridSpan w:val="2"/>
          </w:tcPr>
          <w:p>
            <w:pPr>
              <w:jc w:val="right"/>
              <w:ind w:right="102"/>
              <w:spacing w:after="0"/>
              <w:rPr>
                <w:sz w:val="20"/>
                <w:szCs w:val="20"/>
                <w:color w:val="auto"/>
              </w:rPr>
            </w:pPr>
            <w:r>
              <w:rPr>
                <w:rFonts w:ascii="Arial" w:cs="Arial" w:eastAsia="Arial" w:hAnsi="Arial"/>
                <w:sz w:val="12"/>
                <w:szCs w:val="12"/>
                <w:color w:val="auto"/>
              </w:rPr>
              <w:t>8.00%</w:t>
            </w:r>
          </w:p>
        </w:tc>
        <w:tc>
          <w:tcPr>
            <w:tcW w:w="90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22,312</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22,312</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22,312</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1"/>
        </w:trPr>
        <w:tc>
          <w:tcPr>
            <w:tcW w:w="3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right"/>
              <w:ind w:right="62"/>
              <w:spacing w:after="0"/>
              <w:rPr>
                <w:sz w:val="20"/>
                <w:szCs w:val="20"/>
                <w:color w:val="auto"/>
              </w:rPr>
            </w:pPr>
            <w:r>
              <w:rPr>
                <w:rFonts w:ascii="Arial" w:cs="Arial" w:eastAsia="Arial" w:hAnsi="Arial"/>
                <w:sz w:val="12"/>
                <w:szCs w:val="12"/>
                <w:color w:val="auto"/>
              </w:rPr>
              <w:t>(PIK 8.00%)</w:t>
            </w: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540" w:type="dxa"/>
            <w:vAlign w:val="bottom"/>
            <w:shd w:val="clear" w:color="auto" w:fill="CCECFF"/>
          </w:tcPr>
          <w:p>
            <w:pPr>
              <w:spacing w:after="0"/>
              <w:rPr>
                <w:sz w:val="20"/>
                <w:szCs w:val="20"/>
                <w:color w:val="auto"/>
              </w:rPr>
            </w:pPr>
            <w:r>
              <w:rPr>
                <w:rFonts w:ascii="Arial" w:cs="Arial" w:eastAsia="Arial" w:hAnsi="Arial"/>
                <w:sz w:val="12"/>
                <w:szCs w:val="12"/>
                <w:color w:val="auto"/>
              </w:rPr>
              <w:t>DecoPac, Inc.</w:t>
            </w:r>
          </w:p>
        </w:tc>
        <w:tc>
          <w:tcPr>
            <w:tcW w:w="700" w:type="dxa"/>
            <w:vAlign w:val="bottom"/>
            <w:gridSpan w:val="2"/>
            <w:shd w:val="clear" w:color="auto" w:fill="CCECFF"/>
          </w:tcPr>
          <w:p>
            <w:pPr>
              <w:jc w:val="center"/>
              <w:ind w:left="22"/>
              <w:spacing w:after="0"/>
              <w:rPr>
                <w:sz w:val="20"/>
                <w:szCs w:val="20"/>
                <w:color w:val="auto"/>
              </w:rPr>
            </w:pPr>
            <w:r>
              <w:rPr>
                <w:rFonts w:ascii="Arial" w:cs="Arial" w:eastAsia="Arial" w:hAnsi="Arial"/>
                <w:sz w:val="12"/>
                <w:szCs w:val="12"/>
                <w:color w:val="auto"/>
                <w:w w:val="89"/>
              </w:rPr>
              <w:t>03/31/2025</w:t>
            </w:r>
          </w:p>
        </w:tc>
        <w:tc>
          <w:tcPr>
            <w:tcW w:w="160" w:type="dxa"/>
            <w:vAlign w:val="bottom"/>
            <w:shd w:val="clear" w:color="auto" w:fill="CCECFF"/>
          </w:tcPr>
          <w:p>
            <w:pPr>
              <w:spacing w:after="0"/>
              <w:rPr>
                <w:sz w:val="12"/>
                <w:szCs w:val="12"/>
                <w:color w:val="auto"/>
              </w:rPr>
            </w:pPr>
          </w:p>
        </w:tc>
        <w:tc>
          <w:tcPr>
            <w:tcW w:w="2420" w:type="dxa"/>
            <w:vAlign w:val="bottom"/>
            <w:gridSpan w:val="2"/>
            <w:shd w:val="clear" w:color="auto" w:fill="CCECFF"/>
          </w:tcPr>
          <w:p>
            <w:pPr>
              <w:jc w:val="center"/>
              <w:ind w:right="100"/>
              <w:spacing w:after="0"/>
              <w:rPr>
                <w:sz w:val="20"/>
                <w:szCs w:val="20"/>
                <w:color w:val="auto"/>
              </w:rPr>
            </w:pPr>
            <w:r>
              <w:rPr>
                <w:rFonts w:ascii="Arial" w:cs="Arial" w:eastAsia="Arial" w:hAnsi="Arial"/>
                <w:sz w:val="12"/>
                <w:szCs w:val="12"/>
                <w:color w:val="auto"/>
                <w:w w:val="85"/>
              </w:rPr>
              <w:t>Beverage, Food and Tobacco</w:t>
            </w:r>
          </w:p>
        </w:tc>
        <w:tc>
          <w:tcPr>
            <w:tcW w:w="920" w:type="dxa"/>
            <w:vAlign w:val="bottom"/>
            <w:gridSpan w:val="2"/>
            <w:shd w:val="clear" w:color="auto" w:fill="CCECFF"/>
          </w:tcPr>
          <w:p>
            <w:pPr>
              <w:jc w:val="right"/>
              <w:ind w:right="102"/>
              <w:spacing w:after="0"/>
              <w:rPr>
                <w:sz w:val="20"/>
                <w:szCs w:val="20"/>
                <w:color w:val="auto"/>
              </w:rPr>
            </w:pPr>
            <w:r>
              <w:rPr>
                <w:rFonts w:ascii="Arial" w:cs="Arial" w:eastAsia="Arial" w:hAnsi="Arial"/>
                <w:sz w:val="12"/>
                <w:szCs w:val="12"/>
                <w:color w:val="auto"/>
              </w:rPr>
              <w:t>10.19%</w:t>
            </w:r>
          </w:p>
        </w:tc>
        <w:tc>
          <w:tcPr>
            <w:tcW w:w="90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3M L+825</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9,738,580</w:t>
            </w:r>
          </w:p>
        </w:tc>
        <w:tc>
          <w:tcPr>
            <w:tcW w:w="18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9,644,869</w:t>
            </w:r>
          </w:p>
        </w:tc>
        <w:tc>
          <w:tcPr>
            <w:tcW w:w="16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9,738,580</w:t>
            </w:r>
          </w:p>
        </w:tc>
        <w:tc>
          <w:tcPr>
            <w:tcW w:w="8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3540" w:type="dxa"/>
            <w:vAlign w:val="bottom"/>
          </w:tcPr>
          <w:p>
            <w:pPr>
              <w:spacing w:after="0"/>
              <w:rPr>
                <w:sz w:val="20"/>
                <w:szCs w:val="20"/>
                <w:color w:val="auto"/>
              </w:rPr>
            </w:pPr>
            <w:r>
              <w:rPr>
                <w:rFonts w:ascii="Arial" w:cs="Arial" w:eastAsia="Arial" w:hAnsi="Arial"/>
                <w:sz w:val="12"/>
                <w:szCs w:val="12"/>
                <w:color w:val="auto"/>
              </w:rPr>
              <w:t>MailSouth, Inc.</w:t>
            </w:r>
          </w:p>
        </w:tc>
        <w:tc>
          <w:tcPr>
            <w:tcW w:w="700" w:type="dxa"/>
            <w:vAlign w:val="bottom"/>
            <w:gridSpan w:val="2"/>
          </w:tcPr>
          <w:p>
            <w:pPr>
              <w:jc w:val="center"/>
              <w:ind w:left="22"/>
              <w:spacing w:after="0"/>
              <w:rPr>
                <w:sz w:val="20"/>
                <w:szCs w:val="20"/>
                <w:color w:val="auto"/>
              </w:rPr>
            </w:pPr>
            <w:r>
              <w:rPr>
                <w:rFonts w:ascii="Arial" w:cs="Arial" w:eastAsia="Arial" w:hAnsi="Arial"/>
                <w:sz w:val="12"/>
                <w:szCs w:val="12"/>
                <w:color w:val="auto"/>
                <w:w w:val="89"/>
              </w:rPr>
              <w:t>10/23/2024</w:t>
            </w:r>
          </w:p>
        </w:tc>
        <w:tc>
          <w:tcPr>
            <w:tcW w:w="160" w:type="dxa"/>
            <w:vAlign w:val="bottom"/>
          </w:tcPr>
          <w:p>
            <w:pPr>
              <w:spacing w:after="0"/>
              <w:rPr>
                <w:sz w:val="13"/>
                <w:szCs w:val="13"/>
                <w:color w:val="auto"/>
              </w:rPr>
            </w:pPr>
          </w:p>
        </w:tc>
        <w:tc>
          <w:tcPr>
            <w:tcW w:w="2420" w:type="dxa"/>
            <w:vAlign w:val="bottom"/>
            <w:gridSpan w:val="2"/>
          </w:tcPr>
          <w:p>
            <w:pPr>
              <w:jc w:val="center"/>
              <w:ind w:right="100"/>
              <w:spacing w:after="0"/>
              <w:rPr>
                <w:sz w:val="20"/>
                <w:szCs w:val="20"/>
                <w:color w:val="auto"/>
              </w:rPr>
            </w:pPr>
            <w:r>
              <w:rPr>
                <w:rFonts w:ascii="Arial" w:cs="Arial" w:eastAsia="Arial" w:hAnsi="Arial"/>
                <w:sz w:val="12"/>
                <w:szCs w:val="12"/>
                <w:color w:val="auto"/>
                <w:w w:val="91"/>
              </w:rPr>
              <w:t>Media: Advertising, Printing and Publishing</w:t>
            </w:r>
          </w:p>
        </w:tc>
        <w:tc>
          <w:tcPr>
            <w:tcW w:w="920" w:type="dxa"/>
            <w:vAlign w:val="bottom"/>
            <w:gridSpan w:val="2"/>
            <w:vMerge w:val="restart"/>
          </w:tcPr>
          <w:p>
            <w:pPr>
              <w:jc w:val="right"/>
              <w:ind w:right="102"/>
              <w:spacing w:after="0"/>
              <w:rPr>
                <w:sz w:val="20"/>
                <w:szCs w:val="20"/>
                <w:color w:val="auto"/>
              </w:rPr>
            </w:pPr>
            <w:r>
              <w:rPr>
                <w:rFonts w:ascii="Arial" w:cs="Arial" w:eastAsia="Arial" w:hAnsi="Arial"/>
                <w:sz w:val="12"/>
                <w:szCs w:val="12"/>
                <w:color w:val="auto"/>
              </w:rPr>
              <w:t>12.00%</w:t>
            </w:r>
          </w:p>
        </w:tc>
        <w:tc>
          <w:tcPr>
            <w:tcW w:w="900" w:type="dxa"/>
            <w:vAlign w:val="bottom"/>
            <w:gridSpan w:val="2"/>
            <w:vMerge w:val="restart"/>
          </w:tcPr>
          <w:p>
            <w:pPr>
              <w:jc w:val="right"/>
              <w:ind w:right="180"/>
              <w:spacing w:after="0"/>
              <w:rPr>
                <w:sz w:val="20"/>
                <w:szCs w:val="20"/>
                <w:color w:val="auto"/>
              </w:rPr>
            </w:pPr>
            <w:r>
              <w:rPr>
                <w:rFonts w:ascii="Arial" w:cs="Arial" w:eastAsia="Arial" w:hAnsi="Arial"/>
                <w:sz w:val="12"/>
                <w:szCs w:val="12"/>
                <w:color w:val="auto"/>
              </w:rPr>
              <w:t>12M L+925</w:t>
            </w:r>
          </w:p>
        </w:tc>
        <w:tc>
          <w:tcPr>
            <w:tcW w:w="680" w:type="dxa"/>
            <w:vAlign w:val="bottom"/>
            <w:vMerge w:val="restart"/>
          </w:tcPr>
          <w:p>
            <w:pPr>
              <w:jc w:val="right"/>
              <w:spacing w:after="0"/>
              <w:rPr>
                <w:sz w:val="20"/>
                <w:szCs w:val="20"/>
                <w:color w:val="auto"/>
              </w:rPr>
            </w:pPr>
            <w:r>
              <w:rPr>
                <w:rFonts w:ascii="Arial" w:cs="Arial" w:eastAsia="Arial" w:hAnsi="Arial"/>
                <w:sz w:val="12"/>
                <w:szCs w:val="12"/>
                <w:color w:val="auto"/>
              </w:rPr>
              <w:t>2,871,025</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vMerge w:val="restart"/>
          </w:tcPr>
          <w:p>
            <w:pPr>
              <w:jc w:val="right"/>
              <w:spacing w:after="0"/>
              <w:rPr>
                <w:sz w:val="20"/>
                <w:szCs w:val="20"/>
                <w:color w:val="auto"/>
              </w:rPr>
            </w:pPr>
            <w:r>
              <w:rPr>
                <w:rFonts w:ascii="Arial" w:cs="Arial" w:eastAsia="Arial" w:hAnsi="Arial"/>
                <w:sz w:val="12"/>
                <w:szCs w:val="12"/>
                <w:color w:val="auto"/>
              </w:rPr>
              <w:t>2,823,634</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vMerge w:val="restart"/>
          </w:tcPr>
          <w:p>
            <w:pPr>
              <w:jc w:val="right"/>
              <w:spacing w:after="0"/>
              <w:rPr>
                <w:sz w:val="20"/>
                <w:szCs w:val="20"/>
                <w:color w:val="auto"/>
              </w:rPr>
            </w:pPr>
            <w:r>
              <w:rPr>
                <w:rFonts w:ascii="Arial" w:cs="Arial" w:eastAsia="Arial" w:hAnsi="Arial"/>
                <w:sz w:val="12"/>
                <w:szCs w:val="12"/>
                <w:color w:val="auto"/>
              </w:rPr>
              <w:t>2,784,894</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8"/>
        </w:trPr>
        <w:tc>
          <w:tcPr>
            <w:tcW w:w="3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gridSpan w:val="2"/>
            <w:vMerge w:val="continue"/>
          </w:tcPr>
          <w:p>
            <w:pPr>
              <w:spacing w:after="0"/>
              <w:rPr>
                <w:sz w:val="11"/>
                <w:szCs w:val="11"/>
                <w:color w:val="auto"/>
              </w:rPr>
            </w:pPr>
          </w:p>
        </w:tc>
        <w:tc>
          <w:tcPr>
            <w:tcW w:w="900" w:type="dxa"/>
            <w:vAlign w:val="bottom"/>
            <w:gridSpan w:val="2"/>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540" w:type="dxa"/>
            <w:vAlign w:val="bottom"/>
            <w:shd w:val="clear" w:color="auto" w:fill="CCECFF"/>
          </w:tcPr>
          <w:p>
            <w:pPr>
              <w:spacing w:after="0" w:line="149" w:lineRule="exact"/>
              <w:rPr>
                <w:sz w:val="20"/>
                <w:szCs w:val="20"/>
                <w:color w:val="auto"/>
              </w:rPr>
            </w:pPr>
            <w:r>
              <w:rPr>
                <w:rFonts w:ascii="Arial" w:cs="Arial" w:eastAsia="Arial" w:hAnsi="Arial"/>
                <w:sz w:val="11"/>
                <w:szCs w:val="11"/>
                <w:color w:val="auto"/>
              </w:rPr>
              <w:t xml:space="preserve">PT Network Intermediate Holdings, LLC </w:t>
            </w:r>
            <w:r>
              <w:rPr>
                <w:rFonts w:ascii="Arial" w:cs="Arial" w:eastAsia="Arial" w:hAnsi="Arial"/>
                <w:sz w:val="17"/>
                <w:szCs w:val="17"/>
                <w:color w:val="auto"/>
                <w:vertAlign w:val="superscript"/>
              </w:rPr>
              <w:t>(7)</w:t>
            </w:r>
          </w:p>
        </w:tc>
        <w:tc>
          <w:tcPr>
            <w:tcW w:w="700" w:type="dxa"/>
            <w:vAlign w:val="bottom"/>
            <w:gridSpan w:val="2"/>
            <w:shd w:val="clear" w:color="auto" w:fill="CCECFF"/>
          </w:tcPr>
          <w:p>
            <w:pPr>
              <w:jc w:val="center"/>
              <w:ind w:left="22"/>
              <w:spacing w:after="0"/>
              <w:rPr>
                <w:sz w:val="20"/>
                <w:szCs w:val="20"/>
                <w:color w:val="auto"/>
              </w:rPr>
            </w:pPr>
            <w:r>
              <w:rPr>
                <w:rFonts w:ascii="Arial" w:cs="Arial" w:eastAsia="Arial" w:hAnsi="Arial"/>
                <w:sz w:val="12"/>
                <w:szCs w:val="12"/>
                <w:color w:val="auto"/>
                <w:w w:val="89"/>
              </w:rPr>
              <w:t>11/30/2024</w:t>
            </w:r>
          </w:p>
        </w:tc>
        <w:tc>
          <w:tcPr>
            <w:tcW w:w="160" w:type="dxa"/>
            <w:vAlign w:val="bottom"/>
            <w:shd w:val="clear" w:color="auto" w:fill="CCECFF"/>
          </w:tcPr>
          <w:p>
            <w:pPr>
              <w:spacing w:after="0"/>
              <w:rPr>
                <w:sz w:val="12"/>
                <w:szCs w:val="12"/>
                <w:color w:val="auto"/>
              </w:rPr>
            </w:pPr>
          </w:p>
        </w:tc>
        <w:tc>
          <w:tcPr>
            <w:tcW w:w="2420" w:type="dxa"/>
            <w:vAlign w:val="bottom"/>
            <w:gridSpan w:val="2"/>
            <w:shd w:val="clear" w:color="auto" w:fill="CCECFF"/>
          </w:tcPr>
          <w:p>
            <w:pPr>
              <w:jc w:val="center"/>
              <w:ind w:right="120"/>
              <w:spacing w:after="0"/>
              <w:rPr>
                <w:sz w:val="20"/>
                <w:szCs w:val="20"/>
                <w:color w:val="auto"/>
              </w:rPr>
            </w:pPr>
            <w:r>
              <w:rPr>
                <w:rFonts w:ascii="Arial" w:cs="Arial" w:eastAsia="Arial" w:hAnsi="Arial"/>
                <w:sz w:val="12"/>
                <w:szCs w:val="12"/>
                <w:color w:val="auto"/>
                <w:w w:val="86"/>
              </w:rPr>
              <w:t>Healthcare and Pharmaceuticals</w:t>
            </w:r>
          </w:p>
        </w:tc>
        <w:tc>
          <w:tcPr>
            <w:tcW w:w="920" w:type="dxa"/>
            <w:vAlign w:val="bottom"/>
            <w:gridSpan w:val="2"/>
            <w:shd w:val="clear" w:color="auto" w:fill="CCECFF"/>
          </w:tcPr>
          <w:p>
            <w:pPr>
              <w:jc w:val="right"/>
              <w:ind w:right="102"/>
              <w:spacing w:after="0"/>
              <w:rPr>
                <w:sz w:val="20"/>
                <w:szCs w:val="20"/>
                <w:color w:val="auto"/>
              </w:rPr>
            </w:pPr>
            <w:r>
              <w:rPr>
                <w:rFonts w:ascii="Arial" w:cs="Arial" w:eastAsia="Arial" w:hAnsi="Arial"/>
                <w:sz w:val="12"/>
                <w:szCs w:val="12"/>
                <w:color w:val="auto"/>
              </w:rPr>
              <w:t>12.00%</w:t>
            </w:r>
          </w:p>
        </w:tc>
        <w:tc>
          <w:tcPr>
            <w:tcW w:w="90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3M L+1,000</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1,923,030</w:t>
            </w:r>
          </w:p>
        </w:tc>
        <w:tc>
          <w:tcPr>
            <w:tcW w:w="18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1,905,664</w:t>
            </w:r>
          </w:p>
        </w:tc>
        <w:tc>
          <w:tcPr>
            <w:tcW w:w="16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1,913,414</w:t>
            </w:r>
          </w:p>
        </w:tc>
        <w:tc>
          <w:tcPr>
            <w:tcW w:w="8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0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23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920" w:type="dxa"/>
            <w:vAlign w:val="bottom"/>
            <w:gridSpan w:val="2"/>
            <w:shd w:val="clear" w:color="auto" w:fill="CCECFF"/>
          </w:tcPr>
          <w:p>
            <w:pPr>
              <w:jc w:val="right"/>
              <w:ind w:right="62"/>
              <w:spacing w:after="0"/>
              <w:rPr>
                <w:sz w:val="20"/>
                <w:szCs w:val="20"/>
                <w:color w:val="auto"/>
              </w:rPr>
            </w:pPr>
            <w:r>
              <w:rPr>
                <w:rFonts w:ascii="Arial" w:cs="Arial" w:eastAsia="Arial" w:hAnsi="Arial"/>
                <w:sz w:val="12"/>
                <w:szCs w:val="12"/>
                <w:color w:val="auto"/>
              </w:rPr>
              <w:t>(PIK 12.00%)</w:t>
            </w:r>
          </w:p>
        </w:tc>
        <w:tc>
          <w:tcPr>
            <w:tcW w:w="74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100" w:type="dxa"/>
            <w:vAlign w:val="bottom"/>
            <w:tcBorders>
              <w:bottom w:val="single" w:sz="8" w:color="auto"/>
            </w:tcBorders>
            <w:shd w:val="clear" w:color="auto" w:fill="CCECFF"/>
          </w:tcPr>
          <w:p>
            <w:pPr>
              <w:spacing w:after="0"/>
              <w:rPr>
                <w:sz w:val="12"/>
                <w:szCs w:val="12"/>
                <w:color w:val="auto"/>
              </w:rPr>
            </w:pPr>
          </w:p>
        </w:tc>
        <w:tc>
          <w:tcPr>
            <w:tcW w:w="660" w:type="dxa"/>
            <w:vAlign w:val="bottom"/>
            <w:tcBorders>
              <w:bottom w:val="single" w:sz="8" w:color="auto"/>
            </w:tcBorders>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140" w:type="dxa"/>
            <w:vAlign w:val="bottom"/>
            <w:tcBorders>
              <w:bottom w:val="single" w:sz="8" w:color="auto"/>
            </w:tcBorders>
            <w:shd w:val="clear" w:color="auto" w:fill="CCECFF"/>
          </w:tcPr>
          <w:p>
            <w:pPr>
              <w:spacing w:after="0"/>
              <w:rPr>
                <w:sz w:val="12"/>
                <w:szCs w:val="12"/>
                <w:color w:val="auto"/>
              </w:rPr>
            </w:pPr>
          </w:p>
        </w:tc>
        <w:tc>
          <w:tcPr>
            <w:tcW w:w="660" w:type="dxa"/>
            <w:vAlign w:val="bottom"/>
            <w:tcBorders>
              <w:bottom w:val="single" w:sz="8" w:color="auto"/>
            </w:tcBorders>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540" w:type="dxa"/>
            <w:vAlign w:val="bottom"/>
            <w:tcBorders>
              <w:bottom w:val="single" w:sz="8" w:color="CCECFF"/>
            </w:tcBorders>
          </w:tcPr>
          <w:p>
            <w:pPr>
              <w:spacing w:after="0"/>
              <w:rPr>
                <w:sz w:val="20"/>
                <w:szCs w:val="20"/>
                <w:color w:val="auto"/>
              </w:rPr>
            </w:pPr>
            <w:r>
              <w:rPr>
                <w:rFonts w:ascii="Arial" w:cs="Arial" w:eastAsia="Arial" w:hAnsi="Arial"/>
                <w:sz w:val="12"/>
                <w:szCs w:val="12"/>
                <w:b w:val="1"/>
                <w:bCs w:val="1"/>
                <w:color w:val="auto"/>
              </w:rPr>
              <w:t>Total Second Lien Secured Debt</w:t>
            </w:r>
          </w:p>
        </w:tc>
        <w:tc>
          <w:tcPr>
            <w:tcW w:w="100" w:type="dxa"/>
            <w:vAlign w:val="bottom"/>
            <w:tcBorders>
              <w:bottom w:val="single" w:sz="8" w:color="CCECFF"/>
            </w:tcBorders>
          </w:tcPr>
          <w:p>
            <w:pPr>
              <w:spacing w:after="0"/>
              <w:rPr>
                <w:sz w:val="12"/>
                <w:szCs w:val="12"/>
                <w:color w:val="auto"/>
              </w:rPr>
            </w:pPr>
          </w:p>
        </w:tc>
        <w:tc>
          <w:tcPr>
            <w:tcW w:w="600" w:type="dxa"/>
            <w:vAlign w:val="bottom"/>
            <w:tcBorders>
              <w:bottom w:val="single" w:sz="8" w:color="CCECFF"/>
            </w:tcBorders>
          </w:tcPr>
          <w:p>
            <w:pPr>
              <w:spacing w:after="0"/>
              <w:rPr>
                <w:sz w:val="12"/>
                <w:szCs w:val="12"/>
                <w:color w:val="auto"/>
              </w:rPr>
            </w:pPr>
          </w:p>
        </w:tc>
        <w:tc>
          <w:tcPr>
            <w:tcW w:w="160" w:type="dxa"/>
            <w:vAlign w:val="bottom"/>
            <w:tcBorders>
              <w:bottom w:val="single" w:sz="8" w:color="CCECFF"/>
            </w:tcBorders>
          </w:tcPr>
          <w:p>
            <w:pPr>
              <w:spacing w:after="0"/>
              <w:rPr>
                <w:sz w:val="12"/>
                <w:szCs w:val="12"/>
                <w:color w:val="auto"/>
              </w:rPr>
            </w:pPr>
          </w:p>
        </w:tc>
        <w:tc>
          <w:tcPr>
            <w:tcW w:w="2320" w:type="dxa"/>
            <w:vAlign w:val="bottom"/>
            <w:tcBorders>
              <w:bottom w:val="single" w:sz="8" w:color="CCECFF"/>
            </w:tcBorders>
          </w:tcPr>
          <w:p>
            <w:pPr>
              <w:spacing w:after="0"/>
              <w:rPr>
                <w:sz w:val="12"/>
                <w:szCs w:val="12"/>
                <w:color w:val="auto"/>
              </w:rPr>
            </w:pPr>
          </w:p>
        </w:tc>
        <w:tc>
          <w:tcPr>
            <w:tcW w:w="100" w:type="dxa"/>
            <w:vAlign w:val="bottom"/>
            <w:tcBorders>
              <w:bottom w:val="single" w:sz="8" w:color="CCECFF"/>
            </w:tcBorders>
          </w:tcPr>
          <w:p>
            <w:pPr>
              <w:spacing w:after="0"/>
              <w:rPr>
                <w:sz w:val="12"/>
                <w:szCs w:val="12"/>
                <w:color w:val="auto"/>
              </w:rPr>
            </w:pPr>
          </w:p>
        </w:tc>
        <w:tc>
          <w:tcPr>
            <w:tcW w:w="660" w:type="dxa"/>
            <w:vAlign w:val="bottom"/>
            <w:tcBorders>
              <w:bottom w:val="single" w:sz="8" w:color="CCECFF"/>
            </w:tcBorders>
          </w:tcPr>
          <w:p>
            <w:pPr>
              <w:spacing w:after="0"/>
              <w:rPr>
                <w:sz w:val="12"/>
                <w:szCs w:val="12"/>
                <w:color w:val="auto"/>
              </w:rPr>
            </w:pPr>
          </w:p>
        </w:tc>
        <w:tc>
          <w:tcPr>
            <w:tcW w:w="260" w:type="dxa"/>
            <w:vAlign w:val="bottom"/>
            <w:tcBorders>
              <w:bottom w:val="single" w:sz="8" w:color="CCECFF"/>
            </w:tcBorders>
          </w:tcPr>
          <w:p>
            <w:pPr>
              <w:spacing w:after="0"/>
              <w:rPr>
                <w:sz w:val="12"/>
                <w:szCs w:val="12"/>
                <w:color w:val="auto"/>
              </w:rPr>
            </w:pPr>
          </w:p>
        </w:tc>
        <w:tc>
          <w:tcPr>
            <w:tcW w:w="740" w:type="dxa"/>
            <w:vAlign w:val="bottom"/>
            <w:tcBorders>
              <w:bottom w:val="single" w:sz="8" w:color="CCECFF"/>
            </w:tcBorders>
          </w:tcPr>
          <w:p>
            <w:pPr>
              <w:spacing w:after="0"/>
              <w:rPr>
                <w:sz w:val="12"/>
                <w:szCs w:val="12"/>
                <w:color w:val="auto"/>
              </w:rPr>
            </w:pPr>
          </w:p>
        </w:tc>
        <w:tc>
          <w:tcPr>
            <w:tcW w:w="160" w:type="dxa"/>
            <w:vAlign w:val="bottom"/>
            <w:tcBorders>
              <w:bottom w:val="single" w:sz="8" w:color="CCECFF"/>
            </w:tcBorders>
          </w:tcPr>
          <w:p>
            <w:pPr>
              <w:spacing w:after="0"/>
              <w:rPr>
                <w:sz w:val="12"/>
                <w:szCs w:val="12"/>
                <w:color w:val="auto"/>
              </w:rPr>
            </w:pPr>
          </w:p>
        </w:tc>
        <w:tc>
          <w:tcPr>
            <w:tcW w:w="680" w:type="dxa"/>
            <w:vAlign w:val="bottom"/>
            <w:tcBorders>
              <w:bottom w:val="single" w:sz="8" w:color="CCECFF"/>
            </w:tcBorders>
          </w:tcPr>
          <w:p>
            <w:pPr>
              <w:spacing w:after="0"/>
              <w:rPr>
                <w:sz w:val="12"/>
                <w:szCs w:val="12"/>
                <w:color w:val="auto"/>
              </w:rPr>
            </w:pPr>
          </w:p>
        </w:tc>
        <w:tc>
          <w:tcPr>
            <w:tcW w:w="180" w:type="dxa"/>
            <w:vAlign w:val="bottom"/>
            <w:tcBorders>
              <w:bottom w:val="single" w:sz="8" w:color="CCEC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27,182,614</w:t>
            </w:r>
          </w:p>
        </w:tc>
        <w:tc>
          <w:tcPr>
            <w:tcW w:w="160" w:type="dxa"/>
            <w:vAlign w:val="bottom"/>
            <w:tcBorders>
              <w:bottom w:val="single" w:sz="8" w:color="CCEC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27,199,159</w:t>
            </w:r>
          </w:p>
        </w:tc>
        <w:tc>
          <w:tcPr>
            <w:tcW w:w="80" w:type="dxa"/>
            <w:vAlign w:val="bottom"/>
            <w:tcBorders>
              <w:bottom w:val="single" w:sz="8" w:color="CCEC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540" w:type="dxa"/>
            <w:vAlign w:val="bottom"/>
            <w:shd w:val="clear" w:color="auto" w:fill="CCECFF"/>
          </w:tcPr>
          <w:p>
            <w:pPr>
              <w:spacing w:after="0" w:line="142" w:lineRule="exact"/>
              <w:rPr>
                <w:sz w:val="20"/>
                <w:szCs w:val="20"/>
                <w:color w:val="auto"/>
              </w:rPr>
            </w:pPr>
            <w:r>
              <w:rPr>
                <w:rFonts w:ascii="Arial" w:cs="Arial" w:eastAsia="Arial" w:hAnsi="Arial"/>
                <w:sz w:val="10"/>
                <w:szCs w:val="10"/>
                <w:b w:val="1"/>
                <w:bCs w:val="1"/>
                <w:color w:val="auto"/>
              </w:rPr>
              <w:t xml:space="preserve">Preferred Equity— 1.9% </w:t>
            </w:r>
            <w:r>
              <w:rPr>
                <w:rFonts w:ascii="Arial" w:cs="Arial" w:eastAsia="Arial" w:hAnsi="Arial"/>
                <w:sz w:val="16"/>
                <w:szCs w:val="16"/>
                <w:b w:val="1"/>
                <w:bCs w:val="1"/>
                <w:color w:val="auto"/>
                <w:vertAlign w:val="superscript"/>
              </w:rPr>
              <w:t>(6)</w:t>
            </w:r>
          </w:p>
        </w:tc>
        <w:tc>
          <w:tcPr>
            <w:tcW w:w="100" w:type="dxa"/>
            <w:vAlign w:val="bottom"/>
            <w:shd w:val="clear" w:color="auto" w:fill="CCECFF"/>
          </w:tcPr>
          <w:p>
            <w:pPr>
              <w:spacing w:after="0"/>
              <w:rPr>
                <w:sz w:val="12"/>
                <w:szCs w:val="12"/>
                <w:color w:val="auto"/>
              </w:rPr>
            </w:pPr>
          </w:p>
        </w:tc>
        <w:tc>
          <w:tcPr>
            <w:tcW w:w="60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23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60" w:type="dxa"/>
            <w:vAlign w:val="bottom"/>
            <w:shd w:val="clear" w:color="auto" w:fill="CCECFF"/>
          </w:tcPr>
          <w:p>
            <w:pPr>
              <w:spacing w:after="0"/>
              <w:rPr>
                <w:sz w:val="12"/>
                <w:szCs w:val="12"/>
                <w:color w:val="auto"/>
              </w:rPr>
            </w:pPr>
          </w:p>
        </w:tc>
        <w:tc>
          <w:tcPr>
            <w:tcW w:w="260" w:type="dxa"/>
            <w:vAlign w:val="bottom"/>
            <w:shd w:val="clear" w:color="auto" w:fill="CCECFF"/>
          </w:tcPr>
          <w:p>
            <w:pPr>
              <w:spacing w:after="0"/>
              <w:rPr>
                <w:sz w:val="12"/>
                <w:szCs w:val="12"/>
                <w:color w:val="auto"/>
              </w:rPr>
            </w:pPr>
          </w:p>
        </w:tc>
        <w:tc>
          <w:tcPr>
            <w:tcW w:w="74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6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66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540" w:type="dxa"/>
            <w:vAlign w:val="bottom"/>
          </w:tcPr>
          <w:p>
            <w:pPr>
              <w:spacing w:after="0"/>
              <w:rPr>
                <w:sz w:val="20"/>
                <w:szCs w:val="20"/>
                <w:color w:val="auto"/>
              </w:rPr>
            </w:pPr>
            <w:r>
              <w:rPr>
                <w:rFonts w:ascii="Arial" w:cs="Arial" w:eastAsia="Arial" w:hAnsi="Arial"/>
                <w:sz w:val="12"/>
                <w:szCs w:val="12"/>
                <w:color w:val="auto"/>
              </w:rPr>
              <w:t>CI (PTN) Investment Holdings II, LLC</w:t>
            </w:r>
          </w:p>
        </w:tc>
        <w:tc>
          <w:tcPr>
            <w:tcW w:w="100" w:type="dxa"/>
            <w:vAlign w:val="bottom"/>
          </w:tcPr>
          <w:p>
            <w:pPr>
              <w:spacing w:after="0"/>
              <w:rPr>
                <w:sz w:val="12"/>
                <w:szCs w:val="12"/>
                <w:color w:val="auto"/>
              </w:rPr>
            </w:pPr>
          </w:p>
        </w:tc>
        <w:tc>
          <w:tcPr>
            <w:tcW w:w="760" w:type="dxa"/>
            <w:vAlign w:val="bottom"/>
            <w:gridSpan w:val="2"/>
          </w:tcPr>
          <w:p>
            <w:pPr>
              <w:ind w:left="300"/>
              <w:spacing w:after="0"/>
              <w:rPr>
                <w:sz w:val="20"/>
                <w:szCs w:val="20"/>
                <w:color w:val="auto"/>
              </w:rPr>
            </w:pPr>
            <w:r>
              <w:rPr>
                <w:rFonts w:ascii="Arial" w:cs="Arial" w:eastAsia="Arial" w:hAnsi="Arial"/>
                <w:sz w:val="12"/>
                <w:szCs w:val="12"/>
                <w:color w:val="auto"/>
              </w:rPr>
              <w:t>—</w:t>
            </w:r>
          </w:p>
        </w:tc>
        <w:tc>
          <w:tcPr>
            <w:tcW w:w="2420" w:type="dxa"/>
            <w:vAlign w:val="bottom"/>
            <w:gridSpan w:val="2"/>
          </w:tcPr>
          <w:p>
            <w:pPr>
              <w:jc w:val="center"/>
              <w:ind w:right="120"/>
              <w:spacing w:after="0"/>
              <w:rPr>
                <w:sz w:val="20"/>
                <w:szCs w:val="20"/>
                <w:color w:val="auto"/>
              </w:rPr>
            </w:pPr>
            <w:r>
              <w:rPr>
                <w:rFonts w:ascii="Arial" w:cs="Arial" w:eastAsia="Arial" w:hAnsi="Arial"/>
                <w:sz w:val="12"/>
                <w:szCs w:val="12"/>
                <w:color w:val="auto"/>
                <w:w w:val="86"/>
              </w:rPr>
              <w:t>Healthcare and Pharmaceuticals</w:t>
            </w:r>
          </w:p>
        </w:tc>
        <w:tc>
          <w:tcPr>
            <w:tcW w:w="920" w:type="dxa"/>
            <w:vAlign w:val="bottom"/>
            <w:gridSpan w:val="2"/>
          </w:tcPr>
          <w:p>
            <w:pPr>
              <w:jc w:val="right"/>
              <w:ind w:right="202"/>
              <w:spacing w:after="0"/>
              <w:rPr>
                <w:sz w:val="20"/>
                <w:szCs w:val="20"/>
                <w:color w:val="auto"/>
              </w:rPr>
            </w:pPr>
            <w:r>
              <w:rPr>
                <w:rFonts w:ascii="Arial" w:cs="Arial" w:eastAsia="Arial" w:hAnsi="Arial"/>
                <w:sz w:val="12"/>
                <w:szCs w:val="12"/>
                <w:color w:val="auto"/>
              </w:rPr>
              <w:t>—</w:t>
            </w:r>
          </w:p>
        </w:tc>
        <w:tc>
          <w:tcPr>
            <w:tcW w:w="90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1,458</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21,870</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465</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3540" w:type="dxa"/>
            <w:vAlign w:val="bottom"/>
          </w:tcPr>
          <w:p>
            <w:pPr>
              <w:ind w:left="140"/>
              <w:spacing w:after="0" w:line="150" w:lineRule="exact"/>
              <w:rPr>
                <w:sz w:val="20"/>
                <w:szCs w:val="20"/>
                <w:color w:val="auto"/>
              </w:rPr>
            </w:pPr>
            <w:r>
              <w:rPr>
                <w:rFonts w:ascii="Arial" w:cs="Arial" w:eastAsia="Arial" w:hAnsi="Arial"/>
                <w:sz w:val="11"/>
                <w:szCs w:val="11"/>
                <w:color w:val="auto"/>
              </w:rPr>
              <w:t xml:space="preserve">(PT Network, LLC) </w:t>
            </w:r>
            <w:r>
              <w:rPr>
                <w:rFonts w:ascii="Arial" w:cs="Arial" w:eastAsia="Arial" w:hAnsi="Arial"/>
                <w:sz w:val="17"/>
                <w:szCs w:val="17"/>
                <w:color w:val="auto"/>
                <w:vertAlign w:val="superscript"/>
              </w:rPr>
              <w:t>(7), (8)</w:t>
            </w: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540" w:type="dxa"/>
            <w:vAlign w:val="bottom"/>
            <w:shd w:val="clear" w:color="auto" w:fill="CCECFF"/>
          </w:tcPr>
          <w:p>
            <w:pPr>
              <w:spacing w:after="0" w:line="149" w:lineRule="exact"/>
              <w:rPr>
                <w:sz w:val="20"/>
                <w:szCs w:val="20"/>
                <w:color w:val="auto"/>
              </w:rPr>
            </w:pPr>
            <w:r>
              <w:rPr>
                <w:rFonts w:ascii="Arial" w:cs="Arial" w:eastAsia="Arial" w:hAnsi="Arial"/>
                <w:sz w:val="11"/>
                <w:szCs w:val="11"/>
                <w:color w:val="auto"/>
              </w:rPr>
              <w:t xml:space="preserve">Condor Holdings Limited </w:t>
            </w:r>
            <w:r>
              <w:rPr>
                <w:rFonts w:ascii="Arial" w:cs="Arial" w:eastAsia="Arial" w:hAnsi="Arial"/>
                <w:sz w:val="17"/>
                <w:szCs w:val="17"/>
                <w:color w:val="auto"/>
                <w:vertAlign w:val="superscript"/>
              </w:rPr>
              <w:t>(5), (7), (10)</w:t>
            </w:r>
          </w:p>
        </w:tc>
        <w:tc>
          <w:tcPr>
            <w:tcW w:w="100" w:type="dxa"/>
            <w:vAlign w:val="bottom"/>
            <w:shd w:val="clear" w:color="auto" w:fill="CCECFF"/>
          </w:tcPr>
          <w:p>
            <w:pPr>
              <w:spacing w:after="0"/>
              <w:rPr>
                <w:sz w:val="12"/>
                <w:szCs w:val="12"/>
                <w:color w:val="auto"/>
              </w:rPr>
            </w:pPr>
          </w:p>
        </w:tc>
        <w:tc>
          <w:tcPr>
            <w:tcW w:w="760" w:type="dxa"/>
            <w:vAlign w:val="bottom"/>
            <w:gridSpan w:val="2"/>
            <w:shd w:val="clear" w:color="auto" w:fill="CCECFF"/>
          </w:tcPr>
          <w:p>
            <w:pPr>
              <w:ind w:left="300"/>
              <w:spacing w:after="0"/>
              <w:rPr>
                <w:sz w:val="20"/>
                <w:szCs w:val="20"/>
                <w:color w:val="auto"/>
              </w:rPr>
            </w:pPr>
            <w:r>
              <w:rPr>
                <w:rFonts w:ascii="Arial" w:cs="Arial" w:eastAsia="Arial" w:hAnsi="Arial"/>
                <w:sz w:val="12"/>
                <w:szCs w:val="12"/>
                <w:color w:val="auto"/>
              </w:rPr>
              <w:t>—</w:t>
            </w:r>
          </w:p>
        </w:tc>
        <w:tc>
          <w:tcPr>
            <w:tcW w:w="2420" w:type="dxa"/>
            <w:vAlign w:val="bottom"/>
            <w:gridSpan w:val="2"/>
            <w:shd w:val="clear" w:color="auto" w:fill="CCECFF"/>
          </w:tcPr>
          <w:p>
            <w:pPr>
              <w:jc w:val="center"/>
              <w:ind w:right="120"/>
              <w:spacing w:after="0"/>
              <w:rPr>
                <w:sz w:val="20"/>
                <w:szCs w:val="20"/>
                <w:color w:val="auto"/>
              </w:rPr>
            </w:pPr>
            <w:r>
              <w:rPr>
                <w:rFonts w:ascii="Arial" w:cs="Arial" w:eastAsia="Arial" w:hAnsi="Arial"/>
                <w:sz w:val="12"/>
                <w:szCs w:val="12"/>
                <w:color w:val="auto"/>
                <w:w w:val="89"/>
              </w:rPr>
              <w:t>High Tech Industries</w:t>
            </w:r>
          </w:p>
        </w:tc>
        <w:tc>
          <w:tcPr>
            <w:tcW w:w="920" w:type="dxa"/>
            <w:vAlign w:val="bottom"/>
            <w:gridSpan w:val="2"/>
            <w:shd w:val="clear" w:color="auto" w:fill="CCECFF"/>
          </w:tcPr>
          <w:p>
            <w:pPr>
              <w:jc w:val="right"/>
              <w:ind w:right="202"/>
              <w:spacing w:after="0"/>
              <w:rPr>
                <w:sz w:val="20"/>
                <w:szCs w:val="20"/>
                <w:color w:val="auto"/>
              </w:rPr>
            </w:pPr>
            <w:r>
              <w:rPr>
                <w:rFonts w:ascii="Arial" w:cs="Arial" w:eastAsia="Arial" w:hAnsi="Arial"/>
                <w:sz w:val="12"/>
                <w:szCs w:val="12"/>
                <w:color w:val="auto"/>
              </w:rPr>
              <w:t>—</w:t>
            </w:r>
          </w:p>
        </w:tc>
        <w:tc>
          <w:tcPr>
            <w:tcW w:w="90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88,000</w:t>
            </w:r>
          </w:p>
        </w:tc>
        <w:tc>
          <w:tcPr>
            <w:tcW w:w="18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10,173</w:t>
            </w:r>
          </w:p>
        </w:tc>
        <w:tc>
          <w:tcPr>
            <w:tcW w:w="16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10,173</w:t>
            </w:r>
          </w:p>
        </w:tc>
        <w:tc>
          <w:tcPr>
            <w:tcW w:w="8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540" w:type="dxa"/>
            <w:vAlign w:val="bottom"/>
          </w:tcPr>
          <w:p>
            <w:pPr>
              <w:spacing w:after="0" w:line="149" w:lineRule="exact"/>
              <w:rPr>
                <w:sz w:val="20"/>
                <w:szCs w:val="20"/>
                <w:color w:val="auto"/>
              </w:rPr>
            </w:pPr>
            <w:r>
              <w:rPr>
                <w:rFonts w:ascii="Arial" w:cs="Arial" w:eastAsia="Arial" w:hAnsi="Arial"/>
                <w:sz w:val="11"/>
                <w:szCs w:val="11"/>
                <w:color w:val="auto"/>
              </w:rPr>
              <w:t xml:space="preserve">Condor Top Holdco Limited </w:t>
            </w:r>
            <w:r>
              <w:rPr>
                <w:rFonts w:ascii="Arial" w:cs="Arial" w:eastAsia="Arial" w:hAnsi="Arial"/>
                <w:sz w:val="17"/>
                <w:szCs w:val="17"/>
                <w:color w:val="auto"/>
                <w:vertAlign w:val="superscript"/>
              </w:rPr>
              <w:t>(5), (7), (10)</w:t>
            </w:r>
          </w:p>
        </w:tc>
        <w:tc>
          <w:tcPr>
            <w:tcW w:w="100" w:type="dxa"/>
            <w:vAlign w:val="bottom"/>
          </w:tcPr>
          <w:p>
            <w:pPr>
              <w:spacing w:after="0"/>
              <w:rPr>
                <w:sz w:val="12"/>
                <w:szCs w:val="12"/>
                <w:color w:val="auto"/>
              </w:rPr>
            </w:pPr>
          </w:p>
        </w:tc>
        <w:tc>
          <w:tcPr>
            <w:tcW w:w="760" w:type="dxa"/>
            <w:vAlign w:val="bottom"/>
            <w:gridSpan w:val="2"/>
          </w:tcPr>
          <w:p>
            <w:pPr>
              <w:ind w:left="300"/>
              <w:spacing w:after="0"/>
              <w:rPr>
                <w:sz w:val="20"/>
                <w:szCs w:val="20"/>
                <w:color w:val="auto"/>
              </w:rPr>
            </w:pPr>
            <w:r>
              <w:rPr>
                <w:rFonts w:ascii="Arial" w:cs="Arial" w:eastAsia="Arial" w:hAnsi="Arial"/>
                <w:sz w:val="12"/>
                <w:szCs w:val="12"/>
                <w:color w:val="auto"/>
              </w:rPr>
              <w:t>—</w:t>
            </w:r>
          </w:p>
        </w:tc>
        <w:tc>
          <w:tcPr>
            <w:tcW w:w="2420" w:type="dxa"/>
            <w:vAlign w:val="bottom"/>
            <w:gridSpan w:val="2"/>
          </w:tcPr>
          <w:p>
            <w:pPr>
              <w:jc w:val="center"/>
              <w:ind w:right="120"/>
              <w:spacing w:after="0"/>
              <w:rPr>
                <w:sz w:val="20"/>
                <w:szCs w:val="20"/>
                <w:color w:val="auto"/>
              </w:rPr>
            </w:pPr>
            <w:r>
              <w:rPr>
                <w:rFonts w:ascii="Arial" w:cs="Arial" w:eastAsia="Arial" w:hAnsi="Arial"/>
                <w:sz w:val="12"/>
                <w:szCs w:val="12"/>
                <w:color w:val="auto"/>
                <w:w w:val="89"/>
              </w:rPr>
              <w:t>High Tech Industries</w:t>
            </w:r>
          </w:p>
        </w:tc>
        <w:tc>
          <w:tcPr>
            <w:tcW w:w="920" w:type="dxa"/>
            <w:vAlign w:val="bottom"/>
            <w:gridSpan w:val="2"/>
          </w:tcPr>
          <w:p>
            <w:pPr>
              <w:jc w:val="right"/>
              <w:ind w:right="202"/>
              <w:spacing w:after="0"/>
              <w:rPr>
                <w:sz w:val="20"/>
                <w:szCs w:val="20"/>
                <w:color w:val="auto"/>
              </w:rPr>
            </w:pPr>
            <w:r>
              <w:rPr>
                <w:rFonts w:ascii="Arial" w:cs="Arial" w:eastAsia="Arial" w:hAnsi="Arial"/>
                <w:sz w:val="12"/>
                <w:szCs w:val="12"/>
                <w:color w:val="auto"/>
              </w:rPr>
              <w:t>—</w:t>
            </w:r>
          </w:p>
        </w:tc>
        <w:tc>
          <w:tcPr>
            <w:tcW w:w="90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88,000</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77,827</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77,827</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540" w:type="dxa"/>
            <w:vAlign w:val="bottom"/>
            <w:shd w:val="clear" w:color="auto" w:fill="CCECFF"/>
          </w:tcPr>
          <w:p>
            <w:pPr>
              <w:spacing w:after="0" w:line="149" w:lineRule="exact"/>
              <w:rPr>
                <w:sz w:val="20"/>
                <w:szCs w:val="20"/>
                <w:color w:val="auto"/>
              </w:rPr>
            </w:pPr>
            <w:r>
              <w:rPr>
                <w:rFonts w:ascii="Arial" w:cs="Arial" w:eastAsia="Arial" w:hAnsi="Arial"/>
                <w:sz w:val="11"/>
                <w:szCs w:val="11"/>
                <w:color w:val="auto"/>
              </w:rPr>
              <w:t xml:space="preserve">DBI Holdings, LLC, Series A-1 </w:t>
            </w:r>
            <w:r>
              <w:rPr>
                <w:rFonts w:ascii="Arial" w:cs="Arial" w:eastAsia="Arial" w:hAnsi="Arial"/>
                <w:sz w:val="17"/>
                <w:szCs w:val="17"/>
                <w:color w:val="auto"/>
                <w:vertAlign w:val="superscript"/>
              </w:rPr>
              <w:t>(8)</w:t>
            </w:r>
          </w:p>
        </w:tc>
        <w:tc>
          <w:tcPr>
            <w:tcW w:w="100" w:type="dxa"/>
            <w:vAlign w:val="bottom"/>
            <w:shd w:val="clear" w:color="auto" w:fill="CCECFF"/>
          </w:tcPr>
          <w:p>
            <w:pPr>
              <w:spacing w:after="0"/>
              <w:rPr>
                <w:sz w:val="12"/>
                <w:szCs w:val="12"/>
                <w:color w:val="auto"/>
              </w:rPr>
            </w:pPr>
          </w:p>
        </w:tc>
        <w:tc>
          <w:tcPr>
            <w:tcW w:w="760" w:type="dxa"/>
            <w:vAlign w:val="bottom"/>
            <w:gridSpan w:val="2"/>
            <w:shd w:val="clear" w:color="auto" w:fill="CCECFF"/>
          </w:tcPr>
          <w:p>
            <w:pPr>
              <w:ind w:left="300"/>
              <w:spacing w:after="0"/>
              <w:rPr>
                <w:sz w:val="20"/>
                <w:szCs w:val="20"/>
                <w:color w:val="auto"/>
              </w:rPr>
            </w:pPr>
            <w:r>
              <w:rPr>
                <w:rFonts w:ascii="Arial" w:cs="Arial" w:eastAsia="Arial" w:hAnsi="Arial"/>
                <w:sz w:val="12"/>
                <w:szCs w:val="12"/>
                <w:color w:val="auto"/>
              </w:rPr>
              <w:t>—</w:t>
            </w:r>
          </w:p>
        </w:tc>
        <w:tc>
          <w:tcPr>
            <w:tcW w:w="2420" w:type="dxa"/>
            <w:vAlign w:val="bottom"/>
            <w:gridSpan w:val="2"/>
            <w:shd w:val="clear" w:color="auto" w:fill="CCECFF"/>
          </w:tcPr>
          <w:p>
            <w:pPr>
              <w:jc w:val="center"/>
              <w:ind w:right="100"/>
              <w:spacing w:after="0"/>
              <w:rPr>
                <w:sz w:val="20"/>
                <w:szCs w:val="20"/>
                <w:color w:val="auto"/>
              </w:rPr>
            </w:pPr>
            <w:r>
              <w:rPr>
                <w:rFonts w:ascii="Arial" w:cs="Arial" w:eastAsia="Arial" w:hAnsi="Arial"/>
                <w:sz w:val="12"/>
                <w:szCs w:val="12"/>
                <w:color w:val="auto"/>
                <w:w w:val="85"/>
              </w:rPr>
              <w:t>Business Services</w:t>
            </w:r>
          </w:p>
        </w:tc>
        <w:tc>
          <w:tcPr>
            <w:tcW w:w="920" w:type="dxa"/>
            <w:vAlign w:val="bottom"/>
            <w:gridSpan w:val="2"/>
            <w:shd w:val="clear" w:color="auto" w:fill="CCECFF"/>
          </w:tcPr>
          <w:p>
            <w:pPr>
              <w:jc w:val="right"/>
              <w:ind w:right="102"/>
              <w:spacing w:after="0"/>
              <w:rPr>
                <w:sz w:val="20"/>
                <w:szCs w:val="20"/>
                <w:color w:val="auto"/>
              </w:rPr>
            </w:pPr>
            <w:r>
              <w:rPr>
                <w:rFonts w:ascii="Arial" w:cs="Arial" w:eastAsia="Arial" w:hAnsi="Arial"/>
                <w:sz w:val="12"/>
                <w:szCs w:val="12"/>
                <w:color w:val="auto"/>
              </w:rPr>
              <w:t>13.00%</w:t>
            </w:r>
          </w:p>
        </w:tc>
        <w:tc>
          <w:tcPr>
            <w:tcW w:w="90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7,041</w:t>
            </w:r>
          </w:p>
        </w:tc>
        <w:tc>
          <w:tcPr>
            <w:tcW w:w="18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7,040,844</w:t>
            </w:r>
          </w:p>
        </w:tc>
        <w:tc>
          <w:tcPr>
            <w:tcW w:w="16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5,847,514</w:t>
            </w:r>
          </w:p>
        </w:tc>
        <w:tc>
          <w:tcPr>
            <w:tcW w:w="8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540" w:type="dxa"/>
            <w:vAlign w:val="bottom"/>
          </w:tcPr>
          <w:p>
            <w:pPr>
              <w:spacing w:after="0" w:line="149" w:lineRule="exact"/>
              <w:rPr>
                <w:sz w:val="20"/>
                <w:szCs w:val="20"/>
                <w:color w:val="auto"/>
              </w:rPr>
            </w:pPr>
            <w:r>
              <w:rPr>
                <w:rFonts w:ascii="Arial" w:cs="Arial" w:eastAsia="Arial" w:hAnsi="Arial"/>
                <w:sz w:val="11"/>
                <w:szCs w:val="11"/>
                <w:color w:val="auto"/>
              </w:rPr>
              <w:t xml:space="preserve">MeritDirect Holdings, LP </w:t>
            </w:r>
            <w:r>
              <w:rPr>
                <w:rFonts w:ascii="Arial" w:cs="Arial" w:eastAsia="Arial" w:hAnsi="Arial"/>
                <w:sz w:val="17"/>
                <w:szCs w:val="17"/>
                <w:color w:val="auto"/>
                <w:vertAlign w:val="superscript"/>
              </w:rPr>
              <w:t>(7), (8)</w:t>
            </w:r>
          </w:p>
        </w:tc>
        <w:tc>
          <w:tcPr>
            <w:tcW w:w="100" w:type="dxa"/>
            <w:vAlign w:val="bottom"/>
          </w:tcPr>
          <w:p>
            <w:pPr>
              <w:spacing w:after="0"/>
              <w:rPr>
                <w:sz w:val="12"/>
                <w:szCs w:val="12"/>
                <w:color w:val="auto"/>
              </w:rPr>
            </w:pPr>
          </w:p>
        </w:tc>
        <w:tc>
          <w:tcPr>
            <w:tcW w:w="760" w:type="dxa"/>
            <w:vAlign w:val="bottom"/>
            <w:gridSpan w:val="2"/>
          </w:tcPr>
          <w:p>
            <w:pPr>
              <w:ind w:left="300"/>
              <w:spacing w:after="0"/>
              <w:rPr>
                <w:sz w:val="20"/>
                <w:szCs w:val="20"/>
                <w:color w:val="auto"/>
              </w:rPr>
            </w:pPr>
            <w:r>
              <w:rPr>
                <w:rFonts w:ascii="Arial" w:cs="Arial" w:eastAsia="Arial" w:hAnsi="Arial"/>
                <w:sz w:val="12"/>
                <w:szCs w:val="12"/>
                <w:color w:val="auto"/>
              </w:rPr>
              <w:t>—</w:t>
            </w:r>
          </w:p>
        </w:tc>
        <w:tc>
          <w:tcPr>
            <w:tcW w:w="2420" w:type="dxa"/>
            <w:vAlign w:val="bottom"/>
            <w:gridSpan w:val="2"/>
          </w:tcPr>
          <w:p>
            <w:pPr>
              <w:jc w:val="center"/>
              <w:ind w:right="120"/>
              <w:spacing w:after="0"/>
              <w:rPr>
                <w:sz w:val="20"/>
                <w:szCs w:val="20"/>
                <w:color w:val="auto"/>
              </w:rPr>
            </w:pPr>
            <w:r>
              <w:rPr>
                <w:rFonts w:ascii="Arial" w:cs="Arial" w:eastAsia="Arial" w:hAnsi="Arial"/>
                <w:sz w:val="12"/>
                <w:szCs w:val="12"/>
                <w:color w:val="auto"/>
                <w:w w:val="91"/>
              </w:rPr>
              <w:t>Media</w:t>
            </w:r>
          </w:p>
        </w:tc>
        <w:tc>
          <w:tcPr>
            <w:tcW w:w="920" w:type="dxa"/>
            <w:vAlign w:val="bottom"/>
            <w:gridSpan w:val="2"/>
          </w:tcPr>
          <w:p>
            <w:pPr>
              <w:jc w:val="right"/>
              <w:ind w:right="202"/>
              <w:spacing w:after="0"/>
              <w:rPr>
                <w:sz w:val="20"/>
                <w:szCs w:val="20"/>
                <w:color w:val="auto"/>
              </w:rPr>
            </w:pPr>
            <w:r>
              <w:rPr>
                <w:rFonts w:ascii="Arial" w:cs="Arial" w:eastAsia="Arial" w:hAnsi="Arial"/>
                <w:sz w:val="12"/>
                <w:szCs w:val="12"/>
                <w:color w:val="auto"/>
              </w:rPr>
              <w:t>—</w:t>
            </w:r>
          </w:p>
        </w:tc>
        <w:tc>
          <w:tcPr>
            <w:tcW w:w="90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960</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960,000</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1,032,476</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40" w:type="dxa"/>
            <w:vAlign w:val="bottom"/>
            <w:shd w:val="clear" w:color="auto" w:fill="CCECFF"/>
          </w:tcPr>
          <w:p>
            <w:pPr>
              <w:spacing w:after="0" w:line="149" w:lineRule="exact"/>
              <w:rPr>
                <w:sz w:val="20"/>
                <w:szCs w:val="20"/>
                <w:color w:val="auto"/>
              </w:rPr>
            </w:pPr>
            <w:r>
              <w:rPr>
                <w:rFonts w:ascii="Arial" w:cs="Arial" w:eastAsia="Arial" w:hAnsi="Arial"/>
                <w:sz w:val="11"/>
                <w:szCs w:val="11"/>
                <w:color w:val="auto"/>
              </w:rPr>
              <w:t xml:space="preserve">NXOF Holdings, Inc. (NextiraOne Federal, LLC) </w:t>
            </w:r>
            <w:r>
              <w:rPr>
                <w:rFonts w:ascii="Arial" w:cs="Arial" w:eastAsia="Arial" w:hAnsi="Arial"/>
                <w:sz w:val="17"/>
                <w:szCs w:val="17"/>
                <w:color w:val="auto"/>
                <w:vertAlign w:val="superscript"/>
              </w:rPr>
              <w:t>(7)</w:t>
            </w:r>
          </w:p>
        </w:tc>
        <w:tc>
          <w:tcPr>
            <w:tcW w:w="100" w:type="dxa"/>
            <w:vAlign w:val="bottom"/>
            <w:shd w:val="clear" w:color="auto" w:fill="CCECFF"/>
          </w:tcPr>
          <w:p>
            <w:pPr>
              <w:spacing w:after="0"/>
              <w:rPr>
                <w:sz w:val="12"/>
                <w:szCs w:val="12"/>
                <w:color w:val="auto"/>
              </w:rPr>
            </w:pPr>
          </w:p>
        </w:tc>
        <w:tc>
          <w:tcPr>
            <w:tcW w:w="60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2420" w:type="dxa"/>
            <w:vAlign w:val="bottom"/>
            <w:gridSpan w:val="2"/>
            <w:shd w:val="clear" w:color="auto" w:fill="CCECFF"/>
          </w:tcPr>
          <w:p>
            <w:pPr>
              <w:jc w:val="center"/>
              <w:ind w:right="120"/>
              <w:spacing w:after="0"/>
              <w:rPr>
                <w:sz w:val="20"/>
                <w:szCs w:val="20"/>
                <w:color w:val="auto"/>
              </w:rPr>
            </w:pPr>
            <w:r>
              <w:rPr>
                <w:rFonts w:ascii="Arial" w:cs="Arial" w:eastAsia="Arial" w:hAnsi="Arial"/>
                <w:sz w:val="12"/>
                <w:szCs w:val="12"/>
                <w:color w:val="auto"/>
                <w:w w:val="85"/>
              </w:rPr>
              <w:t>Aerospace and Defense</w:t>
            </w:r>
          </w:p>
        </w:tc>
        <w:tc>
          <w:tcPr>
            <w:tcW w:w="920" w:type="dxa"/>
            <w:vAlign w:val="bottom"/>
            <w:gridSpan w:val="2"/>
            <w:shd w:val="clear" w:color="auto" w:fill="CCECFF"/>
          </w:tcPr>
          <w:p>
            <w:pPr>
              <w:jc w:val="right"/>
              <w:ind w:right="202"/>
              <w:spacing w:after="0"/>
              <w:rPr>
                <w:sz w:val="20"/>
                <w:szCs w:val="20"/>
                <w:color w:val="auto"/>
              </w:rPr>
            </w:pPr>
            <w:r>
              <w:rPr>
                <w:rFonts w:ascii="Arial" w:cs="Arial" w:eastAsia="Arial" w:hAnsi="Arial"/>
                <w:sz w:val="12"/>
                <w:szCs w:val="12"/>
                <w:color w:val="auto"/>
              </w:rPr>
              <w:t>—</w:t>
            </w:r>
          </w:p>
        </w:tc>
        <w:tc>
          <w:tcPr>
            <w:tcW w:w="90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490</w:t>
            </w:r>
          </w:p>
        </w:tc>
        <w:tc>
          <w:tcPr>
            <w:tcW w:w="18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490,000</w:t>
            </w:r>
          </w:p>
        </w:tc>
        <w:tc>
          <w:tcPr>
            <w:tcW w:w="16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348,112</w:t>
            </w:r>
          </w:p>
        </w:tc>
        <w:tc>
          <w:tcPr>
            <w:tcW w:w="8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540" w:type="dxa"/>
            <w:vAlign w:val="bottom"/>
          </w:tcPr>
          <w:p>
            <w:pPr>
              <w:spacing w:after="0" w:line="149" w:lineRule="exact"/>
              <w:rPr>
                <w:sz w:val="20"/>
                <w:szCs w:val="20"/>
                <w:color w:val="auto"/>
              </w:rPr>
            </w:pPr>
            <w:r>
              <w:rPr>
                <w:rFonts w:ascii="Arial" w:cs="Arial" w:eastAsia="Arial" w:hAnsi="Arial"/>
                <w:sz w:val="11"/>
                <w:szCs w:val="11"/>
                <w:color w:val="auto"/>
              </w:rPr>
              <w:t xml:space="preserve">PT Network Intermediate Holdings, LLC </w:t>
            </w:r>
            <w:r>
              <w:rPr>
                <w:rFonts w:ascii="Arial" w:cs="Arial" w:eastAsia="Arial" w:hAnsi="Arial"/>
                <w:sz w:val="17"/>
                <w:szCs w:val="17"/>
                <w:color w:val="auto"/>
                <w:vertAlign w:val="superscript"/>
              </w:rPr>
              <w:t>(7), (8)</w:t>
            </w:r>
          </w:p>
        </w:tc>
        <w:tc>
          <w:tcPr>
            <w:tcW w:w="100" w:type="dxa"/>
            <w:vAlign w:val="bottom"/>
          </w:tcPr>
          <w:p>
            <w:pPr>
              <w:spacing w:after="0"/>
              <w:rPr>
                <w:sz w:val="12"/>
                <w:szCs w:val="12"/>
                <w:color w:val="auto"/>
              </w:rPr>
            </w:pPr>
          </w:p>
        </w:tc>
        <w:tc>
          <w:tcPr>
            <w:tcW w:w="760" w:type="dxa"/>
            <w:vAlign w:val="bottom"/>
            <w:gridSpan w:val="2"/>
          </w:tcPr>
          <w:p>
            <w:pPr>
              <w:ind w:left="300"/>
              <w:spacing w:after="0"/>
              <w:rPr>
                <w:sz w:val="20"/>
                <w:szCs w:val="20"/>
                <w:color w:val="auto"/>
              </w:rPr>
            </w:pPr>
            <w:r>
              <w:rPr>
                <w:rFonts w:ascii="Arial" w:cs="Arial" w:eastAsia="Arial" w:hAnsi="Arial"/>
                <w:sz w:val="12"/>
                <w:szCs w:val="12"/>
                <w:color w:val="auto"/>
              </w:rPr>
              <w:t>—</w:t>
            </w:r>
          </w:p>
        </w:tc>
        <w:tc>
          <w:tcPr>
            <w:tcW w:w="2420" w:type="dxa"/>
            <w:vAlign w:val="bottom"/>
            <w:gridSpan w:val="2"/>
          </w:tcPr>
          <w:p>
            <w:pPr>
              <w:jc w:val="center"/>
              <w:ind w:right="120"/>
              <w:spacing w:after="0"/>
              <w:rPr>
                <w:sz w:val="20"/>
                <w:szCs w:val="20"/>
                <w:color w:val="auto"/>
              </w:rPr>
            </w:pPr>
            <w:r>
              <w:rPr>
                <w:rFonts w:ascii="Arial" w:cs="Arial" w:eastAsia="Arial" w:hAnsi="Arial"/>
                <w:sz w:val="12"/>
                <w:szCs w:val="12"/>
                <w:color w:val="auto"/>
                <w:w w:val="86"/>
              </w:rPr>
              <w:t>Healthcare and Pharmaceuticals</w:t>
            </w:r>
          </w:p>
        </w:tc>
        <w:tc>
          <w:tcPr>
            <w:tcW w:w="920" w:type="dxa"/>
            <w:vAlign w:val="bottom"/>
            <w:gridSpan w:val="2"/>
          </w:tcPr>
          <w:p>
            <w:pPr>
              <w:jc w:val="right"/>
              <w:ind w:right="102"/>
              <w:spacing w:after="0"/>
              <w:rPr>
                <w:sz w:val="20"/>
                <w:szCs w:val="20"/>
                <w:color w:val="auto"/>
              </w:rPr>
            </w:pPr>
            <w:r>
              <w:rPr>
                <w:rFonts w:ascii="Arial" w:cs="Arial" w:eastAsia="Arial" w:hAnsi="Arial"/>
                <w:sz w:val="12"/>
                <w:szCs w:val="12"/>
                <w:color w:val="auto"/>
              </w:rPr>
              <w:t>11.94%</w:t>
            </w:r>
          </w:p>
        </w:tc>
        <w:tc>
          <w:tcPr>
            <w:tcW w:w="900" w:type="dxa"/>
            <w:vAlign w:val="bottom"/>
            <w:gridSpan w:val="2"/>
          </w:tcPr>
          <w:p>
            <w:pPr>
              <w:jc w:val="right"/>
              <w:ind w:right="180"/>
              <w:spacing w:after="0"/>
              <w:rPr>
                <w:sz w:val="20"/>
                <w:szCs w:val="20"/>
                <w:color w:val="auto"/>
              </w:rPr>
            </w:pPr>
            <w:r>
              <w:rPr>
                <w:rFonts w:ascii="Arial" w:cs="Arial" w:eastAsia="Arial" w:hAnsi="Arial"/>
                <w:sz w:val="12"/>
                <w:szCs w:val="12"/>
                <w:color w:val="auto"/>
              </w:rPr>
              <w:t>3M L+1,000</w:t>
            </w:r>
          </w:p>
        </w:tc>
        <w:tc>
          <w:tcPr>
            <w:tcW w:w="680" w:type="dxa"/>
            <w:vAlign w:val="bottom"/>
          </w:tcPr>
          <w:p>
            <w:pPr>
              <w:jc w:val="right"/>
              <w:spacing w:after="0"/>
              <w:rPr>
                <w:sz w:val="20"/>
                <w:szCs w:val="20"/>
                <w:color w:val="auto"/>
              </w:rPr>
            </w:pPr>
            <w:r>
              <w:rPr>
                <w:rFonts w:ascii="Arial" w:cs="Arial" w:eastAsia="Arial" w:hAnsi="Arial"/>
                <w:sz w:val="12"/>
                <w:szCs w:val="12"/>
                <w:color w:val="auto"/>
              </w:rPr>
              <w:t>33</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429,000</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452,546</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540" w:type="dxa"/>
            <w:vAlign w:val="bottom"/>
            <w:shd w:val="clear" w:color="auto" w:fill="CCECFF"/>
          </w:tcPr>
          <w:p>
            <w:pPr>
              <w:spacing w:after="0" w:line="149" w:lineRule="exact"/>
              <w:rPr>
                <w:sz w:val="20"/>
                <w:szCs w:val="20"/>
                <w:color w:val="auto"/>
              </w:rPr>
            </w:pPr>
            <w:r>
              <w:rPr>
                <w:rFonts w:ascii="Arial" w:cs="Arial" w:eastAsia="Arial" w:hAnsi="Arial"/>
                <w:sz w:val="11"/>
                <w:szCs w:val="11"/>
                <w:color w:val="auto"/>
              </w:rPr>
              <w:t xml:space="preserve">Signature CR Intermediate Holdco, Inc. </w:t>
            </w:r>
            <w:r>
              <w:rPr>
                <w:rFonts w:ascii="Arial" w:cs="Arial" w:eastAsia="Arial" w:hAnsi="Arial"/>
                <w:sz w:val="17"/>
                <w:szCs w:val="17"/>
                <w:color w:val="auto"/>
                <w:vertAlign w:val="superscript"/>
              </w:rPr>
              <w:t>(7)</w:t>
            </w:r>
          </w:p>
        </w:tc>
        <w:tc>
          <w:tcPr>
            <w:tcW w:w="100" w:type="dxa"/>
            <w:vAlign w:val="bottom"/>
            <w:shd w:val="clear" w:color="auto" w:fill="CCECFF"/>
          </w:tcPr>
          <w:p>
            <w:pPr>
              <w:spacing w:after="0"/>
              <w:rPr>
                <w:sz w:val="12"/>
                <w:szCs w:val="12"/>
                <w:color w:val="auto"/>
              </w:rPr>
            </w:pPr>
          </w:p>
        </w:tc>
        <w:tc>
          <w:tcPr>
            <w:tcW w:w="760" w:type="dxa"/>
            <w:vAlign w:val="bottom"/>
            <w:gridSpan w:val="2"/>
            <w:shd w:val="clear" w:color="auto" w:fill="CCECFF"/>
          </w:tcPr>
          <w:p>
            <w:pPr>
              <w:ind w:left="300"/>
              <w:spacing w:after="0"/>
              <w:rPr>
                <w:sz w:val="20"/>
                <w:szCs w:val="20"/>
                <w:color w:val="auto"/>
              </w:rPr>
            </w:pPr>
            <w:r>
              <w:rPr>
                <w:rFonts w:ascii="Arial" w:cs="Arial" w:eastAsia="Arial" w:hAnsi="Arial"/>
                <w:sz w:val="12"/>
                <w:szCs w:val="12"/>
                <w:color w:val="auto"/>
              </w:rPr>
              <w:t>—</w:t>
            </w:r>
          </w:p>
        </w:tc>
        <w:tc>
          <w:tcPr>
            <w:tcW w:w="2420" w:type="dxa"/>
            <w:vAlign w:val="bottom"/>
            <w:gridSpan w:val="2"/>
            <w:shd w:val="clear" w:color="auto" w:fill="CCECFF"/>
          </w:tcPr>
          <w:p>
            <w:pPr>
              <w:jc w:val="center"/>
              <w:ind w:right="100"/>
              <w:spacing w:after="0"/>
              <w:rPr>
                <w:sz w:val="20"/>
                <w:szCs w:val="20"/>
                <w:color w:val="auto"/>
              </w:rPr>
            </w:pPr>
            <w:r>
              <w:rPr>
                <w:rFonts w:ascii="Arial" w:cs="Arial" w:eastAsia="Arial" w:hAnsi="Arial"/>
                <w:sz w:val="12"/>
                <w:szCs w:val="12"/>
                <w:color w:val="auto"/>
                <w:w w:val="89"/>
              </w:rPr>
              <w:t>Commercial Services &amp; Supplies</w:t>
            </w:r>
          </w:p>
        </w:tc>
        <w:tc>
          <w:tcPr>
            <w:tcW w:w="920" w:type="dxa"/>
            <w:vAlign w:val="bottom"/>
            <w:gridSpan w:val="2"/>
            <w:shd w:val="clear" w:color="auto" w:fill="CCECFF"/>
          </w:tcPr>
          <w:p>
            <w:pPr>
              <w:jc w:val="right"/>
              <w:ind w:right="102"/>
              <w:spacing w:after="0"/>
              <w:rPr>
                <w:sz w:val="20"/>
                <w:szCs w:val="20"/>
                <w:color w:val="auto"/>
              </w:rPr>
            </w:pPr>
            <w:r>
              <w:rPr>
                <w:rFonts w:ascii="Arial" w:cs="Arial" w:eastAsia="Arial" w:hAnsi="Arial"/>
                <w:sz w:val="12"/>
                <w:szCs w:val="12"/>
                <w:color w:val="auto"/>
              </w:rPr>
              <w:t>12.00%</w:t>
            </w:r>
          </w:p>
        </w:tc>
        <w:tc>
          <w:tcPr>
            <w:tcW w:w="90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1,167</w:t>
            </w:r>
          </w:p>
        </w:tc>
        <w:tc>
          <w:tcPr>
            <w:tcW w:w="18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1,166,993</w:t>
            </w:r>
          </w:p>
        </w:tc>
        <w:tc>
          <w:tcPr>
            <w:tcW w:w="16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1,169,035</w:t>
            </w:r>
          </w:p>
        </w:tc>
        <w:tc>
          <w:tcPr>
            <w:tcW w:w="8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540" w:type="dxa"/>
            <w:vAlign w:val="bottom"/>
          </w:tcPr>
          <w:p>
            <w:pPr>
              <w:spacing w:after="0" w:line="149" w:lineRule="exact"/>
              <w:rPr>
                <w:sz w:val="20"/>
                <w:szCs w:val="20"/>
                <w:color w:val="auto"/>
              </w:rPr>
            </w:pPr>
            <w:r>
              <w:rPr>
                <w:rFonts w:ascii="Arial" w:cs="Arial" w:eastAsia="Arial" w:hAnsi="Arial"/>
                <w:sz w:val="11"/>
                <w:szCs w:val="11"/>
                <w:color w:val="auto"/>
              </w:rPr>
              <w:t xml:space="preserve">TPC Holding Company, LP </w:t>
            </w:r>
            <w:r>
              <w:rPr>
                <w:rFonts w:ascii="Arial" w:cs="Arial" w:eastAsia="Arial" w:hAnsi="Arial"/>
                <w:sz w:val="17"/>
                <w:szCs w:val="17"/>
                <w:color w:val="auto"/>
                <w:vertAlign w:val="superscript"/>
              </w:rPr>
              <w:t>(5), (7), (10)</w:t>
            </w:r>
          </w:p>
        </w:tc>
        <w:tc>
          <w:tcPr>
            <w:tcW w:w="100" w:type="dxa"/>
            <w:vAlign w:val="bottom"/>
          </w:tcPr>
          <w:p>
            <w:pPr>
              <w:spacing w:after="0"/>
              <w:rPr>
                <w:sz w:val="12"/>
                <w:szCs w:val="12"/>
                <w:color w:val="auto"/>
              </w:rPr>
            </w:pPr>
          </w:p>
        </w:tc>
        <w:tc>
          <w:tcPr>
            <w:tcW w:w="760" w:type="dxa"/>
            <w:vAlign w:val="bottom"/>
            <w:gridSpan w:val="2"/>
          </w:tcPr>
          <w:p>
            <w:pPr>
              <w:ind w:left="300"/>
              <w:spacing w:after="0"/>
              <w:rPr>
                <w:sz w:val="20"/>
                <w:szCs w:val="20"/>
                <w:color w:val="auto"/>
              </w:rPr>
            </w:pPr>
            <w:r>
              <w:rPr>
                <w:rFonts w:ascii="Arial" w:cs="Arial" w:eastAsia="Arial" w:hAnsi="Arial"/>
                <w:sz w:val="12"/>
                <w:szCs w:val="12"/>
                <w:color w:val="auto"/>
              </w:rPr>
              <w:t>—</w:t>
            </w:r>
          </w:p>
        </w:tc>
        <w:tc>
          <w:tcPr>
            <w:tcW w:w="2420" w:type="dxa"/>
            <w:vAlign w:val="bottom"/>
            <w:gridSpan w:val="2"/>
          </w:tcPr>
          <w:p>
            <w:pPr>
              <w:jc w:val="center"/>
              <w:ind w:right="100"/>
              <w:spacing w:after="0"/>
              <w:rPr>
                <w:sz w:val="20"/>
                <w:szCs w:val="20"/>
                <w:color w:val="auto"/>
              </w:rPr>
            </w:pPr>
            <w:r>
              <w:rPr>
                <w:rFonts w:ascii="Arial" w:cs="Arial" w:eastAsia="Arial" w:hAnsi="Arial"/>
                <w:sz w:val="12"/>
                <w:szCs w:val="12"/>
                <w:color w:val="auto"/>
                <w:w w:val="87"/>
              </w:rPr>
              <w:t>Food Products</w:t>
            </w:r>
          </w:p>
        </w:tc>
        <w:tc>
          <w:tcPr>
            <w:tcW w:w="920" w:type="dxa"/>
            <w:vAlign w:val="bottom"/>
            <w:gridSpan w:val="2"/>
          </w:tcPr>
          <w:p>
            <w:pPr>
              <w:jc w:val="right"/>
              <w:ind w:right="202"/>
              <w:spacing w:after="0"/>
              <w:rPr>
                <w:sz w:val="20"/>
                <w:szCs w:val="20"/>
                <w:color w:val="auto"/>
              </w:rPr>
            </w:pPr>
            <w:r>
              <w:rPr>
                <w:rFonts w:ascii="Arial" w:cs="Arial" w:eastAsia="Arial" w:hAnsi="Arial"/>
                <w:sz w:val="12"/>
                <w:szCs w:val="12"/>
                <w:color w:val="auto"/>
              </w:rPr>
              <w:t>—</w:t>
            </w:r>
          </w:p>
        </w:tc>
        <w:tc>
          <w:tcPr>
            <w:tcW w:w="90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409</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409,011</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411,056</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40" w:type="dxa"/>
            <w:vAlign w:val="bottom"/>
            <w:shd w:val="clear" w:color="auto" w:fill="CCECFF"/>
          </w:tcPr>
          <w:p>
            <w:pPr>
              <w:spacing w:after="0"/>
              <w:rPr>
                <w:sz w:val="20"/>
                <w:szCs w:val="20"/>
                <w:color w:val="auto"/>
              </w:rPr>
            </w:pPr>
            <w:r>
              <w:rPr>
                <w:rFonts w:ascii="Arial" w:cs="Arial" w:eastAsia="Arial" w:hAnsi="Arial"/>
                <w:sz w:val="12"/>
                <w:szCs w:val="12"/>
                <w:color w:val="auto"/>
              </w:rPr>
              <w:t>UniTek Global Services, Inc. -</w:t>
            </w:r>
          </w:p>
        </w:tc>
        <w:tc>
          <w:tcPr>
            <w:tcW w:w="100" w:type="dxa"/>
            <w:vAlign w:val="bottom"/>
            <w:shd w:val="clear" w:color="auto" w:fill="CCECFF"/>
          </w:tcPr>
          <w:p>
            <w:pPr>
              <w:spacing w:after="0"/>
              <w:rPr>
                <w:sz w:val="12"/>
                <w:szCs w:val="12"/>
                <w:color w:val="auto"/>
              </w:rPr>
            </w:pPr>
          </w:p>
        </w:tc>
        <w:tc>
          <w:tcPr>
            <w:tcW w:w="760" w:type="dxa"/>
            <w:vAlign w:val="bottom"/>
            <w:gridSpan w:val="2"/>
            <w:shd w:val="clear" w:color="auto" w:fill="CCECFF"/>
          </w:tcPr>
          <w:p>
            <w:pPr>
              <w:ind w:left="300"/>
              <w:spacing w:after="0"/>
              <w:rPr>
                <w:sz w:val="20"/>
                <w:szCs w:val="20"/>
                <w:color w:val="auto"/>
              </w:rPr>
            </w:pPr>
            <w:r>
              <w:rPr>
                <w:rFonts w:ascii="Arial" w:cs="Arial" w:eastAsia="Arial" w:hAnsi="Arial"/>
                <w:sz w:val="12"/>
                <w:szCs w:val="12"/>
                <w:color w:val="auto"/>
              </w:rPr>
              <w:t>—</w:t>
            </w:r>
          </w:p>
        </w:tc>
        <w:tc>
          <w:tcPr>
            <w:tcW w:w="2420" w:type="dxa"/>
            <w:vAlign w:val="bottom"/>
            <w:gridSpan w:val="2"/>
            <w:shd w:val="clear" w:color="auto" w:fill="CCECFF"/>
          </w:tcPr>
          <w:p>
            <w:pPr>
              <w:jc w:val="center"/>
              <w:ind w:right="100"/>
              <w:spacing w:after="0"/>
              <w:rPr>
                <w:sz w:val="20"/>
                <w:szCs w:val="20"/>
                <w:color w:val="auto"/>
              </w:rPr>
            </w:pPr>
            <w:r>
              <w:rPr>
                <w:rFonts w:ascii="Arial" w:cs="Arial" w:eastAsia="Arial" w:hAnsi="Arial"/>
                <w:sz w:val="12"/>
                <w:szCs w:val="12"/>
                <w:color w:val="auto"/>
                <w:w w:val="87"/>
              </w:rPr>
              <w:t>Telecommunications</w:t>
            </w:r>
          </w:p>
        </w:tc>
        <w:tc>
          <w:tcPr>
            <w:tcW w:w="920" w:type="dxa"/>
            <w:vAlign w:val="bottom"/>
            <w:gridSpan w:val="2"/>
            <w:shd w:val="clear" w:color="auto" w:fill="CCECFF"/>
          </w:tcPr>
          <w:p>
            <w:pPr>
              <w:jc w:val="right"/>
              <w:ind w:right="102"/>
              <w:spacing w:after="0"/>
              <w:rPr>
                <w:sz w:val="20"/>
                <w:szCs w:val="20"/>
                <w:color w:val="auto"/>
              </w:rPr>
            </w:pPr>
            <w:r>
              <w:rPr>
                <w:rFonts w:ascii="Arial" w:cs="Arial" w:eastAsia="Arial" w:hAnsi="Arial"/>
                <w:sz w:val="12"/>
                <w:szCs w:val="12"/>
                <w:color w:val="auto"/>
              </w:rPr>
              <w:t>20.00%</w:t>
            </w:r>
          </w:p>
        </w:tc>
        <w:tc>
          <w:tcPr>
            <w:tcW w:w="90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343,861</w:t>
            </w:r>
          </w:p>
        </w:tc>
        <w:tc>
          <w:tcPr>
            <w:tcW w:w="18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343,861</w:t>
            </w:r>
          </w:p>
        </w:tc>
        <w:tc>
          <w:tcPr>
            <w:tcW w:w="16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353,670</w:t>
            </w:r>
          </w:p>
        </w:tc>
        <w:tc>
          <w:tcPr>
            <w:tcW w:w="8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540" w:type="dxa"/>
            <w:vAlign w:val="bottom"/>
            <w:shd w:val="clear" w:color="auto" w:fill="CCECFF"/>
          </w:tcPr>
          <w:p>
            <w:pPr>
              <w:ind w:left="140"/>
              <w:spacing w:after="0" w:line="149" w:lineRule="exact"/>
              <w:rPr>
                <w:sz w:val="20"/>
                <w:szCs w:val="20"/>
                <w:color w:val="auto"/>
              </w:rPr>
            </w:pPr>
            <w:r>
              <w:rPr>
                <w:rFonts w:ascii="Arial" w:cs="Arial" w:eastAsia="Arial" w:hAnsi="Arial"/>
                <w:sz w:val="11"/>
                <w:szCs w:val="11"/>
                <w:color w:val="auto"/>
              </w:rPr>
              <w:t xml:space="preserve">Super Senior Preferred Equity </w:t>
            </w:r>
            <w:r>
              <w:rPr>
                <w:rFonts w:ascii="Arial" w:cs="Arial" w:eastAsia="Arial" w:hAnsi="Arial"/>
                <w:sz w:val="17"/>
                <w:szCs w:val="17"/>
                <w:color w:val="auto"/>
                <w:vertAlign w:val="superscript"/>
              </w:rPr>
              <w:t>(7)</w:t>
            </w:r>
          </w:p>
        </w:tc>
        <w:tc>
          <w:tcPr>
            <w:tcW w:w="100" w:type="dxa"/>
            <w:vAlign w:val="bottom"/>
            <w:shd w:val="clear" w:color="auto" w:fill="CCECFF"/>
          </w:tcPr>
          <w:p>
            <w:pPr>
              <w:spacing w:after="0"/>
              <w:rPr>
                <w:sz w:val="12"/>
                <w:szCs w:val="12"/>
                <w:color w:val="auto"/>
              </w:rPr>
            </w:pPr>
          </w:p>
        </w:tc>
        <w:tc>
          <w:tcPr>
            <w:tcW w:w="60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23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60" w:type="dxa"/>
            <w:vAlign w:val="bottom"/>
            <w:shd w:val="clear" w:color="auto" w:fill="CCECFF"/>
          </w:tcPr>
          <w:p>
            <w:pPr>
              <w:spacing w:after="0"/>
              <w:rPr>
                <w:sz w:val="12"/>
                <w:szCs w:val="12"/>
                <w:color w:val="auto"/>
              </w:rPr>
            </w:pPr>
          </w:p>
        </w:tc>
        <w:tc>
          <w:tcPr>
            <w:tcW w:w="260" w:type="dxa"/>
            <w:vAlign w:val="bottom"/>
            <w:shd w:val="clear" w:color="auto" w:fill="CCECFF"/>
          </w:tcPr>
          <w:p>
            <w:pPr>
              <w:spacing w:after="0"/>
              <w:rPr>
                <w:sz w:val="12"/>
                <w:szCs w:val="12"/>
                <w:color w:val="auto"/>
              </w:rPr>
            </w:pPr>
          </w:p>
        </w:tc>
        <w:tc>
          <w:tcPr>
            <w:tcW w:w="74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6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66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540" w:type="dxa"/>
            <w:vAlign w:val="bottom"/>
          </w:tcPr>
          <w:p>
            <w:pPr>
              <w:spacing w:after="0" w:line="149" w:lineRule="exact"/>
              <w:rPr>
                <w:sz w:val="20"/>
                <w:szCs w:val="20"/>
                <w:color w:val="auto"/>
              </w:rPr>
            </w:pPr>
            <w:r>
              <w:rPr>
                <w:rFonts w:ascii="Arial" w:cs="Arial" w:eastAsia="Arial" w:hAnsi="Arial"/>
                <w:sz w:val="11"/>
                <w:szCs w:val="11"/>
                <w:color w:val="auto"/>
              </w:rPr>
              <w:t xml:space="preserve">UniTek Global Services, Inc. - Senior Preferred Equity </w:t>
            </w:r>
            <w:r>
              <w:rPr>
                <w:rFonts w:ascii="Arial" w:cs="Arial" w:eastAsia="Arial" w:hAnsi="Arial"/>
                <w:sz w:val="17"/>
                <w:szCs w:val="17"/>
                <w:color w:val="auto"/>
                <w:vertAlign w:val="superscript"/>
              </w:rPr>
              <w:t>(7)</w:t>
            </w:r>
          </w:p>
        </w:tc>
        <w:tc>
          <w:tcPr>
            <w:tcW w:w="100" w:type="dxa"/>
            <w:vAlign w:val="bottom"/>
          </w:tcPr>
          <w:p>
            <w:pPr>
              <w:spacing w:after="0"/>
              <w:rPr>
                <w:sz w:val="12"/>
                <w:szCs w:val="12"/>
                <w:color w:val="auto"/>
              </w:rPr>
            </w:pPr>
          </w:p>
        </w:tc>
        <w:tc>
          <w:tcPr>
            <w:tcW w:w="760" w:type="dxa"/>
            <w:vAlign w:val="bottom"/>
            <w:gridSpan w:val="2"/>
          </w:tcPr>
          <w:p>
            <w:pPr>
              <w:ind w:left="300"/>
              <w:spacing w:after="0"/>
              <w:rPr>
                <w:sz w:val="20"/>
                <w:szCs w:val="20"/>
                <w:color w:val="auto"/>
              </w:rPr>
            </w:pPr>
            <w:r>
              <w:rPr>
                <w:rFonts w:ascii="Arial" w:cs="Arial" w:eastAsia="Arial" w:hAnsi="Arial"/>
                <w:sz w:val="12"/>
                <w:szCs w:val="12"/>
                <w:color w:val="auto"/>
              </w:rPr>
              <w:t>—</w:t>
            </w:r>
          </w:p>
        </w:tc>
        <w:tc>
          <w:tcPr>
            <w:tcW w:w="2420" w:type="dxa"/>
            <w:vAlign w:val="bottom"/>
            <w:gridSpan w:val="2"/>
          </w:tcPr>
          <w:p>
            <w:pPr>
              <w:jc w:val="center"/>
              <w:ind w:right="100"/>
              <w:spacing w:after="0"/>
              <w:rPr>
                <w:sz w:val="20"/>
                <w:szCs w:val="20"/>
                <w:color w:val="auto"/>
              </w:rPr>
            </w:pPr>
            <w:r>
              <w:rPr>
                <w:rFonts w:ascii="Arial" w:cs="Arial" w:eastAsia="Arial" w:hAnsi="Arial"/>
                <w:sz w:val="12"/>
                <w:szCs w:val="12"/>
                <w:color w:val="auto"/>
                <w:w w:val="87"/>
              </w:rPr>
              <w:t>Telecommunications</w:t>
            </w:r>
          </w:p>
        </w:tc>
        <w:tc>
          <w:tcPr>
            <w:tcW w:w="920" w:type="dxa"/>
            <w:vAlign w:val="bottom"/>
            <w:gridSpan w:val="2"/>
          </w:tcPr>
          <w:p>
            <w:pPr>
              <w:jc w:val="right"/>
              <w:ind w:right="102"/>
              <w:spacing w:after="0"/>
              <w:rPr>
                <w:sz w:val="20"/>
                <w:szCs w:val="20"/>
                <w:color w:val="auto"/>
              </w:rPr>
            </w:pPr>
            <w:r>
              <w:rPr>
                <w:rFonts w:ascii="Arial" w:cs="Arial" w:eastAsia="Arial" w:hAnsi="Arial"/>
                <w:sz w:val="12"/>
                <w:szCs w:val="12"/>
                <w:color w:val="auto"/>
              </w:rPr>
              <w:t>18.00%</w:t>
            </w:r>
          </w:p>
        </w:tc>
        <w:tc>
          <w:tcPr>
            <w:tcW w:w="90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448,851</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448,851</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9"/>
        </w:trPr>
        <w:tc>
          <w:tcPr>
            <w:tcW w:w="3540" w:type="dxa"/>
            <w:vAlign w:val="bottom"/>
            <w:shd w:val="clear" w:color="auto" w:fill="CCECFF"/>
          </w:tcPr>
          <w:p>
            <w:pPr>
              <w:spacing w:after="0" w:line="149" w:lineRule="exact"/>
              <w:rPr>
                <w:sz w:val="20"/>
                <w:szCs w:val="20"/>
                <w:color w:val="auto"/>
              </w:rPr>
            </w:pPr>
            <w:r>
              <w:rPr>
                <w:rFonts w:ascii="Arial" w:cs="Arial" w:eastAsia="Arial" w:hAnsi="Arial"/>
                <w:sz w:val="11"/>
                <w:szCs w:val="11"/>
                <w:color w:val="auto"/>
              </w:rPr>
              <w:t xml:space="preserve">UniTek Global Services, Inc. </w:t>
            </w:r>
            <w:r>
              <w:rPr>
                <w:rFonts w:ascii="Arial" w:cs="Arial" w:eastAsia="Arial" w:hAnsi="Arial"/>
                <w:sz w:val="17"/>
                <w:szCs w:val="17"/>
                <w:color w:val="auto"/>
                <w:vertAlign w:val="superscript"/>
              </w:rPr>
              <w:t>(7)</w:t>
            </w:r>
          </w:p>
        </w:tc>
        <w:tc>
          <w:tcPr>
            <w:tcW w:w="100" w:type="dxa"/>
            <w:vAlign w:val="bottom"/>
            <w:shd w:val="clear" w:color="auto" w:fill="CCECFF"/>
          </w:tcPr>
          <w:p>
            <w:pPr>
              <w:spacing w:after="0"/>
              <w:rPr>
                <w:sz w:val="12"/>
                <w:szCs w:val="12"/>
                <w:color w:val="auto"/>
              </w:rPr>
            </w:pPr>
          </w:p>
        </w:tc>
        <w:tc>
          <w:tcPr>
            <w:tcW w:w="760" w:type="dxa"/>
            <w:vAlign w:val="bottom"/>
            <w:gridSpan w:val="2"/>
            <w:shd w:val="clear" w:color="auto" w:fill="CCECFF"/>
          </w:tcPr>
          <w:p>
            <w:pPr>
              <w:ind w:left="300"/>
              <w:spacing w:after="0"/>
              <w:rPr>
                <w:sz w:val="20"/>
                <w:szCs w:val="20"/>
                <w:color w:val="auto"/>
              </w:rPr>
            </w:pPr>
            <w:r>
              <w:rPr>
                <w:rFonts w:ascii="Arial" w:cs="Arial" w:eastAsia="Arial" w:hAnsi="Arial"/>
                <w:sz w:val="12"/>
                <w:szCs w:val="12"/>
                <w:color w:val="auto"/>
              </w:rPr>
              <w:t>—</w:t>
            </w:r>
          </w:p>
        </w:tc>
        <w:tc>
          <w:tcPr>
            <w:tcW w:w="2420" w:type="dxa"/>
            <w:vAlign w:val="bottom"/>
            <w:gridSpan w:val="2"/>
            <w:shd w:val="clear" w:color="auto" w:fill="CCECFF"/>
          </w:tcPr>
          <w:p>
            <w:pPr>
              <w:jc w:val="center"/>
              <w:ind w:right="100"/>
              <w:spacing w:after="0"/>
              <w:rPr>
                <w:sz w:val="20"/>
                <w:szCs w:val="20"/>
                <w:color w:val="auto"/>
              </w:rPr>
            </w:pPr>
            <w:r>
              <w:rPr>
                <w:rFonts w:ascii="Arial" w:cs="Arial" w:eastAsia="Arial" w:hAnsi="Arial"/>
                <w:sz w:val="12"/>
                <w:szCs w:val="12"/>
                <w:color w:val="auto"/>
                <w:w w:val="87"/>
              </w:rPr>
              <w:t>Telecommunications</w:t>
            </w:r>
          </w:p>
        </w:tc>
        <w:tc>
          <w:tcPr>
            <w:tcW w:w="920" w:type="dxa"/>
            <w:vAlign w:val="bottom"/>
            <w:gridSpan w:val="2"/>
            <w:shd w:val="clear" w:color="auto" w:fill="CCECFF"/>
          </w:tcPr>
          <w:p>
            <w:pPr>
              <w:jc w:val="right"/>
              <w:ind w:right="102"/>
              <w:spacing w:after="0"/>
              <w:rPr>
                <w:sz w:val="20"/>
                <w:szCs w:val="20"/>
                <w:color w:val="auto"/>
              </w:rPr>
            </w:pPr>
            <w:r>
              <w:rPr>
                <w:rFonts w:ascii="Arial" w:cs="Arial" w:eastAsia="Arial" w:hAnsi="Arial"/>
                <w:sz w:val="12"/>
                <w:szCs w:val="12"/>
                <w:color w:val="auto"/>
              </w:rPr>
              <w:t>13.50%</w:t>
            </w:r>
          </w:p>
        </w:tc>
        <w:tc>
          <w:tcPr>
            <w:tcW w:w="90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1,047,317</w:t>
            </w:r>
          </w:p>
        </w:tc>
        <w:tc>
          <w:tcPr>
            <w:tcW w:w="18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670,283</w:t>
            </w:r>
          </w:p>
        </w:tc>
        <w:tc>
          <w:tcPr>
            <w:tcW w:w="16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740" w:type="dxa"/>
            <w:vAlign w:val="bottom"/>
            <w:gridSpan w:val="2"/>
            <w:shd w:val="clear" w:color="auto" w:fill="CCECFF"/>
          </w:tcPr>
          <w:p>
            <w:pPr>
              <w:jc w:val="right"/>
              <w:ind w:right="1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2"/>
        </w:trPr>
        <w:tc>
          <w:tcPr>
            <w:tcW w:w="3540" w:type="dxa"/>
            <w:vAlign w:val="bottom"/>
            <w:tcBorders>
              <w:bottom w:val="single" w:sz="8" w:color="CCECFF"/>
            </w:tcBorders>
          </w:tcPr>
          <w:p>
            <w:pPr>
              <w:spacing w:after="0"/>
              <w:rPr>
                <w:sz w:val="20"/>
                <w:szCs w:val="20"/>
                <w:color w:val="auto"/>
              </w:rPr>
            </w:pPr>
            <w:r>
              <w:rPr>
                <w:rFonts w:ascii="Arial" w:cs="Arial" w:eastAsia="Arial" w:hAnsi="Arial"/>
                <w:sz w:val="12"/>
                <w:szCs w:val="12"/>
                <w:b w:val="1"/>
                <w:bCs w:val="1"/>
                <w:color w:val="auto"/>
              </w:rPr>
              <w:t>Total Preferred Equity</w:t>
            </w:r>
          </w:p>
        </w:tc>
        <w:tc>
          <w:tcPr>
            <w:tcW w:w="100" w:type="dxa"/>
            <w:vAlign w:val="bottom"/>
            <w:tcBorders>
              <w:bottom w:val="single" w:sz="8" w:color="CCECFF"/>
            </w:tcBorders>
          </w:tcPr>
          <w:p>
            <w:pPr>
              <w:spacing w:after="0"/>
              <w:rPr>
                <w:sz w:val="12"/>
                <w:szCs w:val="12"/>
                <w:color w:val="auto"/>
              </w:rPr>
            </w:pPr>
          </w:p>
        </w:tc>
        <w:tc>
          <w:tcPr>
            <w:tcW w:w="600" w:type="dxa"/>
            <w:vAlign w:val="bottom"/>
            <w:tcBorders>
              <w:bottom w:val="single" w:sz="8" w:color="CCECFF"/>
            </w:tcBorders>
          </w:tcPr>
          <w:p>
            <w:pPr>
              <w:spacing w:after="0"/>
              <w:rPr>
                <w:sz w:val="12"/>
                <w:szCs w:val="12"/>
                <w:color w:val="auto"/>
              </w:rPr>
            </w:pPr>
          </w:p>
        </w:tc>
        <w:tc>
          <w:tcPr>
            <w:tcW w:w="160" w:type="dxa"/>
            <w:vAlign w:val="bottom"/>
            <w:tcBorders>
              <w:bottom w:val="single" w:sz="8" w:color="CCECFF"/>
            </w:tcBorders>
          </w:tcPr>
          <w:p>
            <w:pPr>
              <w:spacing w:after="0"/>
              <w:rPr>
                <w:sz w:val="12"/>
                <w:szCs w:val="12"/>
                <w:color w:val="auto"/>
              </w:rPr>
            </w:pPr>
          </w:p>
        </w:tc>
        <w:tc>
          <w:tcPr>
            <w:tcW w:w="2320" w:type="dxa"/>
            <w:vAlign w:val="bottom"/>
            <w:tcBorders>
              <w:bottom w:val="single" w:sz="8" w:color="CCECFF"/>
            </w:tcBorders>
          </w:tcPr>
          <w:p>
            <w:pPr>
              <w:spacing w:after="0"/>
              <w:rPr>
                <w:sz w:val="12"/>
                <w:szCs w:val="12"/>
                <w:color w:val="auto"/>
              </w:rPr>
            </w:pPr>
          </w:p>
        </w:tc>
        <w:tc>
          <w:tcPr>
            <w:tcW w:w="100" w:type="dxa"/>
            <w:vAlign w:val="bottom"/>
            <w:tcBorders>
              <w:bottom w:val="single" w:sz="8" w:color="CCECFF"/>
            </w:tcBorders>
          </w:tcPr>
          <w:p>
            <w:pPr>
              <w:spacing w:after="0"/>
              <w:rPr>
                <w:sz w:val="12"/>
                <w:szCs w:val="12"/>
                <w:color w:val="auto"/>
              </w:rPr>
            </w:pPr>
          </w:p>
        </w:tc>
        <w:tc>
          <w:tcPr>
            <w:tcW w:w="660" w:type="dxa"/>
            <w:vAlign w:val="bottom"/>
            <w:tcBorders>
              <w:bottom w:val="single" w:sz="8" w:color="CCECFF"/>
            </w:tcBorders>
          </w:tcPr>
          <w:p>
            <w:pPr>
              <w:spacing w:after="0"/>
              <w:rPr>
                <w:sz w:val="12"/>
                <w:szCs w:val="12"/>
                <w:color w:val="auto"/>
              </w:rPr>
            </w:pPr>
          </w:p>
        </w:tc>
        <w:tc>
          <w:tcPr>
            <w:tcW w:w="260" w:type="dxa"/>
            <w:vAlign w:val="bottom"/>
            <w:tcBorders>
              <w:bottom w:val="single" w:sz="8" w:color="CCECFF"/>
            </w:tcBorders>
          </w:tcPr>
          <w:p>
            <w:pPr>
              <w:spacing w:after="0"/>
              <w:rPr>
                <w:sz w:val="12"/>
                <w:szCs w:val="12"/>
                <w:color w:val="auto"/>
              </w:rPr>
            </w:pPr>
          </w:p>
        </w:tc>
        <w:tc>
          <w:tcPr>
            <w:tcW w:w="740" w:type="dxa"/>
            <w:vAlign w:val="bottom"/>
            <w:tcBorders>
              <w:bottom w:val="single" w:sz="8" w:color="CCECFF"/>
            </w:tcBorders>
          </w:tcPr>
          <w:p>
            <w:pPr>
              <w:spacing w:after="0"/>
              <w:rPr>
                <w:sz w:val="12"/>
                <w:szCs w:val="12"/>
                <w:color w:val="auto"/>
              </w:rPr>
            </w:pPr>
          </w:p>
        </w:tc>
        <w:tc>
          <w:tcPr>
            <w:tcW w:w="160" w:type="dxa"/>
            <w:vAlign w:val="bottom"/>
            <w:tcBorders>
              <w:bottom w:val="single" w:sz="8" w:color="CCECFF"/>
            </w:tcBorders>
          </w:tcPr>
          <w:p>
            <w:pPr>
              <w:spacing w:after="0"/>
              <w:rPr>
                <w:sz w:val="12"/>
                <w:szCs w:val="12"/>
                <w:color w:val="auto"/>
              </w:rPr>
            </w:pPr>
          </w:p>
        </w:tc>
        <w:tc>
          <w:tcPr>
            <w:tcW w:w="680" w:type="dxa"/>
            <w:vAlign w:val="bottom"/>
            <w:tcBorders>
              <w:bottom w:val="single" w:sz="8" w:color="CCECFF"/>
            </w:tcBorders>
          </w:tcPr>
          <w:p>
            <w:pPr>
              <w:spacing w:after="0"/>
              <w:rPr>
                <w:sz w:val="12"/>
                <w:szCs w:val="12"/>
                <w:color w:val="auto"/>
              </w:rPr>
            </w:pPr>
          </w:p>
        </w:tc>
        <w:tc>
          <w:tcPr>
            <w:tcW w:w="180" w:type="dxa"/>
            <w:vAlign w:val="bottom"/>
            <w:tcBorders>
              <w:bottom w:val="single" w:sz="8" w:color="CCEC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12,068,713</w:t>
            </w:r>
          </w:p>
        </w:tc>
        <w:tc>
          <w:tcPr>
            <w:tcW w:w="160" w:type="dxa"/>
            <w:vAlign w:val="bottom"/>
            <w:tcBorders>
              <w:bottom w:val="single" w:sz="8" w:color="CCEC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9,702,874</w:t>
            </w:r>
          </w:p>
        </w:tc>
        <w:tc>
          <w:tcPr>
            <w:tcW w:w="80" w:type="dxa"/>
            <w:vAlign w:val="bottom"/>
            <w:tcBorders>
              <w:bottom w:val="single" w:sz="8" w:color="CCEC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540" w:type="dxa"/>
            <w:vAlign w:val="bottom"/>
            <w:shd w:val="clear" w:color="auto" w:fill="CCECFF"/>
          </w:tcPr>
          <w:p>
            <w:pPr>
              <w:spacing w:after="0" w:line="142" w:lineRule="exact"/>
              <w:rPr>
                <w:sz w:val="20"/>
                <w:szCs w:val="20"/>
                <w:color w:val="auto"/>
              </w:rPr>
            </w:pPr>
            <w:r>
              <w:rPr>
                <w:rFonts w:ascii="Arial" w:cs="Arial" w:eastAsia="Arial" w:hAnsi="Arial"/>
                <w:sz w:val="10"/>
                <w:szCs w:val="10"/>
                <w:b w:val="1"/>
                <w:bCs w:val="1"/>
                <w:color w:val="auto"/>
              </w:rPr>
              <w:t xml:space="preserve">Common Equity/Warrants— 7.2% </w:t>
            </w:r>
            <w:r>
              <w:rPr>
                <w:rFonts w:ascii="Arial" w:cs="Arial" w:eastAsia="Arial" w:hAnsi="Arial"/>
                <w:sz w:val="16"/>
                <w:szCs w:val="16"/>
                <w:b w:val="1"/>
                <w:bCs w:val="1"/>
                <w:color w:val="auto"/>
                <w:vertAlign w:val="superscript"/>
              </w:rPr>
              <w:t>(6)</w:t>
            </w:r>
          </w:p>
        </w:tc>
        <w:tc>
          <w:tcPr>
            <w:tcW w:w="100" w:type="dxa"/>
            <w:vAlign w:val="bottom"/>
            <w:shd w:val="clear" w:color="auto" w:fill="CCECFF"/>
          </w:tcPr>
          <w:p>
            <w:pPr>
              <w:spacing w:after="0"/>
              <w:rPr>
                <w:sz w:val="12"/>
                <w:szCs w:val="12"/>
                <w:color w:val="auto"/>
              </w:rPr>
            </w:pPr>
          </w:p>
        </w:tc>
        <w:tc>
          <w:tcPr>
            <w:tcW w:w="60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23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60" w:type="dxa"/>
            <w:vAlign w:val="bottom"/>
            <w:shd w:val="clear" w:color="auto" w:fill="CCECFF"/>
          </w:tcPr>
          <w:p>
            <w:pPr>
              <w:spacing w:after="0"/>
              <w:rPr>
                <w:sz w:val="12"/>
                <w:szCs w:val="12"/>
                <w:color w:val="auto"/>
              </w:rPr>
            </w:pPr>
          </w:p>
        </w:tc>
        <w:tc>
          <w:tcPr>
            <w:tcW w:w="260" w:type="dxa"/>
            <w:vAlign w:val="bottom"/>
            <w:shd w:val="clear" w:color="auto" w:fill="CCECFF"/>
          </w:tcPr>
          <w:p>
            <w:pPr>
              <w:spacing w:after="0"/>
              <w:rPr>
                <w:sz w:val="12"/>
                <w:szCs w:val="12"/>
                <w:color w:val="auto"/>
              </w:rPr>
            </w:pPr>
          </w:p>
        </w:tc>
        <w:tc>
          <w:tcPr>
            <w:tcW w:w="74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6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66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40" w:type="dxa"/>
            <w:vAlign w:val="bottom"/>
          </w:tcPr>
          <w:p>
            <w:pPr>
              <w:spacing w:after="0" w:line="149" w:lineRule="exact"/>
              <w:rPr>
                <w:sz w:val="20"/>
                <w:szCs w:val="20"/>
                <w:color w:val="auto"/>
              </w:rPr>
            </w:pPr>
            <w:r>
              <w:rPr>
                <w:rFonts w:ascii="Arial" w:cs="Arial" w:eastAsia="Arial" w:hAnsi="Arial"/>
                <w:sz w:val="11"/>
                <w:szCs w:val="11"/>
                <w:color w:val="auto"/>
              </w:rPr>
              <w:t>Affinion Group Holdings, Inc. (Warrants)</w:t>
            </w:r>
            <w:r>
              <w:rPr>
                <w:rFonts w:ascii="Arial" w:cs="Arial" w:eastAsia="Arial" w:hAnsi="Arial"/>
                <w:sz w:val="17"/>
                <w:szCs w:val="17"/>
                <w:color w:val="auto"/>
                <w:vertAlign w:val="superscript"/>
              </w:rPr>
              <w:t>(7)</w:t>
            </w:r>
          </w:p>
        </w:tc>
        <w:tc>
          <w:tcPr>
            <w:tcW w:w="100" w:type="dxa"/>
            <w:vAlign w:val="bottom"/>
          </w:tcPr>
          <w:p>
            <w:pPr>
              <w:spacing w:after="0"/>
              <w:rPr>
                <w:sz w:val="12"/>
                <w:szCs w:val="12"/>
                <w:color w:val="auto"/>
              </w:rPr>
            </w:pPr>
          </w:p>
        </w:tc>
        <w:tc>
          <w:tcPr>
            <w:tcW w:w="760" w:type="dxa"/>
            <w:vAlign w:val="bottom"/>
            <w:gridSpan w:val="2"/>
          </w:tcPr>
          <w:p>
            <w:pPr>
              <w:ind w:left="300"/>
              <w:spacing w:after="0"/>
              <w:rPr>
                <w:sz w:val="20"/>
                <w:szCs w:val="20"/>
                <w:color w:val="auto"/>
              </w:rPr>
            </w:pPr>
            <w:r>
              <w:rPr>
                <w:rFonts w:ascii="Arial" w:cs="Arial" w:eastAsia="Arial" w:hAnsi="Arial"/>
                <w:sz w:val="12"/>
                <w:szCs w:val="12"/>
                <w:color w:val="auto"/>
              </w:rPr>
              <w:t>—</w:t>
            </w:r>
          </w:p>
        </w:tc>
        <w:tc>
          <w:tcPr>
            <w:tcW w:w="2420" w:type="dxa"/>
            <w:vAlign w:val="bottom"/>
            <w:gridSpan w:val="2"/>
          </w:tcPr>
          <w:p>
            <w:pPr>
              <w:jc w:val="center"/>
              <w:ind w:right="100"/>
              <w:spacing w:after="0"/>
              <w:rPr>
                <w:sz w:val="20"/>
                <w:szCs w:val="20"/>
                <w:color w:val="auto"/>
              </w:rPr>
            </w:pPr>
            <w:r>
              <w:rPr>
                <w:rFonts w:ascii="Arial" w:cs="Arial" w:eastAsia="Arial" w:hAnsi="Arial"/>
                <w:sz w:val="12"/>
                <w:szCs w:val="12"/>
                <w:color w:val="auto"/>
                <w:w w:val="86"/>
              </w:rPr>
              <w:t>Consumer Goods: Durable</w:t>
            </w:r>
          </w:p>
        </w:tc>
        <w:tc>
          <w:tcPr>
            <w:tcW w:w="920" w:type="dxa"/>
            <w:vAlign w:val="bottom"/>
            <w:gridSpan w:val="2"/>
          </w:tcPr>
          <w:p>
            <w:pPr>
              <w:jc w:val="right"/>
              <w:ind w:right="202"/>
              <w:spacing w:after="0"/>
              <w:rPr>
                <w:sz w:val="20"/>
                <w:szCs w:val="20"/>
                <w:color w:val="auto"/>
              </w:rPr>
            </w:pPr>
            <w:r>
              <w:rPr>
                <w:rFonts w:ascii="Arial" w:cs="Arial" w:eastAsia="Arial" w:hAnsi="Arial"/>
                <w:sz w:val="12"/>
                <w:szCs w:val="12"/>
                <w:color w:val="auto"/>
              </w:rPr>
              <w:t>—</w:t>
            </w:r>
          </w:p>
        </w:tc>
        <w:tc>
          <w:tcPr>
            <w:tcW w:w="90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8,893</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244,998</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66,213</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540" w:type="dxa"/>
            <w:vAlign w:val="bottom"/>
            <w:shd w:val="clear" w:color="auto" w:fill="CCECFF"/>
          </w:tcPr>
          <w:p>
            <w:pPr>
              <w:spacing w:after="0" w:line="149" w:lineRule="exact"/>
              <w:rPr>
                <w:sz w:val="20"/>
                <w:szCs w:val="20"/>
                <w:color w:val="auto"/>
              </w:rPr>
            </w:pPr>
            <w:r>
              <w:rPr>
                <w:rFonts w:ascii="Arial" w:cs="Arial" w:eastAsia="Arial" w:hAnsi="Arial"/>
                <w:sz w:val="11"/>
                <w:szCs w:val="11"/>
                <w:color w:val="auto"/>
              </w:rPr>
              <w:t xml:space="preserve">AG Investco LP </w:t>
            </w:r>
            <w:r>
              <w:rPr>
                <w:rFonts w:ascii="Arial" w:cs="Arial" w:eastAsia="Arial" w:hAnsi="Arial"/>
                <w:sz w:val="17"/>
                <w:szCs w:val="17"/>
                <w:color w:val="auto"/>
                <w:vertAlign w:val="superscript"/>
              </w:rPr>
              <w:t>(7), (8)</w:t>
            </w:r>
          </w:p>
        </w:tc>
        <w:tc>
          <w:tcPr>
            <w:tcW w:w="100" w:type="dxa"/>
            <w:vAlign w:val="bottom"/>
            <w:shd w:val="clear" w:color="auto" w:fill="CCECFF"/>
          </w:tcPr>
          <w:p>
            <w:pPr>
              <w:spacing w:after="0"/>
              <w:rPr>
                <w:sz w:val="12"/>
                <w:szCs w:val="12"/>
                <w:color w:val="auto"/>
              </w:rPr>
            </w:pPr>
          </w:p>
        </w:tc>
        <w:tc>
          <w:tcPr>
            <w:tcW w:w="760" w:type="dxa"/>
            <w:vAlign w:val="bottom"/>
            <w:gridSpan w:val="2"/>
            <w:shd w:val="clear" w:color="auto" w:fill="CCECFF"/>
          </w:tcPr>
          <w:p>
            <w:pPr>
              <w:ind w:left="300"/>
              <w:spacing w:after="0"/>
              <w:rPr>
                <w:sz w:val="20"/>
                <w:szCs w:val="20"/>
                <w:color w:val="auto"/>
              </w:rPr>
            </w:pPr>
            <w:r>
              <w:rPr>
                <w:rFonts w:ascii="Arial" w:cs="Arial" w:eastAsia="Arial" w:hAnsi="Arial"/>
                <w:sz w:val="12"/>
                <w:szCs w:val="12"/>
                <w:color w:val="auto"/>
              </w:rPr>
              <w:t>—</w:t>
            </w:r>
          </w:p>
        </w:tc>
        <w:tc>
          <w:tcPr>
            <w:tcW w:w="2420" w:type="dxa"/>
            <w:vAlign w:val="bottom"/>
            <w:gridSpan w:val="2"/>
            <w:shd w:val="clear" w:color="auto" w:fill="CCECFF"/>
          </w:tcPr>
          <w:p>
            <w:pPr>
              <w:jc w:val="center"/>
              <w:ind w:right="120"/>
              <w:spacing w:after="0"/>
              <w:rPr>
                <w:sz w:val="20"/>
                <w:szCs w:val="20"/>
                <w:color w:val="auto"/>
              </w:rPr>
            </w:pPr>
            <w:r>
              <w:rPr>
                <w:rFonts w:ascii="Arial" w:cs="Arial" w:eastAsia="Arial" w:hAnsi="Arial"/>
                <w:sz w:val="12"/>
                <w:szCs w:val="12"/>
                <w:color w:val="auto"/>
                <w:w w:val="88"/>
              </w:rPr>
              <w:t>Software</w:t>
            </w:r>
          </w:p>
        </w:tc>
        <w:tc>
          <w:tcPr>
            <w:tcW w:w="920" w:type="dxa"/>
            <w:vAlign w:val="bottom"/>
            <w:gridSpan w:val="2"/>
            <w:shd w:val="clear" w:color="auto" w:fill="CCECFF"/>
          </w:tcPr>
          <w:p>
            <w:pPr>
              <w:jc w:val="right"/>
              <w:ind w:right="202"/>
              <w:spacing w:after="0"/>
              <w:rPr>
                <w:sz w:val="20"/>
                <w:szCs w:val="20"/>
                <w:color w:val="auto"/>
              </w:rPr>
            </w:pPr>
            <w:r>
              <w:rPr>
                <w:rFonts w:ascii="Arial" w:cs="Arial" w:eastAsia="Arial" w:hAnsi="Arial"/>
                <w:sz w:val="12"/>
                <w:szCs w:val="12"/>
                <w:color w:val="auto"/>
              </w:rPr>
              <w:t>—</w:t>
            </w:r>
          </w:p>
        </w:tc>
        <w:tc>
          <w:tcPr>
            <w:tcW w:w="90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714,652</w:t>
            </w:r>
          </w:p>
        </w:tc>
        <w:tc>
          <w:tcPr>
            <w:tcW w:w="18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714,652</w:t>
            </w:r>
          </w:p>
        </w:tc>
        <w:tc>
          <w:tcPr>
            <w:tcW w:w="16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714,652</w:t>
            </w:r>
          </w:p>
        </w:tc>
        <w:tc>
          <w:tcPr>
            <w:tcW w:w="8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540" w:type="dxa"/>
            <w:vAlign w:val="bottom"/>
          </w:tcPr>
          <w:p>
            <w:pPr>
              <w:spacing w:after="0" w:line="149" w:lineRule="exact"/>
              <w:rPr>
                <w:sz w:val="20"/>
                <w:szCs w:val="20"/>
                <w:color w:val="auto"/>
              </w:rPr>
            </w:pPr>
            <w:r>
              <w:rPr>
                <w:rFonts w:ascii="Arial" w:cs="Arial" w:eastAsia="Arial" w:hAnsi="Arial"/>
                <w:sz w:val="11"/>
                <w:szCs w:val="11"/>
                <w:color w:val="auto"/>
              </w:rPr>
              <w:t xml:space="preserve">AG Investco LP </w:t>
            </w:r>
            <w:r>
              <w:rPr>
                <w:rFonts w:ascii="Arial" w:cs="Arial" w:eastAsia="Arial" w:hAnsi="Arial"/>
                <w:sz w:val="17"/>
                <w:szCs w:val="17"/>
                <w:color w:val="auto"/>
                <w:vertAlign w:val="superscript"/>
              </w:rPr>
              <w:t>(7), (8), (9)</w:t>
            </w:r>
          </w:p>
        </w:tc>
        <w:tc>
          <w:tcPr>
            <w:tcW w:w="100" w:type="dxa"/>
            <w:vAlign w:val="bottom"/>
          </w:tcPr>
          <w:p>
            <w:pPr>
              <w:spacing w:after="0"/>
              <w:rPr>
                <w:sz w:val="12"/>
                <w:szCs w:val="12"/>
                <w:color w:val="auto"/>
              </w:rPr>
            </w:pPr>
          </w:p>
        </w:tc>
        <w:tc>
          <w:tcPr>
            <w:tcW w:w="760" w:type="dxa"/>
            <w:vAlign w:val="bottom"/>
            <w:gridSpan w:val="2"/>
          </w:tcPr>
          <w:p>
            <w:pPr>
              <w:ind w:left="300"/>
              <w:spacing w:after="0"/>
              <w:rPr>
                <w:sz w:val="20"/>
                <w:szCs w:val="20"/>
                <w:color w:val="auto"/>
              </w:rPr>
            </w:pPr>
            <w:r>
              <w:rPr>
                <w:rFonts w:ascii="Arial" w:cs="Arial" w:eastAsia="Arial" w:hAnsi="Arial"/>
                <w:sz w:val="12"/>
                <w:szCs w:val="12"/>
                <w:color w:val="auto"/>
              </w:rPr>
              <w:t>—</w:t>
            </w:r>
          </w:p>
        </w:tc>
        <w:tc>
          <w:tcPr>
            <w:tcW w:w="2420" w:type="dxa"/>
            <w:vAlign w:val="bottom"/>
            <w:gridSpan w:val="2"/>
          </w:tcPr>
          <w:p>
            <w:pPr>
              <w:jc w:val="center"/>
              <w:ind w:right="120"/>
              <w:spacing w:after="0"/>
              <w:rPr>
                <w:sz w:val="20"/>
                <w:szCs w:val="20"/>
                <w:color w:val="auto"/>
              </w:rPr>
            </w:pPr>
            <w:r>
              <w:rPr>
                <w:rFonts w:ascii="Arial" w:cs="Arial" w:eastAsia="Arial" w:hAnsi="Arial"/>
                <w:sz w:val="12"/>
                <w:szCs w:val="12"/>
                <w:color w:val="auto"/>
                <w:w w:val="88"/>
              </w:rPr>
              <w:t>Software</w:t>
            </w:r>
          </w:p>
        </w:tc>
        <w:tc>
          <w:tcPr>
            <w:tcW w:w="920" w:type="dxa"/>
            <w:vAlign w:val="bottom"/>
            <w:gridSpan w:val="2"/>
          </w:tcPr>
          <w:p>
            <w:pPr>
              <w:jc w:val="right"/>
              <w:ind w:right="202"/>
              <w:spacing w:after="0"/>
              <w:rPr>
                <w:sz w:val="20"/>
                <w:szCs w:val="20"/>
                <w:color w:val="auto"/>
              </w:rPr>
            </w:pPr>
            <w:r>
              <w:rPr>
                <w:rFonts w:ascii="Arial" w:cs="Arial" w:eastAsia="Arial" w:hAnsi="Arial"/>
                <w:sz w:val="12"/>
                <w:szCs w:val="12"/>
                <w:color w:val="auto"/>
              </w:rPr>
              <w:t>—</w:t>
            </w:r>
          </w:p>
        </w:tc>
        <w:tc>
          <w:tcPr>
            <w:tcW w:w="90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285,348</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9"/>
        </w:trPr>
        <w:tc>
          <w:tcPr>
            <w:tcW w:w="3540" w:type="dxa"/>
            <w:vAlign w:val="bottom"/>
            <w:shd w:val="clear" w:color="auto" w:fill="CCECFF"/>
          </w:tcPr>
          <w:p>
            <w:pPr>
              <w:spacing w:after="0" w:line="149" w:lineRule="exact"/>
              <w:rPr>
                <w:sz w:val="20"/>
                <w:szCs w:val="20"/>
                <w:color w:val="auto"/>
              </w:rPr>
            </w:pPr>
            <w:r>
              <w:rPr>
                <w:rFonts w:ascii="Arial" w:cs="Arial" w:eastAsia="Arial" w:hAnsi="Arial"/>
                <w:sz w:val="11"/>
                <w:szCs w:val="11"/>
                <w:color w:val="auto"/>
              </w:rPr>
              <w:t xml:space="preserve">Altamira Intermediate Company II, Inc. </w:t>
            </w:r>
            <w:r>
              <w:rPr>
                <w:rFonts w:ascii="Arial" w:cs="Arial" w:eastAsia="Arial" w:hAnsi="Arial"/>
                <w:sz w:val="17"/>
                <w:szCs w:val="17"/>
                <w:color w:val="auto"/>
                <w:vertAlign w:val="superscript"/>
              </w:rPr>
              <w:t>(7)</w:t>
            </w:r>
          </w:p>
        </w:tc>
        <w:tc>
          <w:tcPr>
            <w:tcW w:w="100" w:type="dxa"/>
            <w:vAlign w:val="bottom"/>
            <w:shd w:val="clear" w:color="auto" w:fill="CCECFF"/>
          </w:tcPr>
          <w:p>
            <w:pPr>
              <w:spacing w:after="0"/>
              <w:rPr>
                <w:sz w:val="12"/>
                <w:szCs w:val="12"/>
                <w:color w:val="auto"/>
              </w:rPr>
            </w:pPr>
          </w:p>
        </w:tc>
        <w:tc>
          <w:tcPr>
            <w:tcW w:w="760" w:type="dxa"/>
            <w:vAlign w:val="bottom"/>
            <w:gridSpan w:val="2"/>
            <w:shd w:val="clear" w:color="auto" w:fill="CCECFF"/>
          </w:tcPr>
          <w:p>
            <w:pPr>
              <w:ind w:left="300"/>
              <w:spacing w:after="0"/>
              <w:rPr>
                <w:sz w:val="20"/>
                <w:szCs w:val="20"/>
                <w:color w:val="auto"/>
              </w:rPr>
            </w:pPr>
            <w:r>
              <w:rPr>
                <w:rFonts w:ascii="Arial" w:cs="Arial" w:eastAsia="Arial" w:hAnsi="Arial"/>
                <w:sz w:val="12"/>
                <w:szCs w:val="12"/>
                <w:color w:val="auto"/>
              </w:rPr>
              <w:t>—</w:t>
            </w:r>
          </w:p>
        </w:tc>
        <w:tc>
          <w:tcPr>
            <w:tcW w:w="2420" w:type="dxa"/>
            <w:vAlign w:val="bottom"/>
            <w:gridSpan w:val="2"/>
            <w:shd w:val="clear" w:color="auto" w:fill="CCECFF"/>
          </w:tcPr>
          <w:p>
            <w:pPr>
              <w:jc w:val="center"/>
              <w:ind w:right="120"/>
              <w:spacing w:after="0"/>
              <w:rPr>
                <w:sz w:val="20"/>
                <w:szCs w:val="20"/>
                <w:color w:val="auto"/>
              </w:rPr>
            </w:pPr>
            <w:r>
              <w:rPr>
                <w:rFonts w:ascii="Arial" w:cs="Arial" w:eastAsia="Arial" w:hAnsi="Arial"/>
                <w:sz w:val="12"/>
                <w:szCs w:val="12"/>
                <w:color w:val="auto"/>
                <w:w w:val="89"/>
              </w:rPr>
              <w:t>IT Services</w:t>
            </w:r>
          </w:p>
        </w:tc>
        <w:tc>
          <w:tcPr>
            <w:tcW w:w="920" w:type="dxa"/>
            <w:vAlign w:val="bottom"/>
            <w:gridSpan w:val="2"/>
            <w:shd w:val="clear" w:color="auto" w:fill="CCECFF"/>
          </w:tcPr>
          <w:p>
            <w:pPr>
              <w:jc w:val="right"/>
              <w:ind w:right="202"/>
              <w:spacing w:after="0"/>
              <w:rPr>
                <w:sz w:val="20"/>
                <w:szCs w:val="20"/>
                <w:color w:val="auto"/>
              </w:rPr>
            </w:pPr>
            <w:r>
              <w:rPr>
                <w:rFonts w:ascii="Arial" w:cs="Arial" w:eastAsia="Arial" w:hAnsi="Arial"/>
                <w:sz w:val="12"/>
                <w:szCs w:val="12"/>
                <w:color w:val="auto"/>
              </w:rPr>
              <w:t>—</w:t>
            </w:r>
          </w:p>
        </w:tc>
        <w:tc>
          <w:tcPr>
            <w:tcW w:w="90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1,437,500</w:t>
            </w:r>
          </w:p>
        </w:tc>
        <w:tc>
          <w:tcPr>
            <w:tcW w:w="18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1,437,500</w:t>
            </w:r>
          </w:p>
        </w:tc>
        <w:tc>
          <w:tcPr>
            <w:tcW w:w="16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1,535,285</w:t>
            </w:r>
          </w:p>
        </w:tc>
        <w:tc>
          <w:tcPr>
            <w:tcW w:w="8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540" w:type="dxa"/>
            <w:vAlign w:val="bottom"/>
          </w:tcPr>
          <w:p>
            <w:pPr>
              <w:spacing w:after="0" w:line="149" w:lineRule="exact"/>
              <w:rPr>
                <w:sz w:val="20"/>
                <w:szCs w:val="20"/>
                <w:color w:val="auto"/>
              </w:rPr>
            </w:pPr>
            <w:r>
              <w:rPr>
                <w:rFonts w:ascii="Arial" w:cs="Arial" w:eastAsia="Arial" w:hAnsi="Arial"/>
                <w:sz w:val="11"/>
                <w:szCs w:val="11"/>
                <w:color w:val="auto"/>
              </w:rPr>
              <w:t xml:space="preserve">By Light Investco LP </w:t>
            </w:r>
            <w:r>
              <w:rPr>
                <w:rFonts w:ascii="Arial" w:cs="Arial" w:eastAsia="Arial" w:hAnsi="Arial"/>
                <w:sz w:val="17"/>
                <w:szCs w:val="17"/>
                <w:color w:val="auto"/>
                <w:vertAlign w:val="superscript"/>
              </w:rPr>
              <w:t>(7), (8)</w:t>
            </w:r>
          </w:p>
        </w:tc>
        <w:tc>
          <w:tcPr>
            <w:tcW w:w="100" w:type="dxa"/>
            <w:vAlign w:val="bottom"/>
          </w:tcPr>
          <w:p>
            <w:pPr>
              <w:spacing w:after="0"/>
              <w:rPr>
                <w:sz w:val="12"/>
                <w:szCs w:val="12"/>
                <w:color w:val="auto"/>
              </w:rPr>
            </w:pPr>
          </w:p>
        </w:tc>
        <w:tc>
          <w:tcPr>
            <w:tcW w:w="760" w:type="dxa"/>
            <w:vAlign w:val="bottom"/>
            <w:gridSpan w:val="2"/>
          </w:tcPr>
          <w:p>
            <w:pPr>
              <w:ind w:left="300"/>
              <w:spacing w:after="0"/>
              <w:rPr>
                <w:sz w:val="20"/>
                <w:szCs w:val="20"/>
                <w:color w:val="auto"/>
              </w:rPr>
            </w:pPr>
            <w:r>
              <w:rPr>
                <w:rFonts w:ascii="Arial" w:cs="Arial" w:eastAsia="Arial" w:hAnsi="Arial"/>
                <w:sz w:val="12"/>
                <w:szCs w:val="12"/>
                <w:color w:val="auto"/>
              </w:rPr>
              <w:t>—</w:t>
            </w:r>
          </w:p>
        </w:tc>
        <w:tc>
          <w:tcPr>
            <w:tcW w:w="2420" w:type="dxa"/>
            <w:vAlign w:val="bottom"/>
            <w:gridSpan w:val="2"/>
          </w:tcPr>
          <w:p>
            <w:pPr>
              <w:jc w:val="center"/>
              <w:ind w:right="120"/>
              <w:spacing w:after="0"/>
              <w:rPr>
                <w:sz w:val="20"/>
                <w:szCs w:val="20"/>
                <w:color w:val="auto"/>
              </w:rPr>
            </w:pPr>
            <w:r>
              <w:rPr>
                <w:rFonts w:ascii="Arial" w:cs="Arial" w:eastAsia="Arial" w:hAnsi="Arial"/>
                <w:sz w:val="12"/>
                <w:szCs w:val="12"/>
                <w:color w:val="auto"/>
                <w:w w:val="89"/>
              </w:rPr>
              <w:t>High Tech Industries</w:t>
            </w:r>
          </w:p>
        </w:tc>
        <w:tc>
          <w:tcPr>
            <w:tcW w:w="920" w:type="dxa"/>
            <w:vAlign w:val="bottom"/>
            <w:gridSpan w:val="2"/>
          </w:tcPr>
          <w:p>
            <w:pPr>
              <w:jc w:val="right"/>
              <w:ind w:right="202"/>
              <w:spacing w:after="0"/>
              <w:rPr>
                <w:sz w:val="20"/>
                <w:szCs w:val="20"/>
                <w:color w:val="auto"/>
              </w:rPr>
            </w:pPr>
            <w:r>
              <w:rPr>
                <w:rFonts w:ascii="Arial" w:cs="Arial" w:eastAsia="Arial" w:hAnsi="Arial"/>
                <w:sz w:val="12"/>
                <w:szCs w:val="12"/>
                <w:color w:val="auto"/>
              </w:rPr>
              <w:t>—</w:t>
            </w:r>
          </w:p>
        </w:tc>
        <w:tc>
          <w:tcPr>
            <w:tcW w:w="90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21,908</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2,190,771</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9,282,760</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40" w:type="dxa"/>
            <w:vAlign w:val="bottom"/>
            <w:shd w:val="clear" w:color="auto" w:fill="CCECFF"/>
          </w:tcPr>
          <w:p>
            <w:pPr>
              <w:spacing w:after="0" w:line="149" w:lineRule="exact"/>
              <w:rPr>
                <w:sz w:val="20"/>
                <w:szCs w:val="20"/>
                <w:color w:val="auto"/>
              </w:rPr>
            </w:pPr>
            <w:r>
              <w:rPr>
                <w:rFonts w:ascii="Arial" w:cs="Arial" w:eastAsia="Arial" w:hAnsi="Arial"/>
                <w:sz w:val="11"/>
                <w:szCs w:val="11"/>
                <w:color w:val="auto"/>
              </w:rPr>
              <w:t xml:space="preserve">By Light Investco LP </w:t>
            </w:r>
            <w:r>
              <w:rPr>
                <w:rFonts w:ascii="Arial" w:cs="Arial" w:eastAsia="Arial" w:hAnsi="Arial"/>
                <w:sz w:val="17"/>
                <w:szCs w:val="17"/>
                <w:color w:val="auto"/>
                <w:vertAlign w:val="superscript"/>
              </w:rPr>
              <w:t>(7), (8), (9)</w:t>
            </w:r>
          </w:p>
        </w:tc>
        <w:tc>
          <w:tcPr>
            <w:tcW w:w="100" w:type="dxa"/>
            <w:vAlign w:val="bottom"/>
            <w:shd w:val="clear" w:color="auto" w:fill="CCECFF"/>
          </w:tcPr>
          <w:p>
            <w:pPr>
              <w:spacing w:after="0"/>
              <w:rPr>
                <w:sz w:val="12"/>
                <w:szCs w:val="12"/>
                <w:color w:val="auto"/>
              </w:rPr>
            </w:pPr>
          </w:p>
        </w:tc>
        <w:tc>
          <w:tcPr>
            <w:tcW w:w="760" w:type="dxa"/>
            <w:vAlign w:val="bottom"/>
            <w:gridSpan w:val="2"/>
            <w:shd w:val="clear" w:color="auto" w:fill="CCECFF"/>
          </w:tcPr>
          <w:p>
            <w:pPr>
              <w:ind w:left="300"/>
              <w:spacing w:after="0"/>
              <w:rPr>
                <w:sz w:val="20"/>
                <w:szCs w:val="20"/>
                <w:color w:val="auto"/>
              </w:rPr>
            </w:pPr>
            <w:r>
              <w:rPr>
                <w:rFonts w:ascii="Arial" w:cs="Arial" w:eastAsia="Arial" w:hAnsi="Arial"/>
                <w:sz w:val="12"/>
                <w:szCs w:val="12"/>
                <w:color w:val="auto"/>
              </w:rPr>
              <w:t>—</w:t>
            </w:r>
          </w:p>
        </w:tc>
        <w:tc>
          <w:tcPr>
            <w:tcW w:w="2420" w:type="dxa"/>
            <w:vAlign w:val="bottom"/>
            <w:gridSpan w:val="2"/>
            <w:shd w:val="clear" w:color="auto" w:fill="CCECFF"/>
          </w:tcPr>
          <w:p>
            <w:pPr>
              <w:jc w:val="center"/>
              <w:ind w:right="120"/>
              <w:spacing w:after="0"/>
              <w:rPr>
                <w:sz w:val="20"/>
                <w:szCs w:val="20"/>
                <w:color w:val="auto"/>
              </w:rPr>
            </w:pPr>
            <w:r>
              <w:rPr>
                <w:rFonts w:ascii="Arial" w:cs="Arial" w:eastAsia="Arial" w:hAnsi="Arial"/>
                <w:sz w:val="12"/>
                <w:szCs w:val="12"/>
                <w:color w:val="auto"/>
                <w:w w:val="89"/>
              </w:rPr>
              <w:t>High Tech Industries</w:t>
            </w:r>
          </w:p>
        </w:tc>
        <w:tc>
          <w:tcPr>
            <w:tcW w:w="920" w:type="dxa"/>
            <w:vAlign w:val="bottom"/>
            <w:gridSpan w:val="2"/>
            <w:shd w:val="clear" w:color="auto" w:fill="CCECFF"/>
          </w:tcPr>
          <w:p>
            <w:pPr>
              <w:jc w:val="right"/>
              <w:ind w:right="202"/>
              <w:spacing w:after="0"/>
              <w:rPr>
                <w:sz w:val="20"/>
                <w:szCs w:val="20"/>
                <w:color w:val="auto"/>
              </w:rPr>
            </w:pPr>
            <w:r>
              <w:rPr>
                <w:rFonts w:ascii="Arial" w:cs="Arial" w:eastAsia="Arial" w:hAnsi="Arial"/>
                <w:sz w:val="12"/>
                <w:szCs w:val="12"/>
                <w:color w:val="auto"/>
              </w:rPr>
              <w:t>—</w:t>
            </w:r>
          </w:p>
        </w:tc>
        <w:tc>
          <w:tcPr>
            <w:tcW w:w="90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5,592</w:t>
            </w:r>
          </w:p>
        </w:tc>
        <w:tc>
          <w:tcPr>
            <w:tcW w:w="18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82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CFF"/>
          </w:tcPr>
          <w:p>
            <w:pPr>
              <w:spacing w:after="0"/>
              <w:rPr>
                <w:sz w:val="12"/>
                <w:szCs w:val="12"/>
                <w:color w:val="auto"/>
              </w:rPr>
            </w:pPr>
          </w:p>
        </w:tc>
        <w:tc>
          <w:tcPr>
            <w:tcW w:w="740" w:type="dxa"/>
            <w:vAlign w:val="bottom"/>
            <w:gridSpan w:val="2"/>
            <w:shd w:val="clear" w:color="auto" w:fill="CCECFF"/>
          </w:tcPr>
          <w:p>
            <w:pPr>
              <w:jc w:val="right"/>
              <w:ind w:right="1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6"/>
        </w:trPr>
        <w:tc>
          <w:tcPr>
            <w:tcW w:w="3540" w:type="dxa"/>
            <w:vAlign w:val="bottom"/>
          </w:tcPr>
          <w:p>
            <w:pPr>
              <w:spacing w:after="0"/>
              <w:rPr>
                <w:sz w:val="20"/>
                <w:szCs w:val="20"/>
                <w:color w:val="auto"/>
              </w:rPr>
            </w:pPr>
            <w:r>
              <w:rPr>
                <w:rFonts w:ascii="Arial" w:cs="Arial" w:eastAsia="Arial" w:hAnsi="Arial"/>
                <w:sz w:val="12"/>
                <w:szCs w:val="12"/>
                <w:color w:val="auto"/>
              </w:rPr>
              <w:t>CI (Allied) Investment Holdings, LLC</w:t>
            </w:r>
          </w:p>
        </w:tc>
        <w:tc>
          <w:tcPr>
            <w:tcW w:w="100" w:type="dxa"/>
            <w:vAlign w:val="bottom"/>
          </w:tcPr>
          <w:p>
            <w:pPr>
              <w:spacing w:after="0"/>
              <w:rPr>
                <w:sz w:val="12"/>
                <w:szCs w:val="12"/>
                <w:color w:val="auto"/>
              </w:rPr>
            </w:pPr>
          </w:p>
        </w:tc>
        <w:tc>
          <w:tcPr>
            <w:tcW w:w="760" w:type="dxa"/>
            <w:vAlign w:val="bottom"/>
            <w:gridSpan w:val="2"/>
          </w:tcPr>
          <w:p>
            <w:pPr>
              <w:ind w:left="300"/>
              <w:spacing w:after="0"/>
              <w:rPr>
                <w:sz w:val="20"/>
                <w:szCs w:val="20"/>
                <w:color w:val="auto"/>
              </w:rPr>
            </w:pPr>
            <w:r>
              <w:rPr>
                <w:rFonts w:ascii="Arial" w:cs="Arial" w:eastAsia="Arial" w:hAnsi="Arial"/>
                <w:sz w:val="12"/>
                <w:szCs w:val="12"/>
                <w:color w:val="auto"/>
              </w:rPr>
              <w:t>—</w:t>
            </w:r>
          </w:p>
        </w:tc>
        <w:tc>
          <w:tcPr>
            <w:tcW w:w="2420" w:type="dxa"/>
            <w:vAlign w:val="bottom"/>
            <w:gridSpan w:val="2"/>
          </w:tcPr>
          <w:p>
            <w:pPr>
              <w:jc w:val="center"/>
              <w:ind w:right="100"/>
              <w:spacing w:after="0"/>
              <w:rPr>
                <w:sz w:val="20"/>
                <w:szCs w:val="20"/>
                <w:color w:val="auto"/>
              </w:rPr>
            </w:pPr>
            <w:r>
              <w:rPr>
                <w:rFonts w:ascii="Arial" w:cs="Arial" w:eastAsia="Arial" w:hAnsi="Arial"/>
                <w:sz w:val="12"/>
                <w:szCs w:val="12"/>
                <w:color w:val="auto"/>
                <w:w w:val="85"/>
              </w:rPr>
              <w:t>Business Services</w:t>
            </w:r>
          </w:p>
        </w:tc>
        <w:tc>
          <w:tcPr>
            <w:tcW w:w="920" w:type="dxa"/>
            <w:vAlign w:val="bottom"/>
            <w:gridSpan w:val="2"/>
          </w:tcPr>
          <w:p>
            <w:pPr>
              <w:jc w:val="right"/>
              <w:ind w:right="202"/>
              <w:spacing w:after="0"/>
              <w:rPr>
                <w:sz w:val="20"/>
                <w:szCs w:val="20"/>
                <w:color w:val="auto"/>
              </w:rPr>
            </w:pPr>
            <w:r>
              <w:rPr>
                <w:rFonts w:ascii="Arial" w:cs="Arial" w:eastAsia="Arial" w:hAnsi="Arial"/>
                <w:sz w:val="12"/>
                <w:szCs w:val="12"/>
                <w:color w:val="auto"/>
              </w:rPr>
              <w:t>—</w:t>
            </w:r>
          </w:p>
        </w:tc>
        <w:tc>
          <w:tcPr>
            <w:tcW w:w="90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120,962</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1,243,217</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1,607,180</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3540" w:type="dxa"/>
            <w:vAlign w:val="bottom"/>
          </w:tcPr>
          <w:p>
            <w:pPr>
              <w:ind w:left="140"/>
              <w:spacing w:after="0" w:line="150" w:lineRule="exact"/>
              <w:rPr>
                <w:sz w:val="20"/>
                <w:szCs w:val="20"/>
                <w:color w:val="auto"/>
              </w:rPr>
            </w:pPr>
            <w:r>
              <w:rPr>
                <w:rFonts w:ascii="Arial" w:cs="Arial" w:eastAsia="Arial" w:hAnsi="Arial"/>
                <w:sz w:val="11"/>
                <w:szCs w:val="11"/>
                <w:color w:val="auto"/>
              </w:rPr>
              <w:t xml:space="preserve">(Allied America, Inc.) </w:t>
            </w:r>
            <w:r>
              <w:rPr>
                <w:rFonts w:ascii="Arial" w:cs="Arial" w:eastAsia="Arial" w:hAnsi="Arial"/>
                <w:sz w:val="17"/>
                <w:szCs w:val="17"/>
                <w:color w:val="auto"/>
                <w:vertAlign w:val="superscript"/>
              </w:rPr>
              <w:t>(7), (8)</w:t>
            </w: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540" w:type="dxa"/>
            <w:vAlign w:val="bottom"/>
            <w:shd w:val="clear" w:color="auto" w:fill="CCECFF"/>
          </w:tcPr>
          <w:p>
            <w:pPr>
              <w:spacing w:after="0"/>
              <w:rPr>
                <w:sz w:val="20"/>
                <w:szCs w:val="20"/>
                <w:color w:val="auto"/>
              </w:rPr>
            </w:pPr>
            <w:r>
              <w:rPr>
                <w:rFonts w:ascii="Arial" w:cs="Arial" w:eastAsia="Arial" w:hAnsi="Arial"/>
                <w:sz w:val="12"/>
                <w:szCs w:val="12"/>
                <w:color w:val="auto"/>
              </w:rPr>
              <w:t>CI (PTN) Investment Holdings II, LLC</w:t>
            </w:r>
          </w:p>
        </w:tc>
        <w:tc>
          <w:tcPr>
            <w:tcW w:w="100" w:type="dxa"/>
            <w:vAlign w:val="bottom"/>
            <w:shd w:val="clear" w:color="auto" w:fill="CCECFF"/>
          </w:tcPr>
          <w:p>
            <w:pPr>
              <w:spacing w:after="0"/>
              <w:rPr>
                <w:sz w:val="12"/>
                <w:szCs w:val="12"/>
                <w:color w:val="auto"/>
              </w:rPr>
            </w:pPr>
          </w:p>
        </w:tc>
        <w:tc>
          <w:tcPr>
            <w:tcW w:w="760" w:type="dxa"/>
            <w:vAlign w:val="bottom"/>
            <w:gridSpan w:val="2"/>
            <w:shd w:val="clear" w:color="auto" w:fill="CCECFF"/>
          </w:tcPr>
          <w:p>
            <w:pPr>
              <w:ind w:left="300"/>
              <w:spacing w:after="0"/>
              <w:rPr>
                <w:sz w:val="20"/>
                <w:szCs w:val="20"/>
                <w:color w:val="auto"/>
              </w:rPr>
            </w:pPr>
            <w:r>
              <w:rPr>
                <w:rFonts w:ascii="Arial" w:cs="Arial" w:eastAsia="Arial" w:hAnsi="Arial"/>
                <w:sz w:val="12"/>
                <w:szCs w:val="12"/>
                <w:color w:val="auto"/>
              </w:rPr>
              <w:t>—</w:t>
            </w:r>
          </w:p>
        </w:tc>
        <w:tc>
          <w:tcPr>
            <w:tcW w:w="2420" w:type="dxa"/>
            <w:vAlign w:val="bottom"/>
            <w:gridSpan w:val="2"/>
            <w:shd w:val="clear" w:color="auto" w:fill="CCECFF"/>
          </w:tcPr>
          <w:p>
            <w:pPr>
              <w:jc w:val="center"/>
              <w:ind w:right="120"/>
              <w:spacing w:after="0"/>
              <w:rPr>
                <w:sz w:val="20"/>
                <w:szCs w:val="20"/>
                <w:color w:val="auto"/>
              </w:rPr>
            </w:pPr>
            <w:r>
              <w:rPr>
                <w:rFonts w:ascii="Arial" w:cs="Arial" w:eastAsia="Arial" w:hAnsi="Arial"/>
                <w:sz w:val="12"/>
                <w:szCs w:val="12"/>
                <w:color w:val="auto"/>
                <w:w w:val="86"/>
              </w:rPr>
              <w:t>Healthcare and Pharmaceuticals</w:t>
            </w:r>
          </w:p>
        </w:tc>
        <w:tc>
          <w:tcPr>
            <w:tcW w:w="920" w:type="dxa"/>
            <w:vAlign w:val="bottom"/>
            <w:gridSpan w:val="2"/>
            <w:shd w:val="clear" w:color="auto" w:fill="CCECFF"/>
          </w:tcPr>
          <w:p>
            <w:pPr>
              <w:jc w:val="right"/>
              <w:ind w:right="202"/>
              <w:spacing w:after="0"/>
              <w:rPr>
                <w:sz w:val="20"/>
                <w:szCs w:val="20"/>
                <w:color w:val="auto"/>
              </w:rPr>
            </w:pPr>
            <w:r>
              <w:rPr>
                <w:rFonts w:ascii="Arial" w:cs="Arial" w:eastAsia="Arial" w:hAnsi="Arial"/>
                <w:sz w:val="12"/>
                <w:szCs w:val="12"/>
                <w:color w:val="auto"/>
              </w:rPr>
              <w:t>—</w:t>
            </w:r>
          </w:p>
        </w:tc>
        <w:tc>
          <w:tcPr>
            <w:tcW w:w="90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13,333</w:t>
            </w:r>
          </w:p>
        </w:tc>
        <w:tc>
          <w:tcPr>
            <w:tcW w:w="18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200,000</w:t>
            </w:r>
          </w:p>
        </w:tc>
        <w:tc>
          <w:tcPr>
            <w:tcW w:w="16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740" w:type="dxa"/>
            <w:vAlign w:val="bottom"/>
            <w:gridSpan w:val="2"/>
            <w:shd w:val="clear" w:color="auto" w:fill="CCECFF"/>
          </w:tcPr>
          <w:p>
            <w:pPr>
              <w:jc w:val="right"/>
              <w:ind w:right="1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8"/>
        </w:trPr>
        <w:tc>
          <w:tcPr>
            <w:tcW w:w="3540" w:type="dxa"/>
            <w:vAlign w:val="bottom"/>
            <w:shd w:val="clear" w:color="auto" w:fill="CCECFF"/>
          </w:tcPr>
          <w:p>
            <w:pPr>
              <w:ind w:left="140"/>
              <w:spacing w:after="0" w:line="149" w:lineRule="exact"/>
              <w:rPr>
                <w:sz w:val="20"/>
                <w:szCs w:val="20"/>
                <w:color w:val="auto"/>
              </w:rPr>
            </w:pPr>
            <w:r>
              <w:rPr>
                <w:rFonts w:ascii="Arial" w:cs="Arial" w:eastAsia="Arial" w:hAnsi="Arial"/>
                <w:sz w:val="11"/>
                <w:szCs w:val="11"/>
                <w:color w:val="auto"/>
              </w:rPr>
              <w:t xml:space="preserve">(PT Network, LLC) </w:t>
            </w:r>
            <w:r>
              <w:rPr>
                <w:rFonts w:ascii="Arial" w:cs="Arial" w:eastAsia="Arial" w:hAnsi="Arial"/>
                <w:sz w:val="17"/>
                <w:szCs w:val="17"/>
                <w:color w:val="auto"/>
                <w:vertAlign w:val="superscript"/>
              </w:rPr>
              <w:t>(7), (8)</w:t>
            </w:r>
          </w:p>
        </w:tc>
        <w:tc>
          <w:tcPr>
            <w:tcW w:w="100" w:type="dxa"/>
            <w:vAlign w:val="bottom"/>
            <w:shd w:val="clear" w:color="auto" w:fill="CCECFF"/>
          </w:tcPr>
          <w:p>
            <w:pPr>
              <w:spacing w:after="0"/>
              <w:rPr>
                <w:sz w:val="12"/>
                <w:szCs w:val="12"/>
                <w:color w:val="auto"/>
              </w:rPr>
            </w:pPr>
          </w:p>
        </w:tc>
        <w:tc>
          <w:tcPr>
            <w:tcW w:w="60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23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60" w:type="dxa"/>
            <w:vAlign w:val="bottom"/>
            <w:shd w:val="clear" w:color="auto" w:fill="CCECFF"/>
          </w:tcPr>
          <w:p>
            <w:pPr>
              <w:spacing w:after="0"/>
              <w:rPr>
                <w:sz w:val="12"/>
                <w:szCs w:val="12"/>
                <w:color w:val="auto"/>
              </w:rPr>
            </w:pPr>
          </w:p>
        </w:tc>
        <w:tc>
          <w:tcPr>
            <w:tcW w:w="260" w:type="dxa"/>
            <w:vAlign w:val="bottom"/>
            <w:shd w:val="clear" w:color="auto" w:fill="CCECFF"/>
          </w:tcPr>
          <w:p>
            <w:pPr>
              <w:spacing w:after="0"/>
              <w:rPr>
                <w:sz w:val="12"/>
                <w:szCs w:val="12"/>
                <w:color w:val="auto"/>
              </w:rPr>
            </w:pPr>
          </w:p>
        </w:tc>
        <w:tc>
          <w:tcPr>
            <w:tcW w:w="74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6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66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540" w:type="dxa"/>
            <w:vAlign w:val="bottom"/>
          </w:tcPr>
          <w:p>
            <w:pPr>
              <w:spacing w:after="0"/>
              <w:rPr>
                <w:sz w:val="20"/>
                <w:szCs w:val="20"/>
                <w:color w:val="auto"/>
              </w:rPr>
            </w:pPr>
            <w:r>
              <w:rPr>
                <w:rFonts w:ascii="Arial" w:cs="Arial" w:eastAsia="Arial" w:hAnsi="Arial"/>
                <w:sz w:val="12"/>
                <w:szCs w:val="12"/>
                <w:color w:val="auto"/>
              </w:rPr>
              <w:t>CI (Summit) Investment Holdings, LLC</w:t>
            </w:r>
          </w:p>
        </w:tc>
        <w:tc>
          <w:tcPr>
            <w:tcW w:w="100" w:type="dxa"/>
            <w:vAlign w:val="bottom"/>
          </w:tcPr>
          <w:p>
            <w:pPr>
              <w:spacing w:after="0"/>
              <w:rPr>
                <w:sz w:val="12"/>
                <w:szCs w:val="12"/>
                <w:color w:val="auto"/>
              </w:rPr>
            </w:pPr>
          </w:p>
        </w:tc>
        <w:tc>
          <w:tcPr>
            <w:tcW w:w="760" w:type="dxa"/>
            <w:vAlign w:val="bottom"/>
            <w:gridSpan w:val="2"/>
          </w:tcPr>
          <w:p>
            <w:pPr>
              <w:ind w:left="300"/>
              <w:spacing w:after="0"/>
              <w:rPr>
                <w:sz w:val="20"/>
                <w:szCs w:val="20"/>
                <w:color w:val="auto"/>
              </w:rPr>
            </w:pPr>
            <w:r>
              <w:rPr>
                <w:rFonts w:ascii="Arial" w:cs="Arial" w:eastAsia="Arial" w:hAnsi="Arial"/>
                <w:sz w:val="12"/>
                <w:szCs w:val="12"/>
                <w:color w:val="auto"/>
              </w:rPr>
              <w:t>—</w:t>
            </w:r>
          </w:p>
        </w:tc>
        <w:tc>
          <w:tcPr>
            <w:tcW w:w="2420" w:type="dxa"/>
            <w:vAlign w:val="bottom"/>
            <w:gridSpan w:val="2"/>
          </w:tcPr>
          <w:p>
            <w:pPr>
              <w:jc w:val="center"/>
              <w:ind w:right="100"/>
              <w:spacing w:after="0"/>
              <w:rPr>
                <w:sz w:val="20"/>
                <w:szCs w:val="20"/>
                <w:color w:val="auto"/>
              </w:rPr>
            </w:pPr>
            <w:r>
              <w:rPr>
                <w:rFonts w:ascii="Arial" w:cs="Arial" w:eastAsia="Arial" w:hAnsi="Arial"/>
                <w:sz w:val="12"/>
                <w:szCs w:val="12"/>
                <w:color w:val="auto"/>
                <w:w w:val="90"/>
              </w:rPr>
              <w:t>Construction and Building</w:t>
            </w:r>
          </w:p>
        </w:tc>
        <w:tc>
          <w:tcPr>
            <w:tcW w:w="920" w:type="dxa"/>
            <w:vAlign w:val="bottom"/>
            <w:gridSpan w:val="2"/>
          </w:tcPr>
          <w:p>
            <w:pPr>
              <w:jc w:val="right"/>
              <w:ind w:right="202"/>
              <w:spacing w:after="0"/>
              <w:rPr>
                <w:sz w:val="20"/>
                <w:szCs w:val="20"/>
                <w:color w:val="auto"/>
              </w:rPr>
            </w:pPr>
            <w:r>
              <w:rPr>
                <w:rFonts w:ascii="Arial" w:cs="Arial" w:eastAsia="Arial" w:hAnsi="Arial"/>
                <w:sz w:val="12"/>
                <w:szCs w:val="12"/>
                <w:color w:val="auto"/>
              </w:rPr>
              <w:t>—</w:t>
            </w:r>
          </w:p>
        </w:tc>
        <w:tc>
          <w:tcPr>
            <w:tcW w:w="90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54,907</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581,995</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714,198</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3540" w:type="dxa"/>
            <w:vAlign w:val="bottom"/>
          </w:tcPr>
          <w:p>
            <w:pPr>
              <w:ind w:left="140"/>
              <w:spacing w:after="0" w:line="150" w:lineRule="exact"/>
              <w:rPr>
                <w:sz w:val="20"/>
                <w:szCs w:val="20"/>
                <w:color w:val="auto"/>
              </w:rPr>
            </w:pPr>
            <w:r>
              <w:rPr>
                <w:rFonts w:ascii="Arial" w:cs="Arial" w:eastAsia="Arial" w:hAnsi="Arial"/>
                <w:sz w:val="11"/>
                <w:szCs w:val="11"/>
                <w:color w:val="auto"/>
              </w:rPr>
              <w:t xml:space="preserve">(SFP Holding, Inc.) </w:t>
            </w:r>
            <w:r>
              <w:rPr>
                <w:rFonts w:ascii="Arial" w:cs="Arial" w:eastAsia="Arial" w:hAnsi="Arial"/>
                <w:sz w:val="17"/>
                <w:szCs w:val="17"/>
                <w:color w:val="auto"/>
                <w:vertAlign w:val="superscript"/>
              </w:rPr>
              <w:t>(7)</w:t>
            </w: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540" w:type="dxa"/>
            <w:vAlign w:val="bottom"/>
            <w:shd w:val="clear" w:color="auto" w:fill="CCECFF"/>
          </w:tcPr>
          <w:p>
            <w:pPr>
              <w:spacing w:after="0" w:line="149" w:lineRule="exact"/>
              <w:rPr>
                <w:sz w:val="20"/>
                <w:szCs w:val="20"/>
                <w:color w:val="auto"/>
              </w:rPr>
            </w:pPr>
            <w:r>
              <w:rPr>
                <w:rFonts w:ascii="Arial" w:cs="Arial" w:eastAsia="Arial" w:hAnsi="Arial"/>
                <w:sz w:val="11"/>
                <w:szCs w:val="11"/>
                <w:color w:val="auto"/>
              </w:rPr>
              <w:t xml:space="preserve">DBI Holdings, LLC, Series B </w:t>
            </w:r>
            <w:r>
              <w:rPr>
                <w:rFonts w:ascii="Arial" w:cs="Arial" w:eastAsia="Arial" w:hAnsi="Arial"/>
                <w:sz w:val="17"/>
                <w:szCs w:val="17"/>
                <w:color w:val="auto"/>
                <w:vertAlign w:val="superscript"/>
              </w:rPr>
              <w:t>(8)</w:t>
            </w:r>
          </w:p>
        </w:tc>
        <w:tc>
          <w:tcPr>
            <w:tcW w:w="100" w:type="dxa"/>
            <w:vAlign w:val="bottom"/>
            <w:shd w:val="clear" w:color="auto" w:fill="CCECFF"/>
          </w:tcPr>
          <w:p>
            <w:pPr>
              <w:spacing w:after="0"/>
              <w:rPr>
                <w:sz w:val="12"/>
                <w:szCs w:val="12"/>
                <w:color w:val="auto"/>
              </w:rPr>
            </w:pPr>
          </w:p>
        </w:tc>
        <w:tc>
          <w:tcPr>
            <w:tcW w:w="760" w:type="dxa"/>
            <w:vAlign w:val="bottom"/>
            <w:gridSpan w:val="2"/>
            <w:shd w:val="clear" w:color="auto" w:fill="CCECFF"/>
          </w:tcPr>
          <w:p>
            <w:pPr>
              <w:ind w:left="300"/>
              <w:spacing w:after="0"/>
              <w:rPr>
                <w:sz w:val="20"/>
                <w:szCs w:val="20"/>
                <w:color w:val="auto"/>
              </w:rPr>
            </w:pPr>
            <w:r>
              <w:rPr>
                <w:rFonts w:ascii="Arial" w:cs="Arial" w:eastAsia="Arial" w:hAnsi="Arial"/>
                <w:sz w:val="12"/>
                <w:szCs w:val="12"/>
                <w:color w:val="auto"/>
              </w:rPr>
              <w:t>—</w:t>
            </w:r>
          </w:p>
        </w:tc>
        <w:tc>
          <w:tcPr>
            <w:tcW w:w="2420" w:type="dxa"/>
            <w:vAlign w:val="bottom"/>
            <w:gridSpan w:val="2"/>
            <w:shd w:val="clear" w:color="auto" w:fill="CCECFF"/>
          </w:tcPr>
          <w:p>
            <w:pPr>
              <w:jc w:val="center"/>
              <w:ind w:right="100"/>
              <w:spacing w:after="0"/>
              <w:rPr>
                <w:sz w:val="20"/>
                <w:szCs w:val="20"/>
                <w:color w:val="auto"/>
              </w:rPr>
            </w:pPr>
            <w:r>
              <w:rPr>
                <w:rFonts w:ascii="Arial" w:cs="Arial" w:eastAsia="Arial" w:hAnsi="Arial"/>
                <w:sz w:val="12"/>
                <w:szCs w:val="12"/>
                <w:color w:val="auto"/>
                <w:w w:val="85"/>
              </w:rPr>
              <w:t>Business Services</w:t>
            </w:r>
          </w:p>
        </w:tc>
        <w:tc>
          <w:tcPr>
            <w:tcW w:w="920" w:type="dxa"/>
            <w:vAlign w:val="bottom"/>
            <w:gridSpan w:val="2"/>
            <w:shd w:val="clear" w:color="auto" w:fill="CCECFF"/>
          </w:tcPr>
          <w:p>
            <w:pPr>
              <w:jc w:val="right"/>
              <w:ind w:right="202"/>
              <w:spacing w:after="0"/>
              <w:rPr>
                <w:sz w:val="20"/>
                <w:szCs w:val="20"/>
                <w:color w:val="auto"/>
              </w:rPr>
            </w:pPr>
            <w:r>
              <w:rPr>
                <w:rFonts w:ascii="Arial" w:cs="Arial" w:eastAsia="Arial" w:hAnsi="Arial"/>
                <w:sz w:val="12"/>
                <w:szCs w:val="12"/>
                <w:color w:val="auto"/>
              </w:rPr>
              <w:t>—</w:t>
            </w:r>
          </w:p>
        </w:tc>
        <w:tc>
          <w:tcPr>
            <w:tcW w:w="90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1,489,508</w:t>
            </w:r>
          </w:p>
        </w:tc>
        <w:tc>
          <w:tcPr>
            <w:tcW w:w="18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330,791</w:t>
            </w:r>
          </w:p>
        </w:tc>
        <w:tc>
          <w:tcPr>
            <w:tcW w:w="16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740" w:type="dxa"/>
            <w:vAlign w:val="bottom"/>
            <w:gridSpan w:val="2"/>
            <w:shd w:val="clear" w:color="auto" w:fill="CCECFF"/>
          </w:tcPr>
          <w:p>
            <w:pPr>
              <w:jc w:val="right"/>
              <w:ind w:right="1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9"/>
        </w:trPr>
        <w:tc>
          <w:tcPr>
            <w:tcW w:w="3540" w:type="dxa"/>
            <w:vAlign w:val="bottom"/>
          </w:tcPr>
          <w:p>
            <w:pPr>
              <w:spacing w:after="0" w:line="149" w:lineRule="exact"/>
              <w:rPr>
                <w:sz w:val="20"/>
                <w:szCs w:val="20"/>
                <w:color w:val="auto"/>
              </w:rPr>
            </w:pPr>
            <w:r>
              <w:rPr>
                <w:rFonts w:ascii="Arial" w:cs="Arial" w:eastAsia="Arial" w:hAnsi="Arial"/>
                <w:sz w:val="11"/>
                <w:szCs w:val="11"/>
                <w:color w:val="auto"/>
              </w:rPr>
              <w:t xml:space="preserve">DecoPac Holdings Inc. </w:t>
            </w:r>
            <w:r>
              <w:rPr>
                <w:rFonts w:ascii="Arial" w:cs="Arial" w:eastAsia="Arial" w:hAnsi="Arial"/>
                <w:sz w:val="17"/>
                <w:szCs w:val="17"/>
                <w:color w:val="auto"/>
                <w:vertAlign w:val="superscript"/>
              </w:rPr>
              <w:t>(7)</w:t>
            </w:r>
          </w:p>
        </w:tc>
        <w:tc>
          <w:tcPr>
            <w:tcW w:w="100" w:type="dxa"/>
            <w:vAlign w:val="bottom"/>
          </w:tcPr>
          <w:p>
            <w:pPr>
              <w:spacing w:after="0"/>
              <w:rPr>
                <w:sz w:val="12"/>
                <w:szCs w:val="12"/>
                <w:color w:val="auto"/>
              </w:rPr>
            </w:pPr>
          </w:p>
        </w:tc>
        <w:tc>
          <w:tcPr>
            <w:tcW w:w="760" w:type="dxa"/>
            <w:vAlign w:val="bottom"/>
            <w:gridSpan w:val="2"/>
          </w:tcPr>
          <w:p>
            <w:pPr>
              <w:ind w:left="300"/>
              <w:spacing w:after="0"/>
              <w:rPr>
                <w:sz w:val="20"/>
                <w:szCs w:val="20"/>
                <w:color w:val="auto"/>
              </w:rPr>
            </w:pPr>
            <w:r>
              <w:rPr>
                <w:rFonts w:ascii="Arial" w:cs="Arial" w:eastAsia="Arial" w:hAnsi="Arial"/>
                <w:sz w:val="12"/>
                <w:szCs w:val="12"/>
                <w:color w:val="auto"/>
              </w:rPr>
              <w:t>—</w:t>
            </w:r>
          </w:p>
        </w:tc>
        <w:tc>
          <w:tcPr>
            <w:tcW w:w="2420" w:type="dxa"/>
            <w:vAlign w:val="bottom"/>
            <w:gridSpan w:val="2"/>
          </w:tcPr>
          <w:p>
            <w:pPr>
              <w:jc w:val="center"/>
              <w:ind w:right="100"/>
              <w:spacing w:after="0"/>
              <w:rPr>
                <w:sz w:val="20"/>
                <w:szCs w:val="20"/>
                <w:color w:val="auto"/>
              </w:rPr>
            </w:pPr>
            <w:r>
              <w:rPr>
                <w:rFonts w:ascii="Arial" w:cs="Arial" w:eastAsia="Arial" w:hAnsi="Arial"/>
                <w:sz w:val="12"/>
                <w:szCs w:val="12"/>
                <w:color w:val="auto"/>
                <w:w w:val="85"/>
              </w:rPr>
              <w:t>Beverage, Food and Tobacco</w:t>
            </w:r>
          </w:p>
        </w:tc>
        <w:tc>
          <w:tcPr>
            <w:tcW w:w="920" w:type="dxa"/>
            <w:vAlign w:val="bottom"/>
            <w:gridSpan w:val="2"/>
          </w:tcPr>
          <w:p>
            <w:pPr>
              <w:jc w:val="right"/>
              <w:ind w:right="202"/>
              <w:spacing w:after="0"/>
              <w:rPr>
                <w:sz w:val="20"/>
                <w:szCs w:val="20"/>
                <w:color w:val="auto"/>
              </w:rPr>
            </w:pPr>
            <w:r>
              <w:rPr>
                <w:rFonts w:ascii="Arial" w:cs="Arial" w:eastAsia="Arial" w:hAnsi="Arial"/>
                <w:sz w:val="12"/>
                <w:szCs w:val="12"/>
                <w:color w:val="auto"/>
              </w:rPr>
              <w:t>—</w:t>
            </w:r>
          </w:p>
        </w:tc>
        <w:tc>
          <w:tcPr>
            <w:tcW w:w="90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1,633</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1,632,744</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3,262,794</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540" w:type="dxa"/>
            <w:vAlign w:val="bottom"/>
            <w:shd w:val="clear" w:color="auto" w:fill="CCECFF"/>
          </w:tcPr>
          <w:p>
            <w:pPr>
              <w:spacing w:after="0" w:line="142" w:lineRule="exact"/>
              <w:rPr>
                <w:sz w:val="20"/>
                <w:szCs w:val="20"/>
                <w:color w:val="auto"/>
              </w:rPr>
            </w:pPr>
            <w:r>
              <w:rPr>
                <w:rFonts w:ascii="Arial" w:cs="Arial" w:eastAsia="Arial" w:hAnsi="Arial"/>
                <w:sz w:val="10"/>
                <w:szCs w:val="10"/>
                <w:color w:val="auto"/>
              </w:rPr>
              <w:t xml:space="preserve">ECM Investors, LLC </w:t>
            </w:r>
            <w:r>
              <w:rPr>
                <w:rFonts w:ascii="Arial" w:cs="Arial" w:eastAsia="Arial" w:hAnsi="Arial"/>
                <w:sz w:val="16"/>
                <w:szCs w:val="16"/>
                <w:color w:val="auto"/>
                <w:vertAlign w:val="superscript"/>
              </w:rPr>
              <w:t>(7), (8)</w:t>
            </w:r>
          </w:p>
        </w:tc>
        <w:tc>
          <w:tcPr>
            <w:tcW w:w="100" w:type="dxa"/>
            <w:vAlign w:val="bottom"/>
            <w:shd w:val="clear" w:color="auto" w:fill="CCECFF"/>
          </w:tcPr>
          <w:p>
            <w:pPr>
              <w:spacing w:after="0"/>
              <w:rPr>
                <w:sz w:val="12"/>
                <w:szCs w:val="12"/>
                <w:color w:val="auto"/>
              </w:rPr>
            </w:pPr>
          </w:p>
        </w:tc>
        <w:tc>
          <w:tcPr>
            <w:tcW w:w="760" w:type="dxa"/>
            <w:vAlign w:val="bottom"/>
            <w:gridSpan w:val="2"/>
            <w:shd w:val="clear" w:color="auto" w:fill="CCECFF"/>
          </w:tcPr>
          <w:p>
            <w:pPr>
              <w:ind w:left="300"/>
              <w:spacing w:after="0"/>
              <w:rPr>
                <w:sz w:val="20"/>
                <w:szCs w:val="20"/>
                <w:color w:val="auto"/>
              </w:rPr>
            </w:pPr>
            <w:r>
              <w:rPr>
                <w:rFonts w:ascii="Arial" w:cs="Arial" w:eastAsia="Arial" w:hAnsi="Arial"/>
                <w:sz w:val="12"/>
                <w:szCs w:val="12"/>
                <w:color w:val="auto"/>
              </w:rPr>
              <w:t>—</w:t>
            </w:r>
          </w:p>
        </w:tc>
        <w:tc>
          <w:tcPr>
            <w:tcW w:w="2420" w:type="dxa"/>
            <w:vAlign w:val="bottom"/>
            <w:gridSpan w:val="2"/>
            <w:shd w:val="clear" w:color="auto" w:fill="CCECFF"/>
          </w:tcPr>
          <w:p>
            <w:pPr>
              <w:jc w:val="center"/>
              <w:ind w:right="120"/>
              <w:spacing w:after="0"/>
              <w:rPr>
                <w:sz w:val="20"/>
                <w:szCs w:val="20"/>
                <w:color w:val="auto"/>
              </w:rPr>
            </w:pPr>
            <w:r>
              <w:rPr>
                <w:rFonts w:ascii="Arial" w:cs="Arial" w:eastAsia="Arial" w:hAnsi="Arial"/>
                <w:sz w:val="12"/>
                <w:szCs w:val="12"/>
                <w:color w:val="auto"/>
                <w:w w:val="88"/>
              </w:rPr>
              <w:t>Electronic Equipment, Instruments, and</w:t>
            </w:r>
          </w:p>
        </w:tc>
        <w:tc>
          <w:tcPr>
            <w:tcW w:w="920" w:type="dxa"/>
            <w:vAlign w:val="bottom"/>
            <w:gridSpan w:val="2"/>
            <w:shd w:val="clear" w:color="auto" w:fill="CCECFF"/>
          </w:tcPr>
          <w:p>
            <w:pPr>
              <w:jc w:val="right"/>
              <w:ind w:right="202"/>
              <w:spacing w:after="0"/>
              <w:rPr>
                <w:sz w:val="20"/>
                <w:szCs w:val="20"/>
                <w:color w:val="auto"/>
              </w:rPr>
            </w:pPr>
            <w:r>
              <w:rPr>
                <w:rFonts w:ascii="Arial" w:cs="Arial" w:eastAsia="Arial" w:hAnsi="Arial"/>
                <w:sz w:val="12"/>
                <w:szCs w:val="12"/>
                <w:color w:val="auto"/>
              </w:rPr>
              <w:t>—</w:t>
            </w:r>
          </w:p>
        </w:tc>
        <w:tc>
          <w:tcPr>
            <w:tcW w:w="90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240,636</w:t>
            </w:r>
          </w:p>
        </w:tc>
        <w:tc>
          <w:tcPr>
            <w:tcW w:w="18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240,636</w:t>
            </w:r>
          </w:p>
        </w:tc>
        <w:tc>
          <w:tcPr>
            <w:tcW w:w="16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240,636</w:t>
            </w:r>
          </w:p>
        </w:tc>
        <w:tc>
          <w:tcPr>
            <w:tcW w:w="8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35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0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2420" w:type="dxa"/>
            <w:vAlign w:val="bottom"/>
            <w:gridSpan w:val="2"/>
            <w:shd w:val="clear" w:color="auto" w:fill="CCECFF"/>
          </w:tcPr>
          <w:p>
            <w:pPr>
              <w:jc w:val="center"/>
              <w:ind w:right="100"/>
              <w:spacing w:after="0"/>
              <w:rPr>
                <w:sz w:val="20"/>
                <w:szCs w:val="20"/>
                <w:color w:val="auto"/>
              </w:rPr>
            </w:pPr>
            <w:r>
              <w:rPr>
                <w:rFonts w:ascii="Arial" w:cs="Arial" w:eastAsia="Arial" w:hAnsi="Arial"/>
                <w:sz w:val="12"/>
                <w:szCs w:val="12"/>
                <w:color w:val="auto"/>
                <w:w w:val="88"/>
              </w:rPr>
              <w:t>Components</w:t>
            </w:r>
          </w:p>
        </w:tc>
        <w:tc>
          <w:tcPr>
            <w:tcW w:w="660" w:type="dxa"/>
            <w:vAlign w:val="bottom"/>
            <w:shd w:val="clear" w:color="auto" w:fill="CCECFF"/>
          </w:tcPr>
          <w:p>
            <w:pPr>
              <w:spacing w:after="0"/>
              <w:rPr>
                <w:sz w:val="12"/>
                <w:szCs w:val="12"/>
                <w:color w:val="auto"/>
              </w:rPr>
            </w:pPr>
          </w:p>
        </w:tc>
        <w:tc>
          <w:tcPr>
            <w:tcW w:w="260" w:type="dxa"/>
            <w:vAlign w:val="bottom"/>
            <w:shd w:val="clear" w:color="auto" w:fill="CCECFF"/>
          </w:tcPr>
          <w:p>
            <w:pPr>
              <w:spacing w:after="0"/>
              <w:rPr>
                <w:sz w:val="12"/>
                <w:szCs w:val="12"/>
                <w:color w:val="auto"/>
              </w:rPr>
            </w:pPr>
          </w:p>
        </w:tc>
        <w:tc>
          <w:tcPr>
            <w:tcW w:w="74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6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66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540" w:type="dxa"/>
            <w:vAlign w:val="bottom"/>
          </w:tcPr>
          <w:p>
            <w:pPr>
              <w:spacing w:after="0" w:line="149" w:lineRule="exact"/>
              <w:rPr>
                <w:sz w:val="20"/>
                <w:szCs w:val="20"/>
                <w:color w:val="auto"/>
              </w:rPr>
            </w:pPr>
            <w:r>
              <w:rPr>
                <w:rFonts w:ascii="Arial" w:cs="Arial" w:eastAsia="Arial" w:hAnsi="Arial"/>
                <w:sz w:val="11"/>
                <w:szCs w:val="11"/>
                <w:color w:val="auto"/>
              </w:rPr>
              <w:t xml:space="preserve">eCommission Holding Corporation </w:t>
            </w:r>
            <w:r>
              <w:rPr>
                <w:rFonts w:ascii="Arial" w:cs="Arial" w:eastAsia="Arial" w:hAnsi="Arial"/>
                <w:sz w:val="17"/>
                <w:szCs w:val="17"/>
                <w:color w:val="auto"/>
                <w:vertAlign w:val="superscript"/>
              </w:rPr>
              <w:t>(7), (10)</w:t>
            </w: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20" w:type="dxa"/>
            <w:vAlign w:val="bottom"/>
            <w:gridSpan w:val="2"/>
          </w:tcPr>
          <w:p>
            <w:pPr>
              <w:jc w:val="center"/>
              <w:ind w:right="120"/>
              <w:spacing w:after="0"/>
              <w:rPr>
                <w:sz w:val="20"/>
                <w:szCs w:val="20"/>
                <w:color w:val="auto"/>
              </w:rPr>
            </w:pPr>
            <w:r>
              <w:rPr>
                <w:rFonts w:ascii="Arial" w:cs="Arial" w:eastAsia="Arial" w:hAnsi="Arial"/>
                <w:sz w:val="12"/>
                <w:szCs w:val="12"/>
                <w:color w:val="auto"/>
                <w:w w:val="88"/>
              </w:rPr>
              <w:t>Banking, Finance, Insurance &amp; Real Estate</w:t>
            </w:r>
          </w:p>
        </w:tc>
        <w:tc>
          <w:tcPr>
            <w:tcW w:w="920" w:type="dxa"/>
            <w:vAlign w:val="bottom"/>
            <w:gridSpan w:val="2"/>
          </w:tcPr>
          <w:p>
            <w:pPr>
              <w:jc w:val="right"/>
              <w:ind w:right="202"/>
              <w:spacing w:after="0"/>
              <w:rPr>
                <w:sz w:val="20"/>
                <w:szCs w:val="20"/>
                <w:color w:val="auto"/>
              </w:rPr>
            </w:pPr>
            <w:r>
              <w:rPr>
                <w:rFonts w:ascii="Arial" w:cs="Arial" w:eastAsia="Arial" w:hAnsi="Arial"/>
                <w:sz w:val="12"/>
                <w:szCs w:val="12"/>
                <w:color w:val="auto"/>
              </w:rPr>
              <w:t>—</w:t>
            </w:r>
          </w:p>
        </w:tc>
        <w:tc>
          <w:tcPr>
            <w:tcW w:w="90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20</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251,156</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405,767</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40" w:type="dxa"/>
            <w:vAlign w:val="bottom"/>
            <w:shd w:val="clear" w:color="auto" w:fill="CCECFF"/>
          </w:tcPr>
          <w:p>
            <w:pPr>
              <w:spacing w:after="0" w:line="149" w:lineRule="exact"/>
              <w:rPr>
                <w:sz w:val="20"/>
                <w:szCs w:val="20"/>
                <w:color w:val="auto"/>
              </w:rPr>
            </w:pPr>
            <w:r>
              <w:rPr>
                <w:rFonts w:ascii="Arial" w:cs="Arial" w:eastAsia="Arial" w:hAnsi="Arial"/>
                <w:sz w:val="11"/>
                <w:szCs w:val="11"/>
                <w:color w:val="auto"/>
              </w:rPr>
              <w:t xml:space="preserve">Faraday Holdings, LLC </w:t>
            </w:r>
            <w:r>
              <w:rPr>
                <w:rFonts w:ascii="Arial" w:cs="Arial" w:eastAsia="Arial" w:hAnsi="Arial"/>
                <w:sz w:val="17"/>
                <w:szCs w:val="17"/>
                <w:color w:val="auto"/>
                <w:vertAlign w:val="superscript"/>
              </w:rPr>
              <w:t>(7)</w:t>
            </w:r>
          </w:p>
        </w:tc>
        <w:tc>
          <w:tcPr>
            <w:tcW w:w="100" w:type="dxa"/>
            <w:vAlign w:val="bottom"/>
            <w:shd w:val="clear" w:color="auto" w:fill="CCECFF"/>
          </w:tcPr>
          <w:p>
            <w:pPr>
              <w:spacing w:after="0"/>
              <w:rPr>
                <w:sz w:val="12"/>
                <w:szCs w:val="12"/>
                <w:color w:val="auto"/>
              </w:rPr>
            </w:pPr>
          </w:p>
        </w:tc>
        <w:tc>
          <w:tcPr>
            <w:tcW w:w="760" w:type="dxa"/>
            <w:vAlign w:val="bottom"/>
            <w:gridSpan w:val="2"/>
            <w:shd w:val="clear" w:color="auto" w:fill="CCECFF"/>
          </w:tcPr>
          <w:p>
            <w:pPr>
              <w:ind w:left="300"/>
              <w:spacing w:after="0"/>
              <w:rPr>
                <w:sz w:val="20"/>
                <w:szCs w:val="20"/>
                <w:color w:val="auto"/>
              </w:rPr>
            </w:pPr>
            <w:r>
              <w:rPr>
                <w:rFonts w:ascii="Arial" w:cs="Arial" w:eastAsia="Arial" w:hAnsi="Arial"/>
                <w:sz w:val="12"/>
                <w:szCs w:val="12"/>
                <w:color w:val="auto"/>
              </w:rPr>
              <w:t>—</w:t>
            </w:r>
          </w:p>
        </w:tc>
        <w:tc>
          <w:tcPr>
            <w:tcW w:w="2420" w:type="dxa"/>
            <w:vAlign w:val="bottom"/>
            <w:gridSpan w:val="2"/>
            <w:shd w:val="clear" w:color="auto" w:fill="CCECFF"/>
          </w:tcPr>
          <w:p>
            <w:pPr>
              <w:jc w:val="center"/>
              <w:ind w:right="100"/>
              <w:spacing w:after="0"/>
              <w:rPr>
                <w:sz w:val="20"/>
                <w:szCs w:val="20"/>
                <w:color w:val="auto"/>
              </w:rPr>
            </w:pPr>
            <w:r>
              <w:rPr>
                <w:rFonts w:ascii="Arial" w:cs="Arial" w:eastAsia="Arial" w:hAnsi="Arial"/>
                <w:sz w:val="12"/>
                <w:szCs w:val="12"/>
                <w:color w:val="auto"/>
                <w:w w:val="90"/>
              </w:rPr>
              <w:t>Construction and Building</w:t>
            </w:r>
          </w:p>
        </w:tc>
        <w:tc>
          <w:tcPr>
            <w:tcW w:w="920" w:type="dxa"/>
            <w:vAlign w:val="bottom"/>
            <w:gridSpan w:val="2"/>
            <w:shd w:val="clear" w:color="auto" w:fill="CCECFF"/>
          </w:tcPr>
          <w:p>
            <w:pPr>
              <w:jc w:val="right"/>
              <w:ind w:right="202"/>
              <w:spacing w:after="0"/>
              <w:rPr>
                <w:sz w:val="20"/>
                <w:szCs w:val="20"/>
                <w:color w:val="auto"/>
              </w:rPr>
            </w:pPr>
            <w:r>
              <w:rPr>
                <w:rFonts w:ascii="Arial" w:cs="Arial" w:eastAsia="Arial" w:hAnsi="Arial"/>
                <w:sz w:val="12"/>
                <w:szCs w:val="12"/>
                <w:color w:val="auto"/>
              </w:rPr>
              <w:t>—</w:t>
            </w:r>
          </w:p>
        </w:tc>
        <w:tc>
          <w:tcPr>
            <w:tcW w:w="90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1,141</w:t>
            </w:r>
          </w:p>
        </w:tc>
        <w:tc>
          <w:tcPr>
            <w:tcW w:w="18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58,044</w:t>
            </w:r>
          </w:p>
        </w:tc>
        <w:tc>
          <w:tcPr>
            <w:tcW w:w="16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312,388</w:t>
            </w:r>
          </w:p>
        </w:tc>
        <w:tc>
          <w:tcPr>
            <w:tcW w:w="8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540" w:type="dxa"/>
            <w:vAlign w:val="bottom"/>
          </w:tcPr>
          <w:p>
            <w:pPr>
              <w:spacing w:after="0"/>
              <w:rPr>
                <w:sz w:val="20"/>
                <w:szCs w:val="20"/>
                <w:color w:val="auto"/>
              </w:rPr>
            </w:pPr>
            <w:r>
              <w:rPr>
                <w:rFonts w:ascii="Arial" w:cs="Arial" w:eastAsia="Arial" w:hAnsi="Arial"/>
                <w:sz w:val="12"/>
                <w:szCs w:val="12"/>
                <w:color w:val="auto"/>
              </w:rPr>
              <w:t>Gauge InfosoftCoInvest, LLC</w:t>
            </w:r>
          </w:p>
        </w:tc>
        <w:tc>
          <w:tcPr>
            <w:tcW w:w="100" w:type="dxa"/>
            <w:vAlign w:val="bottom"/>
          </w:tcPr>
          <w:p>
            <w:pPr>
              <w:spacing w:after="0"/>
              <w:rPr>
                <w:sz w:val="12"/>
                <w:szCs w:val="12"/>
                <w:color w:val="auto"/>
              </w:rPr>
            </w:pPr>
          </w:p>
        </w:tc>
        <w:tc>
          <w:tcPr>
            <w:tcW w:w="760" w:type="dxa"/>
            <w:vAlign w:val="bottom"/>
            <w:gridSpan w:val="2"/>
          </w:tcPr>
          <w:p>
            <w:pPr>
              <w:ind w:left="300"/>
              <w:spacing w:after="0"/>
              <w:rPr>
                <w:sz w:val="20"/>
                <w:szCs w:val="20"/>
                <w:color w:val="auto"/>
              </w:rPr>
            </w:pPr>
            <w:r>
              <w:rPr>
                <w:rFonts w:ascii="Arial" w:cs="Arial" w:eastAsia="Arial" w:hAnsi="Arial"/>
                <w:sz w:val="12"/>
                <w:szCs w:val="12"/>
                <w:color w:val="auto"/>
              </w:rPr>
              <w:t>—</w:t>
            </w:r>
          </w:p>
        </w:tc>
        <w:tc>
          <w:tcPr>
            <w:tcW w:w="2420" w:type="dxa"/>
            <w:vAlign w:val="bottom"/>
            <w:gridSpan w:val="2"/>
          </w:tcPr>
          <w:p>
            <w:pPr>
              <w:jc w:val="center"/>
              <w:ind w:right="100"/>
              <w:spacing w:after="0"/>
              <w:rPr>
                <w:sz w:val="20"/>
                <w:szCs w:val="20"/>
                <w:color w:val="auto"/>
              </w:rPr>
            </w:pPr>
            <w:r>
              <w:rPr>
                <w:rFonts w:ascii="Arial" w:cs="Arial" w:eastAsia="Arial" w:hAnsi="Arial"/>
                <w:sz w:val="12"/>
                <w:szCs w:val="12"/>
                <w:color w:val="auto"/>
                <w:w w:val="89"/>
              </w:rPr>
              <w:t>Media: Broadcasting and Subscription</w:t>
            </w:r>
          </w:p>
        </w:tc>
        <w:tc>
          <w:tcPr>
            <w:tcW w:w="920" w:type="dxa"/>
            <w:vAlign w:val="bottom"/>
            <w:gridSpan w:val="2"/>
          </w:tcPr>
          <w:p>
            <w:pPr>
              <w:jc w:val="right"/>
              <w:ind w:right="202"/>
              <w:spacing w:after="0"/>
              <w:rPr>
                <w:sz w:val="20"/>
                <w:szCs w:val="20"/>
                <w:color w:val="auto"/>
              </w:rPr>
            </w:pPr>
            <w:r>
              <w:rPr>
                <w:rFonts w:ascii="Arial" w:cs="Arial" w:eastAsia="Arial" w:hAnsi="Arial"/>
                <w:sz w:val="12"/>
                <w:szCs w:val="12"/>
                <w:color w:val="auto"/>
              </w:rPr>
              <w:t>—</w:t>
            </w:r>
          </w:p>
        </w:tc>
        <w:tc>
          <w:tcPr>
            <w:tcW w:w="90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500</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143,663</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608,738</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3540" w:type="dxa"/>
            <w:vAlign w:val="bottom"/>
          </w:tcPr>
          <w:p>
            <w:pPr>
              <w:ind w:left="140"/>
              <w:spacing w:after="0" w:line="150" w:lineRule="exact"/>
              <w:rPr>
                <w:sz w:val="20"/>
                <w:szCs w:val="20"/>
                <w:color w:val="auto"/>
              </w:rPr>
            </w:pPr>
            <w:r>
              <w:rPr>
                <w:rFonts w:ascii="Arial" w:cs="Arial" w:eastAsia="Arial" w:hAnsi="Arial"/>
                <w:sz w:val="11"/>
                <w:szCs w:val="11"/>
                <w:color w:val="auto"/>
              </w:rPr>
              <w:t xml:space="preserve">(The Infosoft Group, LLC) </w:t>
            </w:r>
            <w:r>
              <w:rPr>
                <w:rFonts w:ascii="Arial" w:cs="Arial" w:eastAsia="Arial" w:hAnsi="Arial"/>
                <w:sz w:val="17"/>
                <w:szCs w:val="17"/>
                <w:color w:val="auto"/>
                <w:vertAlign w:val="superscript"/>
              </w:rPr>
              <w:t>(7)</w:t>
            </w: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540" w:type="dxa"/>
            <w:vAlign w:val="bottom"/>
            <w:shd w:val="clear" w:color="auto" w:fill="CCECFF"/>
          </w:tcPr>
          <w:p>
            <w:pPr>
              <w:spacing w:after="0" w:line="149" w:lineRule="exact"/>
              <w:rPr>
                <w:sz w:val="20"/>
                <w:szCs w:val="20"/>
                <w:color w:val="auto"/>
              </w:rPr>
            </w:pPr>
            <w:r>
              <w:rPr>
                <w:rFonts w:ascii="Arial" w:cs="Arial" w:eastAsia="Arial" w:hAnsi="Arial"/>
                <w:sz w:val="11"/>
                <w:szCs w:val="11"/>
                <w:color w:val="auto"/>
              </w:rPr>
              <w:t xml:space="preserve">Gauge Lash Coinvest LLC </w:t>
            </w:r>
            <w:r>
              <w:rPr>
                <w:rFonts w:ascii="Arial" w:cs="Arial" w:eastAsia="Arial" w:hAnsi="Arial"/>
                <w:sz w:val="17"/>
                <w:szCs w:val="17"/>
                <w:color w:val="auto"/>
                <w:vertAlign w:val="superscript"/>
              </w:rPr>
              <w:t>(7)</w:t>
            </w:r>
          </w:p>
        </w:tc>
        <w:tc>
          <w:tcPr>
            <w:tcW w:w="100" w:type="dxa"/>
            <w:vAlign w:val="bottom"/>
            <w:shd w:val="clear" w:color="auto" w:fill="CCECFF"/>
          </w:tcPr>
          <w:p>
            <w:pPr>
              <w:spacing w:after="0"/>
              <w:rPr>
                <w:sz w:val="12"/>
                <w:szCs w:val="12"/>
                <w:color w:val="auto"/>
              </w:rPr>
            </w:pPr>
          </w:p>
        </w:tc>
        <w:tc>
          <w:tcPr>
            <w:tcW w:w="60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2420" w:type="dxa"/>
            <w:vAlign w:val="bottom"/>
            <w:gridSpan w:val="2"/>
            <w:shd w:val="clear" w:color="auto" w:fill="CCECFF"/>
          </w:tcPr>
          <w:p>
            <w:pPr>
              <w:jc w:val="center"/>
              <w:ind w:right="100"/>
              <w:spacing w:after="0"/>
              <w:rPr>
                <w:sz w:val="20"/>
                <w:szCs w:val="20"/>
                <w:color w:val="auto"/>
              </w:rPr>
            </w:pPr>
            <w:r>
              <w:rPr>
                <w:rFonts w:ascii="Arial" w:cs="Arial" w:eastAsia="Arial" w:hAnsi="Arial"/>
                <w:sz w:val="12"/>
                <w:szCs w:val="12"/>
                <w:color w:val="auto"/>
                <w:w w:val="85"/>
              </w:rPr>
              <w:t>Personal Products</w:t>
            </w:r>
          </w:p>
        </w:tc>
        <w:tc>
          <w:tcPr>
            <w:tcW w:w="660" w:type="dxa"/>
            <w:vAlign w:val="bottom"/>
            <w:shd w:val="clear" w:color="auto" w:fill="CCECFF"/>
          </w:tcPr>
          <w:p>
            <w:pPr>
              <w:spacing w:after="0"/>
              <w:rPr>
                <w:sz w:val="12"/>
                <w:szCs w:val="12"/>
                <w:color w:val="auto"/>
              </w:rPr>
            </w:pPr>
          </w:p>
        </w:tc>
        <w:tc>
          <w:tcPr>
            <w:tcW w:w="260" w:type="dxa"/>
            <w:vAlign w:val="bottom"/>
            <w:shd w:val="clear" w:color="auto" w:fill="CCECFF"/>
          </w:tcPr>
          <w:p>
            <w:pPr>
              <w:spacing w:after="0"/>
              <w:rPr>
                <w:sz w:val="12"/>
                <w:szCs w:val="12"/>
                <w:color w:val="auto"/>
              </w:rPr>
            </w:pPr>
          </w:p>
        </w:tc>
        <w:tc>
          <w:tcPr>
            <w:tcW w:w="74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1,089,489</w:t>
            </w:r>
          </w:p>
        </w:tc>
        <w:tc>
          <w:tcPr>
            <w:tcW w:w="18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1,089,489</w:t>
            </w:r>
          </w:p>
        </w:tc>
        <w:tc>
          <w:tcPr>
            <w:tcW w:w="16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1,089,489</w:t>
            </w:r>
          </w:p>
        </w:tc>
        <w:tc>
          <w:tcPr>
            <w:tcW w:w="8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540" w:type="dxa"/>
            <w:vAlign w:val="bottom"/>
          </w:tcPr>
          <w:p>
            <w:pPr>
              <w:spacing w:after="0" w:line="149" w:lineRule="exact"/>
              <w:rPr>
                <w:sz w:val="20"/>
                <w:szCs w:val="20"/>
                <w:color w:val="auto"/>
              </w:rPr>
            </w:pPr>
            <w:r>
              <w:rPr>
                <w:rFonts w:ascii="Arial" w:cs="Arial" w:eastAsia="Arial" w:hAnsi="Arial"/>
                <w:sz w:val="11"/>
                <w:szCs w:val="11"/>
                <w:color w:val="auto"/>
              </w:rPr>
              <w:t xml:space="preserve">Gauge Schlesinger Coinvest LLC </w:t>
            </w:r>
            <w:r>
              <w:rPr>
                <w:rFonts w:ascii="Arial" w:cs="Arial" w:eastAsia="Arial" w:hAnsi="Arial"/>
                <w:sz w:val="17"/>
                <w:szCs w:val="17"/>
                <w:color w:val="auto"/>
                <w:vertAlign w:val="superscript"/>
              </w:rPr>
              <w:t>(7)</w:t>
            </w: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20" w:type="dxa"/>
            <w:vAlign w:val="bottom"/>
            <w:gridSpan w:val="2"/>
          </w:tcPr>
          <w:p>
            <w:pPr>
              <w:jc w:val="center"/>
              <w:ind w:right="100"/>
              <w:spacing w:after="0"/>
              <w:rPr>
                <w:sz w:val="20"/>
                <w:szCs w:val="20"/>
                <w:color w:val="auto"/>
              </w:rPr>
            </w:pPr>
            <w:r>
              <w:rPr>
                <w:rFonts w:ascii="Arial" w:cs="Arial" w:eastAsia="Arial" w:hAnsi="Arial"/>
                <w:sz w:val="12"/>
                <w:szCs w:val="12"/>
                <w:color w:val="auto"/>
                <w:w w:val="86"/>
              </w:rPr>
              <w:t>Professional Services</w:t>
            </w:r>
          </w:p>
        </w:tc>
        <w:tc>
          <w:tcPr>
            <w:tcW w:w="920" w:type="dxa"/>
            <w:vAlign w:val="bottom"/>
            <w:gridSpan w:val="2"/>
          </w:tcPr>
          <w:p>
            <w:pPr>
              <w:jc w:val="right"/>
              <w:ind w:right="202"/>
              <w:spacing w:after="0"/>
              <w:rPr>
                <w:sz w:val="20"/>
                <w:szCs w:val="20"/>
                <w:color w:val="auto"/>
              </w:rPr>
            </w:pPr>
            <w:r>
              <w:rPr>
                <w:rFonts w:ascii="Arial" w:cs="Arial" w:eastAsia="Arial" w:hAnsi="Arial"/>
                <w:sz w:val="12"/>
                <w:szCs w:val="12"/>
                <w:color w:val="auto"/>
              </w:rPr>
              <w:t>—</w:t>
            </w:r>
          </w:p>
        </w:tc>
        <w:tc>
          <w:tcPr>
            <w:tcW w:w="90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403</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403,005</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557,727</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40" w:type="dxa"/>
            <w:vAlign w:val="bottom"/>
            <w:shd w:val="clear" w:color="auto" w:fill="CCECFF"/>
          </w:tcPr>
          <w:p>
            <w:pPr>
              <w:spacing w:after="0" w:line="149" w:lineRule="exact"/>
              <w:rPr>
                <w:sz w:val="20"/>
                <w:szCs w:val="20"/>
                <w:color w:val="auto"/>
              </w:rPr>
            </w:pPr>
            <w:r>
              <w:rPr>
                <w:rFonts w:ascii="Arial" w:cs="Arial" w:eastAsia="Arial" w:hAnsi="Arial"/>
                <w:sz w:val="11"/>
                <w:szCs w:val="11"/>
                <w:color w:val="auto"/>
              </w:rPr>
              <w:t xml:space="preserve">Gauge TVC Coinvest, LLC (TVC Enterprises, LLC) </w:t>
            </w:r>
            <w:r>
              <w:rPr>
                <w:rFonts w:ascii="Arial" w:cs="Arial" w:eastAsia="Arial" w:hAnsi="Arial"/>
                <w:sz w:val="17"/>
                <w:szCs w:val="17"/>
                <w:color w:val="auto"/>
                <w:vertAlign w:val="superscript"/>
              </w:rPr>
              <w:t>(7)</w:t>
            </w:r>
          </w:p>
        </w:tc>
        <w:tc>
          <w:tcPr>
            <w:tcW w:w="100" w:type="dxa"/>
            <w:vAlign w:val="bottom"/>
            <w:shd w:val="clear" w:color="auto" w:fill="CCECFF"/>
          </w:tcPr>
          <w:p>
            <w:pPr>
              <w:spacing w:after="0"/>
              <w:rPr>
                <w:sz w:val="12"/>
                <w:szCs w:val="12"/>
                <w:color w:val="auto"/>
              </w:rPr>
            </w:pPr>
          </w:p>
        </w:tc>
        <w:tc>
          <w:tcPr>
            <w:tcW w:w="60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2420" w:type="dxa"/>
            <w:vAlign w:val="bottom"/>
            <w:gridSpan w:val="2"/>
            <w:shd w:val="clear" w:color="auto" w:fill="CCECFF"/>
          </w:tcPr>
          <w:p>
            <w:pPr>
              <w:jc w:val="center"/>
              <w:ind w:right="100"/>
              <w:spacing w:after="0"/>
              <w:rPr>
                <w:sz w:val="20"/>
                <w:szCs w:val="20"/>
                <w:color w:val="auto"/>
              </w:rPr>
            </w:pPr>
            <w:r>
              <w:rPr>
                <w:rFonts w:ascii="Arial" w:cs="Arial" w:eastAsia="Arial" w:hAnsi="Arial"/>
                <w:sz w:val="12"/>
                <w:szCs w:val="12"/>
                <w:color w:val="auto"/>
                <w:w w:val="86"/>
              </w:rPr>
              <w:t>Professional Services</w:t>
            </w:r>
          </w:p>
        </w:tc>
        <w:tc>
          <w:tcPr>
            <w:tcW w:w="920" w:type="dxa"/>
            <w:vAlign w:val="bottom"/>
            <w:gridSpan w:val="2"/>
            <w:shd w:val="clear" w:color="auto" w:fill="CCECFF"/>
          </w:tcPr>
          <w:p>
            <w:pPr>
              <w:jc w:val="right"/>
              <w:ind w:right="202"/>
              <w:spacing w:after="0"/>
              <w:rPr>
                <w:sz w:val="20"/>
                <w:szCs w:val="20"/>
                <w:color w:val="auto"/>
              </w:rPr>
            </w:pPr>
            <w:r>
              <w:rPr>
                <w:rFonts w:ascii="Arial" w:cs="Arial" w:eastAsia="Arial" w:hAnsi="Arial"/>
                <w:sz w:val="12"/>
                <w:szCs w:val="12"/>
                <w:color w:val="auto"/>
              </w:rPr>
              <w:t>—</w:t>
            </w:r>
          </w:p>
        </w:tc>
        <w:tc>
          <w:tcPr>
            <w:tcW w:w="90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391,144</w:t>
            </w:r>
          </w:p>
        </w:tc>
        <w:tc>
          <w:tcPr>
            <w:tcW w:w="18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391,144</w:t>
            </w:r>
          </w:p>
        </w:tc>
        <w:tc>
          <w:tcPr>
            <w:tcW w:w="16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385,691</w:t>
            </w:r>
          </w:p>
        </w:tc>
        <w:tc>
          <w:tcPr>
            <w:tcW w:w="8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540" w:type="dxa"/>
            <w:vAlign w:val="bottom"/>
          </w:tcPr>
          <w:p>
            <w:pPr>
              <w:spacing w:after="0" w:line="149" w:lineRule="exact"/>
              <w:rPr>
                <w:sz w:val="20"/>
                <w:szCs w:val="20"/>
                <w:color w:val="auto"/>
              </w:rPr>
            </w:pPr>
            <w:r>
              <w:rPr>
                <w:rFonts w:ascii="Arial" w:cs="Arial" w:eastAsia="Arial" w:hAnsi="Arial"/>
                <w:sz w:val="11"/>
                <w:szCs w:val="11"/>
                <w:color w:val="auto"/>
              </w:rPr>
              <w:t xml:space="preserve">GCOM InvestCo LP </w:t>
            </w:r>
            <w:r>
              <w:rPr>
                <w:rFonts w:ascii="Arial" w:cs="Arial" w:eastAsia="Arial" w:hAnsi="Arial"/>
                <w:sz w:val="17"/>
                <w:szCs w:val="17"/>
                <w:color w:val="auto"/>
                <w:vertAlign w:val="superscript"/>
              </w:rPr>
              <w:t>(7), (8)</w:t>
            </w:r>
          </w:p>
        </w:tc>
        <w:tc>
          <w:tcPr>
            <w:tcW w:w="100" w:type="dxa"/>
            <w:vAlign w:val="bottom"/>
          </w:tcPr>
          <w:p>
            <w:pPr>
              <w:spacing w:after="0"/>
              <w:rPr>
                <w:sz w:val="12"/>
                <w:szCs w:val="12"/>
                <w:color w:val="auto"/>
              </w:rPr>
            </w:pPr>
          </w:p>
        </w:tc>
        <w:tc>
          <w:tcPr>
            <w:tcW w:w="760" w:type="dxa"/>
            <w:vAlign w:val="bottom"/>
            <w:gridSpan w:val="2"/>
          </w:tcPr>
          <w:p>
            <w:pPr>
              <w:ind w:left="300"/>
              <w:spacing w:after="0"/>
              <w:rPr>
                <w:sz w:val="20"/>
                <w:szCs w:val="20"/>
                <w:color w:val="auto"/>
              </w:rPr>
            </w:pPr>
            <w:r>
              <w:rPr>
                <w:rFonts w:ascii="Arial" w:cs="Arial" w:eastAsia="Arial" w:hAnsi="Arial"/>
                <w:sz w:val="12"/>
                <w:szCs w:val="12"/>
                <w:color w:val="auto"/>
              </w:rPr>
              <w:t>—</w:t>
            </w:r>
          </w:p>
        </w:tc>
        <w:tc>
          <w:tcPr>
            <w:tcW w:w="2420" w:type="dxa"/>
            <w:vAlign w:val="bottom"/>
            <w:gridSpan w:val="2"/>
          </w:tcPr>
          <w:p>
            <w:pPr>
              <w:jc w:val="center"/>
              <w:ind w:right="120"/>
              <w:spacing w:after="0"/>
              <w:rPr>
                <w:sz w:val="20"/>
                <w:szCs w:val="20"/>
                <w:color w:val="auto"/>
              </w:rPr>
            </w:pPr>
            <w:r>
              <w:rPr>
                <w:rFonts w:ascii="Arial" w:cs="Arial" w:eastAsia="Arial" w:hAnsi="Arial"/>
                <w:sz w:val="12"/>
                <w:szCs w:val="12"/>
                <w:color w:val="auto"/>
                <w:w w:val="89"/>
              </w:rPr>
              <w:t>High Tech Industries</w:t>
            </w:r>
          </w:p>
        </w:tc>
        <w:tc>
          <w:tcPr>
            <w:tcW w:w="920" w:type="dxa"/>
            <w:vAlign w:val="bottom"/>
            <w:gridSpan w:val="2"/>
          </w:tcPr>
          <w:p>
            <w:pPr>
              <w:jc w:val="right"/>
              <w:ind w:right="202"/>
              <w:spacing w:after="0"/>
              <w:rPr>
                <w:sz w:val="20"/>
                <w:szCs w:val="20"/>
                <w:color w:val="auto"/>
              </w:rPr>
            </w:pPr>
            <w:r>
              <w:rPr>
                <w:rFonts w:ascii="Arial" w:cs="Arial" w:eastAsia="Arial" w:hAnsi="Arial"/>
                <w:sz w:val="12"/>
                <w:szCs w:val="12"/>
                <w:color w:val="auto"/>
              </w:rPr>
              <w:t>—</w:t>
            </w:r>
          </w:p>
        </w:tc>
        <w:tc>
          <w:tcPr>
            <w:tcW w:w="90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1,549,209</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1,423,211</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2,741,340</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540" w:type="dxa"/>
            <w:vAlign w:val="bottom"/>
            <w:shd w:val="clear" w:color="auto" w:fill="CCECFF"/>
          </w:tcPr>
          <w:p>
            <w:pPr>
              <w:spacing w:after="0" w:line="149" w:lineRule="exact"/>
              <w:rPr>
                <w:sz w:val="20"/>
                <w:szCs w:val="20"/>
                <w:color w:val="auto"/>
              </w:rPr>
            </w:pPr>
            <w:r>
              <w:rPr>
                <w:rFonts w:ascii="Arial" w:cs="Arial" w:eastAsia="Arial" w:hAnsi="Arial"/>
                <w:sz w:val="11"/>
                <w:szCs w:val="11"/>
                <w:color w:val="auto"/>
              </w:rPr>
              <w:t xml:space="preserve">GCOM InvestCo LP </w:t>
            </w:r>
            <w:r>
              <w:rPr>
                <w:rFonts w:ascii="Arial" w:cs="Arial" w:eastAsia="Arial" w:hAnsi="Arial"/>
                <w:sz w:val="17"/>
                <w:szCs w:val="17"/>
                <w:color w:val="auto"/>
                <w:vertAlign w:val="superscript"/>
              </w:rPr>
              <w:t>(7), (8), (9)</w:t>
            </w:r>
          </w:p>
        </w:tc>
        <w:tc>
          <w:tcPr>
            <w:tcW w:w="100" w:type="dxa"/>
            <w:vAlign w:val="bottom"/>
            <w:shd w:val="clear" w:color="auto" w:fill="CCECFF"/>
          </w:tcPr>
          <w:p>
            <w:pPr>
              <w:spacing w:after="0"/>
              <w:rPr>
                <w:sz w:val="12"/>
                <w:szCs w:val="12"/>
                <w:color w:val="auto"/>
              </w:rPr>
            </w:pPr>
          </w:p>
        </w:tc>
        <w:tc>
          <w:tcPr>
            <w:tcW w:w="760" w:type="dxa"/>
            <w:vAlign w:val="bottom"/>
            <w:gridSpan w:val="2"/>
            <w:shd w:val="clear" w:color="auto" w:fill="CCECFF"/>
          </w:tcPr>
          <w:p>
            <w:pPr>
              <w:ind w:left="300"/>
              <w:spacing w:after="0"/>
              <w:rPr>
                <w:sz w:val="20"/>
                <w:szCs w:val="20"/>
                <w:color w:val="auto"/>
              </w:rPr>
            </w:pPr>
            <w:r>
              <w:rPr>
                <w:rFonts w:ascii="Arial" w:cs="Arial" w:eastAsia="Arial" w:hAnsi="Arial"/>
                <w:sz w:val="12"/>
                <w:szCs w:val="12"/>
                <w:color w:val="auto"/>
              </w:rPr>
              <w:t>—</w:t>
            </w:r>
          </w:p>
        </w:tc>
        <w:tc>
          <w:tcPr>
            <w:tcW w:w="2420" w:type="dxa"/>
            <w:vAlign w:val="bottom"/>
            <w:gridSpan w:val="2"/>
            <w:shd w:val="clear" w:color="auto" w:fill="CCECFF"/>
          </w:tcPr>
          <w:p>
            <w:pPr>
              <w:jc w:val="center"/>
              <w:ind w:right="120"/>
              <w:spacing w:after="0"/>
              <w:rPr>
                <w:sz w:val="20"/>
                <w:szCs w:val="20"/>
                <w:color w:val="auto"/>
              </w:rPr>
            </w:pPr>
            <w:r>
              <w:rPr>
                <w:rFonts w:ascii="Arial" w:cs="Arial" w:eastAsia="Arial" w:hAnsi="Arial"/>
                <w:sz w:val="12"/>
                <w:szCs w:val="12"/>
                <w:color w:val="auto"/>
                <w:w w:val="89"/>
              </w:rPr>
              <w:t>High Tech Industries</w:t>
            </w:r>
          </w:p>
        </w:tc>
        <w:tc>
          <w:tcPr>
            <w:tcW w:w="920" w:type="dxa"/>
            <w:vAlign w:val="bottom"/>
            <w:gridSpan w:val="2"/>
            <w:shd w:val="clear" w:color="auto" w:fill="CCECFF"/>
          </w:tcPr>
          <w:p>
            <w:pPr>
              <w:jc w:val="right"/>
              <w:ind w:right="202"/>
              <w:spacing w:after="0"/>
              <w:rPr>
                <w:sz w:val="20"/>
                <w:szCs w:val="20"/>
                <w:color w:val="auto"/>
              </w:rPr>
            </w:pPr>
            <w:r>
              <w:rPr>
                <w:rFonts w:ascii="Arial" w:cs="Arial" w:eastAsia="Arial" w:hAnsi="Arial"/>
                <w:sz w:val="12"/>
                <w:szCs w:val="12"/>
                <w:color w:val="auto"/>
              </w:rPr>
              <w:t>—</w:t>
            </w:r>
          </w:p>
        </w:tc>
        <w:tc>
          <w:tcPr>
            <w:tcW w:w="90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450,791</w:t>
            </w:r>
          </w:p>
        </w:tc>
        <w:tc>
          <w:tcPr>
            <w:tcW w:w="18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82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CFF"/>
          </w:tcPr>
          <w:p>
            <w:pPr>
              <w:spacing w:after="0"/>
              <w:rPr>
                <w:sz w:val="12"/>
                <w:szCs w:val="12"/>
                <w:color w:val="auto"/>
              </w:rPr>
            </w:pPr>
          </w:p>
        </w:tc>
        <w:tc>
          <w:tcPr>
            <w:tcW w:w="740" w:type="dxa"/>
            <w:vAlign w:val="bottom"/>
            <w:gridSpan w:val="2"/>
            <w:shd w:val="clear" w:color="auto" w:fill="CCECFF"/>
          </w:tcPr>
          <w:p>
            <w:pPr>
              <w:jc w:val="right"/>
              <w:ind w:right="1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6"/>
        </w:trPr>
        <w:tc>
          <w:tcPr>
            <w:tcW w:w="3540" w:type="dxa"/>
            <w:vAlign w:val="bottom"/>
          </w:tcPr>
          <w:p>
            <w:pPr>
              <w:spacing w:after="0"/>
              <w:rPr>
                <w:sz w:val="20"/>
                <w:szCs w:val="20"/>
                <w:color w:val="auto"/>
              </w:rPr>
            </w:pPr>
            <w:r>
              <w:rPr>
                <w:rFonts w:ascii="Arial" w:cs="Arial" w:eastAsia="Arial" w:hAnsi="Arial"/>
                <w:sz w:val="12"/>
                <w:szCs w:val="12"/>
                <w:color w:val="auto"/>
              </w:rPr>
              <w:t>Go Dawgs Capital III, LP</w:t>
            </w:r>
          </w:p>
        </w:tc>
        <w:tc>
          <w:tcPr>
            <w:tcW w:w="100" w:type="dxa"/>
            <w:vAlign w:val="bottom"/>
          </w:tcPr>
          <w:p>
            <w:pPr>
              <w:spacing w:after="0"/>
              <w:rPr>
                <w:sz w:val="12"/>
                <w:szCs w:val="12"/>
                <w:color w:val="auto"/>
              </w:rPr>
            </w:pPr>
          </w:p>
        </w:tc>
        <w:tc>
          <w:tcPr>
            <w:tcW w:w="760" w:type="dxa"/>
            <w:vAlign w:val="bottom"/>
            <w:gridSpan w:val="2"/>
          </w:tcPr>
          <w:p>
            <w:pPr>
              <w:ind w:left="300"/>
              <w:spacing w:after="0"/>
              <w:rPr>
                <w:sz w:val="20"/>
                <w:szCs w:val="20"/>
                <w:color w:val="auto"/>
              </w:rPr>
            </w:pPr>
            <w:r>
              <w:rPr>
                <w:rFonts w:ascii="Arial" w:cs="Arial" w:eastAsia="Arial" w:hAnsi="Arial"/>
                <w:sz w:val="12"/>
                <w:szCs w:val="12"/>
                <w:color w:val="auto"/>
              </w:rPr>
              <w:t>—</w:t>
            </w:r>
          </w:p>
        </w:tc>
        <w:tc>
          <w:tcPr>
            <w:tcW w:w="2420" w:type="dxa"/>
            <w:vAlign w:val="bottom"/>
            <w:gridSpan w:val="2"/>
          </w:tcPr>
          <w:p>
            <w:pPr>
              <w:jc w:val="center"/>
              <w:ind w:right="100"/>
              <w:spacing w:after="0"/>
              <w:rPr>
                <w:sz w:val="20"/>
                <w:szCs w:val="20"/>
                <w:color w:val="auto"/>
              </w:rPr>
            </w:pPr>
            <w:r>
              <w:rPr>
                <w:rFonts w:ascii="Arial" w:cs="Arial" w:eastAsia="Arial" w:hAnsi="Arial"/>
                <w:sz w:val="12"/>
                <w:szCs w:val="12"/>
                <w:color w:val="auto"/>
                <w:w w:val="89"/>
              </w:rPr>
              <w:t>Building Products</w:t>
            </w:r>
          </w:p>
        </w:tc>
        <w:tc>
          <w:tcPr>
            <w:tcW w:w="920" w:type="dxa"/>
            <w:vAlign w:val="bottom"/>
            <w:gridSpan w:val="2"/>
          </w:tcPr>
          <w:p>
            <w:pPr>
              <w:jc w:val="right"/>
              <w:ind w:right="202"/>
              <w:spacing w:after="0"/>
              <w:rPr>
                <w:sz w:val="20"/>
                <w:szCs w:val="20"/>
                <w:color w:val="auto"/>
              </w:rPr>
            </w:pPr>
            <w:r>
              <w:rPr>
                <w:rFonts w:ascii="Arial" w:cs="Arial" w:eastAsia="Arial" w:hAnsi="Arial"/>
                <w:sz w:val="12"/>
                <w:szCs w:val="12"/>
                <w:color w:val="auto"/>
              </w:rPr>
              <w:t>—</w:t>
            </w:r>
          </w:p>
        </w:tc>
        <w:tc>
          <w:tcPr>
            <w:tcW w:w="90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324,675</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324,675</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337,662</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3540" w:type="dxa"/>
            <w:vAlign w:val="bottom"/>
          </w:tcPr>
          <w:p>
            <w:pPr>
              <w:ind w:left="140"/>
              <w:spacing w:after="0" w:line="150" w:lineRule="exact"/>
              <w:rPr>
                <w:sz w:val="20"/>
                <w:szCs w:val="20"/>
                <w:color w:val="auto"/>
              </w:rPr>
            </w:pPr>
            <w:r>
              <w:rPr>
                <w:rFonts w:ascii="Arial" w:cs="Arial" w:eastAsia="Arial" w:hAnsi="Arial"/>
                <w:sz w:val="11"/>
                <w:szCs w:val="11"/>
                <w:color w:val="auto"/>
              </w:rPr>
              <w:t xml:space="preserve">(American Insulated Glass, LLC) </w:t>
            </w:r>
            <w:r>
              <w:rPr>
                <w:rFonts w:ascii="Arial" w:cs="Arial" w:eastAsia="Arial" w:hAnsi="Arial"/>
                <w:sz w:val="17"/>
                <w:szCs w:val="17"/>
                <w:color w:val="auto"/>
                <w:vertAlign w:val="superscript"/>
              </w:rPr>
              <w:t>(7), (8)</w:t>
            </w: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540" w:type="dxa"/>
            <w:vAlign w:val="bottom"/>
            <w:shd w:val="clear" w:color="auto" w:fill="CCECFF"/>
          </w:tcPr>
          <w:p>
            <w:pPr>
              <w:spacing w:after="0"/>
              <w:rPr>
                <w:sz w:val="20"/>
                <w:szCs w:val="20"/>
                <w:color w:val="auto"/>
              </w:rPr>
            </w:pPr>
            <w:r>
              <w:rPr>
                <w:rFonts w:ascii="Arial" w:cs="Arial" w:eastAsia="Arial" w:hAnsi="Arial"/>
                <w:sz w:val="12"/>
                <w:szCs w:val="12"/>
                <w:color w:val="auto"/>
              </w:rPr>
              <w:t>IIN Group Holdings, LLC</w:t>
            </w:r>
          </w:p>
        </w:tc>
        <w:tc>
          <w:tcPr>
            <w:tcW w:w="100" w:type="dxa"/>
            <w:vAlign w:val="bottom"/>
            <w:shd w:val="clear" w:color="auto" w:fill="CCECFF"/>
          </w:tcPr>
          <w:p>
            <w:pPr>
              <w:spacing w:after="0"/>
              <w:rPr>
                <w:sz w:val="12"/>
                <w:szCs w:val="12"/>
                <w:color w:val="auto"/>
              </w:rPr>
            </w:pPr>
          </w:p>
        </w:tc>
        <w:tc>
          <w:tcPr>
            <w:tcW w:w="760" w:type="dxa"/>
            <w:vAlign w:val="bottom"/>
            <w:gridSpan w:val="2"/>
            <w:shd w:val="clear" w:color="auto" w:fill="CCECFF"/>
          </w:tcPr>
          <w:p>
            <w:pPr>
              <w:ind w:left="300"/>
              <w:spacing w:after="0"/>
              <w:rPr>
                <w:sz w:val="20"/>
                <w:szCs w:val="20"/>
                <w:color w:val="auto"/>
              </w:rPr>
            </w:pPr>
            <w:r>
              <w:rPr>
                <w:rFonts w:ascii="Arial" w:cs="Arial" w:eastAsia="Arial" w:hAnsi="Arial"/>
                <w:sz w:val="12"/>
                <w:szCs w:val="12"/>
                <w:color w:val="auto"/>
              </w:rPr>
              <w:t>—</w:t>
            </w:r>
          </w:p>
        </w:tc>
        <w:tc>
          <w:tcPr>
            <w:tcW w:w="2420" w:type="dxa"/>
            <w:vAlign w:val="bottom"/>
            <w:gridSpan w:val="2"/>
            <w:shd w:val="clear" w:color="auto" w:fill="CCECFF"/>
          </w:tcPr>
          <w:p>
            <w:pPr>
              <w:jc w:val="center"/>
              <w:ind w:right="120"/>
              <w:spacing w:after="0"/>
              <w:rPr>
                <w:sz w:val="20"/>
                <w:szCs w:val="20"/>
                <w:color w:val="auto"/>
              </w:rPr>
            </w:pPr>
            <w:r>
              <w:rPr>
                <w:rFonts w:ascii="Arial" w:cs="Arial" w:eastAsia="Arial" w:hAnsi="Arial"/>
                <w:sz w:val="12"/>
                <w:szCs w:val="12"/>
                <w:color w:val="auto"/>
                <w:w w:val="85"/>
              </w:rPr>
              <w:t>Consumer Services</w:t>
            </w:r>
          </w:p>
        </w:tc>
        <w:tc>
          <w:tcPr>
            <w:tcW w:w="920" w:type="dxa"/>
            <w:vAlign w:val="bottom"/>
            <w:gridSpan w:val="2"/>
            <w:shd w:val="clear" w:color="auto" w:fill="CCECFF"/>
          </w:tcPr>
          <w:p>
            <w:pPr>
              <w:jc w:val="right"/>
              <w:ind w:right="202"/>
              <w:spacing w:after="0"/>
              <w:rPr>
                <w:sz w:val="20"/>
                <w:szCs w:val="20"/>
                <w:color w:val="auto"/>
              </w:rPr>
            </w:pPr>
            <w:r>
              <w:rPr>
                <w:rFonts w:ascii="Arial" w:cs="Arial" w:eastAsia="Arial" w:hAnsi="Arial"/>
                <w:sz w:val="12"/>
                <w:szCs w:val="12"/>
                <w:color w:val="auto"/>
              </w:rPr>
              <w:t>—</w:t>
            </w:r>
          </w:p>
        </w:tc>
        <w:tc>
          <w:tcPr>
            <w:tcW w:w="90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1,000</w:t>
            </w:r>
          </w:p>
        </w:tc>
        <w:tc>
          <w:tcPr>
            <w:tcW w:w="18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1,000,000</w:t>
            </w:r>
          </w:p>
        </w:tc>
        <w:tc>
          <w:tcPr>
            <w:tcW w:w="16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941,558</w:t>
            </w:r>
          </w:p>
        </w:tc>
        <w:tc>
          <w:tcPr>
            <w:tcW w:w="8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40" w:type="dxa"/>
            <w:vAlign w:val="bottom"/>
            <w:shd w:val="clear" w:color="auto" w:fill="CCECFF"/>
          </w:tcPr>
          <w:p>
            <w:pPr>
              <w:ind w:left="140"/>
              <w:spacing w:after="0" w:line="149" w:lineRule="exact"/>
              <w:rPr>
                <w:sz w:val="20"/>
                <w:szCs w:val="20"/>
                <w:color w:val="auto"/>
              </w:rPr>
            </w:pPr>
            <w:r>
              <w:rPr>
                <w:rFonts w:ascii="Arial" w:cs="Arial" w:eastAsia="Arial" w:hAnsi="Arial"/>
                <w:sz w:val="11"/>
                <w:szCs w:val="11"/>
                <w:color w:val="auto"/>
              </w:rPr>
              <w:t xml:space="preserve">(Integrative Nutrition, LLC) </w:t>
            </w:r>
            <w:r>
              <w:rPr>
                <w:rFonts w:ascii="Arial" w:cs="Arial" w:eastAsia="Arial" w:hAnsi="Arial"/>
                <w:sz w:val="17"/>
                <w:szCs w:val="17"/>
                <w:color w:val="auto"/>
                <w:vertAlign w:val="superscript"/>
              </w:rPr>
              <w:t>(7), (8)</w:t>
            </w:r>
          </w:p>
        </w:tc>
        <w:tc>
          <w:tcPr>
            <w:tcW w:w="100" w:type="dxa"/>
            <w:vAlign w:val="bottom"/>
            <w:shd w:val="clear" w:color="auto" w:fill="CCECFF"/>
          </w:tcPr>
          <w:p>
            <w:pPr>
              <w:spacing w:after="0"/>
              <w:rPr>
                <w:sz w:val="12"/>
                <w:szCs w:val="12"/>
                <w:color w:val="auto"/>
              </w:rPr>
            </w:pPr>
          </w:p>
        </w:tc>
        <w:tc>
          <w:tcPr>
            <w:tcW w:w="60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23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60" w:type="dxa"/>
            <w:vAlign w:val="bottom"/>
            <w:shd w:val="clear" w:color="auto" w:fill="CCECFF"/>
          </w:tcPr>
          <w:p>
            <w:pPr>
              <w:spacing w:after="0"/>
              <w:rPr>
                <w:sz w:val="12"/>
                <w:szCs w:val="12"/>
                <w:color w:val="auto"/>
              </w:rPr>
            </w:pPr>
          </w:p>
        </w:tc>
        <w:tc>
          <w:tcPr>
            <w:tcW w:w="260" w:type="dxa"/>
            <w:vAlign w:val="bottom"/>
            <w:shd w:val="clear" w:color="auto" w:fill="CCECFF"/>
          </w:tcPr>
          <w:p>
            <w:pPr>
              <w:spacing w:after="0"/>
              <w:rPr>
                <w:sz w:val="12"/>
                <w:szCs w:val="12"/>
                <w:color w:val="auto"/>
              </w:rPr>
            </w:pPr>
          </w:p>
        </w:tc>
        <w:tc>
          <w:tcPr>
            <w:tcW w:w="74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6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66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540" w:type="dxa"/>
            <w:vAlign w:val="bottom"/>
          </w:tcPr>
          <w:p>
            <w:pPr>
              <w:spacing w:after="0" w:line="149" w:lineRule="exact"/>
              <w:rPr>
                <w:sz w:val="20"/>
                <w:szCs w:val="20"/>
                <w:color w:val="auto"/>
              </w:rPr>
            </w:pPr>
            <w:r>
              <w:rPr>
                <w:rFonts w:ascii="Arial" w:cs="Arial" w:eastAsia="Arial" w:hAnsi="Arial"/>
                <w:sz w:val="11"/>
                <w:szCs w:val="11"/>
                <w:color w:val="auto"/>
              </w:rPr>
              <w:t xml:space="preserve">ITC Rumba, LLC (Cano Health, LLC) </w:t>
            </w:r>
            <w:r>
              <w:rPr>
                <w:rFonts w:ascii="Arial" w:cs="Arial" w:eastAsia="Arial" w:hAnsi="Arial"/>
                <w:sz w:val="17"/>
                <w:szCs w:val="17"/>
                <w:color w:val="auto"/>
                <w:vertAlign w:val="superscript"/>
              </w:rPr>
              <w:t>(7), (8)</w:t>
            </w:r>
          </w:p>
        </w:tc>
        <w:tc>
          <w:tcPr>
            <w:tcW w:w="100" w:type="dxa"/>
            <w:vAlign w:val="bottom"/>
          </w:tcPr>
          <w:p>
            <w:pPr>
              <w:spacing w:after="0"/>
              <w:rPr>
                <w:sz w:val="12"/>
                <w:szCs w:val="12"/>
                <w:color w:val="auto"/>
              </w:rPr>
            </w:pPr>
          </w:p>
        </w:tc>
        <w:tc>
          <w:tcPr>
            <w:tcW w:w="760" w:type="dxa"/>
            <w:vAlign w:val="bottom"/>
            <w:gridSpan w:val="2"/>
          </w:tcPr>
          <w:p>
            <w:pPr>
              <w:ind w:left="300"/>
              <w:spacing w:after="0"/>
              <w:rPr>
                <w:sz w:val="20"/>
                <w:szCs w:val="20"/>
                <w:color w:val="auto"/>
              </w:rPr>
            </w:pPr>
            <w:r>
              <w:rPr>
                <w:rFonts w:ascii="Arial" w:cs="Arial" w:eastAsia="Arial" w:hAnsi="Arial"/>
                <w:sz w:val="12"/>
                <w:szCs w:val="12"/>
                <w:color w:val="auto"/>
              </w:rPr>
              <w:t>—</w:t>
            </w:r>
          </w:p>
        </w:tc>
        <w:tc>
          <w:tcPr>
            <w:tcW w:w="2420" w:type="dxa"/>
            <w:vAlign w:val="bottom"/>
            <w:gridSpan w:val="2"/>
          </w:tcPr>
          <w:p>
            <w:pPr>
              <w:jc w:val="center"/>
              <w:ind w:right="120"/>
              <w:spacing w:after="0"/>
              <w:rPr>
                <w:sz w:val="20"/>
                <w:szCs w:val="20"/>
                <w:color w:val="auto"/>
              </w:rPr>
            </w:pPr>
            <w:r>
              <w:rPr>
                <w:rFonts w:ascii="Arial" w:cs="Arial" w:eastAsia="Arial" w:hAnsi="Arial"/>
                <w:sz w:val="12"/>
                <w:szCs w:val="12"/>
                <w:color w:val="auto"/>
                <w:w w:val="86"/>
              </w:rPr>
              <w:t>Healthcare and Pharmaceuticals</w:t>
            </w:r>
          </w:p>
        </w:tc>
        <w:tc>
          <w:tcPr>
            <w:tcW w:w="920" w:type="dxa"/>
            <w:vAlign w:val="bottom"/>
            <w:gridSpan w:val="2"/>
          </w:tcPr>
          <w:p>
            <w:pPr>
              <w:jc w:val="right"/>
              <w:ind w:right="202"/>
              <w:spacing w:after="0"/>
              <w:rPr>
                <w:sz w:val="20"/>
                <w:szCs w:val="20"/>
                <w:color w:val="auto"/>
              </w:rPr>
            </w:pPr>
            <w:r>
              <w:rPr>
                <w:rFonts w:ascii="Arial" w:cs="Arial" w:eastAsia="Arial" w:hAnsi="Arial"/>
                <w:sz w:val="12"/>
                <w:szCs w:val="12"/>
                <w:color w:val="auto"/>
              </w:rPr>
              <w:t>—</w:t>
            </w:r>
          </w:p>
        </w:tc>
        <w:tc>
          <w:tcPr>
            <w:tcW w:w="90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25,006</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543,578</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816,563</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40" w:type="dxa"/>
            <w:vAlign w:val="bottom"/>
            <w:shd w:val="clear" w:color="auto" w:fill="CCECFF"/>
          </w:tcPr>
          <w:p>
            <w:pPr>
              <w:spacing w:after="0" w:line="149" w:lineRule="exact"/>
              <w:rPr>
                <w:sz w:val="20"/>
                <w:szCs w:val="20"/>
                <w:color w:val="auto"/>
              </w:rPr>
            </w:pPr>
            <w:r>
              <w:rPr>
                <w:rFonts w:ascii="Arial" w:cs="Arial" w:eastAsia="Arial" w:hAnsi="Arial"/>
                <w:sz w:val="11"/>
                <w:szCs w:val="11"/>
                <w:color w:val="auto"/>
              </w:rPr>
              <w:t xml:space="preserve">ITC Rumba, LLC (Cano Health, LLC) </w:t>
            </w:r>
            <w:r>
              <w:rPr>
                <w:rFonts w:ascii="Arial" w:cs="Arial" w:eastAsia="Arial" w:hAnsi="Arial"/>
                <w:sz w:val="17"/>
                <w:szCs w:val="17"/>
                <w:color w:val="auto"/>
                <w:vertAlign w:val="superscript"/>
              </w:rPr>
              <w:t>(7), (8), (9)</w:t>
            </w:r>
          </w:p>
        </w:tc>
        <w:tc>
          <w:tcPr>
            <w:tcW w:w="100" w:type="dxa"/>
            <w:vAlign w:val="bottom"/>
            <w:shd w:val="clear" w:color="auto" w:fill="CCECFF"/>
          </w:tcPr>
          <w:p>
            <w:pPr>
              <w:spacing w:after="0"/>
              <w:rPr>
                <w:sz w:val="12"/>
                <w:szCs w:val="12"/>
                <w:color w:val="auto"/>
              </w:rPr>
            </w:pPr>
          </w:p>
        </w:tc>
        <w:tc>
          <w:tcPr>
            <w:tcW w:w="760" w:type="dxa"/>
            <w:vAlign w:val="bottom"/>
            <w:gridSpan w:val="2"/>
            <w:shd w:val="clear" w:color="auto" w:fill="CCECFF"/>
          </w:tcPr>
          <w:p>
            <w:pPr>
              <w:ind w:left="300"/>
              <w:spacing w:after="0"/>
              <w:rPr>
                <w:sz w:val="20"/>
                <w:szCs w:val="20"/>
                <w:color w:val="auto"/>
              </w:rPr>
            </w:pPr>
            <w:r>
              <w:rPr>
                <w:rFonts w:ascii="Arial" w:cs="Arial" w:eastAsia="Arial" w:hAnsi="Arial"/>
                <w:sz w:val="12"/>
                <w:szCs w:val="12"/>
                <w:color w:val="auto"/>
              </w:rPr>
              <w:t>—</w:t>
            </w:r>
          </w:p>
        </w:tc>
        <w:tc>
          <w:tcPr>
            <w:tcW w:w="2420" w:type="dxa"/>
            <w:vAlign w:val="bottom"/>
            <w:gridSpan w:val="2"/>
            <w:shd w:val="clear" w:color="auto" w:fill="CCECFF"/>
          </w:tcPr>
          <w:p>
            <w:pPr>
              <w:jc w:val="center"/>
              <w:ind w:right="120"/>
              <w:spacing w:after="0"/>
              <w:rPr>
                <w:sz w:val="20"/>
                <w:szCs w:val="20"/>
                <w:color w:val="auto"/>
              </w:rPr>
            </w:pPr>
            <w:r>
              <w:rPr>
                <w:rFonts w:ascii="Arial" w:cs="Arial" w:eastAsia="Arial" w:hAnsi="Arial"/>
                <w:sz w:val="12"/>
                <w:szCs w:val="12"/>
                <w:color w:val="auto"/>
                <w:w w:val="86"/>
              </w:rPr>
              <w:t>Healthcare and Pharmaceuticals</w:t>
            </w:r>
          </w:p>
        </w:tc>
        <w:tc>
          <w:tcPr>
            <w:tcW w:w="920" w:type="dxa"/>
            <w:vAlign w:val="bottom"/>
            <w:gridSpan w:val="2"/>
            <w:shd w:val="clear" w:color="auto" w:fill="CCECFF"/>
          </w:tcPr>
          <w:p>
            <w:pPr>
              <w:jc w:val="right"/>
              <w:ind w:right="202"/>
              <w:spacing w:after="0"/>
              <w:rPr>
                <w:sz w:val="20"/>
                <w:szCs w:val="20"/>
                <w:color w:val="auto"/>
              </w:rPr>
            </w:pPr>
            <w:r>
              <w:rPr>
                <w:rFonts w:ascii="Arial" w:cs="Arial" w:eastAsia="Arial" w:hAnsi="Arial"/>
                <w:sz w:val="12"/>
                <w:szCs w:val="12"/>
                <w:color w:val="auto"/>
              </w:rPr>
              <w:t>—</w:t>
            </w:r>
          </w:p>
        </w:tc>
        <w:tc>
          <w:tcPr>
            <w:tcW w:w="90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1,352</w:t>
            </w:r>
          </w:p>
        </w:tc>
        <w:tc>
          <w:tcPr>
            <w:tcW w:w="18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82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CFF"/>
          </w:tcPr>
          <w:p>
            <w:pPr>
              <w:spacing w:after="0"/>
              <w:rPr>
                <w:sz w:val="12"/>
                <w:szCs w:val="12"/>
                <w:color w:val="auto"/>
              </w:rPr>
            </w:pPr>
          </w:p>
        </w:tc>
        <w:tc>
          <w:tcPr>
            <w:tcW w:w="740" w:type="dxa"/>
            <w:vAlign w:val="bottom"/>
            <w:gridSpan w:val="2"/>
            <w:shd w:val="clear" w:color="auto" w:fill="CCECFF"/>
          </w:tcPr>
          <w:p>
            <w:pPr>
              <w:jc w:val="right"/>
              <w:ind w:right="1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9"/>
        </w:trPr>
        <w:tc>
          <w:tcPr>
            <w:tcW w:w="3540" w:type="dxa"/>
            <w:vAlign w:val="bottom"/>
          </w:tcPr>
          <w:p>
            <w:pPr>
              <w:spacing w:after="0" w:line="149" w:lineRule="exact"/>
              <w:rPr>
                <w:sz w:val="20"/>
                <w:szCs w:val="20"/>
                <w:color w:val="auto"/>
              </w:rPr>
            </w:pPr>
            <w:r>
              <w:rPr>
                <w:rFonts w:ascii="Arial" w:cs="Arial" w:eastAsia="Arial" w:hAnsi="Arial"/>
                <w:sz w:val="11"/>
                <w:szCs w:val="11"/>
                <w:color w:val="auto"/>
              </w:rPr>
              <w:t xml:space="preserve">JWC/UMA Holdings, L.P. </w:t>
            </w:r>
            <w:r>
              <w:rPr>
                <w:rFonts w:ascii="Arial" w:cs="Arial" w:eastAsia="Arial" w:hAnsi="Arial"/>
                <w:sz w:val="17"/>
                <w:szCs w:val="17"/>
                <w:color w:val="auto"/>
                <w:vertAlign w:val="superscript"/>
              </w:rPr>
              <w:t>(7)</w:t>
            </w:r>
          </w:p>
        </w:tc>
        <w:tc>
          <w:tcPr>
            <w:tcW w:w="100" w:type="dxa"/>
            <w:vAlign w:val="bottom"/>
          </w:tcPr>
          <w:p>
            <w:pPr>
              <w:spacing w:after="0"/>
              <w:rPr>
                <w:sz w:val="12"/>
                <w:szCs w:val="12"/>
                <w:color w:val="auto"/>
              </w:rPr>
            </w:pPr>
          </w:p>
        </w:tc>
        <w:tc>
          <w:tcPr>
            <w:tcW w:w="760" w:type="dxa"/>
            <w:vAlign w:val="bottom"/>
            <w:gridSpan w:val="2"/>
          </w:tcPr>
          <w:p>
            <w:pPr>
              <w:ind w:left="300"/>
              <w:spacing w:after="0"/>
              <w:rPr>
                <w:sz w:val="20"/>
                <w:szCs w:val="20"/>
                <w:color w:val="auto"/>
              </w:rPr>
            </w:pPr>
            <w:r>
              <w:rPr>
                <w:rFonts w:ascii="Arial" w:cs="Arial" w:eastAsia="Arial" w:hAnsi="Arial"/>
                <w:sz w:val="12"/>
                <w:szCs w:val="12"/>
                <w:color w:val="auto"/>
              </w:rPr>
              <w:t>—</w:t>
            </w:r>
          </w:p>
        </w:tc>
        <w:tc>
          <w:tcPr>
            <w:tcW w:w="2420" w:type="dxa"/>
            <w:vAlign w:val="bottom"/>
            <w:gridSpan w:val="2"/>
          </w:tcPr>
          <w:p>
            <w:pPr>
              <w:jc w:val="center"/>
              <w:ind w:right="120"/>
              <w:spacing w:after="0"/>
              <w:rPr>
                <w:sz w:val="20"/>
                <w:szCs w:val="20"/>
                <w:color w:val="auto"/>
              </w:rPr>
            </w:pPr>
            <w:r>
              <w:rPr>
                <w:rFonts w:ascii="Arial" w:cs="Arial" w:eastAsia="Arial" w:hAnsi="Arial"/>
                <w:sz w:val="12"/>
                <w:szCs w:val="12"/>
                <w:color w:val="auto"/>
                <w:w w:val="86"/>
              </w:rPr>
              <w:t>Healthcare and Pharmaceuticals</w:t>
            </w:r>
          </w:p>
        </w:tc>
        <w:tc>
          <w:tcPr>
            <w:tcW w:w="920" w:type="dxa"/>
            <w:vAlign w:val="bottom"/>
            <w:gridSpan w:val="2"/>
          </w:tcPr>
          <w:p>
            <w:pPr>
              <w:jc w:val="right"/>
              <w:ind w:right="202"/>
              <w:spacing w:after="0"/>
              <w:rPr>
                <w:sz w:val="20"/>
                <w:szCs w:val="20"/>
                <w:color w:val="auto"/>
              </w:rPr>
            </w:pPr>
            <w:r>
              <w:rPr>
                <w:rFonts w:ascii="Arial" w:cs="Arial" w:eastAsia="Arial" w:hAnsi="Arial"/>
                <w:sz w:val="12"/>
                <w:szCs w:val="12"/>
                <w:color w:val="auto"/>
              </w:rPr>
              <w:t>—</w:t>
            </w:r>
          </w:p>
        </w:tc>
        <w:tc>
          <w:tcPr>
            <w:tcW w:w="90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1,000</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1,000,000</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1,401,387</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40" w:type="dxa"/>
            <w:vAlign w:val="bottom"/>
            <w:shd w:val="clear" w:color="auto" w:fill="CCECFF"/>
          </w:tcPr>
          <w:p>
            <w:pPr>
              <w:spacing w:after="0"/>
              <w:rPr>
                <w:sz w:val="20"/>
                <w:szCs w:val="20"/>
                <w:color w:val="auto"/>
              </w:rPr>
            </w:pPr>
            <w:r>
              <w:rPr>
                <w:rFonts w:ascii="Arial" w:cs="Arial" w:eastAsia="Arial" w:hAnsi="Arial"/>
                <w:sz w:val="12"/>
                <w:szCs w:val="12"/>
                <w:color w:val="auto"/>
              </w:rPr>
              <w:t>JWC-WE Holdings, L.P.</w:t>
            </w:r>
          </w:p>
        </w:tc>
        <w:tc>
          <w:tcPr>
            <w:tcW w:w="100" w:type="dxa"/>
            <w:vAlign w:val="bottom"/>
            <w:shd w:val="clear" w:color="auto" w:fill="CCECFF"/>
          </w:tcPr>
          <w:p>
            <w:pPr>
              <w:spacing w:after="0"/>
              <w:rPr>
                <w:sz w:val="12"/>
                <w:szCs w:val="12"/>
                <w:color w:val="auto"/>
              </w:rPr>
            </w:pPr>
          </w:p>
        </w:tc>
        <w:tc>
          <w:tcPr>
            <w:tcW w:w="760" w:type="dxa"/>
            <w:vAlign w:val="bottom"/>
            <w:gridSpan w:val="2"/>
            <w:shd w:val="clear" w:color="auto" w:fill="CCECFF"/>
          </w:tcPr>
          <w:p>
            <w:pPr>
              <w:ind w:left="300"/>
              <w:spacing w:after="0"/>
              <w:rPr>
                <w:sz w:val="20"/>
                <w:szCs w:val="20"/>
                <w:color w:val="auto"/>
              </w:rPr>
            </w:pPr>
            <w:r>
              <w:rPr>
                <w:rFonts w:ascii="Arial" w:cs="Arial" w:eastAsia="Arial" w:hAnsi="Arial"/>
                <w:sz w:val="12"/>
                <w:szCs w:val="12"/>
                <w:color w:val="auto"/>
              </w:rPr>
              <w:t>—</w:t>
            </w:r>
          </w:p>
        </w:tc>
        <w:tc>
          <w:tcPr>
            <w:tcW w:w="2420" w:type="dxa"/>
            <w:vAlign w:val="bottom"/>
            <w:gridSpan w:val="2"/>
            <w:shd w:val="clear" w:color="auto" w:fill="CCECFF"/>
          </w:tcPr>
          <w:p>
            <w:pPr>
              <w:jc w:val="center"/>
              <w:ind w:right="100"/>
              <w:spacing w:after="0"/>
              <w:rPr>
                <w:sz w:val="20"/>
                <w:szCs w:val="20"/>
                <w:color w:val="auto"/>
              </w:rPr>
            </w:pPr>
            <w:r>
              <w:rPr>
                <w:rFonts w:ascii="Arial" w:cs="Arial" w:eastAsia="Arial" w:hAnsi="Arial"/>
                <w:sz w:val="12"/>
                <w:szCs w:val="12"/>
                <w:color w:val="auto"/>
                <w:w w:val="85"/>
              </w:rPr>
              <w:t>Wholesale</w:t>
            </w:r>
          </w:p>
        </w:tc>
        <w:tc>
          <w:tcPr>
            <w:tcW w:w="920" w:type="dxa"/>
            <w:vAlign w:val="bottom"/>
            <w:gridSpan w:val="2"/>
            <w:shd w:val="clear" w:color="auto" w:fill="CCECFF"/>
          </w:tcPr>
          <w:p>
            <w:pPr>
              <w:jc w:val="right"/>
              <w:ind w:right="202"/>
              <w:spacing w:after="0"/>
              <w:rPr>
                <w:sz w:val="20"/>
                <w:szCs w:val="20"/>
                <w:color w:val="auto"/>
              </w:rPr>
            </w:pPr>
            <w:r>
              <w:rPr>
                <w:rFonts w:ascii="Arial" w:cs="Arial" w:eastAsia="Arial" w:hAnsi="Arial"/>
                <w:sz w:val="12"/>
                <w:szCs w:val="12"/>
                <w:color w:val="auto"/>
              </w:rPr>
              <w:t>—</w:t>
            </w:r>
          </w:p>
        </w:tc>
        <w:tc>
          <w:tcPr>
            <w:tcW w:w="90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1,381,741</w:t>
            </w:r>
          </w:p>
        </w:tc>
        <w:tc>
          <w:tcPr>
            <w:tcW w:w="18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1,381,741</w:t>
            </w:r>
          </w:p>
        </w:tc>
        <w:tc>
          <w:tcPr>
            <w:tcW w:w="16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3,782,562</w:t>
            </w:r>
          </w:p>
        </w:tc>
        <w:tc>
          <w:tcPr>
            <w:tcW w:w="8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540" w:type="dxa"/>
            <w:vAlign w:val="bottom"/>
            <w:shd w:val="clear" w:color="auto" w:fill="CCECFF"/>
          </w:tcPr>
          <w:p>
            <w:pPr>
              <w:ind w:left="140"/>
              <w:spacing w:after="0" w:line="149" w:lineRule="exact"/>
              <w:rPr>
                <w:sz w:val="20"/>
                <w:szCs w:val="20"/>
                <w:color w:val="auto"/>
              </w:rPr>
            </w:pPr>
            <w:r>
              <w:rPr>
                <w:rFonts w:ascii="Arial" w:cs="Arial" w:eastAsia="Arial" w:hAnsi="Arial"/>
                <w:sz w:val="11"/>
                <w:szCs w:val="11"/>
                <w:color w:val="auto"/>
              </w:rPr>
              <w:t xml:space="preserve">(Walker Edison Furniture Company LLC) </w:t>
            </w:r>
            <w:r>
              <w:rPr>
                <w:rFonts w:ascii="Arial" w:cs="Arial" w:eastAsia="Arial" w:hAnsi="Arial"/>
                <w:sz w:val="17"/>
                <w:szCs w:val="17"/>
                <w:color w:val="auto"/>
                <w:vertAlign w:val="superscript"/>
              </w:rPr>
              <w:t>(7), (8)</w:t>
            </w:r>
          </w:p>
        </w:tc>
        <w:tc>
          <w:tcPr>
            <w:tcW w:w="100" w:type="dxa"/>
            <w:vAlign w:val="bottom"/>
            <w:shd w:val="clear" w:color="auto" w:fill="CCECFF"/>
          </w:tcPr>
          <w:p>
            <w:pPr>
              <w:spacing w:after="0"/>
              <w:rPr>
                <w:sz w:val="12"/>
                <w:szCs w:val="12"/>
                <w:color w:val="auto"/>
              </w:rPr>
            </w:pPr>
          </w:p>
        </w:tc>
        <w:tc>
          <w:tcPr>
            <w:tcW w:w="60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23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60" w:type="dxa"/>
            <w:vAlign w:val="bottom"/>
            <w:shd w:val="clear" w:color="auto" w:fill="CCECFF"/>
          </w:tcPr>
          <w:p>
            <w:pPr>
              <w:spacing w:after="0"/>
              <w:rPr>
                <w:sz w:val="12"/>
                <w:szCs w:val="12"/>
                <w:color w:val="auto"/>
              </w:rPr>
            </w:pPr>
          </w:p>
        </w:tc>
        <w:tc>
          <w:tcPr>
            <w:tcW w:w="260" w:type="dxa"/>
            <w:vAlign w:val="bottom"/>
            <w:shd w:val="clear" w:color="auto" w:fill="CCECFF"/>
          </w:tcPr>
          <w:p>
            <w:pPr>
              <w:spacing w:after="0"/>
              <w:rPr>
                <w:sz w:val="12"/>
                <w:szCs w:val="12"/>
                <w:color w:val="auto"/>
              </w:rPr>
            </w:pPr>
          </w:p>
        </w:tc>
        <w:tc>
          <w:tcPr>
            <w:tcW w:w="74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6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66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jc w:val="center"/>
        <w:ind w:right="60"/>
        <w:spacing w:after="0"/>
        <w:rPr>
          <w:sz w:val="20"/>
          <w:szCs w:val="20"/>
          <w:color w:val="auto"/>
        </w:rPr>
      </w:pPr>
      <w:r>
        <w:rPr>
          <w:rFonts w:ascii="Arial" w:cs="Arial" w:eastAsia="Arial" w:hAnsi="Arial"/>
          <w:sz w:val="13"/>
          <w:szCs w:val="13"/>
          <w:color w:val="auto"/>
        </w:rPr>
        <w:t>SEE NOTES TO CONSOLIDATED FINANCIAL STATEMENTS</w:t>
      </w:r>
    </w:p>
    <w:p>
      <w:pPr>
        <w:spacing w:after="0" w:line="53" w:lineRule="exact"/>
        <w:rPr>
          <w:sz w:val="20"/>
          <w:szCs w:val="20"/>
          <w:color w:val="auto"/>
        </w:rPr>
      </w:pPr>
    </w:p>
    <w:p>
      <w:pPr>
        <w:jc w:val="center"/>
        <w:ind w:right="60"/>
        <w:spacing w:after="0"/>
        <w:rPr>
          <w:sz w:val="20"/>
          <w:szCs w:val="20"/>
          <w:color w:val="auto"/>
        </w:rPr>
      </w:pPr>
      <w:r>
        <w:rPr>
          <w:rFonts w:ascii="Arial" w:cs="Arial" w:eastAsia="Arial" w:hAnsi="Arial"/>
          <w:sz w:val="13"/>
          <w:szCs w:val="13"/>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149465"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300"/>
          </w:cols>
          <w:pgMar w:left="320" w:top="118" w:right="279" w:bottom="1440" w:gutter="0" w:footer="0" w:header="0"/>
        </w:sectPr>
      </w:pPr>
    </w:p>
    <w:bookmarkStart w:id="10" w:name="page11"/>
    <w:bookmarkEnd w:id="10"/>
    <w:p>
      <w:pPr>
        <w:jc w:val="center"/>
        <w:spacing w:after="0"/>
        <w:rPr>
          <w:sz w:val="20"/>
          <w:szCs w:val="20"/>
          <w:color w:val="auto"/>
        </w:rPr>
      </w:pPr>
      <w:r>
        <w:rPr>
          <w:rFonts w:ascii="Arial" w:cs="Arial" w:eastAsia="Arial" w:hAnsi="Arial"/>
          <w:sz w:val="14"/>
          <w:szCs w:val="14"/>
          <w:b w:val="1"/>
          <w:bCs w:val="1"/>
          <w:color w:val="auto"/>
        </w:rPr>
        <w:t>PENNANTPARK FLOATING RATE CAPITAL LTD. AND SUBSIDIARIES</w:t>
      </w:r>
    </w:p>
    <w:p>
      <w:pPr>
        <w:jc w:val="center"/>
        <w:spacing w:after="0" w:line="225" w:lineRule="auto"/>
        <w:rPr>
          <w:sz w:val="20"/>
          <w:szCs w:val="20"/>
          <w:color w:val="auto"/>
        </w:rPr>
      </w:pPr>
      <w:r>
        <w:rPr>
          <w:rFonts w:ascii="Arial" w:cs="Arial" w:eastAsia="Arial" w:hAnsi="Arial"/>
          <w:sz w:val="14"/>
          <w:szCs w:val="14"/>
          <w:b w:val="1"/>
          <w:bCs w:val="1"/>
          <w:color w:val="auto"/>
        </w:rPr>
        <w:t>CONSOLIDATED SCHEDULE OF INVESTMENTS—(Continued)</w:t>
      </w:r>
    </w:p>
    <w:p>
      <w:pPr>
        <w:jc w:val="center"/>
        <w:spacing w:after="0" w:line="221" w:lineRule="auto"/>
        <w:rPr>
          <w:sz w:val="20"/>
          <w:szCs w:val="20"/>
          <w:color w:val="auto"/>
        </w:rPr>
      </w:pPr>
      <w:r>
        <w:rPr>
          <w:rFonts w:ascii="Arial" w:cs="Arial" w:eastAsia="Arial" w:hAnsi="Arial"/>
          <w:sz w:val="14"/>
          <w:szCs w:val="14"/>
          <w:b w:val="1"/>
          <w:bCs w:val="1"/>
          <w:color w:val="auto"/>
        </w:rPr>
        <w:t>DECEMBER 31, 2019</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3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85"/>
              </w:rPr>
              <w:t>Basis Point</w:t>
            </w: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35"/>
        </w:trPr>
        <w:tc>
          <w:tcPr>
            <w:tcW w:w="3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80" w:type="dxa"/>
            <w:vAlign w:val="bottom"/>
            <w:gridSpan w:val="2"/>
          </w:tcPr>
          <w:p>
            <w:pPr>
              <w:jc w:val="center"/>
              <w:ind w:right="240"/>
              <w:spacing w:after="0" w:line="135" w:lineRule="exact"/>
              <w:rPr>
                <w:sz w:val="20"/>
                <w:szCs w:val="20"/>
                <w:color w:val="auto"/>
              </w:rPr>
            </w:pPr>
            <w:r>
              <w:rPr>
                <w:rFonts w:ascii="Arial" w:cs="Arial" w:eastAsia="Arial" w:hAnsi="Arial"/>
                <w:sz w:val="12"/>
                <w:szCs w:val="12"/>
                <w:b w:val="1"/>
                <w:bCs w:val="1"/>
                <w:color w:val="auto"/>
                <w:w w:val="88"/>
              </w:rPr>
              <w:t>Spread</w:t>
            </w: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26"/>
        </w:trPr>
        <w:tc>
          <w:tcPr>
            <w:tcW w:w="3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gridSpan w:val="2"/>
          </w:tcPr>
          <w:p>
            <w:pPr>
              <w:jc w:val="right"/>
              <w:ind w:right="420"/>
              <w:spacing w:after="0" w:line="126" w:lineRule="exact"/>
              <w:rPr>
                <w:sz w:val="20"/>
                <w:szCs w:val="20"/>
                <w:color w:val="auto"/>
              </w:rPr>
            </w:pPr>
            <w:r>
              <w:rPr>
                <w:rFonts w:ascii="Arial" w:cs="Arial" w:eastAsia="Arial" w:hAnsi="Arial"/>
                <w:sz w:val="12"/>
                <w:szCs w:val="12"/>
                <w:b w:val="1"/>
                <w:bCs w:val="1"/>
                <w:color w:val="auto"/>
              </w:rPr>
              <w:t>Current</w:t>
            </w:r>
          </w:p>
        </w:tc>
        <w:tc>
          <w:tcPr>
            <w:tcW w:w="880" w:type="dxa"/>
            <w:vAlign w:val="bottom"/>
            <w:gridSpan w:val="2"/>
          </w:tcPr>
          <w:p>
            <w:pPr>
              <w:jc w:val="center"/>
              <w:ind w:right="240"/>
              <w:spacing w:after="0" w:line="126" w:lineRule="exact"/>
              <w:rPr>
                <w:sz w:val="20"/>
                <w:szCs w:val="20"/>
                <w:color w:val="auto"/>
              </w:rPr>
            </w:pPr>
            <w:r>
              <w:rPr>
                <w:rFonts w:ascii="Arial" w:cs="Arial" w:eastAsia="Arial" w:hAnsi="Arial"/>
                <w:sz w:val="12"/>
                <w:szCs w:val="12"/>
                <w:b w:val="1"/>
                <w:bCs w:val="1"/>
                <w:color w:val="auto"/>
                <w:w w:val="87"/>
              </w:rPr>
              <w:t>Above</w:t>
            </w:r>
          </w:p>
        </w:tc>
        <w:tc>
          <w:tcPr>
            <w:tcW w:w="720" w:type="dxa"/>
            <w:vAlign w:val="bottom"/>
          </w:tcPr>
          <w:p>
            <w:pPr>
              <w:jc w:val="right"/>
              <w:ind w:right="182"/>
              <w:spacing w:after="0" w:line="126" w:lineRule="exact"/>
              <w:rPr>
                <w:sz w:val="20"/>
                <w:szCs w:val="20"/>
                <w:color w:val="auto"/>
              </w:rPr>
            </w:pPr>
            <w:r>
              <w:rPr>
                <w:rFonts w:ascii="Arial" w:cs="Arial" w:eastAsia="Arial" w:hAnsi="Arial"/>
                <w:sz w:val="12"/>
                <w:szCs w:val="12"/>
                <w:b w:val="1"/>
                <w:bCs w:val="1"/>
                <w:color w:val="auto"/>
              </w:rPr>
              <w:t>Par /</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53"/>
        </w:trPr>
        <w:tc>
          <w:tcPr>
            <w:tcW w:w="330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rPr>
              <w:t>Issuer Name</w:t>
            </w:r>
          </w:p>
        </w:tc>
        <w:tc>
          <w:tcPr>
            <w:tcW w:w="120" w:type="dxa"/>
            <w:vAlign w:val="bottom"/>
          </w:tcPr>
          <w:p>
            <w:pPr>
              <w:spacing w:after="0"/>
              <w:rPr>
                <w:sz w:val="13"/>
                <w:szCs w:val="13"/>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8"/>
              </w:rPr>
              <w:t>Maturity</w:t>
            </w:r>
          </w:p>
        </w:tc>
        <w:tc>
          <w:tcPr>
            <w:tcW w:w="240" w:type="dxa"/>
            <w:vAlign w:val="bottom"/>
          </w:tcPr>
          <w:p>
            <w:pPr>
              <w:spacing w:after="0"/>
              <w:rPr>
                <w:sz w:val="13"/>
                <w:szCs w:val="13"/>
                <w:color w:val="auto"/>
              </w:rPr>
            </w:pPr>
          </w:p>
        </w:tc>
        <w:tc>
          <w:tcPr>
            <w:tcW w:w="220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2"/>
              </w:rPr>
              <w:t>Industry</w:t>
            </w:r>
          </w:p>
        </w:tc>
        <w:tc>
          <w:tcPr>
            <w:tcW w:w="120" w:type="dxa"/>
            <w:vAlign w:val="bottom"/>
          </w:tcPr>
          <w:p>
            <w:pPr>
              <w:spacing w:after="0"/>
              <w:rPr>
                <w:sz w:val="13"/>
                <w:szCs w:val="13"/>
                <w:color w:val="auto"/>
              </w:rPr>
            </w:pPr>
          </w:p>
        </w:tc>
        <w:tc>
          <w:tcPr>
            <w:tcW w:w="660" w:type="dxa"/>
            <w:vAlign w:val="bottom"/>
            <w:tcBorders>
              <w:bottom w:val="single" w:sz="8" w:color="auto"/>
            </w:tcBorders>
          </w:tcPr>
          <w:p>
            <w:pPr>
              <w:jc w:val="right"/>
              <w:ind w:right="62"/>
              <w:spacing w:after="0"/>
              <w:rPr>
                <w:sz w:val="20"/>
                <w:szCs w:val="20"/>
                <w:color w:val="auto"/>
              </w:rPr>
            </w:pPr>
            <w:r>
              <w:rPr>
                <w:rFonts w:ascii="Arial" w:cs="Arial" w:eastAsia="Arial" w:hAnsi="Arial"/>
                <w:sz w:val="12"/>
                <w:szCs w:val="12"/>
                <w:b w:val="1"/>
                <w:bCs w:val="1"/>
                <w:color w:val="auto"/>
              </w:rPr>
              <w:t>Coupon</w:t>
            </w:r>
          </w:p>
        </w:tc>
        <w:tc>
          <w:tcPr>
            <w:tcW w:w="300" w:type="dxa"/>
            <w:vAlign w:val="bottom"/>
          </w:tcPr>
          <w:p>
            <w:pPr>
              <w:spacing w:after="0"/>
              <w:rPr>
                <w:sz w:val="13"/>
                <w:szCs w:val="13"/>
                <w:color w:val="auto"/>
              </w:rPr>
            </w:pPr>
          </w:p>
        </w:tc>
        <w:tc>
          <w:tcPr>
            <w:tcW w:w="660" w:type="dxa"/>
            <w:vAlign w:val="bottom"/>
            <w:tcBorders>
              <w:bottom w:val="single" w:sz="8" w:color="auto"/>
            </w:tcBorders>
          </w:tcPr>
          <w:p>
            <w:pPr>
              <w:jc w:val="center"/>
              <w:spacing w:after="0" w:line="153" w:lineRule="exact"/>
              <w:rPr>
                <w:sz w:val="20"/>
                <w:szCs w:val="20"/>
                <w:color w:val="auto"/>
              </w:rPr>
            </w:pPr>
            <w:r>
              <w:rPr>
                <w:rFonts w:ascii="Arial" w:cs="Arial" w:eastAsia="Arial" w:hAnsi="Arial"/>
                <w:sz w:val="11"/>
                <w:szCs w:val="11"/>
                <w:b w:val="1"/>
                <w:bCs w:val="1"/>
                <w:color w:val="auto"/>
                <w:w w:val="96"/>
              </w:rPr>
              <w:t xml:space="preserve">Index </w:t>
            </w:r>
            <w:r>
              <w:rPr>
                <w:rFonts w:ascii="Arial" w:cs="Arial" w:eastAsia="Arial" w:hAnsi="Arial"/>
                <w:sz w:val="17"/>
                <w:szCs w:val="17"/>
                <w:b w:val="1"/>
                <w:bCs w:val="1"/>
                <w:color w:val="auto"/>
                <w:w w:val="96"/>
                <w:vertAlign w:val="superscript"/>
              </w:rPr>
              <w:t>(1)</w:t>
            </w:r>
          </w:p>
        </w:tc>
        <w:tc>
          <w:tcPr>
            <w:tcW w:w="220" w:type="dxa"/>
            <w:vAlign w:val="bottom"/>
          </w:tcPr>
          <w:p>
            <w:pPr>
              <w:spacing w:after="0"/>
              <w:rPr>
                <w:sz w:val="13"/>
                <w:szCs w:val="13"/>
                <w:color w:val="auto"/>
              </w:rPr>
            </w:pPr>
          </w:p>
        </w:tc>
        <w:tc>
          <w:tcPr>
            <w:tcW w:w="720" w:type="dxa"/>
            <w:vAlign w:val="bottom"/>
            <w:tcBorders>
              <w:bottom w:val="single" w:sz="8" w:color="auto"/>
            </w:tcBorders>
          </w:tcPr>
          <w:p>
            <w:pPr>
              <w:jc w:val="right"/>
              <w:ind w:right="142"/>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22"/>
              <w:spacing w:after="0"/>
              <w:rPr>
                <w:sz w:val="20"/>
                <w:szCs w:val="20"/>
                <w:color w:val="auto"/>
              </w:rPr>
            </w:pPr>
            <w:r>
              <w:rPr>
                <w:rFonts w:ascii="Arial" w:cs="Arial" w:eastAsia="Arial" w:hAnsi="Arial"/>
                <w:sz w:val="12"/>
                <w:szCs w:val="12"/>
                <w:b w:val="1"/>
                <w:bCs w:val="1"/>
                <w:color w:val="auto"/>
              </w:rPr>
              <w:t>Cost</w:t>
            </w:r>
          </w:p>
        </w:tc>
        <w:tc>
          <w:tcPr>
            <w:tcW w:w="24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22"/>
              <w:spacing w:after="0" w:line="153" w:lineRule="exact"/>
              <w:rPr>
                <w:sz w:val="20"/>
                <w:szCs w:val="20"/>
                <w:color w:val="auto"/>
              </w:rPr>
            </w:pPr>
            <w:r>
              <w:rPr>
                <w:rFonts w:ascii="Arial" w:cs="Arial" w:eastAsia="Arial" w:hAnsi="Arial"/>
                <w:sz w:val="11"/>
                <w:szCs w:val="11"/>
                <w:b w:val="1"/>
                <w:bCs w:val="1"/>
                <w:color w:val="auto"/>
                <w:w w:val="92"/>
              </w:rPr>
              <w:t xml:space="preserve">Fair Value </w:t>
            </w:r>
            <w:r>
              <w:rPr>
                <w:rFonts w:ascii="Arial" w:cs="Arial" w:eastAsia="Arial" w:hAnsi="Arial"/>
                <w:sz w:val="17"/>
                <w:szCs w:val="17"/>
                <w:b w:val="1"/>
                <w:bCs w:val="1"/>
                <w:color w:val="auto"/>
                <w:w w:val="92"/>
                <w:vertAlign w:val="superscript"/>
              </w:rPr>
              <w:t>(2)</w:t>
            </w:r>
          </w:p>
        </w:tc>
        <w:tc>
          <w:tcPr>
            <w:tcW w:w="100" w:type="dxa"/>
            <w:vAlign w:val="bottom"/>
          </w:tcPr>
          <w:p>
            <w:pPr>
              <w:spacing w:after="0"/>
              <w:rPr>
                <w:sz w:val="13"/>
                <w:szCs w:val="13"/>
                <w:color w:val="auto"/>
              </w:rPr>
            </w:pPr>
          </w:p>
        </w:tc>
      </w:tr>
      <w:tr>
        <w:trPr>
          <w:trHeight w:val="142"/>
        </w:trPr>
        <w:tc>
          <w:tcPr>
            <w:tcW w:w="3300" w:type="dxa"/>
            <w:vAlign w:val="bottom"/>
          </w:tcPr>
          <w:p>
            <w:pPr>
              <w:spacing w:after="0" w:line="142" w:lineRule="exact"/>
              <w:rPr>
                <w:sz w:val="20"/>
                <w:szCs w:val="20"/>
                <w:color w:val="auto"/>
              </w:rPr>
            </w:pPr>
            <w:r>
              <w:rPr>
                <w:rFonts w:ascii="Arial" w:cs="Arial" w:eastAsia="Arial" w:hAnsi="Arial"/>
                <w:sz w:val="10"/>
                <w:szCs w:val="10"/>
                <w:color w:val="auto"/>
              </w:rPr>
              <w:t xml:space="preserve">Kentucky Racing Holdco, LLC (Warrants) </w:t>
            </w:r>
            <w:r>
              <w:rPr>
                <w:rFonts w:ascii="Arial" w:cs="Arial" w:eastAsia="Arial" w:hAnsi="Arial"/>
                <w:sz w:val="16"/>
                <w:szCs w:val="16"/>
                <w:color w:val="auto"/>
                <w:vertAlign w:val="superscript"/>
              </w:rPr>
              <w:t>(7), (8)</w:t>
            </w: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320" w:type="dxa"/>
            <w:vAlign w:val="bottom"/>
            <w:gridSpan w:val="2"/>
          </w:tcPr>
          <w:p>
            <w:pPr>
              <w:jc w:val="center"/>
              <w:ind w:right="120"/>
              <w:spacing w:after="0"/>
              <w:rPr>
                <w:sz w:val="20"/>
                <w:szCs w:val="20"/>
                <w:color w:val="auto"/>
              </w:rPr>
            </w:pPr>
            <w:r>
              <w:rPr>
                <w:rFonts w:ascii="Arial" w:cs="Arial" w:eastAsia="Arial" w:hAnsi="Arial"/>
                <w:sz w:val="12"/>
                <w:szCs w:val="12"/>
                <w:color w:val="auto"/>
                <w:w w:val="86"/>
              </w:rPr>
              <w:t>Hotels, Restaurants and Leisure</w:t>
            </w: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87,345</w:t>
            </w:r>
          </w:p>
        </w:tc>
        <w:tc>
          <w:tcPr>
            <w:tcW w:w="32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94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0" w:type="dxa"/>
            <w:vAlign w:val="bottom"/>
          </w:tcPr>
          <w:p>
            <w:pPr>
              <w:jc w:val="right"/>
              <w:spacing w:after="0"/>
              <w:rPr>
                <w:sz w:val="20"/>
                <w:szCs w:val="20"/>
                <w:color w:val="auto"/>
              </w:rPr>
            </w:pPr>
            <w:r>
              <w:rPr>
                <w:rFonts w:ascii="Arial" w:cs="Arial" w:eastAsia="Arial" w:hAnsi="Arial"/>
                <w:sz w:val="9"/>
                <w:szCs w:val="9"/>
                <w:color w:val="auto"/>
                <w:w w:val="78"/>
              </w:rPr>
              <w:t>$</w:t>
            </w:r>
          </w:p>
        </w:tc>
        <w:tc>
          <w:tcPr>
            <w:tcW w:w="740" w:type="dxa"/>
            <w:vAlign w:val="bottom"/>
          </w:tcPr>
          <w:p>
            <w:pPr>
              <w:jc w:val="right"/>
              <w:spacing w:after="0"/>
              <w:rPr>
                <w:sz w:val="20"/>
                <w:szCs w:val="20"/>
                <w:color w:val="auto"/>
              </w:rPr>
            </w:pPr>
            <w:r>
              <w:rPr>
                <w:rFonts w:ascii="Arial" w:cs="Arial" w:eastAsia="Arial" w:hAnsi="Arial"/>
                <w:sz w:val="12"/>
                <w:szCs w:val="12"/>
                <w:color w:val="auto"/>
              </w:rPr>
              <w:t>194,143</w:t>
            </w:r>
          </w:p>
        </w:tc>
        <w:tc>
          <w:tcPr>
            <w:tcW w:w="100" w:type="dxa"/>
            <w:vAlign w:val="bottom"/>
          </w:tcPr>
          <w:p>
            <w:pPr>
              <w:spacing w:after="0"/>
              <w:rPr>
                <w:sz w:val="12"/>
                <w:szCs w:val="12"/>
                <w:color w:val="auto"/>
              </w:rPr>
            </w:pPr>
          </w:p>
        </w:tc>
      </w:tr>
      <w:tr>
        <w:trPr>
          <w:trHeight w:val="148"/>
        </w:trPr>
        <w:tc>
          <w:tcPr>
            <w:tcW w:w="3300" w:type="dxa"/>
            <w:vAlign w:val="bottom"/>
            <w:shd w:val="clear" w:color="auto" w:fill="CCECFF"/>
          </w:tcPr>
          <w:p>
            <w:pPr>
              <w:spacing w:after="0" w:line="149" w:lineRule="exact"/>
              <w:rPr>
                <w:sz w:val="20"/>
                <w:szCs w:val="20"/>
                <w:color w:val="auto"/>
              </w:rPr>
            </w:pPr>
            <w:r>
              <w:rPr>
                <w:rFonts w:ascii="Arial" w:cs="Arial" w:eastAsia="Arial" w:hAnsi="Arial"/>
                <w:sz w:val="11"/>
                <w:szCs w:val="11"/>
                <w:color w:val="auto"/>
              </w:rPr>
              <w:t xml:space="preserve">MeritDirect Holdings, LP </w:t>
            </w:r>
            <w:r>
              <w:rPr>
                <w:rFonts w:ascii="Arial" w:cs="Arial" w:eastAsia="Arial" w:hAnsi="Arial"/>
                <w:sz w:val="17"/>
                <w:szCs w:val="17"/>
                <w:color w:val="auto"/>
                <w:vertAlign w:val="superscript"/>
              </w:rPr>
              <w:t>(7), (8)</w:t>
            </w:r>
          </w:p>
        </w:tc>
        <w:tc>
          <w:tcPr>
            <w:tcW w:w="120" w:type="dxa"/>
            <w:vAlign w:val="bottom"/>
            <w:shd w:val="clear" w:color="auto" w:fill="CCECFF"/>
          </w:tcPr>
          <w:p>
            <w:pPr>
              <w:spacing w:after="0"/>
              <w:rPr>
                <w:sz w:val="12"/>
                <w:szCs w:val="12"/>
                <w:color w:val="auto"/>
              </w:rPr>
            </w:pPr>
          </w:p>
        </w:tc>
        <w:tc>
          <w:tcPr>
            <w:tcW w:w="780" w:type="dxa"/>
            <w:vAlign w:val="bottom"/>
            <w:gridSpan w:val="2"/>
            <w:shd w:val="clear" w:color="auto" w:fill="CCECFF"/>
          </w:tcPr>
          <w:p>
            <w:pPr>
              <w:ind w:left="260"/>
              <w:spacing w:after="0"/>
              <w:rPr>
                <w:sz w:val="20"/>
                <w:szCs w:val="20"/>
                <w:color w:val="auto"/>
              </w:rPr>
            </w:pPr>
            <w:r>
              <w:rPr>
                <w:rFonts w:ascii="Arial" w:cs="Arial" w:eastAsia="Arial" w:hAnsi="Arial"/>
                <w:sz w:val="12"/>
                <w:szCs w:val="12"/>
                <w:color w:val="auto"/>
              </w:rPr>
              <w:t>—</w:t>
            </w:r>
          </w:p>
        </w:tc>
        <w:tc>
          <w:tcPr>
            <w:tcW w:w="232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91"/>
              </w:rPr>
              <w:t>Media</w:t>
            </w:r>
          </w:p>
        </w:tc>
        <w:tc>
          <w:tcPr>
            <w:tcW w:w="960" w:type="dxa"/>
            <w:vAlign w:val="bottom"/>
            <w:gridSpan w:val="2"/>
            <w:shd w:val="clear" w:color="auto" w:fill="CCECFF"/>
          </w:tcPr>
          <w:p>
            <w:pPr>
              <w:jc w:val="right"/>
              <w:ind w:right="300"/>
              <w:spacing w:after="0"/>
              <w:rPr>
                <w:sz w:val="20"/>
                <w:szCs w:val="20"/>
                <w:color w:val="auto"/>
              </w:rPr>
            </w:pPr>
            <w:r>
              <w:rPr>
                <w:rFonts w:ascii="Arial" w:cs="Arial" w:eastAsia="Arial" w:hAnsi="Arial"/>
                <w:sz w:val="12"/>
                <w:szCs w:val="12"/>
                <w:color w:val="auto"/>
              </w:rPr>
              <w:t>—</w:t>
            </w:r>
          </w:p>
        </w:tc>
        <w:tc>
          <w:tcPr>
            <w:tcW w:w="88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7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960</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94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CFF"/>
          </w:tcPr>
          <w:p>
            <w:pPr>
              <w:spacing w:after="0"/>
              <w:rPr>
                <w:sz w:val="12"/>
                <w:szCs w:val="12"/>
                <w:color w:val="auto"/>
              </w:rPr>
            </w:pPr>
          </w:p>
        </w:tc>
        <w:tc>
          <w:tcPr>
            <w:tcW w:w="7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245,108</w:t>
            </w:r>
          </w:p>
        </w:tc>
        <w:tc>
          <w:tcPr>
            <w:tcW w:w="100" w:type="dxa"/>
            <w:vAlign w:val="bottom"/>
            <w:shd w:val="clear" w:color="auto" w:fill="CCECFF"/>
          </w:tcPr>
          <w:p>
            <w:pPr>
              <w:spacing w:after="0"/>
              <w:rPr>
                <w:sz w:val="12"/>
                <w:szCs w:val="12"/>
                <w:color w:val="auto"/>
              </w:rPr>
            </w:pPr>
          </w:p>
        </w:tc>
      </w:tr>
      <w:tr>
        <w:trPr>
          <w:trHeight w:val="149"/>
        </w:trPr>
        <w:tc>
          <w:tcPr>
            <w:tcW w:w="3300" w:type="dxa"/>
            <w:vAlign w:val="bottom"/>
          </w:tcPr>
          <w:p>
            <w:pPr>
              <w:spacing w:after="0" w:line="149" w:lineRule="exact"/>
              <w:rPr>
                <w:sz w:val="20"/>
                <w:szCs w:val="20"/>
                <w:color w:val="auto"/>
              </w:rPr>
            </w:pPr>
            <w:r>
              <w:rPr>
                <w:rFonts w:ascii="Arial" w:cs="Arial" w:eastAsia="Arial" w:hAnsi="Arial"/>
                <w:sz w:val="11"/>
                <w:szCs w:val="11"/>
                <w:color w:val="auto"/>
              </w:rPr>
              <w:t xml:space="preserve">NXOF Holdings, Inc. (NextiraOne Federal, LLC) </w:t>
            </w:r>
            <w:r>
              <w:rPr>
                <w:rFonts w:ascii="Arial" w:cs="Arial" w:eastAsia="Arial" w:hAnsi="Arial"/>
                <w:sz w:val="17"/>
                <w:szCs w:val="17"/>
                <w:color w:val="auto"/>
                <w:vertAlign w:val="superscript"/>
              </w:rPr>
              <w:t>(7)</w:t>
            </w:r>
          </w:p>
        </w:tc>
        <w:tc>
          <w:tcPr>
            <w:tcW w:w="120" w:type="dxa"/>
            <w:vAlign w:val="bottom"/>
          </w:tcPr>
          <w:p>
            <w:pPr>
              <w:spacing w:after="0"/>
              <w:rPr>
                <w:sz w:val="12"/>
                <w:szCs w:val="12"/>
                <w:color w:val="auto"/>
              </w:rPr>
            </w:pPr>
          </w:p>
        </w:tc>
        <w:tc>
          <w:tcPr>
            <w:tcW w:w="780" w:type="dxa"/>
            <w:vAlign w:val="bottom"/>
            <w:gridSpan w:val="2"/>
          </w:tcPr>
          <w:p>
            <w:pPr>
              <w:ind w:left="260"/>
              <w:spacing w:after="0"/>
              <w:rPr>
                <w:sz w:val="20"/>
                <w:szCs w:val="20"/>
                <w:color w:val="auto"/>
              </w:rPr>
            </w:pPr>
            <w:r>
              <w:rPr>
                <w:rFonts w:ascii="Arial" w:cs="Arial" w:eastAsia="Arial" w:hAnsi="Arial"/>
                <w:sz w:val="12"/>
                <w:szCs w:val="12"/>
                <w:color w:val="auto"/>
              </w:rPr>
              <w:t>—</w:t>
            </w:r>
          </w:p>
        </w:tc>
        <w:tc>
          <w:tcPr>
            <w:tcW w:w="2320" w:type="dxa"/>
            <w:vAlign w:val="bottom"/>
            <w:gridSpan w:val="2"/>
          </w:tcPr>
          <w:p>
            <w:pPr>
              <w:jc w:val="center"/>
              <w:ind w:right="140"/>
              <w:spacing w:after="0"/>
              <w:rPr>
                <w:sz w:val="20"/>
                <w:szCs w:val="20"/>
                <w:color w:val="auto"/>
              </w:rPr>
            </w:pPr>
            <w:r>
              <w:rPr>
                <w:rFonts w:ascii="Arial" w:cs="Arial" w:eastAsia="Arial" w:hAnsi="Arial"/>
                <w:sz w:val="12"/>
                <w:szCs w:val="12"/>
                <w:color w:val="auto"/>
                <w:w w:val="85"/>
              </w:rPr>
              <w:t>Aerospace and Defense</w:t>
            </w:r>
          </w:p>
        </w:tc>
        <w:tc>
          <w:tcPr>
            <w:tcW w:w="96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88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720" w:type="dxa"/>
            <w:vAlign w:val="bottom"/>
          </w:tcPr>
          <w:p>
            <w:pPr>
              <w:jc w:val="right"/>
              <w:spacing w:after="0"/>
              <w:rPr>
                <w:sz w:val="20"/>
                <w:szCs w:val="20"/>
                <w:color w:val="auto"/>
              </w:rPr>
            </w:pPr>
            <w:r>
              <w:rPr>
                <w:rFonts w:ascii="Arial" w:cs="Arial" w:eastAsia="Arial" w:hAnsi="Arial"/>
                <w:sz w:val="12"/>
                <w:szCs w:val="12"/>
                <w:color w:val="auto"/>
              </w:rPr>
              <w:t>10,000</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10,000</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r>
      <w:tr>
        <w:trPr>
          <w:trHeight w:val="148"/>
        </w:trPr>
        <w:tc>
          <w:tcPr>
            <w:tcW w:w="3300" w:type="dxa"/>
            <w:vAlign w:val="bottom"/>
            <w:shd w:val="clear" w:color="auto" w:fill="CCECFF"/>
          </w:tcPr>
          <w:p>
            <w:pPr>
              <w:spacing w:after="0" w:line="149" w:lineRule="exact"/>
              <w:rPr>
                <w:sz w:val="20"/>
                <w:szCs w:val="20"/>
                <w:color w:val="auto"/>
              </w:rPr>
            </w:pPr>
            <w:r>
              <w:rPr>
                <w:rFonts w:ascii="Arial" w:cs="Arial" w:eastAsia="Arial" w:hAnsi="Arial"/>
                <w:sz w:val="11"/>
                <w:szCs w:val="11"/>
                <w:color w:val="auto"/>
              </w:rPr>
              <w:t xml:space="preserve">PT Network Intermediate Holdings, LLC </w:t>
            </w:r>
            <w:r>
              <w:rPr>
                <w:rFonts w:ascii="Arial" w:cs="Arial" w:eastAsia="Arial" w:hAnsi="Arial"/>
                <w:sz w:val="17"/>
                <w:szCs w:val="17"/>
                <w:color w:val="auto"/>
                <w:vertAlign w:val="superscript"/>
              </w:rPr>
              <w:t>(7), (8)</w:t>
            </w:r>
          </w:p>
        </w:tc>
        <w:tc>
          <w:tcPr>
            <w:tcW w:w="120" w:type="dxa"/>
            <w:vAlign w:val="bottom"/>
            <w:shd w:val="clear" w:color="auto" w:fill="CCECFF"/>
          </w:tcPr>
          <w:p>
            <w:pPr>
              <w:spacing w:after="0"/>
              <w:rPr>
                <w:sz w:val="12"/>
                <w:szCs w:val="12"/>
                <w:color w:val="auto"/>
              </w:rPr>
            </w:pPr>
          </w:p>
        </w:tc>
        <w:tc>
          <w:tcPr>
            <w:tcW w:w="780" w:type="dxa"/>
            <w:vAlign w:val="bottom"/>
            <w:gridSpan w:val="2"/>
            <w:shd w:val="clear" w:color="auto" w:fill="CCECFF"/>
          </w:tcPr>
          <w:p>
            <w:pPr>
              <w:ind w:left="260"/>
              <w:spacing w:after="0"/>
              <w:rPr>
                <w:sz w:val="20"/>
                <w:szCs w:val="20"/>
                <w:color w:val="auto"/>
              </w:rPr>
            </w:pPr>
            <w:r>
              <w:rPr>
                <w:rFonts w:ascii="Arial" w:cs="Arial" w:eastAsia="Arial" w:hAnsi="Arial"/>
                <w:sz w:val="12"/>
                <w:szCs w:val="12"/>
                <w:color w:val="auto"/>
              </w:rPr>
              <w:t>—</w:t>
            </w:r>
          </w:p>
        </w:tc>
        <w:tc>
          <w:tcPr>
            <w:tcW w:w="232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86"/>
              </w:rPr>
              <w:t>Healthcare and Pharmaceuticals</w:t>
            </w:r>
          </w:p>
        </w:tc>
        <w:tc>
          <w:tcPr>
            <w:tcW w:w="660" w:type="dxa"/>
            <w:vAlign w:val="bottom"/>
            <w:shd w:val="clear" w:color="auto" w:fill="CCECFF"/>
          </w:tcPr>
          <w:p>
            <w:pPr>
              <w:spacing w:after="0"/>
              <w:rPr>
                <w:sz w:val="12"/>
                <w:szCs w:val="12"/>
                <w:color w:val="auto"/>
              </w:rPr>
            </w:pPr>
          </w:p>
        </w:tc>
        <w:tc>
          <w:tcPr>
            <w:tcW w:w="300" w:type="dxa"/>
            <w:vAlign w:val="bottom"/>
            <w:shd w:val="clear" w:color="auto" w:fill="CCECFF"/>
          </w:tcPr>
          <w:p>
            <w:pPr>
              <w:spacing w:after="0"/>
              <w:rPr>
                <w:sz w:val="12"/>
                <w:szCs w:val="12"/>
                <w:color w:val="auto"/>
              </w:rPr>
            </w:pPr>
          </w:p>
        </w:tc>
        <w:tc>
          <w:tcPr>
            <w:tcW w:w="66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7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25</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286,000</w:t>
            </w:r>
          </w:p>
        </w:tc>
        <w:tc>
          <w:tcPr>
            <w:tcW w:w="240" w:type="dxa"/>
            <w:vAlign w:val="bottom"/>
            <w:shd w:val="clear" w:color="auto" w:fill="CCECFF"/>
          </w:tcPr>
          <w:p>
            <w:pPr>
              <w:spacing w:after="0"/>
              <w:rPr>
                <w:sz w:val="12"/>
                <w:szCs w:val="12"/>
                <w:color w:val="auto"/>
              </w:rPr>
            </w:pPr>
          </w:p>
        </w:tc>
        <w:tc>
          <w:tcPr>
            <w:tcW w:w="60" w:type="dxa"/>
            <w:vAlign w:val="bottom"/>
            <w:shd w:val="clear" w:color="auto" w:fill="CCECFF"/>
          </w:tcPr>
          <w:p>
            <w:pPr>
              <w:spacing w:after="0"/>
              <w:rPr>
                <w:sz w:val="12"/>
                <w:szCs w:val="12"/>
                <w:color w:val="auto"/>
              </w:rPr>
            </w:pPr>
          </w:p>
        </w:tc>
        <w:tc>
          <w:tcPr>
            <w:tcW w:w="7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741,851</w:t>
            </w:r>
          </w:p>
        </w:tc>
        <w:tc>
          <w:tcPr>
            <w:tcW w:w="100" w:type="dxa"/>
            <w:vAlign w:val="bottom"/>
            <w:shd w:val="clear" w:color="auto" w:fill="CCECFF"/>
          </w:tcPr>
          <w:p>
            <w:pPr>
              <w:spacing w:after="0"/>
              <w:rPr>
                <w:sz w:val="12"/>
                <w:szCs w:val="12"/>
                <w:color w:val="auto"/>
              </w:rPr>
            </w:pPr>
          </w:p>
        </w:tc>
      </w:tr>
      <w:tr>
        <w:trPr>
          <w:trHeight w:val="148"/>
        </w:trPr>
        <w:tc>
          <w:tcPr>
            <w:tcW w:w="3300" w:type="dxa"/>
            <w:vAlign w:val="bottom"/>
          </w:tcPr>
          <w:p>
            <w:pPr>
              <w:spacing w:after="0" w:line="149" w:lineRule="exact"/>
              <w:rPr>
                <w:sz w:val="20"/>
                <w:szCs w:val="20"/>
                <w:color w:val="auto"/>
              </w:rPr>
            </w:pPr>
            <w:r>
              <w:rPr>
                <w:rFonts w:ascii="Arial" w:cs="Arial" w:eastAsia="Arial" w:hAnsi="Arial"/>
                <w:sz w:val="11"/>
                <w:szCs w:val="11"/>
                <w:color w:val="auto"/>
                <w:w w:val="97"/>
              </w:rPr>
              <w:t xml:space="preserve">SBI Holdings Investments LLC (Sales Benchmark Index LLC) </w:t>
            </w:r>
            <w:r>
              <w:rPr>
                <w:rFonts w:ascii="Arial" w:cs="Arial" w:eastAsia="Arial" w:hAnsi="Arial"/>
                <w:sz w:val="17"/>
                <w:szCs w:val="17"/>
                <w:color w:val="auto"/>
                <w:w w:val="97"/>
                <w:vertAlign w:val="superscript"/>
              </w:rPr>
              <w:t>(7), (8)</w:t>
            </w:r>
          </w:p>
        </w:tc>
        <w:tc>
          <w:tcPr>
            <w:tcW w:w="120" w:type="dxa"/>
            <w:vAlign w:val="bottom"/>
          </w:tcPr>
          <w:p>
            <w:pPr>
              <w:spacing w:after="0"/>
              <w:rPr>
                <w:sz w:val="12"/>
                <w:szCs w:val="12"/>
                <w:color w:val="auto"/>
              </w:rPr>
            </w:pPr>
          </w:p>
        </w:tc>
        <w:tc>
          <w:tcPr>
            <w:tcW w:w="780" w:type="dxa"/>
            <w:vAlign w:val="bottom"/>
            <w:gridSpan w:val="2"/>
          </w:tcPr>
          <w:p>
            <w:pPr>
              <w:ind w:left="260"/>
              <w:spacing w:after="0"/>
              <w:rPr>
                <w:sz w:val="20"/>
                <w:szCs w:val="20"/>
                <w:color w:val="auto"/>
              </w:rPr>
            </w:pPr>
            <w:r>
              <w:rPr>
                <w:rFonts w:ascii="Arial" w:cs="Arial" w:eastAsia="Arial" w:hAnsi="Arial"/>
                <w:sz w:val="12"/>
                <w:szCs w:val="12"/>
                <w:color w:val="auto"/>
              </w:rPr>
              <w:t>—</w:t>
            </w:r>
          </w:p>
        </w:tc>
        <w:tc>
          <w:tcPr>
            <w:tcW w:w="2320" w:type="dxa"/>
            <w:vAlign w:val="bottom"/>
            <w:gridSpan w:val="2"/>
          </w:tcPr>
          <w:p>
            <w:pPr>
              <w:jc w:val="center"/>
              <w:ind w:right="120"/>
              <w:spacing w:after="0"/>
              <w:rPr>
                <w:sz w:val="20"/>
                <w:szCs w:val="20"/>
                <w:color w:val="auto"/>
              </w:rPr>
            </w:pPr>
            <w:r>
              <w:rPr>
                <w:rFonts w:ascii="Arial" w:cs="Arial" w:eastAsia="Arial" w:hAnsi="Arial"/>
                <w:sz w:val="12"/>
                <w:szCs w:val="12"/>
                <w:color w:val="auto"/>
                <w:w w:val="86"/>
              </w:rPr>
              <w:t>Professional Services</w:t>
            </w:r>
          </w:p>
        </w:tc>
        <w:tc>
          <w:tcPr>
            <w:tcW w:w="96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88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720" w:type="dxa"/>
            <w:vAlign w:val="bottom"/>
          </w:tcPr>
          <w:p>
            <w:pPr>
              <w:jc w:val="right"/>
              <w:spacing w:after="0"/>
              <w:rPr>
                <w:sz w:val="20"/>
                <w:szCs w:val="20"/>
                <w:color w:val="auto"/>
              </w:rPr>
            </w:pPr>
            <w:r>
              <w:rPr>
                <w:rFonts w:ascii="Arial" w:cs="Arial" w:eastAsia="Arial" w:hAnsi="Arial"/>
                <w:sz w:val="12"/>
                <w:szCs w:val="12"/>
                <w:color w:val="auto"/>
              </w:rPr>
              <w:t>64,634</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646,341</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646,341</w:t>
            </w:r>
          </w:p>
        </w:tc>
        <w:tc>
          <w:tcPr>
            <w:tcW w:w="100" w:type="dxa"/>
            <w:vAlign w:val="bottom"/>
          </w:tcPr>
          <w:p>
            <w:pPr>
              <w:spacing w:after="0"/>
              <w:rPr>
                <w:sz w:val="12"/>
                <w:szCs w:val="12"/>
                <w:color w:val="auto"/>
              </w:rPr>
            </w:pPr>
          </w:p>
        </w:tc>
      </w:tr>
      <w:tr>
        <w:trPr>
          <w:trHeight w:val="148"/>
        </w:trPr>
        <w:tc>
          <w:tcPr>
            <w:tcW w:w="3300" w:type="dxa"/>
            <w:vAlign w:val="bottom"/>
            <w:shd w:val="clear" w:color="auto" w:fill="CCECFF"/>
          </w:tcPr>
          <w:p>
            <w:pPr>
              <w:spacing w:after="0" w:line="149" w:lineRule="exact"/>
              <w:rPr>
                <w:sz w:val="20"/>
                <w:szCs w:val="20"/>
                <w:color w:val="auto"/>
              </w:rPr>
            </w:pPr>
            <w:r>
              <w:rPr>
                <w:rFonts w:ascii="Arial" w:cs="Arial" w:eastAsia="Arial" w:hAnsi="Arial"/>
                <w:sz w:val="11"/>
                <w:szCs w:val="11"/>
                <w:color w:val="auto"/>
              </w:rPr>
              <w:t xml:space="preserve">Signature CR Intermediate Holdco, Inc. </w:t>
            </w:r>
            <w:r>
              <w:rPr>
                <w:rFonts w:ascii="Arial" w:cs="Arial" w:eastAsia="Arial" w:hAnsi="Arial"/>
                <w:sz w:val="17"/>
                <w:szCs w:val="17"/>
                <w:color w:val="auto"/>
                <w:vertAlign w:val="superscript"/>
              </w:rPr>
              <w:t>(7)</w:t>
            </w:r>
          </w:p>
        </w:tc>
        <w:tc>
          <w:tcPr>
            <w:tcW w:w="120" w:type="dxa"/>
            <w:vAlign w:val="bottom"/>
            <w:shd w:val="clear" w:color="auto" w:fill="CCECFF"/>
          </w:tcPr>
          <w:p>
            <w:pPr>
              <w:spacing w:after="0"/>
              <w:rPr>
                <w:sz w:val="12"/>
                <w:szCs w:val="12"/>
                <w:color w:val="auto"/>
              </w:rPr>
            </w:pPr>
          </w:p>
        </w:tc>
        <w:tc>
          <w:tcPr>
            <w:tcW w:w="780" w:type="dxa"/>
            <w:vAlign w:val="bottom"/>
            <w:gridSpan w:val="2"/>
            <w:shd w:val="clear" w:color="auto" w:fill="CCECFF"/>
          </w:tcPr>
          <w:p>
            <w:pPr>
              <w:ind w:left="260"/>
              <w:spacing w:after="0"/>
              <w:rPr>
                <w:sz w:val="20"/>
                <w:szCs w:val="20"/>
                <w:color w:val="auto"/>
              </w:rPr>
            </w:pPr>
            <w:r>
              <w:rPr>
                <w:rFonts w:ascii="Arial" w:cs="Arial" w:eastAsia="Arial" w:hAnsi="Arial"/>
                <w:sz w:val="12"/>
                <w:szCs w:val="12"/>
                <w:color w:val="auto"/>
              </w:rPr>
              <w:t>—</w:t>
            </w:r>
          </w:p>
        </w:tc>
        <w:tc>
          <w:tcPr>
            <w:tcW w:w="2320" w:type="dxa"/>
            <w:vAlign w:val="bottom"/>
            <w:gridSpan w:val="2"/>
            <w:shd w:val="clear" w:color="auto" w:fill="CCECFF"/>
          </w:tcPr>
          <w:p>
            <w:pPr>
              <w:jc w:val="center"/>
              <w:ind w:right="120"/>
              <w:spacing w:after="0"/>
              <w:rPr>
                <w:sz w:val="20"/>
                <w:szCs w:val="20"/>
                <w:color w:val="auto"/>
              </w:rPr>
            </w:pPr>
            <w:r>
              <w:rPr>
                <w:rFonts w:ascii="Arial" w:cs="Arial" w:eastAsia="Arial" w:hAnsi="Arial"/>
                <w:sz w:val="12"/>
                <w:szCs w:val="12"/>
                <w:color w:val="auto"/>
                <w:w w:val="89"/>
              </w:rPr>
              <w:t>Commercial Services &amp; Supplies</w:t>
            </w:r>
          </w:p>
        </w:tc>
        <w:tc>
          <w:tcPr>
            <w:tcW w:w="960" w:type="dxa"/>
            <w:vAlign w:val="bottom"/>
            <w:gridSpan w:val="2"/>
            <w:shd w:val="clear" w:color="auto" w:fill="CCECFF"/>
          </w:tcPr>
          <w:p>
            <w:pPr>
              <w:jc w:val="right"/>
              <w:ind w:right="300"/>
              <w:spacing w:after="0"/>
              <w:rPr>
                <w:sz w:val="20"/>
                <w:szCs w:val="20"/>
                <w:color w:val="auto"/>
              </w:rPr>
            </w:pPr>
            <w:r>
              <w:rPr>
                <w:rFonts w:ascii="Arial" w:cs="Arial" w:eastAsia="Arial" w:hAnsi="Arial"/>
                <w:sz w:val="12"/>
                <w:szCs w:val="12"/>
                <w:color w:val="auto"/>
              </w:rPr>
              <w:t>—</w:t>
            </w:r>
          </w:p>
        </w:tc>
        <w:tc>
          <w:tcPr>
            <w:tcW w:w="88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7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61</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61,421</w:t>
            </w:r>
          </w:p>
        </w:tc>
        <w:tc>
          <w:tcPr>
            <w:tcW w:w="240" w:type="dxa"/>
            <w:vAlign w:val="bottom"/>
            <w:shd w:val="clear" w:color="auto" w:fill="CCECFF"/>
          </w:tcPr>
          <w:p>
            <w:pPr>
              <w:spacing w:after="0"/>
              <w:rPr>
                <w:sz w:val="12"/>
                <w:szCs w:val="12"/>
                <w:color w:val="auto"/>
              </w:rPr>
            </w:pPr>
          </w:p>
        </w:tc>
        <w:tc>
          <w:tcPr>
            <w:tcW w:w="60" w:type="dxa"/>
            <w:vAlign w:val="bottom"/>
            <w:shd w:val="clear" w:color="auto" w:fill="CCECFF"/>
          </w:tcPr>
          <w:p>
            <w:pPr>
              <w:spacing w:after="0"/>
              <w:rPr>
                <w:sz w:val="12"/>
                <w:szCs w:val="12"/>
                <w:color w:val="auto"/>
              </w:rPr>
            </w:pPr>
          </w:p>
        </w:tc>
        <w:tc>
          <w:tcPr>
            <w:tcW w:w="840" w:type="dxa"/>
            <w:vAlign w:val="bottom"/>
            <w:gridSpan w:val="2"/>
            <w:shd w:val="clear" w:color="auto" w:fill="CCECFF"/>
          </w:tcPr>
          <w:p>
            <w:pPr>
              <w:jc w:val="right"/>
              <w:ind w:right="120"/>
              <w:spacing w:after="0"/>
              <w:rPr>
                <w:sz w:val="20"/>
                <w:szCs w:val="20"/>
                <w:color w:val="auto"/>
              </w:rPr>
            </w:pPr>
            <w:r>
              <w:rPr>
                <w:rFonts w:ascii="Arial" w:cs="Arial" w:eastAsia="Arial" w:hAnsi="Arial"/>
                <w:sz w:val="12"/>
                <w:szCs w:val="12"/>
                <w:color w:val="auto"/>
              </w:rPr>
              <w:t>—</w:t>
            </w:r>
          </w:p>
        </w:tc>
      </w:tr>
      <w:tr>
        <w:trPr>
          <w:trHeight w:val="146"/>
        </w:trPr>
        <w:tc>
          <w:tcPr>
            <w:tcW w:w="3300" w:type="dxa"/>
            <w:vAlign w:val="bottom"/>
          </w:tcPr>
          <w:p>
            <w:pPr>
              <w:spacing w:after="0"/>
              <w:rPr>
                <w:sz w:val="20"/>
                <w:szCs w:val="20"/>
                <w:color w:val="auto"/>
              </w:rPr>
            </w:pPr>
            <w:r>
              <w:rPr>
                <w:rFonts w:ascii="Arial" w:cs="Arial" w:eastAsia="Arial" w:hAnsi="Arial"/>
                <w:sz w:val="12"/>
                <w:szCs w:val="12"/>
                <w:color w:val="auto"/>
              </w:rPr>
              <w:t>SSC Dominion Holdings, LLC</w:t>
            </w:r>
          </w:p>
        </w:tc>
        <w:tc>
          <w:tcPr>
            <w:tcW w:w="120" w:type="dxa"/>
            <w:vAlign w:val="bottom"/>
          </w:tcPr>
          <w:p>
            <w:pPr>
              <w:spacing w:after="0"/>
              <w:rPr>
                <w:sz w:val="12"/>
                <w:szCs w:val="12"/>
                <w:color w:val="auto"/>
              </w:rPr>
            </w:pPr>
          </w:p>
        </w:tc>
        <w:tc>
          <w:tcPr>
            <w:tcW w:w="780" w:type="dxa"/>
            <w:vAlign w:val="bottom"/>
            <w:gridSpan w:val="2"/>
          </w:tcPr>
          <w:p>
            <w:pPr>
              <w:ind w:left="260"/>
              <w:spacing w:after="0"/>
              <w:rPr>
                <w:sz w:val="20"/>
                <w:szCs w:val="20"/>
                <w:color w:val="auto"/>
              </w:rPr>
            </w:pPr>
            <w:r>
              <w:rPr>
                <w:rFonts w:ascii="Arial" w:cs="Arial" w:eastAsia="Arial" w:hAnsi="Arial"/>
                <w:sz w:val="12"/>
                <w:szCs w:val="12"/>
                <w:color w:val="auto"/>
              </w:rPr>
              <w:t>—</w:t>
            </w:r>
          </w:p>
        </w:tc>
        <w:tc>
          <w:tcPr>
            <w:tcW w:w="2320" w:type="dxa"/>
            <w:vAlign w:val="bottom"/>
            <w:gridSpan w:val="2"/>
          </w:tcPr>
          <w:p>
            <w:pPr>
              <w:jc w:val="center"/>
              <w:ind w:right="120"/>
              <w:spacing w:after="0"/>
              <w:rPr>
                <w:sz w:val="20"/>
                <w:szCs w:val="20"/>
                <w:color w:val="auto"/>
              </w:rPr>
            </w:pPr>
            <w:r>
              <w:rPr>
                <w:rFonts w:ascii="Arial" w:cs="Arial" w:eastAsia="Arial" w:hAnsi="Arial"/>
                <w:sz w:val="12"/>
                <w:szCs w:val="12"/>
                <w:color w:val="auto"/>
                <w:w w:val="89"/>
              </w:rPr>
              <w:t>Capital Equipment</w:t>
            </w:r>
          </w:p>
        </w:tc>
        <w:tc>
          <w:tcPr>
            <w:tcW w:w="96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88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720" w:type="dxa"/>
            <w:vAlign w:val="bottom"/>
          </w:tcPr>
          <w:p>
            <w:pPr>
              <w:jc w:val="right"/>
              <w:spacing w:after="0"/>
              <w:rPr>
                <w:sz w:val="20"/>
                <w:szCs w:val="20"/>
                <w:color w:val="auto"/>
              </w:rPr>
            </w:pPr>
            <w:r>
              <w:rPr>
                <w:rFonts w:ascii="Arial" w:cs="Arial" w:eastAsia="Arial" w:hAnsi="Arial"/>
                <w:sz w:val="12"/>
                <w:szCs w:val="12"/>
                <w:color w:val="auto"/>
              </w:rPr>
              <w:t>500</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500,000</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540,000</w:t>
            </w:r>
          </w:p>
        </w:tc>
        <w:tc>
          <w:tcPr>
            <w:tcW w:w="100" w:type="dxa"/>
            <w:vAlign w:val="bottom"/>
          </w:tcPr>
          <w:p>
            <w:pPr>
              <w:spacing w:after="0"/>
              <w:rPr>
                <w:sz w:val="12"/>
                <w:szCs w:val="12"/>
                <w:color w:val="auto"/>
              </w:rPr>
            </w:pPr>
          </w:p>
        </w:tc>
      </w:tr>
      <w:tr>
        <w:trPr>
          <w:trHeight w:val="151"/>
        </w:trPr>
        <w:tc>
          <w:tcPr>
            <w:tcW w:w="3300" w:type="dxa"/>
            <w:vAlign w:val="bottom"/>
          </w:tcPr>
          <w:p>
            <w:pPr>
              <w:ind w:left="140"/>
              <w:spacing w:after="0" w:line="150" w:lineRule="exact"/>
              <w:rPr>
                <w:sz w:val="20"/>
                <w:szCs w:val="20"/>
                <w:color w:val="auto"/>
              </w:rPr>
            </w:pPr>
            <w:r>
              <w:rPr>
                <w:rFonts w:ascii="Arial" w:cs="Arial" w:eastAsia="Arial" w:hAnsi="Arial"/>
                <w:sz w:val="11"/>
                <w:szCs w:val="11"/>
                <w:color w:val="auto"/>
              </w:rPr>
              <w:t xml:space="preserve">Class A (US Dominion, Inc.) </w:t>
            </w:r>
            <w:r>
              <w:rPr>
                <w:rFonts w:ascii="Arial" w:cs="Arial" w:eastAsia="Arial" w:hAnsi="Arial"/>
                <w:sz w:val="17"/>
                <w:szCs w:val="17"/>
                <w:color w:val="auto"/>
                <w:vertAlign w:val="superscript"/>
              </w:rPr>
              <w:t>(7)</w:t>
            </w: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48"/>
        </w:trPr>
        <w:tc>
          <w:tcPr>
            <w:tcW w:w="3300" w:type="dxa"/>
            <w:vAlign w:val="bottom"/>
            <w:shd w:val="clear" w:color="auto" w:fill="CCECFF"/>
          </w:tcPr>
          <w:p>
            <w:pPr>
              <w:spacing w:after="0"/>
              <w:rPr>
                <w:sz w:val="20"/>
                <w:szCs w:val="20"/>
                <w:color w:val="auto"/>
              </w:rPr>
            </w:pPr>
            <w:r>
              <w:rPr>
                <w:rFonts w:ascii="Arial" w:cs="Arial" w:eastAsia="Arial" w:hAnsi="Arial"/>
                <w:sz w:val="12"/>
                <w:szCs w:val="12"/>
                <w:color w:val="auto"/>
              </w:rPr>
              <w:t>SSC Dominion Holdings, LLC</w:t>
            </w:r>
          </w:p>
        </w:tc>
        <w:tc>
          <w:tcPr>
            <w:tcW w:w="120" w:type="dxa"/>
            <w:vAlign w:val="bottom"/>
            <w:shd w:val="clear" w:color="auto" w:fill="CCECFF"/>
          </w:tcPr>
          <w:p>
            <w:pPr>
              <w:spacing w:after="0"/>
              <w:rPr>
                <w:sz w:val="12"/>
                <w:szCs w:val="12"/>
                <w:color w:val="auto"/>
              </w:rPr>
            </w:pPr>
          </w:p>
        </w:tc>
        <w:tc>
          <w:tcPr>
            <w:tcW w:w="780" w:type="dxa"/>
            <w:vAlign w:val="bottom"/>
            <w:gridSpan w:val="2"/>
            <w:shd w:val="clear" w:color="auto" w:fill="CCECFF"/>
          </w:tcPr>
          <w:p>
            <w:pPr>
              <w:ind w:left="260"/>
              <w:spacing w:after="0"/>
              <w:rPr>
                <w:sz w:val="20"/>
                <w:szCs w:val="20"/>
                <w:color w:val="auto"/>
              </w:rPr>
            </w:pPr>
            <w:r>
              <w:rPr>
                <w:rFonts w:ascii="Arial" w:cs="Arial" w:eastAsia="Arial" w:hAnsi="Arial"/>
                <w:sz w:val="12"/>
                <w:szCs w:val="12"/>
                <w:color w:val="auto"/>
              </w:rPr>
              <w:t>—</w:t>
            </w:r>
          </w:p>
        </w:tc>
        <w:tc>
          <w:tcPr>
            <w:tcW w:w="2320" w:type="dxa"/>
            <w:vAlign w:val="bottom"/>
            <w:gridSpan w:val="2"/>
            <w:shd w:val="clear" w:color="auto" w:fill="CCECFF"/>
          </w:tcPr>
          <w:p>
            <w:pPr>
              <w:jc w:val="center"/>
              <w:ind w:right="120"/>
              <w:spacing w:after="0"/>
              <w:rPr>
                <w:sz w:val="20"/>
                <w:szCs w:val="20"/>
                <w:color w:val="auto"/>
              </w:rPr>
            </w:pPr>
            <w:r>
              <w:rPr>
                <w:rFonts w:ascii="Arial" w:cs="Arial" w:eastAsia="Arial" w:hAnsi="Arial"/>
                <w:sz w:val="12"/>
                <w:szCs w:val="12"/>
                <w:color w:val="auto"/>
                <w:w w:val="89"/>
              </w:rPr>
              <w:t>Capital Equipment</w:t>
            </w:r>
          </w:p>
        </w:tc>
        <w:tc>
          <w:tcPr>
            <w:tcW w:w="960" w:type="dxa"/>
            <w:vAlign w:val="bottom"/>
            <w:gridSpan w:val="2"/>
            <w:shd w:val="clear" w:color="auto" w:fill="CCECFF"/>
          </w:tcPr>
          <w:p>
            <w:pPr>
              <w:jc w:val="right"/>
              <w:ind w:right="300"/>
              <w:spacing w:after="0"/>
              <w:rPr>
                <w:sz w:val="20"/>
                <w:szCs w:val="20"/>
                <w:color w:val="auto"/>
              </w:rPr>
            </w:pPr>
            <w:r>
              <w:rPr>
                <w:rFonts w:ascii="Arial" w:cs="Arial" w:eastAsia="Arial" w:hAnsi="Arial"/>
                <w:sz w:val="12"/>
                <w:szCs w:val="12"/>
                <w:color w:val="auto"/>
              </w:rPr>
              <w:t>—</w:t>
            </w:r>
          </w:p>
        </w:tc>
        <w:tc>
          <w:tcPr>
            <w:tcW w:w="88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7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500</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94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CFF"/>
          </w:tcPr>
          <w:p>
            <w:pPr>
              <w:spacing w:after="0"/>
              <w:rPr>
                <w:sz w:val="12"/>
                <w:szCs w:val="12"/>
                <w:color w:val="auto"/>
              </w:rPr>
            </w:pPr>
          </w:p>
        </w:tc>
        <w:tc>
          <w:tcPr>
            <w:tcW w:w="7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925,795</w:t>
            </w:r>
          </w:p>
        </w:tc>
        <w:tc>
          <w:tcPr>
            <w:tcW w:w="100" w:type="dxa"/>
            <w:vAlign w:val="bottom"/>
            <w:shd w:val="clear" w:color="auto" w:fill="CCECFF"/>
          </w:tcPr>
          <w:p>
            <w:pPr>
              <w:spacing w:after="0"/>
              <w:rPr>
                <w:sz w:val="12"/>
                <w:szCs w:val="12"/>
                <w:color w:val="auto"/>
              </w:rPr>
            </w:pPr>
          </w:p>
        </w:tc>
      </w:tr>
      <w:tr>
        <w:trPr>
          <w:trHeight w:val="148"/>
        </w:trPr>
        <w:tc>
          <w:tcPr>
            <w:tcW w:w="3300" w:type="dxa"/>
            <w:vAlign w:val="bottom"/>
            <w:shd w:val="clear" w:color="auto" w:fill="CCECFF"/>
          </w:tcPr>
          <w:p>
            <w:pPr>
              <w:ind w:left="140"/>
              <w:spacing w:after="0" w:line="149" w:lineRule="exact"/>
              <w:rPr>
                <w:sz w:val="20"/>
                <w:szCs w:val="20"/>
                <w:color w:val="auto"/>
              </w:rPr>
            </w:pPr>
            <w:r>
              <w:rPr>
                <w:rFonts w:ascii="Arial" w:cs="Arial" w:eastAsia="Arial" w:hAnsi="Arial"/>
                <w:sz w:val="11"/>
                <w:szCs w:val="11"/>
                <w:color w:val="auto"/>
              </w:rPr>
              <w:t xml:space="preserve">Class B (US Dominion, Inc.) </w:t>
            </w:r>
            <w:r>
              <w:rPr>
                <w:rFonts w:ascii="Arial" w:cs="Arial" w:eastAsia="Arial" w:hAnsi="Arial"/>
                <w:sz w:val="17"/>
                <w:szCs w:val="17"/>
                <w:color w:val="auto"/>
                <w:vertAlign w:val="superscript"/>
              </w:rPr>
              <w:t>(7)</w:t>
            </w:r>
          </w:p>
        </w:tc>
        <w:tc>
          <w:tcPr>
            <w:tcW w:w="120" w:type="dxa"/>
            <w:vAlign w:val="bottom"/>
            <w:shd w:val="clear" w:color="auto" w:fill="CCECFF"/>
          </w:tcPr>
          <w:p>
            <w:pPr>
              <w:spacing w:after="0"/>
              <w:rPr>
                <w:sz w:val="12"/>
                <w:szCs w:val="12"/>
                <w:color w:val="auto"/>
              </w:rPr>
            </w:pPr>
          </w:p>
        </w:tc>
        <w:tc>
          <w:tcPr>
            <w:tcW w:w="54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220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60" w:type="dxa"/>
            <w:vAlign w:val="bottom"/>
            <w:shd w:val="clear" w:color="auto" w:fill="CCECFF"/>
          </w:tcPr>
          <w:p>
            <w:pPr>
              <w:spacing w:after="0"/>
              <w:rPr>
                <w:sz w:val="12"/>
                <w:szCs w:val="12"/>
                <w:color w:val="auto"/>
              </w:rPr>
            </w:pPr>
          </w:p>
        </w:tc>
        <w:tc>
          <w:tcPr>
            <w:tcW w:w="300" w:type="dxa"/>
            <w:vAlign w:val="bottom"/>
            <w:shd w:val="clear" w:color="auto" w:fill="CCECFF"/>
          </w:tcPr>
          <w:p>
            <w:pPr>
              <w:spacing w:after="0"/>
              <w:rPr>
                <w:sz w:val="12"/>
                <w:szCs w:val="12"/>
                <w:color w:val="auto"/>
              </w:rPr>
            </w:pPr>
          </w:p>
        </w:tc>
        <w:tc>
          <w:tcPr>
            <w:tcW w:w="66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72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70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60" w:type="dxa"/>
            <w:vAlign w:val="bottom"/>
            <w:shd w:val="clear" w:color="auto" w:fill="CCECFF"/>
          </w:tcPr>
          <w:p>
            <w:pPr>
              <w:spacing w:after="0"/>
              <w:rPr>
                <w:sz w:val="12"/>
                <w:szCs w:val="12"/>
                <w:color w:val="auto"/>
              </w:rPr>
            </w:pPr>
          </w:p>
        </w:tc>
        <w:tc>
          <w:tcPr>
            <w:tcW w:w="7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r>
      <w:tr>
        <w:trPr>
          <w:trHeight w:val="148"/>
        </w:trPr>
        <w:tc>
          <w:tcPr>
            <w:tcW w:w="3300" w:type="dxa"/>
            <w:vAlign w:val="bottom"/>
          </w:tcPr>
          <w:p>
            <w:pPr>
              <w:spacing w:after="0" w:line="149" w:lineRule="exact"/>
              <w:rPr>
                <w:sz w:val="20"/>
                <w:szCs w:val="20"/>
                <w:color w:val="auto"/>
              </w:rPr>
            </w:pPr>
            <w:r>
              <w:rPr>
                <w:rFonts w:ascii="Arial" w:cs="Arial" w:eastAsia="Arial" w:hAnsi="Arial"/>
                <w:sz w:val="11"/>
                <w:szCs w:val="11"/>
                <w:color w:val="auto"/>
              </w:rPr>
              <w:t xml:space="preserve">TPC Broadband Investors, LP </w:t>
            </w:r>
            <w:r>
              <w:rPr>
                <w:rFonts w:ascii="Arial" w:cs="Arial" w:eastAsia="Arial" w:hAnsi="Arial"/>
                <w:sz w:val="17"/>
                <w:szCs w:val="17"/>
                <w:color w:val="auto"/>
                <w:vertAlign w:val="superscript"/>
              </w:rPr>
              <w:t>(7), (8)</w:t>
            </w:r>
          </w:p>
        </w:tc>
        <w:tc>
          <w:tcPr>
            <w:tcW w:w="120" w:type="dxa"/>
            <w:vAlign w:val="bottom"/>
          </w:tcPr>
          <w:p>
            <w:pPr>
              <w:spacing w:after="0"/>
              <w:rPr>
                <w:sz w:val="12"/>
                <w:szCs w:val="12"/>
                <w:color w:val="auto"/>
              </w:rPr>
            </w:pPr>
          </w:p>
        </w:tc>
        <w:tc>
          <w:tcPr>
            <w:tcW w:w="780" w:type="dxa"/>
            <w:vAlign w:val="bottom"/>
            <w:gridSpan w:val="2"/>
          </w:tcPr>
          <w:p>
            <w:pPr>
              <w:ind w:left="260"/>
              <w:spacing w:after="0"/>
              <w:rPr>
                <w:sz w:val="20"/>
                <w:szCs w:val="20"/>
                <w:color w:val="auto"/>
              </w:rPr>
            </w:pPr>
            <w:r>
              <w:rPr>
                <w:rFonts w:ascii="Arial" w:cs="Arial" w:eastAsia="Arial" w:hAnsi="Arial"/>
                <w:sz w:val="12"/>
                <w:szCs w:val="12"/>
                <w:color w:val="auto"/>
              </w:rPr>
              <w:t>—</w:t>
            </w:r>
          </w:p>
        </w:tc>
        <w:tc>
          <w:tcPr>
            <w:tcW w:w="2320" w:type="dxa"/>
            <w:vAlign w:val="bottom"/>
            <w:gridSpan w:val="2"/>
          </w:tcPr>
          <w:p>
            <w:pPr>
              <w:jc w:val="center"/>
              <w:ind w:right="140"/>
              <w:spacing w:after="0"/>
              <w:rPr>
                <w:sz w:val="20"/>
                <w:szCs w:val="20"/>
                <w:color w:val="auto"/>
              </w:rPr>
            </w:pPr>
            <w:r>
              <w:rPr>
                <w:rFonts w:ascii="Arial" w:cs="Arial" w:eastAsia="Arial" w:hAnsi="Arial"/>
                <w:sz w:val="12"/>
                <w:szCs w:val="12"/>
                <w:color w:val="auto"/>
                <w:w w:val="89"/>
              </w:rPr>
              <w:t>Telecommunications</w:t>
            </w:r>
          </w:p>
        </w:tc>
        <w:tc>
          <w:tcPr>
            <w:tcW w:w="96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88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720" w:type="dxa"/>
            <w:vAlign w:val="bottom"/>
          </w:tcPr>
          <w:p>
            <w:pPr>
              <w:jc w:val="right"/>
              <w:spacing w:after="0"/>
              <w:rPr>
                <w:sz w:val="20"/>
                <w:szCs w:val="20"/>
                <w:color w:val="auto"/>
              </w:rPr>
            </w:pPr>
            <w:r>
              <w:rPr>
                <w:rFonts w:ascii="Arial" w:cs="Arial" w:eastAsia="Arial" w:hAnsi="Arial"/>
                <w:sz w:val="12"/>
                <w:szCs w:val="12"/>
                <w:color w:val="auto"/>
              </w:rPr>
              <w:t>763,837</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763,837</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1,631,544</w:t>
            </w:r>
          </w:p>
        </w:tc>
        <w:tc>
          <w:tcPr>
            <w:tcW w:w="100" w:type="dxa"/>
            <w:vAlign w:val="bottom"/>
          </w:tcPr>
          <w:p>
            <w:pPr>
              <w:spacing w:after="0"/>
              <w:rPr>
                <w:sz w:val="12"/>
                <w:szCs w:val="12"/>
                <w:color w:val="auto"/>
              </w:rPr>
            </w:pPr>
          </w:p>
        </w:tc>
      </w:tr>
      <w:tr>
        <w:trPr>
          <w:trHeight w:val="148"/>
        </w:trPr>
        <w:tc>
          <w:tcPr>
            <w:tcW w:w="3300" w:type="dxa"/>
            <w:vAlign w:val="bottom"/>
            <w:shd w:val="clear" w:color="auto" w:fill="CCECFF"/>
          </w:tcPr>
          <w:p>
            <w:pPr>
              <w:spacing w:after="0" w:line="149" w:lineRule="exact"/>
              <w:rPr>
                <w:sz w:val="20"/>
                <w:szCs w:val="20"/>
                <w:color w:val="auto"/>
              </w:rPr>
            </w:pPr>
            <w:r>
              <w:rPr>
                <w:rFonts w:ascii="Arial" w:cs="Arial" w:eastAsia="Arial" w:hAnsi="Arial"/>
                <w:sz w:val="11"/>
                <w:szCs w:val="11"/>
                <w:color w:val="auto"/>
              </w:rPr>
              <w:t xml:space="preserve">TPC Broadband Investors, LP </w:t>
            </w:r>
            <w:r>
              <w:rPr>
                <w:rFonts w:ascii="Arial" w:cs="Arial" w:eastAsia="Arial" w:hAnsi="Arial"/>
                <w:sz w:val="17"/>
                <w:szCs w:val="17"/>
                <w:color w:val="auto"/>
                <w:vertAlign w:val="superscript"/>
              </w:rPr>
              <w:t>(7), (8), (9)</w:t>
            </w:r>
          </w:p>
        </w:tc>
        <w:tc>
          <w:tcPr>
            <w:tcW w:w="120" w:type="dxa"/>
            <w:vAlign w:val="bottom"/>
            <w:shd w:val="clear" w:color="auto" w:fill="CCECFF"/>
          </w:tcPr>
          <w:p>
            <w:pPr>
              <w:spacing w:after="0"/>
              <w:rPr>
                <w:sz w:val="12"/>
                <w:szCs w:val="12"/>
                <w:color w:val="auto"/>
              </w:rPr>
            </w:pPr>
          </w:p>
        </w:tc>
        <w:tc>
          <w:tcPr>
            <w:tcW w:w="780" w:type="dxa"/>
            <w:vAlign w:val="bottom"/>
            <w:gridSpan w:val="2"/>
            <w:shd w:val="clear" w:color="auto" w:fill="CCECFF"/>
          </w:tcPr>
          <w:p>
            <w:pPr>
              <w:ind w:left="260"/>
              <w:spacing w:after="0"/>
              <w:rPr>
                <w:sz w:val="20"/>
                <w:szCs w:val="20"/>
                <w:color w:val="auto"/>
              </w:rPr>
            </w:pPr>
            <w:r>
              <w:rPr>
                <w:rFonts w:ascii="Arial" w:cs="Arial" w:eastAsia="Arial" w:hAnsi="Arial"/>
                <w:sz w:val="12"/>
                <w:szCs w:val="12"/>
                <w:color w:val="auto"/>
              </w:rPr>
              <w:t>—</w:t>
            </w:r>
          </w:p>
        </w:tc>
        <w:tc>
          <w:tcPr>
            <w:tcW w:w="232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89"/>
              </w:rPr>
              <w:t>Telecommunications</w:t>
            </w:r>
          </w:p>
        </w:tc>
        <w:tc>
          <w:tcPr>
            <w:tcW w:w="960" w:type="dxa"/>
            <w:vAlign w:val="bottom"/>
            <w:gridSpan w:val="2"/>
            <w:shd w:val="clear" w:color="auto" w:fill="CCECFF"/>
          </w:tcPr>
          <w:p>
            <w:pPr>
              <w:jc w:val="right"/>
              <w:ind w:right="300"/>
              <w:spacing w:after="0"/>
              <w:rPr>
                <w:sz w:val="20"/>
                <w:szCs w:val="20"/>
                <w:color w:val="auto"/>
              </w:rPr>
            </w:pPr>
            <w:r>
              <w:rPr>
                <w:rFonts w:ascii="Arial" w:cs="Arial" w:eastAsia="Arial" w:hAnsi="Arial"/>
                <w:sz w:val="12"/>
                <w:szCs w:val="12"/>
                <w:color w:val="auto"/>
              </w:rPr>
              <w:t>—</w:t>
            </w:r>
          </w:p>
        </w:tc>
        <w:tc>
          <w:tcPr>
            <w:tcW w:w="88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7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236,163</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94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CFF"/>
          </w:tcPr>
          <w:p>
            <w:pPr>
              <w:spacing w:after="0"/>
              <w:rPr>
                <w:sz w:val="12"/>
                <w:szCs w:val="12"/>
                <w:color w:val="auto"/>
              </w:rPr>
            </w:pPr>
          </w:p>
        </w:tc>
        <w:tc>
          <w:tcPr>
            <w:tcW w:w="840" w:type="dxa"/>
            <w:vAlign w:val="bottom"/>
            <w:gridSpan w:val="2"/>
            <w:shd w:val="clear" w:color="auto" w:fill="CCECFF"/>
          </w:tcPr>
          <w:p>
            <w:pPr>
              <w:jc w:val="right"/>
              <w:ind w:right="120"/>
              <w:spacing w:after="0"/>
              <w:rPr>
                <w:sz w:val="20"/>
                <w:szCs w:val="20"/>
                <w:color w:val="auto"/>
              </w:rPr>
            </w:pPr>
            <w:r>
              <w:rPr>
                <w:rFonts w:ascii="Arial" w:cs="Arial" w:eastAsia="Arial" w:hAnsi="Arial"/>
                <w:sz w:val="12"/>
                <w:szCs w:val="12"/>
                <w:color w:val="auto"/>
              </w:rPr>
              <w:t>—</w:t>
            </w:r>
          </w:p>
        </w:tc>
      </w:tr>
      <w:tr>
        <w:trPr>
          <w:trHeight w:val="148"/>
        </w:trPr>
        <w:tc>
          <w:tcPr>
            <w:tcW w:w="3300" w:type="dxa"/>
            <w:vAlign w:val="bottom"/>
          </w:tcPr>
          <w:p>
            <w:pPr>
              <w:spacing w:after="0" w:line="149" w:lineRule="exact"/>
              <w:rPr>
                <w:sz w:val="20"/>
                <w:szCs w:val="20"/>
                <w:color w:val="auto"/>
              </w:rPr>
            </w:pPr>
            <w:r>
              <w:rPr>
                <w:rFonts w:ascii="Arial" w:cs="Arial" w:eastAsia="Arial" w:hAnsi="Arial"/>
                <w:sz w:val="11"/>
                <w:szCs w:val="11"/>
                <w:color w:val="auto"/>
              </w:rPr>
              <w:t xml:space="preserve">TPC Holding Company, LP </w:t>
            </w:r>
            <w:r>
              <w:rPr>
                <w:rFonts w:ascii="Arial" w:cs="Arial" w:eastAsia="Arial" w:hAnsi="Arial"/>
                <w:sz w:val="17"/>
                <w:szCs w:val="17"/>
                <w:color w:val="auto"/>
                <w:vertAlign w:val="superscript"/>
              </w:rPr>
              <w:t>(5), (7), (10)</w:t>
            </w:r>
          </w:p>
        </w:tc>
        <w:tc>
          <w:tcPr>
            <w:tcW w:w="120" w:type="dxa"/>
            <w:vAlign w:val="bottom"/>
          </w:tcPr>
          <w:p>
            <w:pPr>
              <w:spacing w:after="0"/>
              <w:rPr>
                <w:sz w:val="12"/>
                <w:szCs w:val="12"/>
                <w:color w:val="auto"/>
              </w:rPr>
            </w:pPr>
          </w:p>
        </w:tc>
        <w:tc>
          <w:tcPr>
            <w:tcW w:w="780" w:type="dxa"/>
            <w:vAlign w:val="bottom"/>
            <w:gridSpan w:val="2"/>
          </w:tcPr>
          <w:p>
            <w:pPr>
              <w:ind w:left="260"/>
              <w:spacing w:after="0"/>
              <w:rPr>
                <w:sz w:val="20"/>
                <w:szCs w:val="20"/>
                <w:color w:val="auto"/>
              </w:rPr>
            </w:pPr>
            <w:r>
              <w:rPr>
                <w:rFonts w:ascii="Arial" w:cs="Arial" w:eastAsia="Arial" w:hAnsi="Arial"/>
                <w:sz w:val="12"/>
                <w:szCs w:val="12"/>
                <w:color w:val="auto"/>
              </w:rPr>
              <w:t>—</w:t>
            </w:r>
          </w:p>
        </w:tc>
        <w:tc>
          <w:tcPr>
            <w:tcW w:w="2320" w:type="dxa"/>
            <w:vAlign w:val="bottom"/>
            <w:gridSpan w:val="2"/>
          </w:tcPr>
          <w:p>
            <w:pPr>
              <w:jc w:val="center"/>
              <w:ind w:right="120"/>
              <w:spacing w:after="0"/>
              <w:rPr>
                <w:sz w:val="20"/>
                <w:szCs w:val="20"/>
                <w:color w:val="auto"/>
              </w:rPr>
            </w:pPr>
            <w:r>
              <w:rPr>
                <w:rFonts w:ascii="Arial" w:cs="Arial" w:eastAsia="Arial" w:hAnsi="Arial"/>
                <w:sz w:val="12"/>
                <w:szCs w:val="12"/>
                <w:color w:val="auto"/>
                <w:w w:val="87"/>
              </w:rPr>
              <w:t>Food Products</w:t>
            </w:r>
          </w:p>
        </w:tc>
        <w:tc>
          <w:tcPr>
            <w:tcW w:w="96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88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720" w:type="dxa"/>
            <w:vAlign w:val="bottom"/>
          </w:tcPr>
          <w:p>
            <w:pPr>
              <w:jc w:val="right"/>
              <w:spacing w:after="0"/>
              <w:rPr>
                <w:sz w:val="20"/>
                <w:szCs w:val="20"/>
                <w:color w:val="auto"/>
              </w:rPr>
            </w:pPr>
            <w:r>
              <w:rPr>
                <w:rFonts w:ascii="Arial" w:cs="Arial" w:eastAsia="Arial" w:hAnsi="Arial"/>
                <w:sz w:val="12"/>
                <w:szCs w:val="12"/>
                <w:color w:val="auto"/>
              </w:rPr>
              <w:t>21,527</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21,527</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12,055</w:t>
            </w:r>
          </w:p>
        </w:tc>
        <w:tc>
          <w:tcPr>
            <w:tcW w:w="100" w:type="dxa"/>
            <w:vAlign w:val="bottom"/>
          </w:tcPr>
          <w:p>
            <w:pPr>
              <w:spacing w:after="0"/>
              <w:rPr>
                <w:sz w:val="12"/>
                <w:szCs w:val="12"/>
                <w:color w:val="auto"/>
              </w:rPr>
            </w:pPr>
          </w:p>
        </w:tc>
      </w:tr>
      <w:tr>
        <w:trPr>
          <w:trHeight w:val="149"/>
        </w:trPr>
        <w:tc>
          <w:tcPr>
            <w:tcW w:w="3300" w:type="dxa"/>
            <w:vAlign w:val="bottom"/>
            <w:shd w:val="clear" w:color="auto" w:fill="CCECFF"/>
          </w:tcPr>
          <w:p>
            <w:pPr>
              <w:spacing w:after="0" w:line="149" w:lineRule="exact"/>
              <w:rPr>
                <w:sz w:val="20"/>
                <w:szCs w:val="20"/>
                <w:color w:val="auto"/>
              </w:rPr>
            </w:pPr>
            <w:r>
              <w:rPr>
                <w:rFonts w:ascii="Arial" w:cs="Arial" w:eastAsia="Arial" w:hAnsi="Arial"/>
                <w:sz w:val="11"/>
                <w:szCs w:val="11"/>
                <w:color w:val="auto"/>
              </w:rPr>
              <w:t xml:space="preserve">UniTek Global Services, Inc. </w:t>
            </w:r>
            <w:r>
              <w:rPr>
                <w:rFonts w:ascii="Arial" w:cs="Arial" w:eastAsia="Arial" w:hAnsi="Arial"/>
                <w:sz w:val="17"/>
                <w:szCs w:val="17"/>
                <w:color w:val="auto"/>
                <w:vertAlign w:val="superscript"/>
              </w:rPr>
              <w:t>(7)</w:t>
            </w:r>
          </w:p>
        </w:tc>
        <w:tc>
          <w:tcPr>
            <w:tcW w:w="120" w:type="dxa"/>
            <w:vAlign w:val="bottom"/>
            <w:shd w:val="clear" w:color="auto" w:fill="CCECFF"/>
          </w:tcPr>
          <w:p>
            <w:pPr>
              <w:spacing w:after="0"/>
              <w:rPr>
                <w:sz w:val="12"/>
                <w:szCs w:val="12"/>
                <w:color w:val="auto"/>
              </w:rPr>
            </w:pPr>
          </w:p>
        </w:tc>
        <w:tc>
          <w:tcPr>
            <w:tcW w:w="780" w:type="dxa"/>
            <w:vAlign w:val="bottom"/>
            <w:gridSpan w:val="2"/>
            <w:shd w:val="clear" w:color="auto" w:fill="CCECFF"/>
          </w:tcPr>
          <w:p>
            <w:pPr>
              <w:ind w:left="260"/>
              <w:spacing w:after="0"/>
              <w:rPr>
                <w:sz w:val="20"/>
                <w:szCs w:val="20"/>
                <w:color w:val="auto"/>
              </w:rPr>
            </w:pPr>
            <w:r>
              <w:rPr>
                <w:rFonts w:ascii="Arial" w:cs="Arial" w:eastAsia="Arial" w:hAnsi="Arial"/>
                <w:sz w:val="12"/>
                <w:szCs w:val="12"/>
                <w:color w:val="auto"/>
              </w:rPr>
              <w:t>—</w:t>
            </w:r>
          </w:p>
        </w:tc>
        <w:tc>
          <w:tcPr>
            <w:tcW w:w="232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89"/>
              </w:rPr>
              <w:t>Telecommunications</w:t>
            </w:r>
          </w:p>
        </w:tc>
        <w:tc>
          <w:tcPr>
            <w:tcW w:w="960" w:type="dxa"/>
            <w:vAlign w:val="bottom"/>
            <w:gridSpan w:val="2"/>
            <w:shd w:val="clear" w:color="auto" w:fill="CCECFF"/>
          </w:tcPr>
          <w:p>
            <w:pPr>
              <w:jc w:val="right"/>
              <w:ind w:right="300"/>
              <w:spacing w:after="0"/>
              <w:rPr>
                <w:sz w:val="20"/>
                <w:szCs w:val="20"/>
                <w:color w:val="auto"/>
              </w:rPr>
            </w:pPr>
            <w:r>
              <w:rPr>
                <w:rFonts w:ascii="Arial" w:cs="Arial" w:eastAsia="Arial" w:hAnsi="Arial"/>
                <w:sz w:val="12"/>
                <w:szCs w:val="12"/>
                <w:color w:val="auto"/>
              </w:rPr>
              <w:t>—</w:t>
            </w:r>
          </w:p>
        </w:tc>
        <w:tc>
          <w:tcPr>
            <w:tcW w:w="88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7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213,739</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94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CFF"/>
          </w:tcPr>
          <w:p>
            <w:pPr>
              <w:spacing w:after="0"/>
              <w:rPr>
                <w:sz w:val="12"/>
                <w:szCs w:val="12"/>
                <w:color w:val="auto"/>
              </w:rPr>
            </w:pPr>
          </w:p>
        </w:tc>
        <w:tc>
          <w:tcPr>
            <w:tcW w:w="840" w:type="dxa"/>
            <w:vAlign w:val="bottom"/>
            <w:gridSpan w:val="2"/>
            <w:shd w:val="clear" w:color="auto" w:fill="CCECFF"/>
          </w:tcPr>
          <w:p>
            <w:pPr>
              <w:jc w:val="right"/>
              <w:ind w:right="120"/>
              <w:spacing w:after="0"/>
              <w:rPr>
                <w:sz w:val="20"/>
                <w:szCs w:val="20"/>
                <w:color w:val="auto"/>
              </w:rPr>
            </w:pPr>
            <w:r>
              <w:rPr>
                <w:rFonts w:ascii="Arial" w:cs="Arial" w:eastAsia="Arial" w:hAnsi="Arial"/>
                <w:sz w:val="12"/>
                <w:szCs w:val="12"/>
                <w:color w:val="auto"/>
              </w:rPr>
              <w:t>—</w:t>
            </w:r>
          </w:p>
        </w:tc>
      </w:tr>
      <w:tr>
        <w:trPr>
          <w:trHeight w:val="148"/>
        </w:trPr>
        <w:tc>
          <w:tcPr>
            <w:tcW w:w="3300" w:type="dxa"/>
            <w:vAlign w:val="bottom"/>
          </w:tcPr>
          <w:p>
            <w:pPr>
              <w:spacing w:after="0" w:line="149" w:lineRule="exact"/>
              <w:rPr>
                <w:sz w:val="20"/>
                <w:szCs w:val="20"/>
                <w:color w:val="auto"/>
              </w:rPr>
            </w:pPr>
            <w:r>
              <w:rPr>
                <w:rFonts w:ascii="Arial" w:cs="Arial" w:eastAsia="Arial" w:hAnsi="Arial"/>
                <w:sz w:val="11"/>
                <w:szCs w:val="11"/>
                <w:color w:val="auto"/>
              </w:rPr>
              <w:t xml:space="preserve">UniTek Global Services, Inc. (Warrants) </w:t>
            </w:r>
            <w:r>
              <w:rPr>
                <w:rFonts w:ascii="Arial" w:cs="Arial" w:eastAsia="Arial" w:hAnsi="Arial"/>
                <w:sz w:val="17"/>
                <w:szCs w:val="17"/>
                <w:color w:val="auto"/>
                <w:vertAlign w:val="superscript"/>
              </w:rPr>
              <w:t>(7)</w:t>
            </w:r>
          </w:p>
        </w:tc>
        <w:tc>
          <w:tcPr>
            <w:tcW w:w="120" w:type="dxa"/>
            <w:vAlign w:val="bottom"/>
          </w:tcPr>
          <w:p>
            <w:pPr>
              <w:spacing w:after="0"/>
              <w:rPr>
                <w:sz w:val="12"/>
                <w:szCs w:val="12"/>
                <w:color w:val="auto"/>
              </w:rPr>
            </w:pPr>
          </w:p>
        </w:tc>
        <w:tc>
          <w:tcPr>
            <w:tcW w:w="780" w:type="dxa"/>
            <w:vAlign w:val="bottom"/>
            <w:gridSpan w:val="2"/>
          </w:tcPr>
          <w:p>
            <w:pPr>
              <w:ind w:left="260"/>
              <w:spacing w:after="0"/>
              <w:rPr>
                <w:sz w:val="20"/>
                <w:szCs w:val="20"/>
                <w:color w:val="auto"/>
              </w:rPr>
            </w:pPr>
            <w:r>
              <w:rPr>
                <w:rFonts w:ascii="Arial" w:cs="Arial" w:eastAsia="Arial" w:hAnsi="Arial"/>
                <w:sz w:val="12"/>
                <w:szCs w:val="12"/>
                <w:color w:val="auto"/>
              </w:rPr>
              <w:t>—</w:t>
            </w:r>
          </w:p>
        </w:tc>
        <w:tc>
          <w:tcPr>
            <w:tcW w:w="2320" w:type="dxa"/>
            <w:vAlign w:val="bottom"/>
            <w:gridSpan w:val="2"/>
          </w:tcPr>
          <w:p>
            <w:pPr>
              <w:jc w:val="center"/>
              <w:ind w:right="140"/>
              <w:spacing w:after="0"/>
              <w:rPr>
                <w:sz w:val="20"/>
                <w:szCs w:val="20"/>
                <w:color w:val="auto"/>
              </w:rPr>
            </w:pPr>
            <w:r>
              <w:rPr>
                <w:rFonts w:ascii="Arial" w:cs="Arial" w:eastAsia="Arial" w:hAnsi="Arial"/>
                <w:sz w:val="12"/>
                <w:szCs w:val="12"/>
                <w:color w:val="auto"/>
                <w:w w:val="89"/>
              </w:rPr>
              <w:t>Telecommunications</w:t>
            </w:r>
          </w:p>
        </w:tc>
        <w:tc>
          <w:tcPr>
            <w:tcW w:w="96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88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720" w:type="dxa"/>
            <w:vAlign w:val="bottom"/>
          </w:tcPr>
          <w:p>
            <w:pPr>
              <w:jc w:val="right"/>
              <w:spacing w:after="0"/>
              <w:rPr>
                <w:sz w:val="20"/>
                <w:szCs w:val="20"/>
                <w:color w:val="auto"/>
              </w:rPr>
            </w:pPr>
            <w:r>
              <w:rPr>
                <w:rFonts w:ascii="Arial" w:cs="Arial" w:eastAsia="Arial" w:hAnsi="Arial"/>
                <w:sz w:val="12"/>
                <w:szCs w:val="12"/>
                <w:color w:val="auto"/>
              </w:rPr>
              <w:t>23,889</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r>
      <w:tr>
        <w:trPr>
          <w:trHeight w:val="148"/>
        </w:trPr>
        <w:tc>
          <w:tcPr>
            <w:tcW w:w="3300" w:type="dxa"/>
            <w:vAlign w:val="bottom"/>
            <w:shd w:val="clear" w:color="auto" w:fill="CCECFF"/>
          </w:tcPr>
          <w:p>
            <w:pPr>
              <w:spacing w:after="0" w:line="149" w:lineRule="exact"/>
              <w:rPr>
                <w:sz w:val="20"/>
                <w:szCs w:val="20"/>
                <w:color w:val="auto"/>
              </w:rPr>
            </w:pPr>
            <w:r>
              <w:rPr>
                <w:rFonts w:ascii="Arial" w:cs="Arial" w:eastAsia="Arial" w:hAnsi="Arial"/>
                <w:sz w:val="11"/>
                <w:szCs w:val="11"/>
                <w:color w:val="auto"/>
              </w:rPr>
              <w:t xml:space="preserve">WBB Equity, LLC </w:t>
            </w:r>
            <w:r>
              <w:rPr>
                <w:rFonts w:ascii="Arial" w:cs="Arial" w:eastAsia="Arial" w:hAnsi="Arial"/>
                <w:sz w:val="17"/>
                <w:szCs w:val="17"/>
                <w:color w:val="auto"/>
                <w:vertAlign w:val="superscript"/>
              </w:rPr>
              <w:t>(7), (8)</w:t>
            </w:r>
          </w:p>
        </w:tc>
        <w:tc>
          <w:tcPr>
            <w:tcW w:w="120" w:type="dxa"/>
            <w:vAlign w:val="bottom"/>
            <w:shd w:val="clear" w:color="auto" w:fill="CCECFF"/>
          </w:tcPr>
          <w:p>
            <w:pPr>
              <w:spacing w:after="0"/>
              <w:rPr>
                <w:sz w:val="12"/>
                <w:szCs w:val="12"/>
                <w:color w:val="auto"/>
              </w:rPr>
            </w:pPr>
          </w:p>
        </w:tc>
        <w:tc>
          <w:tcPr>
            <w:tcW w:w="780" w:type="dxa"/>
            <w:vAlign w:val="bottom"/>
            <w:gridSpan w:val="2"/>
            <w:shd w:val="clear" w:color="auto" w:fill="CCECFF"/>
          </w:tcPr>
          <w:p>
            <w:pPr>
              <w:ind w:left="260"/>
              <w:spacing w:after="0"/>
              <w:rPr>
                <w:sz w:val="20"/>
                <w:szCs w:val="20"/>
                <w:color w:val="auto"/>
              </w:rPr>
            </w:pPr>
            <w:r>
              <w:rPr>
                <w:rFonts w:ascii="Arial" w:cs="Arial" w:eastAsia="Arial" w:hAnsi="Arial"/>
                <w:sz w:val="12"/>
                <w:szCs w:val="12"/>
                <w:color w:val="auto"/>
              </w:rPr>
              <w:t>—</w:t>
            </w:r>
          </w:p>
        </w:tc>
        <w:tc>
          <w:tcPr>
            <w:tcW w:w="232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85"/>
              </w:rPr>
              <w:t>Aerospace and Defense</w:t>
            </w:r>
          </w:p>
        </w:tc>
        <w:tc>
          <w:tcPr>
            <w:tcW w:w="960" w:type="dxa"/>
            <w:vAlign w:val="bottom"/>
            <w:gridSpan w:val="2"/>
            <w:shd w:val="clear" w:color="auto" w:fill="CCECFF"/>
          </w:tcPr>
          <w:p>
            <w:pPr>
              <w:jc w:val="right"/>
              <w:ind w:right="300"/>
              <w:spacing w:after="0"/>
              <w:rPr>
                <w:sz w:val="20"/>
                <w:szCs w:val="20"/>
                <w:color w:val="auto"/>
              </w:rPr>
            </w:pPr>
            <w:r>
              <w:rPr>
                <w:rFonts w:ascii="Arial" w:cs="Arial" w:eastAsia="Arial" w:hAnsi="Arial"/>
                <w:sz w:val="12"/>
                <w:szCs w:val="12"/>
                <w:color w:val="auto"/>
              </w:rPr>
              <w:t>—</w:t>
            </w:r>
          </w:p>
        </w:tc>
        <w:tc>
          <w:tcPr>
            <w:tcW w:w="88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7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142,857</w:t>
            </w:r>
          </w:p>
        </w:tc>
        <w:tc>
          <w:tcPr>
            <w:tcW w:w="220" w:type="dxa"/>
            <w:vAlign w:val="bottom"/>
            <w:shd w:val="clear" w:color="auto" w:fill="CCECFF"/>
          </w:tcPr>
          <w:p>
            <w:pPr>
              <w:spacing w:after="0"/>
              <w:rPr>
                <w:sz w:val="12"/>
                <w:szCs w:val="12"/>
                <w:color w:val="auto"/>
              </w:rPr>
            </w:pPr>
          </w:p>
        </w:tc>
        <w:tc>
          <w:tcPr>
            <w:tcW w:w="100" w:type="dxa"/>
            <w:vAlign w:val="bottom"/>
            <w:tcBorders>
              <w:bottom w:val="single" w:sz="8" w:color="auto"/>
            </w:tcBorders>
            <w:shd w:val="clear" w:color="auto" w:fill="CCECFF"/>
          </w:tcPr>
          <w:p>
            <w:pPr>
              <w:spacing w:after="0"/>
              <w:rPr>
                <w:sz w:val="12"/>
                <w:szCs w:val="12"/>
                <w:color w:val="auto"/>
              </w:rPr>
            </w:pPr>
          </w:p>
        </w:tc>
        <w:tc>
          <w:tcPr>
            <w:tcW w:w="7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rPr>
              <w:t>142,857</w:t>
            </w:r>
          </w:p>
        </w:tc>
        <w:tc>
          <w:tcPr>
            <w:tcW w:w="240" w:type="dxa"/>
            <w:vAlign w:val="bottom"/>
            <w:shd w:val="clear" w:color="auto" w:fill="CCECFF"/>
          </w:tcPr>
          <w:p>
            <w:pPr>
              <w:spacing w:after="0"/>
              <w:rPr>
                <w:sz w:val="12"/>
                <w:szCs w:val="12"/>
                <w:color w:val="auto"/>
              </w:rPr>
            </w:pPr>
          </w:p>
        </w:tc>
        <w:tc>
          <w:tcPr>
            <w:tcW w:w="60" w:type="dxa"/>
            <w:vAlign w:val="bottom"/>
            <w:tcBorders>
              <w:bottom w:val="single" w:sz="8" w:color="auto"/>
            </w:tcBorders>
            <w:shd w:val="clear" w:color="auto" w:fill="CCECFF"/>
          </w:tcPr>
          <w:p>
            <w:pPr>
              <w:spacing w:after="0"/>
              <w:rPr>
                <w:sz w:val="12"/>
                <w:szCs w:val="12"/>
                <w:color w:val="auto"/>
              </w:rPr>
            </w:pPr>
          </w:p>
        </w:tc>
        <w:tc>
          <w:tcPr>
            <w:tcW w:w="7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rPr>
              <w:t>640,000</w:t>
            </w:r>
          </w:p>
        </w:tc>
        <w:tc>
          <w:tcPr>
            <w:tcW w:w="100" w:type="dxa"/>
            <w:vAlign w:val="bottom"/>
            <w:shd w:val="clear" w:color="auto" w:fill="CCECFF"/>
          </w:tcPr>
          <w:p>
            <w:pPr>
              <w:spacing w:after="0"/>
              <w:rPr>
                <w:sz w:val="12"/>
                <w:szCs w:val="12"/>
                <w:color w:val="auto"/>
              </w:rPr>
            </w:pPr>
          </w:p>
        </w:tc>
      </w:tr>
      <w:tr>
        <w:trPr>
          <w:trHeight w:val="142"/>
        </w:trPr>
        <w:tc>
          <w:tcPr>
            <w:tcW w:w="3300" w:type="dxa"/>
            <w:vAlign w:val="bottom"/>
            <w:tcBorders>
              <w:bottom w:val="single" w:sz="8" w:color="CCECFF"/>
            </w:tcBorders>
          </w:tcPr>
          <w:p>
            <w:pPr>
              <w:spacing w:after="0"/>
              <w:rPr>
                <w:sz w:val="20"/>
                <w:szCs w:val="20"/>
                <w:color w:val="auto"/>
              </w:rPr>
            </w:pPr>
            <w:r>
              <w:rPr>
                <w:rFonts w:ascii="Arial" w:cs="Arial" w:eastAsia="Arial" w:hAnsi="Arial"/>
                <w:sz w:val="12"/>
                <w:szCs w:val="12"/>
                <w:b w:val="1"/>
                <w:bCs w:val="1"/>
                <w:color w:val="auto"/>
              </w:rPr>
              <w:t>Total Common Equity/Warrants</w:t>
            </w:r>
          </w:p>
        </w:tc>
        <w:tc>
          <w:tcPr>
            <w:tcW w:w="120" w:type="dxa"/>
            <w:vAlign w:val="bottom"/>
            <w:tcBorders>
              <w:bottom w:val="single" w:sz="8" w:color="CCECFF"/>
            </w:tcBorders>
          </w:tcPr>
          <w:p>
            <w:pPr>
              <w:spacing w:after="0"/>
              <w:rPr>
                <w:sz w:val="12"/>
                <w:szCs w:val="12"/>
                <w:color w:val="auto"/>
              </w:rPr>
            </w:pPr>
          </w:p>
        </w:tc>
        <w:tc>
          <w:tcPr>
            <w:tcW w:w="540" w:type="dxa"/>
            <w:vAlign w:val="bottom"/>
            <w:tcBorders>
              <w:bottom w:val="single" w:sz="8" w:color="CCECFF"/>
            </w:tcBorders>
          </w:tcPr>
          <w:p>
            <w:pPr>
              <w:spacing w:after="0"/>
              <w:rPr>
                <w:sz w:val="12"/>
                <w:szCs w:val="12"/>
                <w:color w:val="auto"/>
              </w:rPr>
            </w:pPr>
          </w:p>
        </w:tc>
        <w:tc>
          <w:tcPr>
            <w:tcW w:w="240" w:type="dxa"/>
            <w:vAlign w:val="bottom"/>
            <w:tcBorders>
              <w:bottom w:val="single" w:sz="8" w:color="CCECFF"/>
            </w:tcBorders>
          </w:tcPr>
          <w:p>
            <w:pPr>
              <w:spacing w:after="0"/>
              <w:rPr>
                <w:sz w:val="12"/>
                <w:szCs w:val="12"/>
                <w:color w:val="auto"/>
              </w:rPr>
            </w:pPr>
          </w:p>
        </w:tc>
        <w:tc>
          <w:tcPr>
            <w:tcW w:w="2200" w:type="dxa"/>
            <w:vAlign w:val="bottom"/>
            <w:tcBorders>
              <w:bottom w:val="single" w:sz="8" w:color="CCECFF"/>
            </w:tcBorders>
          </w:tcPr>
          <w:p>
            <w:pPr>
              <w:spacing w:after="0"/>
              <w:rPr>
                <w:sz w:val="12"/>
                <w:szCs w:val="12"/>
                <w:color w:val="auto"/>
              </w:rPr>
            </w:pPr>
          </w:p>
        </w:tc>
        <w:tc>
          <w:tcPr>
            <w:tcW w:w="120" w:type="dxa"/>
            <w:vAlign w:val="bottom"/>
            <w:tcBorders>
              <w:bottom w:val="single" w:sz="8" w:color="CCECFF"/>
            </w:tcBorders>
          </w:tcPr>
          <w:p>
            <w:pPr>
              <w:spacing w:after="0"/>
              <w:rPr>
                <w:sz w:val="12"/>
                <w:szCs w:val="12"/>
                <w:color w:val="auto"/>
              </w:rPr>
            </w:pPr>
          </w:p>
        </w:tc>
        <w:tc>
          <w:tcPr>
            <w:tcW w:w="660" w:type="dxa"/>
            <w:vAlign w:val="bottom"/>
            <w:tcBorders>
              <w:bottom w:val="single" w:sz="8" w:color="CCECFF"/>
            </w:tcBorders>
          </w:tcPr>
          <w:p>
            <w:pPr>
              <w:spacing w:after="0"/>
              <w:rPr>
                <w:sz w:val="12"/>
                <w:szCs w:val="12"/>
                <w:color w:val="auto"/>
              </w:rPr>
            </w:pPr>
          </w:p>
        </w:tc>
        <w:tc>
          <w:tcPr>
            <w:tcW w:w="300" w:type="dxa"/>
            <w:vAlign w:val="bottom"/>
            <w:tcBorders>
              <w:bottom w:val="single" w:sz="8" w:color="CCECFF"/>
            </w:tcBorders>
          </w:tcPr>
          <w:p>
            <w:pPr>
              <w:spacing w:after="0"/>
              <w:rPr>
                <w:sz w:val="12"/>
                <w:szCs w:val="12"/>
                <w:color w:val="auto"/>
              </w:rPr>
            </w:pPr>
          </w:p>
        </w:tc>
        <w:tc>
          <w:tcPr>
            <w:tcW w:w="660" w:type="dxa"/>
            <w:vAlign w:val="bottom"/>
            <w:tcBorders>
              <w:bottom w:val="single" w:sz="8" w:color="CCECFF"/>
            </w:tcBorders>
          </w:tcPr>
          <w:p>
            <w:pPr>
              <w:spacing w:after="0"/>
              <w:rPr>
                <w:sz w:val="12"/>
                <w:szCs w:val="12"/>
                <w:color w:val="auto"/>
              </w:rPr>
            </w:pPr>
          </w:p>
        </w:tc>
        <w:tc>
          <w:tcPr>
            <w:tcW w:w="220" w:type="dxa"/>
            <w:vAlign w:val="bottom"/>
            <w:tcBorders>
              <w:bottom w:val="single" w:sz="8" w:color="CCECFF"/>
            </w:tcBorders>
          </w:tcPr>
          <w:p>
            <w:pPr>
              <w:spacing w:after="0"/>
              <w:rPr>
                <w:sz w:val="12"/>
                <w:szCs w:val="12"/>
                <w:color w:val="auto"/>
              </w:rPr>
            </w:pPr>
          </w:p>
        </w:tc>
        <w:tc>
          <w:tcPr>
            <w:tcW w:w="720" w:type="dxa"/>
            <w:vAlign w:val="bottom"/>
            <w:tcBorders>
              <w:bottom w:val="single" w:sz="8" w:color="CCECFF"/>
            </w:tcBorders>
          </w:tcPr>
          <w:p>
            <w:pPr>
              <w:spacing w:after="0"/>
              <w:rPr>
                <w:sz w:val="12"/>
                <w:szCs w:val="12"/>
                <w:color w:val="auto"/>
              </w:rPr>
            </w:pPr>
          </w:p>
        </w:tc>
        <w:tc>
          <w:tcPr>
            <w:tcW w:w="220" w:type="dxa"/>
            <w:vAlign w:val="bottom"/>
            <w:tcBorders>
              <w:bottom w:val="single" w:sz="8" w:color="CCEC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19,258,993</w:t>
            </w:r>
          </w:p>
        </w:tc>
        <w:tc>
          <w:tcPr>
            <w:tcW w:w="240" w:type="dxa"/>
            <w:vAlign w:val="bottom"/>
            <w:tcBorders>
              <w:bottom w:val="single" w:sz="8" w:color="CCECFF"/>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36,381,427</w:t>
            </w:r>
          </w:p>
        </w:tc>
        <w:tc>
          <w:tcPr>
            <w:tcW w:w="100" w:type="dxa"/>
            <w:vAlign w:val="bottom"/>
            <w:tcBorders>
              <w:bottom w:val="single" w:sz="8" w:color="CCECFF"/>
            </w:tcBorders>
          </w:tcPr>
          <w:p>
            <w:pPr>
              <w:spacing w:after="0"/>
              <w:rPr>
                <w:sz w:val="12"/>
                <w:szCs w:val="12"/>
                <w:color w:val="auto"/>
              </w:rPr>
            </w:pPr>
          </w:p>
        </w:tc>
      </w:tr>
      <w:tr>
        <w:trPr>
          <w:trHeight w:val="142"/>
        </w:trPr>
        <w:tc>
          <w:tcPr>
            <w:tcW w:w="4200" w:type="dxa"/>
            <w:vAlign w:val="bottom"/>
            <w:gridSpan w:val="4"/>
            <w:shd w:val="clear" w:color="auto" w:fill="CCECFF"/>
          </w:tcPr>
          <w:p>
            <w:pPr>
              <w:spacing w:after="0"/>
              <w:rPr>
                <w:sz w:val="20"/>
                <w:szCs w:val="20"/>
                <w:color w:val="auto"/>
              </w:rPr>
            </w:pPr>
            <w:r>
              <w:rPr>
                <w:rFonts w:ascii="Arial" w:cs="Arial" w:eastAsia="Arial" w:hAnsi="Arial"/>
                <w:sz w:val="12"/>
                <w:szCs w:val="12"/>
                <w:b w:val="1"/>
                <w:bCs w:val="1"/>
                <w:color w:val="auto"/>
              </w:rPr>
              <w:t>Total Investments in Non-Controlled, Non-Affiliated Portfolio Companies</w:t>
            </w:r>
          </w:p>
        </w:tc>
        <w:tc>
          <w:tcPr>
            <w:tcW w:w="220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60" w:type="dxa"/>
            <w:vAlign w:val="bottom"/>
            <w:shd w:val="clear" w:color="auto" w:fill="CCECFF"/>
          </w:tcPr>
          <w:p>
            <w:pPr>
              <w:spacing w:after="0"/>
              <w:rPr>
                <w:sz w:val="12"/>
                <w:szCs w:val="12"/>
                <w:color w:val="auto"/>
              </w:rPr>
            </w:pPr>
          </w:p>
        </w:tc>
        <w:tc>
          <w:tcPr>
            <w:tcW w:w="300" w:type="dxa"/>
            <w:vAlign w:val="bottom"/>
            <w:shd w:val="clear" w:color="auto" w:fill="CCECFF"/>
          </w:tcPr>
          <w:p>
            <w:pPr>
              <w:spacing w:after="0"/>
              <w:rPr>
                <w:sz w:val="12"/>
                <w:szCs w:val="12"/>
                <w:color w:val="auto"/>
              </w:rPr>
            </w:pPr>
          </w:p>
        </w:tc>
        <w:tc>
          <w:tcPr>
            <w:tcW w:w="66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72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100" w:type="dxa"/>
            <w:vAlign w:val="bottom"/>
            <w:tcBorders>
              <w:bottom w:val="single" w:sz="8" w:color="auto"/>
            </w:tcBorders>
            <w:shd w:val="clear" w:color="auto" w:fill="CCECFF"/>
          </w:tcPr>
          <w:p>
            <w:pPr>
              <w:spacing w:after="0"/>
              <w:rPr>
                <w:sz w:val="12"/>
                <w:szCs w:val="12"/>
                <w:color w:val="auto"/>
              </w:rPr>
            </w:pPr>
          </w:p>
        </w:tc>
        <w:tc>
          <w:tcPr>
            <w:tcW w:w="7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rPr>
              <w:t>983,709,595</w:t>
            </w:r>
          </w:p>
        </w:tc>
        <w:tc>
          <w:tcPr>
            <w:tcW w:w="240" w:type="dxa"/>
            <w:vAlign w:val="bottom"/>
            <w:shd w:val="clear" w:color="auto" w:fill="CCECFF"/>
          </w:tcPr>
          <w:p>
            <w:pPr>
              <w:spacing w:after="0"/>
              <w:rPr>
                <w:sz w:val="12"/>
                <w:szCs w:val="12"/>
                <w:color w:val="auto"/>
              </w:rPr>
            </w:pPr>
          </w:p>
        </w:tc>
        <w:tc>
          <w:tcPr>
            <w:tcW w:w="60" w:type="dxa"/>
            <w:vAlign w:val="bottom"/>
            <w:tcBorders>
              <w:bottom w:val="single" w:sz="8" w:color="auto"/>
            </w:tcBorders>
            <w:shd w:val="clear" w:color="auto" w:fill="CCECFF"/>
          </w:tcPr>
          <w:p>
            <w:pPr>
              <w:spacing w:after="0"/>
              <w:rPr>
                <w:sz w:val="12"/>
                <w:szCs w:val="12"/>
                <w:color w:val="auto"/>
              </w:rPr>
            </w:pPr>
          </w:p>
        </w:tc>
        <w:tc>
          <w:tcPr>
            <w:tcW w:w="7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rPr>
              <w:t>988,154,489</w:t>
            </w:r>
          </w:p>
        </w:tc>
        <w:tc>
          <w:tcPr>
            <w:tcW w:w="100" w:type="dxa"/>
            <w:vAlign w:val="bottom"/>
            <w:shd w:val="clear" w:color="auto" w:fill="CCECFF"/>
          </w:tcPr>
          <w:p>
            <w:pPr>
              <w:spacing w:after="0"/>
              <w:rPr>
                <w:sz w:val="12"/>
                <w:szCs w:val="12"/>
                <w:color w:val="auto"/>
              </w:rPr>
            </w:pPr>
          </w:p>
        </w:tc>
      </w:tr>
      <w:tr>
        <w:trPr>
          <w:trHeight w:val="142"/>
        </w:trPr>
        <w:tc>
          <w:tcPr>
            <w:tcW w:w="4200" w:type="dxa"/>
            <w:vAlign w:val="bottom"/>
            <w:gridSpan w:val="4"/>
          </w:tcPr>
          <w:p>
            <w:pPr>
              <w:spacing w:after="0" w:line="142" w:lineRule="exact"/>
              <w:rPr>
                <w:sz w:val="20"/>
                <w:szCs w:val="20"/>
                <w:color w:val="auto"/>
              </w:rPr>
            </w:pPr>
            <w:r>
              <w:rPr>
                <w:rFonts w:ascii="Arial" w:cs="Arial" w:eastAsia="Arial" w:hAnsi="Arial"/>
                <w:sz w:val="10"/>
                <w:szCs w:val="10"/>
                <w:b w:val="1"/>
                <w:bCs w:val="1"/>
                <w:color w:val="auto"/>
              </w:rPr>
              <w:t xml:space="preserve">Investments in Non-Controlled, Affiliated Portfolio Companies—3.2% </w:t>
            </w:r>
            <w:r>
              <w:rPr>
                <w:rFonts w:ascii="Arial" w:cs="Arial" w:eastAsia="Arial" w:hAnsi="Arial"/>
                <w:sz w:val="16"/>
                <w:szCs w:val="16"/>
                <w:b w:val="1"/>
                <w:bCs w:val="1"/>
                <w:color w:val="auto"/>
                <w:vertAlign w:val="superscript"/>
              </w:rPr>
              <w:t>(3), (4)</w:t>
            </w:r>
          </w:p>
        </w:tc>
        <w:tc>
          <w:tcPr>
            <w:tcW w:w="2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3300" w:type="dxa"/>
            <w:vAlign w:val="bottom"/>
            <w:shd w:val="clear" w:color="auto" w:fill="CCECFF"/>
          </w:tcPr>
          <w:p>
            <w:pPr>
              <w:spacing w:after="0"/>
              <w:rPr>
                <w:sz w:val="20"/>
                <w:szCs w:val="20"/>
                <w:color w:val="auto"/>
              </w:rPr>
            </w:pPr>
            <w:r>
              <w:rPr>
                <w:rFonts w:ascii="Arial" w:cs="Arial" w:eastAsia="Arial" w:hAnsi="Arial"/>
                <w:sz w:val="12"/>
                <w:szCs w:val="12"/>
                <w:b w:val="1"/>
                <w:bCs w:val="1"/>
                <w:color w:val="auto"/>
              </w:rPr>
              <w:t>First Lien Secured Debt—1.1%</w:t>
            </w:r>
          </w:p>
        </w:tc>
        <w:tc>
          <w:tcPr>
            <w:tcW w:w="120" w:type="dxa"/>
            <w:vAlign w:val="bottom"/>
            <w:shd w:val="clear" w:color="auto" w:fill="CCECFF"/>
          </w:tcPr>
          <w:p>
            <w:pPr>
              <w:spacing w:after="0"/>
              <w:rPr>
                <w:sz w:val="12"/>
                <w:szCs w:val="12"/>
                <w:color w:val="auto"/>
              </w:rPr>
            </w:pPr>
          </w:p>
        </w:tc>
        <w:tc>
          <w:tcPr>
            <w:tcW w:w="54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220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60" w:type="dxa"/>
            <w:vAlign w:val="bottom"/>
            <w:shd w:val="clear" w:color="auto" w:fill="CCECFF"/>
          </w:tcPr>
          <w:p>
            <w:pPr>
              <w:spacing w:after="0"/>
              <w:rPr>
                <w:sz w:val="12"/>
                <w:szCs w:val="12"/>
                <w:color w:val="auto"/>
              </w:rPr>
            </w:pPr>
          </w:p>
        </w:tc>
        <w:tc>
          <w:tcPr>
            <w:tcW w:w="300" w:type="dxa"/>
            <w:vAlign w:val="bottom"/>
            <w:shd w:val="clear" w:color="auto" w:fill="CCECFF"/>
          </w:tcPr>
          <w:p>
            <w:pPr>
              <w:spacing w:after="0"/>
              <w:rPr>
                <w:sz w:val="12"/>
                <w:szCs w:val="12"/>
                <w:color w:val="auto"/>
              </w:rPr>
            </w:pPr>
          </w:p>
        </w:tc>
        <w:tc>
          <w:tcPr>
            <w:tcW w:w="66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72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70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60" w:type="dxa"/>
            <w:vAlign w:val="bottom"/>
            <w:shd w:val="clear" w:color="auto" w:fill="CCECFF"/>
          </w:tcPr>
          <w:p>
            <w:pPr>
              <w:spacing w:after="0"/>
              <w:rPr>
                <w:sz w:val="12"/>
                <w:szCs w:val="12"/>
                <w:color w:val="auto"/>
              </w:rPr>
            </w:pPr>
          </w:p>
        </w:tc>
        <w:tc>
          <w:tcPr>
            <w:tcW w:w="7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r>
      <w:tr>
        <w:trPr>
          <w:trHeight w:val="149"/>
        </w:trPr>
        <w:tc>
          <w:tcPr>
            <w:tcW w:w="3300" w:type="dxa"/>
            <w:vAlign w:val="bottom"/>
          </w:tcPr>
          <w:p>
            <w:pPr>
              <w:spacing w:after="0" w:line="149" w:lineRule="exact"/>
              <w:rPr>
                <w:sz w:val="20"/>
                <w:szCs w:val="20"/>
                <w:color w:val="auto"/>
              </w:rPr>
            </w:pPr>
            <w:r>
              <w:rPr>
                <w:rFonts w:ascii="Arial" w:cs="Arial" w:eastAsia="Arial" w:hAnsi="Arial"/>
                <w:sz w:val="11"/>
                <w:szCs w:val="11"/>
                <w:color w:val="auto"/>
              </w:rPr>
              <w:t xml:space="preserve">Country Fresh Holdings, LLC </w:t>
            </w:r>
            <w:r>
              <w:rPr>
                <w:rFonts w:ascii="Arial" w:cs="Arial" w:eastAsia="Arial" w:hAnsi="Arial"/>
                <w:sz w:val="17"/>
                <w:szCs w:val="17"/>
                <w:color w:val="auto"/>
                <w:vertAlign w:val="superscript"/>
              </w:rPr>
              <w:t>(7)</w:t>
            </w:r>
          </w:p>
        </w:tc>
        <w:tc>
          <w:tcPr>
            <w:tcW w:w="660" w:type="dxa"/>
            <w:vAlign w:val="bottom"/>
            <w:gridSpan w:val="2"/>
          </w:tcPr>
          <w:p>
            <w:pPr>
              <w:jc w:val="center"/>
              <w:ind w:left="62"/>
              <w:spacing w:after="0"/>
              <w:rPr>
                <w:sz w:val="20"/>
                <w:szCs w:val="20"/>
                <w:color w:val="auto"/>
              </w:rPr>
            </w:pPr>
            <w:r>
              <w:rPr>
                <w:rFonts w:ascii="Arial" w:cs="Arial" w:eastAsia="Arial" w:hAnsi="Arial"/>
                <w:sz w:val="12"/>
                <w:szCs w:val="12"/>
                <w:color w:val="auto"/>
                <w:w w:val="89"/>
              </w:rPr>
              <w:t>05/01/2023</w:t>
            </w:r>
          </w:p>
        </w:tc>
        <w:tc>
          <w:tcPr>
            <w:tcW w:w="240" w:type="dxa"/>
            <w:vAlign w:val="bottom"/>
          </w:tcPr>
          <w:p>
            <w:pPr>
              <w:spacing w:after="0"/>
              <w:rPr>
                <w:sz w:val="12"/>
                <w:szCs w:val="12"/>
                <w:color w:val="auto"/>
              </w:rPr>
            </w:pPr>
          </w:p>
        </w:tc>
        <w:tc>
          <w:tcPr>
            <w:tcW w:w="2320" w:type="dxa"/>
            <w:vAlign w:val="bottom"/>
            <w:gridSpan w:val="2"/>
          </w:tcPr>
          <w:p>
            <w:pPr>
              <w:jc w:val="center"/>
              <w:ind w:right="120"/>
              <w:spacing w:after="0"/>
              <w:rPr>
                <w:sz w:val="20"/>
                <w:szCs w:val="20"/>
                <w:color w:val="auto"/>
              </w:rPr>
            </w:pPr>
            <w:r>
              <w:rPr>
                <w:rFonts w:ascii="Arial" w:cs="Arial" w:eastAsia="Arial" w:hAnsi="Arial"/>
                <w:sz w:val="12"/>
                <w:szCs w:val="12"/>
                <w:color w:val="auto"/>
                <w:w w:val="85"/>
              </w:rPr>
              <w:t>Beverage, Food and Tobacco</w:t>
            </w:r>
          </w:p>
        </w:tc>
        <w:tc>
          <w:tcPr>
            <w:tcW w:w="960" w:type="dxa"/>
            <w:vAlign w:val="bottom"/>
            <w:gridSpan w:val="2"/>
          </w:tcPr>
          <w:p>
            <w:pPr>
              <w:jc w:val="right"/>
              <w:ind w:right="200"/>
              <w:spacing w:after="0"/>
              <w:rPr>
                <w:sz w:val="20"/>
                <w:szCs w:val="20"/>
                <w:color w:val="auto"/>
              </w:rPr>
            </w:pPr>
            <w:r>
              <w:rPr>
                <w:rFonts w:ascii="Arial" w:cs="Arial" w:eastAsia="Arial" w:hAnsi="Arial"/>
                <w:sz w:val="12"/>
                <w:szCs w:val="12"/>
                <w:color w:val="auto"/>
              </w:rPr>
              <w:t>6.94%</w:t>
            </w:r>
          </w:p>
        </w:tc>
        <w:tc>
          <w:tcPr>
            <w:tcW w:w="880" w:type="dxa"/>
            <w:vAlign w:val="bottom"/>
            <w:gridSpan w:val="2"/>
          </w:tcPr>
          <w:p>
            <w:pPr>
              <w:jc w:val="right"/>
              <w:ind w:right="240"/>
              <w:spacing w:after="0"/>
              <w:rPr>
                <w:sz w:val="20"/>
                <w:szCs w:val="20"/>
                <w:color w:val="auto"/>
              </w:rPr>
            </w:pPr>
            <w:r>
              <w:rPr>
                <w:rFonts w:ascii="Arial" w:cs="Arial" w:eastAsia="Arial" w:hAnsi="Arial"/>
                <w:sz w:val="12"/>
                <w:szCs w:val="12"/>
                <w:color w:val="auto"/>
              </w:rPr>
              <w:t>3M L+500</w:t>
            </w:r>
          </w:p>
        </w:tc>
        <w:tc>
          <w:tcPr>
            <w:tcW w:w="720" w:type="dxa"/>
            <w:vAlign w:val="bottom"/>
          </w:tcPr>
          <w:p>
            <w:pPr>
              <w:jc w:val="right"/>
              <w:spacing w:after="0"/>
              <w:rPr>
                <w:sz w:val="20"/>
                <w:szCs w:val="20"/>
                <w:color w:val="auto"/>
              </w:rPr>
            </w:pPr>
            <w:r>
              <w:rPr>
                <w:rFonts w:ascii="Arial" w:cs="Arial" w:eastAsia="Arial" w:hAnsi="Arial"/>
                <w:sz w:val="12"/>
                <w:szCs w:val="12"/>
                <w:color w:val="auto"/>
              </w:rPr>
              <w:t>1,544,161</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1,507,881</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1,544,161</w:t>
            </w:r>
          </w:p>
        </w:tc>
        <w:tc>
          <w:tcPr>
            <w:tcW w:w="100" w:type="dxa"/>
            <w:vAlign w:val="bottom"/>
          </w:tcPr>
          <w:p>
            <w:pPr>
              <w:spacing w:after="0"/>
              <w:rPr>
                <w:sz w:val="12"/>
                <w:szCs w:val="12"/>
                <w:color w:val="auto"/>
              </w:rPr>
            </w:pPr>
          </w:p>
        </w:tc>
      </w:tr>
      <w:tr>
        <w:trPr>
          <w:trHeight w:val="148"/>
        </w:trPr>
        <w:tc>
          <w:tcPr>
            <w:tcW w:w="3300" w:type="dxa"/>
            <w:vAlign w:val="bottom"/>
            <w:shd w:val="clear" w:color="auto" w:fill="CCECFF"/>
          </w:tcPr>
          <w:p>
            <w:pPr>
              <w:spacing w:after="0" w:line="149" w:lineRule="exact"/>
              <w:rPr>
                <w:sz w:val="20"/>
                <w:szCs w:val="20"/>
                <w:color w:val="auto"/>
              </w:rPr>
            </w:pPr>
            <w:r>
              <w:rPr>
                <w:rFonts w:ascii="Arial" w:cs="Arial" w:eastAsia="Arial" w:hAnsi="Arial"/>
                <w:sz w:val="11"/>
                <w:szCs w:val="11"/>
                <w:color w:val="auto"/>
              </w:rPr>
              <w:t xml:space="preserve">Country Fresh Holdings, LLC (Revolver) </w:t>
            </w:r>
            <w:r>
              <w:rPr>
                <w:rFonts w:ascii="Arial" w:cs="Arial" w:eastAsia="Arial" w:hAnsi="Arial"/>
                <w:sz w:val="17"/>
                <w:szCs w:val="17"/>
                <w:color w:val="auto"/>
                <w:vertAlign w:val="superscript"/>
              </w:rPr>
              <w:t>(7)</w:t>
            </w:r>
          </w:p>
        </w:tc>
        <w:tc>
          <w:tcPr>
            <w:tcW w:w="660" w:type="dxa"/>
            <w:vAlign w:val="bottom"/>
            <w:gridSpan w:val="2"/>
            <w:shd w:val="clear" w:color="auto" w:fill="CCECFF"/>
          </w:tcPr>
          <w:p>
            <w:pPr>
              <w:jc w:val="center"/>
              <w:ind w:left="62"/>
              <w:spacing w:after="0"/>
              <w:rPr>
                <w:sz w:val="20"/>
                <w:szCs w:val="20"/>
                <w:color w:val="auto"/>
              </w:rPr>
            </w:pPr>
            <w:r>
              <w:rPr>
                <w:rFonts w:ascii="Arial" w:cs="Arial" w:eastAsia="Arial" w:hAnsi="Arial"/>
                <w:sz w:val="12"/>
                <w:szCs w:val="12"/>
                <w:color w:val="auto"/>
                <w:w w:val="89"/>
              </w:rPr>
              <w:t>05/01/2023</w:t>
            </w:r>
          </w:p>
        </w:tc>
        <w:tc>
          <w:tcPr>
            <w:tcW w:w="240" w:type="dxa"/>
            <w:vAlign w:val="bottom"/>
            <w:shd w:val="clear" w:color="auto" w:fill="CCECFF"/>
          </w:tcPr>
          <w:p>
            <w:pPr>
              <w:spacing w:after="0"/>
              <w:rPr>
                <w:sz w:val="12"/>
                <w:szCs w:val="12"/>
                <w:color w:val="auto"/>
              </w:rPr>
            </w:pPr>
          </w:p>
        </w:tc>
        <w:tc>
          <w:tcPr>
            <w:tcW w:w="2320" w:type="dxa"/>
            <w:vAlign w:val="bottom"/>
            <w:gridSpan w:val="2"/>
            <w:shd w:val="clear" w:color="auto" w:fill="CCECFF"/>
          </w:tcPr>
          <w:p>
            <w:pPr>
              <w:jc w:val="center"/>
              <w:ind w:right="120"/>
              <w:spacing w:after="0"/>
              <w:rPr>
                <w:sz w:val="20"/>
                <w:szCs w:val="20"/>
                <w:color w:val="auto"/>
              </w:rPr>
            </w:pPr>
            <w:r>
              <w:rPr>
                <w:rFonts w:ascii="Arial" w:cs="Arial" w:eastAsia="Arial" w:hAnsi="Arial"/>
                <w:sz w:val="12"/>
                <w:szCs w:val="12"/>
                <w:color w:val="auto"/>
                <w:w w:val="85"/>
              </w:rPr>
              <w:t>Beverage, Food and Tobacco</w:t>
            </w:r>
          </w:p>
        </w:tc>
        <w:tc>
          <w:tcPr>
            <w:tcW w:w="960" w:type="dxa"/>
            <w:vAlign w:val="bottom"/>
            <w:gridSpan w:val="2"/>
            <w:shd w:val="clear" w:color="auto" w:fill="CCECFF"/>
          </w:tcPr>
          <w:p>
            <w:pPr>
              <w:jc w:val="right"/>
              <w:ind w:right="200"/>
              <w:spacing w:after="0"/>
              <w:rPr>
                <w:sz w:val="20"/>
                <w:szCs w:val="20"/>
                <w:color w:val="auto"/>
              </w:rPr>
            </w:pPr>
            <w:r>
              <w:rPr>
                <w:rFonts w:ascii="Arial" w:cs="Arial" w:eastAsia="Arial" w:hAnsi="Arial"/>
                <w:sz w:val="12"/>
                <w:szCs w:val="12"/>
                <w:color w:val="auto"/>
              </w:rPr>
              <w:t>7.01%</w:t>
            </w:r>
          </w:p>
        </w:tc>
        <w:tc>
          <w:tcPr>
            <w:tcW w:w="88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3M L+500</w:t>
            </w:r>
          </w:p>
        </w:tc>
        <w:tc>
          <w:tcPr>
            <w:tcW w:w="7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1,867,664</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1,867,664</w:t>
            </w:r>
          </w:p>
        </w:tc>
        <w:tc>
          <w:tcPr>
            <w:tcW w:w="240" w:type="dxa"/>
            <w:vAlign w:val="bottom"/>
            <w:shd w:val="clear" w:color="auto" w:fill="CCECFF"/>
          </w:tcPr>
          <w:p>
            <w:pPr>
              <w:spacing w:after="0"/>
              <w:rPr>
                <w:sz w:val="12"/>
                <w:szCs w:val="12"/>
                <w:color w:val="auto"/>
              </w:rPr>
            </w:pPr>
          </w:p>
        </w:tc>
        <w:tc>
          <w:tcPr>
            <w:tcW w:w="60" w:type="dxa"/>
            <w:vAlign w:val="bottom"/>
            <w:tcBorders>
              <w:bottom w:val="single" w:sz="8" w:color="auto"/>
            </w:tcBorders>
            <w:shd w:val="clear" w:color="auto" w:fill="CCECFF"/>
          </w:tcPr>
          <w:p>
            <w:pPr>
              <w:spacing w:after="0"/>
              <w:rPr>
                <w:sz w:val="12"/>
                <w:szCs w:val="12"/>
                <w:color w:val="auto"/>
              </w:rPr>
            </w:pPr>
          </w:p>
        </w:tc>
        <w:tc>
          <w:tcPr>
            <w:tcW w:w="7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rPr>
              <w:t>1,867,664</w:t>
            </w:r>
          </w:p>
        </w:tc>
        <w:tc>
          <w:tcPr>
            <w:tcW w:w="100" w:type="dxa"/>
            <w:vAlign w:val="bottom"/>
            <w:shd w:val="clear" w:color="auto" w:fill="CCECFF"/>
          </w:tcPr>
          <w:p>
            <w:pPr>
              <w:spacing w:after="0"/>
              <w:rPr>
                <w:sz w:val="12"/>
                <w:szCs w:val="12"/>
                <w:color w:val="auto"/>
              </w:rPr>
            </w:pPr>
          </w:p>
        </w:tc>
      </w:tr>
      <w:tr>
        <w:trPr>
          <w:trHeight w:val="142"/>
        </w:trPr>
        <w:tc>
          <w:tcPr>
            <w:tcW w:w="3300" w:type="dxa"/>
            <w:vAlign w:val="bottom"/>
          </w:tcPr>
          <w:p>
            <w:pPr>
              <w:spacing w:after="0" w:line="142" w:lineRule="exact"/>
              <w:rPr>
                <w:sz w:val="20"/>
                <w:szCs w:val="20"/>
                <w:color w:val="auto"/>
              </w:rPr>
            </w:pPr>
            <w:r>
              <w:rPr>
                <w:rFonts w:ascii="Arial" w:cs="Arial" w:eastAsia="Arial" w:hAnsi="Arial"/>
                <w:sz w:val="10"/>
                <w:szCs w:val="10"/>
                <w:color w:val="auto"/>
              </w:rPr>
              <w:t xml:space="preserve">Country Fresh Holdings, LLC (Revolver) </w:t>
            </w:r>
            <w:r>
              <w:rPr>
                <w:rFonts w:ascii="Arial" w:cs="Arial" w:eastAsia="Arial" w:hAnsi="Arial"/>
                <w:sz w:val="16"/>
                <w:szCs w:val="16"/>
                <w:color w:val="auto"/>
                <w:vertAlign w:val="superscript"/>
              </w:rPr>
              <w:t>(7), (9)</w:t>
            </w:r>
          </w:p>
        </w:tc>
        <w:tc>
          <w:tcPr>
            <w:tcW w:w="660" w:type="dxa"/>
            <w:vAlign w:val="bottom"/>
            <w:gridSpan w:val="2"/>
          </w:tcPr>
          <w:p>
            <w:pPr>
              <w:jc w:val="center"/>
              <w:ind w:left="62"/>
              <w:spacing w:after="0"/>
              <w:rPr>
                <w:sz w:val="20"/>
                <w:szCs w:val="20"/>
                <w:color w:val="auto"/>
              </w:rPr>
            </w:pPr>
            <w:r>
              <w:rPr>
                <w:rFonts w:ascii="Arial" w:cs="Arial" w:eastAsia="Arial" w:hAnsi="Arial"/>
                <w:sz w:val="12"/>
                <w:szCs w:val="12"/>
                <w:color w:val="auto"/>
                <w:w w:val="89"/>
              </w:rPr>
              <w:t>05/01/2023</w:t>
            </w:r>
          </w:p>
        </w:tc>
        <w:tc>
          <w:tcPr>
            <w:tcW w:w="240" w:type="dxa"/>
            <w:vAlign w:val="bottom"/>
          </w:tcPr>
          <w:p>
            <w:pPr>
              <w:spacing w:after="0"/>
              <w:rPr>
                <w:sz w:val="12"/>
                <w:szCs w:val="12"/>
                <w:color w:val="auto"/>
              </w:rPr>
            </w:pPr>
          </w:p>
        </w:tc>
        <w:tc>
          <w:tcPr>
            <w:tcW w:w="2320" w:type="dxa"/>
            <w:vAlign w:val="bottom"/>
            <w:gridSpan w:val="2"/>
          </w:tcPr>
          <w:p>
            <w:pPr>
              <w:jc w:val="center"/>
              <w:ind w:right="120"/>
              <w:spacing w:after="0"/>
              <w:rPr>
                <w:sz w:val="20"/>
                <w:szCs w:val="20"/>
                <w:color w:val="auto"/>
              </w:rPr>
            </w:pPr>
            <w:r>
              <w:rPr>
                <w:rFonts w:ascii="Arial" w:cs="Arial" w:eastAsia="Arial" w:hAnsi="Arial"/>
                <w:sz w:val="12"/>
                <w:szCs w:val="12"/>
                <w:color w:val="auto"/>
                <w:w w:val="85"/>
              </w:rPr>
              <w:t>Beverage, Food and Tobacco</w:t>
            </w:r>
          </w:p>
        </w:tc>
        <w:tc>
          <w:tcPr>
            <w:tcW w:w="96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88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720" w:type="dxa"/>
            <w:vAlign w:val="bottom"/>
          </w:tcPr>
          <w:p>
            <w:pPr>
              <w:jc w:val="right"/>
              <w:spacing w:after="0"/>
              <w:rPr>
                <w:sz w:val="20"/>
                <w:szCs w:val="20"/>
                <w:color w:val="auto"/>
              </w:rPr>
            </w:pPr>
            <w:r>
              <w:rPr>
                <w:rFonts w:ascii="Arial" w:cs="Arial" w:eastAsia="Arial" w:hAnsi="Arial"/>
                <w:sz w:val="12"/>
                <w:szCs w:val="12"/>
                <w:color w:val="auto"/>
              </w:rPr>
              <w:t>878,901</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r>
      <w:tr>
        <w:trPr>
          <w:trHeight w:val="148"/>
        </w:trPr>
        <w:tc>
          <w:tcPr>
            <w:tcW w:w="3300" w:type="dxa"/>
            <w:vAlign w:val="bottom"/>
            <w:tcBorders>
              <w:bottom w:val="single" w:sz="8" w:color="CCECFF"/>
            </w:tcBorders>
            <w:shd w:val="clear" w:color="auto" w:fill="CCECFF"/>
          </w:tcPr>
          <w:p>
            <w:pPr>
              <w:spacing w:after="0" w:line="149" w:lineRule="exact"/>
              <w:rPr>
                <w:sz w:val="20"/>
                <w:szCs w:val="20"/>
                <w:color w:val="auto"/>
              </w:rPr>
            </w:pPr>
            <w:r>
              <w:rPr>
                <w:rFonts w:ascii="Arial" w:cs="Arial" w:eastAsia="Arial" w:hAnsi="Arial"/>
                <w:sz w:val="11"/>
                <w:szCs w:val="11"/>
                <w:color w:val="auto"/>
              </w:rPr>
              <w:t xml:space="preserve">Quick Weight Loss Centers, LLC </w:t>
            </w:r>
            <w:r>
              <w:rPr>
                <w:rFonts w:ascii="Arial" w:cs="Arial" w:eastAsia="Arial" w:hAnsi="Arial"/>
                <w:sz w:val="17"/>
                <w:szCs w:val="17"/>
                <w:color w:val="auto"/>
                <w:vertAlign w:val="superscript"/>
              </w:rPr>
              <w:t>(7)</w:t>
            </w:r>
          </w:p>
        </w:tc>
        <w:tc>
          <w:tcPr>
            <w:tcW w:w="660" w:type="dxa"/>
            <w:vAlign w:val="bottom"/>
            <w:tcBorders>
              <w:bottom w:val="single" w:sz="8" w:color="CCECFF"/>
            </w:tcBorders>
            <w:gridSpan w:val="2"/>
            <w:shd w:val="clear" w:color="auto" w:fill="CCECFF"/>
          </w:tcPr>
          <w:p>
            <w:pPr>
              <w:jc w:val="center"/>
              <w:ind w:left="62"/>
              <w:spacing w:after="0"/>
              <w:rPr>
                <w:sz w:val="20"/>
                <w:szCs w:val="20"/>
                <w:color w:val="auto"/>
              </w:rPr>
            </w:pPr>
            <w:r>
              <w:rPr>
                <w:rFonts w:ascii="Arial" w:cs="Arial" w:eastAsia="Arial" w:hAnsi="Arial"/>
                <w:sz w:val="12"/>
                <w:szCs w:val="12"/>
                <w:color w:val="auto"/>
                <w:w w:val="89"/>
              </w:rPr>
              <w:t>10/12/2023</w:t>
            </w:r>
          </w:p>
        </w:tc>
        <w:tc>
          <w:tcPr>
            <w:tcW w:w="240" w:type="dxa"/>
            <w:vAlign w:val="bottom"/>
            <w:tcBorders>
              <w:bottom w:val="single" w:sz="8" w:color="CCECFF"/>
            </w:tcBorders>
            <w:shd w:val="clear" w:color="auto" w:fill="CCECFF"/>
          </w:tcPr>
          <w:p>
            <w:pPr>
              <w:spacing w:after="0"/>
              <w:rPr>
                <w:sz w:val="12"/>
                <w:szCs w:val="12"/>
                <w:color w:val="auto"/>
              </w:rPr>
            </w:pPr>
          </w:p>
        </w:tc>
        <w:tc>
          <w:tcPr>
            <w:tcW w:w="2320" w:type="dxa"/>
            <w:vAlign w:val="bottom"/>
            <w:tcBorders>
              <w:bottom w:val="single" w:sz="8" w:color="CCECFF"/>
            </w:tcBorders>
            <w:gridSpan w:val="2"/>
            <w:shd w:val="clear" w:color="auto" w:fill="CCECFF"/>
          </w:tcPr>
          <w:p>
            <w:pPr>
              <w:jc w:val="center"/>
              <w:ind w:right="120"/>
              <w:spacing w:after="0"/>
              <w:rPr>
                <w:sz w:val="20"/>
                <w:szCs w:val="20"/>
                <w:color w:val="auto"/>
              </w:rPr>
            </w:pPr>
            <w:r>
              <w:rPr>
                <w:rFonts w:ascii="Arial" w:cs="Arial" w:eastAsia="Arial" w:hAnsi="Arial"/>
                <w:sz w:val="12"/>
                <w:szCs w:val="12"/>
                <w:color w:val="auto"/>
                <w:w w:val="85"/>
              </w:rPr>
              <w:t>Beverage, Food and Tobacco</w:t>
            </w:r>
          </w:p>
        </w:tc>
        <w:tc>
          <w:tcPr>
            <w:tcW w:w="960" w:type="dxa"/>
            <w:vAlign w:val="bottom"/>
            <w:tcBorders>
              <w:bottom w:val="single" w:sz="8" w:color="CCECFF"/>
            </w:tcBorders>
            <w:gridSpan w:val="2"/>
            <w:shd w:val="clear" w:color="auto" w:fill="CCECFF"/>
          </w:tcPr>
          <w:p>
            <w:pPr>
              <w:jc w:val="right"/>
              <w:ind w:right="200"/>
              <w:spacing w:after="0"/>
              <w:rPr>
                <w:sz w:val="20"/>
                <w:szCs w:val="20"/>
                <w:color w:val="auto"/>
              </w:rPr>
            </w:pPr>
            <w:r>
              <w:rPr>
                <w:rFonts w:ascii="Arial" w:cs="Arial" w:eastAsia="Arial" w:hAnsi="Arial"/>
                <w:sz w:val="12"/>
                <w:szCs w:val="12"/>
                <w:color w:val="auto"/>
              </w:rPr>
              <w:t>4.00%</w:t>
            </w:r>
          </w:p>
        </w:tc>
        <w:tc>
          <w:tcPr>
            <w:tcW w:w="880" w:type="dxa"/>
            <w:vAlign w:val="bottom"/>
            <w:tcBorders>
              <w:bottom w:val="single" w:sz="8" w:color="CCECFF"/>
            </w:tcBorders>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720" w:type="dxa"/>
            <w:vAlign w:val="bottom"/>
            <w:tcBorders>
              <w:bottom w:val="single" w:sz="8" w:color="CCECFF"/>
            </w:tcBorders>
            <w:shd w:val="clear" w:color="auto" w:fill="CCECFF"/>
          </w:tcPr>
          <w:p>
            <w:pPr>
              <w:jc w:val="right"/>
              <w:spacing w:after="0"/>
              <w:rPr>
                <w:sz w:val="20"/>
                <w:szCs w:val="20"/>
                <w:color w:val="auto"/>
              </w:rPr>
            </w:pPr>
            <w:r>
              <w:rPr>
                <w:rFonts w:ascii="Arial" w:cs="Arial" w:eastAsia="Arial" w:hAnsi="Arial"/>
                <w:sz w:val="12"/>
                <w:szCs w:val="12"/>
                <w:color w:val="auto"/>
              </w:rPr>
              <w:t>2,036,833</w:t>
            </w:r>
          </w:p>
        </w:tc>
        <w:tc>
          <w:tcPr>
            <w:tcW w:w="220" w:type="dxa"/>
            <w:vAlign w:val="bottom"/>
            <w:tcBorders>
              <w:bottom w:val="single" w:sz="8" w:color="CCECFF"/>
            </w:tcBorders>
            <w:shd w:val="clear" w:color="auto" w:fill="CCECFF"/>
          </w:tcPr>
          <w:p>
            <w:pPr>
              <w:spacing w:after="0"/>
              <w:rPr>
                <w:sz w:val="12"/>
                <w:szCs w:val="12"/>
                <w:color w:val="auto"/>
              </w:rPr>
            </w:pPr>
          </w:p>
        </w:tc>
        <w:tc>
          <w:tcPr>
            <w:tcW w:w="100" w:type="dxa"/>
            <w:vAlign w:val="bottom"/>
            <w:tcBorders>
              <w:bottom w:val="single" w:sz="8" w:color="auto"/>
            </w:tcBorders>
            <w:shd w:val="clear" w:color="auto" w:fill="CCECFF"/>
          </w:tcPr>
          <w:p>
            <w:pPr>
              <w:spacing w:after="0"/>
              <w:rPr>
                <w:sz w:val="12"/>
                <w:szCs w:val="12"/>
                <w:color w:val="auto"/>
              </w:rPr>
            </w:pPr>
          </w:p>
        </w:tc>
        <w:tc>
          <w:tcPr>
            <w:tcW w:w="7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rPr>
              <w:t>2,036,833</w:t>
            </w:r>
          </w:p>
        </w:tc>
        <w:tc>
          <w:tcPr>
            <w:tcW w:w="240" w:type="dxa"/>
            <w:vAlign w:val="bottom"/>
            <w:tcBorders>
              <w:bottom w:val="single" w:sz="8" w:color="CCECFF"/>
            </w:tcBorders>
            <w:shd w:val="clear" w:color="auto" w:fill="CCECFF"/>
          </w:tcPr>
          <w:p>
            <w:pPr>
              <w:spacing w:after="0"/>
              <w:rPr>
                <w:sz w:val="12"/>
                <w:szCs w:val="12"/>
                <w:color w:val="auto"/>
              </w:rPr>
            </w:pPr>
          </w:p>
        </w:tc>
        <w:tc>
          <w:tcPr>
            <w:tcW w:w="60" w:type="dxa"/>
            <w:vAlign w:val="bottom"/>
            <w:tcBorders>
              <w:bottom w:val="single" w:sz="8" w:color="auto"/>
            </w:tcBorders>
            <w:shd w:val="clear" w:color="auto" w:fill="CCECFF"/>
          </w:tcPr>
          <w:p>
            <w:pPr>
              <w:spacing w:after="0"/>
              <w:rPr>
                <w:sz w:val="12"/>
                <w:szCs w:val="12"/>
                <w:color w:val="auto"/>
              </w:rPr>
            </w:pPr>
          </w:p>
        </w:tc>
        <w:tc>
          <w:tcPr>
            <w:tcW w:w="7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rPr>
              <w:t>2,036,833</w:t>
            </w:r>
          </w:p>
        </w:tc>
        <w:tc>
          <w:tcPr>
            <w:tcW w:w="100" w:type="dxa"/>
            <w:vAlign w:val="bottom"/>
            <w:tcBorders>
              <w:bottom w:val="single" w:sz="8" w:color="CCECFF"/>
            </w:tcBorders>
            <w:shd w:val="clear" w:color="auto" w:fill="CCECFF"/>
          </w:tcPr>
          <w:p>
            <w:pPr>
              <w:spacing w:after="0"/>
              <w:rPr>
                <w:sz w:val="12"/>
                <w:szCs w:val="12"/>
                <w:color w:val="auto"/>
              </w:rPr>
            </w:pPr>
          </w:p>
        </w:tc>
      </w:tr>
      <w:tr>
        <w:trPr>
          <w:trHeight w:val="142"/>
        </w:trPr>
        <w:tc>
          <w:tcPr>
            <w:tcW w:w="3300" w:type="dxa"/>
            <w:vAlign w:val="bottom"/>
            <w:shd w:val="clear" w:color="auto" w:fill="CCECFF"/>
          </w:tcPr>
          <w:p>
            <w:pPr>
              <w:spacing w:after="0"/>
              <w:rPr>
                <w:sz w:val="20"/>
                <w:szCs w:val="20"/>
                <w:color w:val="auto"/>
              </w:rPr>
            </w:pPr>
            <w:r>
              <w:rPr>
                <w:rFonts w:ascii="Arial" w:cs="Arial" w:eastAsia="Arial" w:hAnsi="Arial"/>
                <w:sz w:val="12"/>
                <w:szCs w:val="12"/>
                <w:b w:val="1"/>
                <w:bCs w:val="1"/>
                <w:color w:val="auto"/>
              </w:rPr>
              <w:t>Total First Lien Secured Debt</w:t>
            </w:r>
          </w:p>
        </w:tc>
        <w:tc>
          <w:tcPr>
            <w:tcW w:w="120" w:type="dxa"/>
            <w:vAlign w:val="bottom"/>
            <w:shd w:val="clear" w:color="auto" w:fill="CCECFF"/>
          </w:tcPr>
          <w:p>
            <w:pPr>
              <w:spacing w:after="0"/>
              <w:rPr>
                <w:sz w:val="12"/>
                <w:szCs w:val="12"/>
                <w:color w:val="auto"/>
              </w:rPr>
            </w:pPr>
          </w:p>
        </w:tc>
        <w:tc>
          <w:tcPr>
            <w:tcW w:w="54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220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960" w:type="dxa"/>
            <w:vAlign w:val="bottom"/>
            <w:gridSpan w:val="2"/>
            <w:shd w:val="clear" w:color="auto" w:fill="CCECFF"/>
          </w:tcPr>
          <w:p>
            <w:pPr>
              <w:jc w:val="right"/>
              <w:ind w:right="160"/>
              <w:spacing w:after="0"/>
              <w:rPr>
                <w:sz w:val="20"/>
                <w:szCs w:val="20"/>
                <w:color w:val="auto"/>
              </w:rPr>
            </w:pPr>
            <w:r>
              <w:rPr>
                <w:rFonts w:ascii="Arial" w:cs="Arial" w:eastAsia="Arial" w:hAnsi="Arial"/>
                <w:sz w:val="12"/>
                <w:szCs w:val="12"/>
                <w:color w:val="auto"/>
              </w:rPr>
              <w:t>(PIK 4.00%)</w:t>
            </w:r>
          </w:p>
        </w:tc>
        <w:tc>
          <w:tcPr>
            <w:tcW w:w="66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72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5,412,378</w:t>
            </w:r>
          </w:p>
        </w:tc>
        <w:tc>
          <w:tcPr>
            <w:tcW w:w="240" w:type="dxa"/>
            <w:vAlign w:val="bottom"/>
            <w:shd w:val="clear" w:color="auto" w:fill="CCECFF"/>
          </w:tcPr>
          <w:p>
            <w:pPr>
              <w:spacing w:after="0"/>
              <w:rPr>
                <w:sz w:val="12"/>
                <w:szCs w:val="12"/>
                <w:color w:val="auto"/>
              </w:rPr>
            </w:pPr>
          </w:p>
        </w:tc>
        <w:tc>
          <w:tcPr>
            <w:tcW w:w="60" w:type="dxa"/>
            <w:vAlign w:val="bottom"/>
            <w:shd w:val="clear" w:color="auto" w:fill="CCECFF"/>
          </w:tcPr>
          <w:p>
            <w:pPr>
              <w:spacing w:after="0"/>
              <w:rPr>
                <w:sz w:val="12"/>
                <w:szCs w:val="12"/>
                <w:color w:val="auto"/>
              </w:rPr>
            </w:pPr>
          </w:p>
        </w:tc>
        <w:tc>
          <w:tcPr>
            <w:tcW w:w="7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5,448,658</w:t>
            </w:r>
          </w:p>
        </w:tc>
        <w:tc>
          <w:tcPr>
            <w:tcW w:w="100" w:type="dxa"/>
            <w:vAlign w:val="bottom"/>
            <w:shd w:val="clear" w:color="auto" w:fill="CCECFF"/>
          </w:tcPr>
          <w:p>
            <w:pPr>
              <w:spacing w:after="0"/>
              <w:rPr>
                <w:sz w:val="12"/>
                <w:szCs w:val="12"/>
                <w:color w:val="auto"/>
              </w:rPr>
            </w:pPr>
          </w:p>
        </w:tc>
      </w:tr>
      <w:tr>
        <w:trPr>
          <w:trHeight w:val="148"/>
        </w:trPr>
        <w:tc>
          <w:tcPr>
            <w:tcW w:w="3300" w:type="dxa"/>
            <w:vAlign w:val="bottom"/>
          </w:tcPr>
          <w:p>
            <w:pPr>
              <w:spacing w:after="0"/>
              <w:rPr>
                <w:sz w:val="20"/>
                <w:szCs w:val="20"/>
                <w:color w:val="auto"/>
              </w:rPr>
            </w:pPr>
            <w:r>
              <w:rPr>
                <w:rFonts w:ascii="Arial" w:cs="Arial" w:eastAsia="Arial" w:hAnsi="Arial"/>
                <w:sz w:val="12"/>
                <w:szCs w:val="12"/>
                <w:b w:val="1"/>
                <w:bCs w:val="1"/>
                <w:color w:val="auto"/>
              </w:rPr>
              <w:t>Second Lien Secured Debt—1.1%</w:t>
            </w: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3300" w:type="dxa"/>
            <w:vAlign w:val="bottom"/>
            <w:shd w:val="clear" w:color="auto" w:fill="CCECFF"/>
          </w:tcPr>
          <w:p>
            <w:pPr>
              <w:spacing w:after="0"/>
              <w:rPr>
                <w:sz w:val="20"/>
                <w:szCs w:val="20"/>
                <w:color w:val="auto"/>
              </w:rPr>
            </w:pPr>
            <w:r>
              <w:rPr>
                <w:rFonts w:ascii="Arial" w:cs="Arial" w:eastAsia="Arial" w:hAnsi="Arial"/>
                <w:sz w:val="12"/>
                <w:szCs w:val="12"/>
                <w:color w:val="auto"/>
              </w:rPr>
              <w:t>Country Fresh Holdings, LLC</w:t>
            </w:r>
          </w:p>
        </w:tc>
        <w:tc>
          <w:tcPr>
            <w:tcW w:w="660" w:type="dxa"/>
            <w:vAlign w:val="bottom"/>
            <w:gridSpan w:val="2"/>
            <w:shd w:val="clear" w:color="auto" w:fill="CCECFF"/>
          </w:tcPr>
          <w:p>
            <w:pPr>
              <w:jc w:val="center"/>
              <w:ind w:left="62"/>
              <w:spacing w:after="0"/>
              <w:rPr>
                <w:sz w:val="20"/>
                <w:szCs w:val="20"/>
                <w:color w:val="auto"/>
              </w:rPr>
            </w:pPr>
            <w:r>
              <w:rPr>
                <w:rFonts w:ascii="Arial" w:cs="Arial" w:eastAsia="Arial" w:hAnsi="Arial"/>
                <w:sz w:val="12"/>
                <w:szCs w:val="12"/>
                <w:color w:val="auto"/>
                <w:w w:val="89"/>
              </w:rPr>
              <w:t>04/29/2024</w:t>
            </w:r>
          </w:p>
        </w:tc>
        <w:tc>
          <w:tcPr>
            <w:tcW w:w="240" w:type="dxa"/>
            <w:vAlign w:val="bottom"/>
            <w:shd w:val="clear" w:color="auto" w:fill="CCECFF"/>
          </w:tcPr>
          <w:p>
            <w:pPr>
              <w:spacing w:after="0"/>
              <w:rPr>
                <w:sz w:val="12"/>
                <w:szCs w:val="12"/>
                <w:color w:val="auto"/>
              </w:rPr>
            </w:pPr>
          </w:p>
        </w:tc>
        <w:tc>
          <w:tcPr>
            <w:tcW w:w="2320" w:type="dxa"/>
            <w:vAlign w:val="bottom"/>
            <w:gridSpan w:val="2"/>
            <w:shd w:val="clear" w:color="auto" w:fill="CCECFF"/>
          </w:tcPr>
          <w:p>
            <w:pPr>
              <w:jc w:val="center"/>
              <w:ind w:right="120"/>
              <w:spacing w:after="0"/>
              <w:rPr>
                <w:sz w:val="20"/>
                <w:szCs w:val="20"/>
                <w:color w:val="auto"/>
              </w:rPr>
            </w:pPr>
            <w:r>
              <w:rPr>
                <w:rFonts w:ascii="Arial" w:cs="Arial" w:eastAsia="Arial" w:hAnsi="Arial"/>
                <w:sz w:val="12"/>
                <w:szCs w:val="12"/>
                <w:color w:val="auto"/>
                <w:w w:val="85"/>
              </w:rPr>
              <w:t>Beverage, Food and Tobacco</w:t>
            </w:r>
          </w:p>
        </w:tc>
        <w:tc>
          <w:tcPr>
            <w:tcW w:w="960" w:type="dxa"/>
            <w:vAlign w:val="bottom"/>
            <w:gridSpan w:val="2"/>
            <w:shd w:val="clear" w:color="auto" w:fill="CCECFF"/>
          </w:tcPr>
          <w:p>
            <w:pPr>
              <w:jc w:val="right"/>
              <w:ind w:right="200"/>
              <w:spacing w:after="0"/>
              <w:rPr>
                <w:sz w:val="20"/>
                <w:szCs w:val="20"/>
                <w:color w:val="auto"/>
              </w:rPr>
            </w:pPr>
            <w:r>
              <w:rPr>
                <w:rFonts w:ascii="Arial" w:cs="Arial" w:eastAsia="Arial" w:hAnsi="Arial"/>
                <w:sz w:val="12"/>
                <w:szCs w:val="12"/>
                <w:color w:val="auto"/>
              </w:rPr>
              <w:t>10.44%</w:t>
            </w:r>
          </w:p>
        </w:tc>
        <w:tc>
          <w:tcPr>
            <w:tcW w:w="88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1M L+850</w:t>
            </w:r>
          </w:p>
        </w:tc>
        <w:tc>
          <w:tcPr>
            <w:tcW w:w="7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5,458,138</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5,458,138</w:t>
            </w:r>
          </w:p>
        </w:tc>
        <w:tc>
          <w:tcPr>
            <w:tcW w:w="240" w:type="dxa"/>
            <w:vAlign w:val="bottom"/>
            <w:shd w:val="clear" w:color="auto" w:fill="CCECFF"/>
          </w:tcPr>
          <w:p>
            <w:pPr>
              <w:spacing w:after="0"/>
              <w:rPr>
                <w:sz w:val="12"/>
                <w:szCs w:val="12"/>
                <w:color w:val="auto"/>
              </w:rPr>
            </w:pPr>
          </w:p>
        </w:tc>
        <w:tc>
          <w:tcPr>
            <w:tcW w:w="60" w:type="dxa"/>
            <w:vAlign w:val="bottom"/>
            <w:shd w:val="clear" w:color="auto" w:fill="CCECFF"/>
          </w:tcPr>
          <w:p>
            <w:pPr>
              <w:spacing w:after="0"/>
              <w:rPr>
                <w:sz w:val="12"/>
                <w:szCs w:val="12"/>
                <w:color w:val="auto"/>
              </w:rPr>
            </w:pPr>
          </w:p>
        </w:tc>
        <w:tc>
          <w:tcPr>
            <w:tcW w:w="7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5,458,138</w:t>
            </w:r>
          </w:p>
        </w:tc>
        <w:tc>
          <w:tcPr>
            <w:tcW w:w="100" w:type="dxa"/>
            <w:vAlign w:val="bottom"/>
            <w:shd w:val="clear" w:color="auto" w:fill="CCECFF"/>
          </w:tcPr>
          <w:p>
            <w:pPr>
              <w:spacing w:after="0"/>
              <w:rPr>
                <w:sz w:val="12"/>
                <w:szCs w:val="12"/>
                <w:color w:val="auto"/>
              </w:rPr>
            </w:pPr>
          </w:p>
        </w:tc>
      </w:tr>
      <w:tr>
        <w:trPr>
          <w:trHeight w:val="148"/>
        </w:trPr>
        <w:tc>
          <w:tcPr>
            <w:tcW w:w="330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54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220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960" w:type="dxa"/>
            <w:vAlign w:val="bottom"/>
            <w:gridSpan w:val="2"/>
            <w:shd w:val="clear" w:color="auto" w:fill="CCECFF"/>
          </w:tcPr>
          <w:p>
            <w:pPr>
              <w:jc w:val="right"/>
              <w:ind w:right="160"/>
              <w:spacing w:after="0"/>
              <w:rPr>
                <w:sz w:val="20"/>
                <w:szCs w:val="20"/>
                <w:color w:val="auto"/>
              </w:rPr>
            </w:pPr>
            <w:r>
              <w:rPr>
                <w:rFonts w:ascii="Arial" w:cs="Arial" w:eastAsia="Arial" w:hAnsi="Arial"/>
                <w:sz w:val="12"/>
                <w:szCs w:val="12"/>
                <w:color w:val="auto"/>
              </w:rPr>
              <w:t>(PIK 10.44%)</w:t>
            </w:r>
          </w:p>
        </w:tc>
        <w:tc>
          <w:tcPr>
            <w:tcW w:w="66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72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70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60" w:type="dxa"/>
            <w:vAlign w:val="bottom"/>
            <w:shd w:val="clear" w:color="auto" w:fill="CCECFF"/>
          </w:tcPr>
          <w:p>
            <w:pPr>
              <w:spacing w:after="0"/>
              <w:rPr>
                <w:sz w:val="12"/>
                <w:szCs w:val="12"/>
                <w:color w:val="auto"/>
              </w:rPr>
            </w:pPr>
          </w:p>
        </w:tc>
        <w:tc>
          <w:tcPr>
            <w:tcW w:w="7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r>
      <w:tr>
        <w:trPr>
          <w:trHeight w:val="148"/>
        </w:trPr>
        <w:tc>
          <w:tcPr>
            <w:tcW w:w="3300" w:type="dxa"/>
            <w:vAlign w:val="bottom"/>
          </w:tcPr>
          <w:p>
            <w:pPr>
              <w:spacing w:after="0"/>
              <w:rPr>
                <w:sz w:val="20"/>
                <w:szCs w:val="20"/>
                <w:color w:val="auto"/>
              </w:rPr>
            </w:pPr>
            <w:r>
              <w:rPr>
                <w:rFonts w:ascii="Arial" w:cs="Arial" w:eastAsia="Arial" w:hAnsi="Arial"/>
                <w:sz w:val="12"/>
                <w:szCs w:val="12"/>
                <w:color w:val="auto"/>
              </w:rPr>
              <w:t>Quick Weight Loss Centers, LLC</w:t>
            </w:r>
          </w:p>
        </w:tc>
        <w:tc>
          <w:tcPr>
            <w:tcW w:w="660" w:type="dxa"/>
            <w:vAlign w:val="bottom"/>
            <w:gridSpan w:val="2"/>
          </w:tcPr>
          <w:p>
            <w:pPr>
              <w:jc w:val="center"/>
              <w:ind w:left="62"/>
              <w:spacing w:after="0"/>
              <w:rPr>
                <w:sz w:val="20"/>
                <w:szCs w:val="20"/>
                <w:color w:val="auto"/>
              </w:rPr>
            </w:pPr>
            <w:r>
              <w:rPr>
                <w:rFonts w:ascii="Arial" w:cs="Arial" w:eastAsia="Arial" w:hAnsi="Arial"/>
                <w:sz w:val="12"/>
                <w:szCs w:val="12"/>
                <w:color w:val="auto"/>
                <w:w w:val="89"/>
              </w:rPr>
              <w:t>10/12/2023</w:t>
            </w:r>
          </w:p>
        </w:tc>
        <w:tc>
          <w:tcPr>
            <w:tcW w:w="240" w:type="dxa"/>
            <w:vAlign w:val="bottom"/>
          </w:tcPr>
          <w:p>
            <w:pPr>
              <w:spacing w:after="0"/>
              <w:rPr>
                <w:sz w:val="12"/>
                <w:szCs w:val="12"/>
                <w:color w:val="auto"/>
              </w:rPr>
            </w:pPr>
          </w:p>
        </w:tc>
        <w:tc>
          <w:tcPr>
            <w:tcW w:w="2320" w:type="dxa"/>
            <w:vAlign w:val="bottom"/>
            <w:gridSpan w:val="2"/>
          </w:tcPr>
          <w:p>
            <w:pPr>
              <w:jc w:val="center"/>
              <w:ind w:right="120"/>
              <w:spacing w:after="0"/>
              <w:rPr>
                <w:sz w:val="20"/>
                <w:szCs w:val="20"/>
                <w:color w:val="auto"/>
              </w:rPr>
            </w:pPr>
            <w:r>
              <w:rPr>
                <w:rFonts w:ascii="Arial" w:cs="Arial" w:eastAsia="Arial" w:hAnsi="Arial"/>
                <w:sz w:val="12"/>
                <w:szCs w:val="12"/>
                <w:color w:val="auto"/>
                <w:w w:val="85"/>
              </w:rPr>
              <w:t>Beverage, Food and Tobacco</w:t>
            </w:r>
          </w:p>
        </w:tc>
        <w:tc>
          <w:tcPr>
            <w:tcW w:w="960" w:type="dxa"/>
            <w:vAlign w:val="bottom"/>
            <w:gridSpan w:val="2"/>
          </w:tcPr>
          <w:p>
            <w:pPr>
              <w:jc w:val="right"/>
              <w:ind w:right="200"/>
              <w:spacing w:after="0"/>
              <w:rPr>
                <w:sz w:val="20"/>
                <w:szCs w:val="20"/>
                <w:color w:val="auto"/>
              </w:rPr>
            </w:pPr>
            <w:r>
              <w:rPr>
                <w:rFonts w:ascii="Arial" w:cs="Arial" w:eastAsia="Arial" w:hAnsi="Arial"/>
                <w:sz w:val="12"/>
                <w:szCs w:val="12"/>
                <w:color w:val="auto"/>
              </w:rPr>
              <w:t>4.00%</w:t>
            </w:r>
          </w:p>
        </w:tc>
        <w:tc>
          <w:tcPr>
            <w:tcW w:w="88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720" w:type="dxa"/>
            <w:vAlign w:val="bottom"/>
          </w:tcPr>
          <w:p>
            <w:pPr>
              <w:jc w:val="right"/>
              <w:spacing w:after="0"/>
              <w:rPr>
                <w:sz w:val="20"/>
                <w:szCs w:val="20"/>
                <w:color w:val="auto"/>
              </w:rPr>
            </w:pPr>
            <w:r>
              <w:rPr>
                <w:rFonts w:ascii="Arial" w:cs="Arial" w:eastAsia="Arial" w:hAnsi="Arial"/>
                <w:sz w:val="12"/>
                <w:szCs w:val="12"/>
                <w:color w:val="auto"/>
              </w:rPr>
              <w:t>235,960</w:t>
            </w:r>
          </w:p>
        </w:tc>
        <w:tc>
          <w:tcPr>
            <w:tcW w:w="2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235,960</w:t>
            </w:r>
          </w:p>
        </w:tc>
        <w:tc>
          <w:tcPr>
            <w:tcW w:w="24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235,960</w:t>
            </w:r>
          </w:p>
        </w:tc>
        <w:tc>
          <w:tcPr>
            <w:tcW w:w="100" w:type="dxa"/>
            <w:vAlign w:val="bottom"/>
          </w:tcPr>
          <w:p>
            <w:pPr>
              <w:spacing w:after="0"/>
              <w:rPr>
                <w:sz w:val="12"/>
                <w:szCs w:val="12"/>
                <w:color w:val="auto"/>
              </w:rPr>
            </w:pPr>
          </w:p>
        </w:tc>
      </w:tr>
      <w:tr>
        <w:trPr>
          <w:trHeight w:val="142"/>
        </w:trPr>
        <w:tc>
          <w:tcPr>
            <w:tcW w:w="3300" w:type="dxa"/>
            <w:vAlign w:val="bottom"/>
          </w:tcPr>
          <w:p>
            <w:pPr>
              <w:spacing w:after="0"/>
              <w:rPr>
                <w:sz w:val="20"/>
                <w:szCs w:val="20"/>
                <w:color w:val="auto"/>
              </w:rPr>
            </w:pPr>
            <w:r>
              <w:rPr>
                <w:rFonts w:ascii="Arial" w:cs="Arial" w:eastAsia="Arial" w:hAnsi="Arial"/>
                <w:sz w:val="12"/>
                <w:szCs w:val="12"/>
                <w:b w:val="1"/>
                <w:bCs w:val="1"/>
                <w:color w:val="auto"/>
              </w:rPr>
              <w:t>Total Second Lien Secured Debt</w:t>
            </w: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2"/>
                <w:szCs w:val="12"/>
                <w:color w:val="auto"/>
              </w:rPr>
              <w:t>(PIK 4.00%)</w:t>
            </w: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5,694,098</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5,694,098</w:t>
            </w:r>
          </w:p>
        </w:tc>
        <w:tc>
          <w:tcPr>
            <w:tcW w:w="100" w:type="dxa"/>
            <w:vAlign w:val="bottom"/>
          </w:tcPr>
          <w:p>
            <w:pPr>
              <w:spacing w:after="0"/>
              <w:rPr>
                <w:sz w:val="12"/>
                <w:szCs w:val="12"/>
                <w:color w:val="auto"/>
              </w:rPr>
            </w:pPr>
          </w:p>
        </w:tc>
      </w:tr>
      <w:tr>
        <w:trPr>
          <w:trHeight w:val="148"/>
        </w:trPr>
        <w:tc>
          <w:tcPr>
            <w:tcW w:w="3300" w:type="dxa"/>
            <w:vAlign w:val="bottom"/>
            <w:shd w:val="clear" w:color="auto" w:fill="CCECFF"/>
          </w:tcPr>
          <w:p>
            <w:pPr>
              <w:spacing w:after="0" w:line="149" w:lineRule="exact"/>
              <w:rPr>
                <w:sz w:val="20"/>
                <w:szCs w:val="20"/>
                <w:color w:val="auto"/>
              </w:rPr>
            </w:pPr>
            <w:r>
              <w:rPr>
                <w:rFonts w:ascii="Arial" w:cs="Arial" w:eastAsia="Arial" w:hAnsi="Arial"/>
                <w:sz w:val="11"/>
                <w:szCs w:val="11"/>
                <w:b w:val="1"/>
                <w:bCs w:val="1"/>
                <w:color w:val="auto"/>
              </w:rPr>
              <w:t xml:space="preserve">Preferred Equity—0.0% </w:t>
            </w:r>
            <w:r>
              <w:rPr>
                <w:rFonts w:ascii="Arial" w:cs="Arial" w:eastAsia="Arial" w:hAnsi="Arial"/>
                <w:sz w:val="17"/>
                <w:szCs w:val="17"/>
                <w:b w:val="1"/>
                <w:bCs w:val="1"/>
                <w:color w:val="auto"/>
                <w:vertAlign w:val="superscript"/>
              </w:rPr>
              <w:t>(6)</w:t>
            </w:r>
          </w:p>
        </w:tc>
        <w:tc>
          <w:tcPr>
            <w:tcW w:w="120" w:type="dxa"/>
            <w:vAlign w:val="bottom"/>
            <w:shd w:val="clear" w:color="auto" w:fill="CCECFF"/>
          </w:tcPr>
          <w:p>
            <w:pPr>
              <w:spacing w:after="0"/>
              <w:rPr>
                <w:sz w:val="12"/>
                <w:szCs w:val="12"/>
                <w:color w:val="auto"/>
              </w:rPr>
            </w:pPr>
          </w:p>
        </w:tc>
        <w:tc>
          <w:tcPr>
            <w:tcW w:w="54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220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60" w:type="dxa"/>
            <w:vAlign w:val="bottom"/>
            <w:shd w:val="clear" w:color="auto" w:fill="CCECFF"/>
          </w:tcPr>
          <w:p>
            <w:pPr>
              <w:spacing w:after="0"/>
              <w:rPr>
                <w:sz w:val="12"/>
                <w:szCs w:val="12"/>
                <w:color w:val="auto"/>
              </w:rPr>
            </w:pPr>
          </w:p>
        </w:tc>
        <w:tc>
          <w:tcPr>
            <w:tcW w:w="300" w:type="dxa"/>
            <w:vAlign w:val="bottom"/>
            <w:shd w:val="clear" w:color="auto" w:fill="CCECFF"/>
          </w:tcPr>
          <w:p>
            <w:pPr>
              <w:spacing w:after="0"/>
              <w:rPr>
                <w:sz w:val="12"/>
                <w:szCs w:val="12"/>
                <w:color w:val="auto"/>
              </w:rPr>
            </w:pPr>
          </w:p>
        </w:tc>
        <w:tc>
          <w:tcPr>
            <w:tcW w:w="66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72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70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60" w:type="dxa"/>
            <w:vAlign w:val="bottom"/>
            <w:shd w:val="clear" w:color="auto" w:fill="CCECFF"/>
          </w:tcPr>
          <w:p>
            <w:pPr>
              <w:spacing w:after="0"/>
              <w:rPr>
                <w:sz w:val="12"/>
                <w:szCs w:val="12"/>
                <w:color w:val="auto"/>
              </w:rPr>
            </w:pPr>
          </w:p>
        </w:tc>
        <w:tc>
          <w:tcPr>
            <w:tcW w:w="7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r>
      <w:tr>
        <w:trPr>
          <w:trHeight w:val="148"/>
        </w:trPr>
        <w:tc>
          <w:tcPr>
            <w:tcW w:w="3300" w:type="dxa"/>
            <w:vAlign w:val="bottom"/>
            <w:tcBorders>
              <w:bottom w:val="single" w:sz="8" w:color="CCECFF"/>
            </w:tcBorders>
          </w:tcPr>
          <w:p>
            <w:pPr>
              <w:spacing w:after="0" w:line="149" w:lineRule="exact"/>
              <w:rPr>
                <w:sz w:val="20"/>
                <w:szCs w:val="20"/>
                <w:color w:val="auto"/>
              </w:rPr>
            </w:pPr>
            <w:r>
              <w:rPr>
                <w:rFonts w:ascii="Arial" w:cs="Arial" w:eastAsia="Arial" w:hAnsi="Arial"/>
                <w:sz w:val="11"/>
                <w:szCs w:val="11"/>
                <w:color w:val="auto"/>
              </w:rPr>
              <w:t xml:space="preserve">Quick Weight Loss Centers Holdings, LLC </w:t>
            </w:r>
            <w:r>
              <w:rPr>
                <w:rFonts w:ascii="Arial" w:cs="Arial" w:eastAsia="Arial" w:hAnsi="Arial"/>
                <w:sz w:val="17"/>
                <w:szCs w:val="17"/>
                <w:color w:val="auto"/>
                <w:vertAlign w:val="superscript"/>
              </w:rPr>
              <w:t>(8)</w:t>
            </w:r>
          </w:p>
        </w:tc>
        <w:tc>
          <w:tcPr>
            <w:tcW w:w="120" w:type="dxa"/>
            <w:vAlign w:val="bottom"/>
            <w:tcBorders>
              <w:bottom w:val="single" w:sz="8" w:color="CCECFF"/>
            </w:tcBorders>
          </w:tcPr>
          <w:p>
            <w:pPr>
              <w:spacing w:after="0"/>
              <w:rPr>
                <w:sz w:val="12"/>
                <w:szCs w:val="12"/>
                <w:color w:val="auto"/>
              </w:rPr>
            </w:pPr>
          </w:p>
        </w:tc>
        <w:tc>
          <w:tcPr>
            <w:tcW w:w="780" w:type="dxa"/>
            <w:vAlign w:val="bottom"/>
            <w:tcBorders>
              <w:bottom w:val="single" w:sz="8" w:color="CCECFF"/>
            </w:tcBorders>
            <w:gridSpan w:val="2"/>
          </w:tcPr>
          <w:p>
            <w:pPr>
              <w:ind w:left="260"/>
              <w:spacing w:after="0"/>
              <w:rPr>
                <w:sz w:val="20"/>
                <w:szCs w:val="20"/>
                <w:color w:val="auto"/>
              </w:rPr>
            </w:pPr>
            <w:r>
              <w:rPr>
                <w:rFonts w:ascii="Arial" w:cs="Arial" w:eastAsia="Arial" w:hAnsi="Arial"/>
                <w:sz w:val="12"/>
                <w:szCs w:val="12"/>
                <w:color w:val="auto"/>
              </w:rPr>
              <w:t>—</w:t>
            </w:r>
          </w:p>
        </w:tc>
        <w:tc>
          <w:tcPr>
            <w:tcW w:w="2320" w:type="dxa"/>
            <w:vAlign w:val="bottom"/>
            <w:tcBorders>
              <w:bottom w:val="single" w:sz="8" w:color="CCECFF"/>
            </w:tcBorders>
            <w:gridSpan w:val="2"/>
          </w:tcPr>
          <w:p>
            <w:pPr>
              <w:jc w:val="center"/>
              <w:ind w:right="120"/>
              <w:spacing w:after="0"/>
              <w:rPr>
                <w:sz w:val="20"/>
                <w:szCs w:val="20"/>
                <w:color w:val="auto"/>
              </w:rPr>
            </w:pPr>
            <w:r>
              <w:rPr>
                <w:rFonts w:ascii="Arial" w:cs="Arial" w:eastAsia="Arial" w:hAnsi="Arial"/>
                <w:sz w:val="12"/>
                <w:szCs w:val="12"/>
                <w:color w:val="auto"/>
                <w:w w:val="85"/>
              </w:rPr>
              <w:t>Beverage, Food and Tobacco</w:t>
            </w:r>
          </w:p>
        </w:tc>
        <w:tc>
          <w:tcPr>
            <w:tcW w:w="960" w:type="dxa"/>
            <w:vAlign w:val="bottom"/>
            <w:tcBorders>
              <w:bottom w:val="single" w:sz="8" w:color="CCECFF"/>
            </w:tcBorders>
            <w:gridSpan w:val="2"/>
          </w:tcPr>
          <w:p>
            <w:pPr>
              <w:jc w:val="right"/>
              <w:ind w:right="300"/>
              <w:spacing w:after="0"/>
              <w:rPr>
                <w:sz w:val="20"/>
                <w:szCs w:val="20"/>
                <w:color w:val="auto"/>
              </w:rPr>
            </w:pPr>
            <w:r>
              <w:rPr>
                <w:rFonts w:ascii="Arial" w:cs="Arial" w:eastAsia="Arial" w:hAnsi="Arial"/>
                <w:sz w:val="12"/>
                <w:szCs w:val="12"/>
                <w:color w:val="auto"/>
              </w:rPr>
              <w:t>—</w:t>
            </w:r>
          </w:p>
        </w:tc>
        <w:tc>
          <w:tcPr>
            <w:tcW w:w="880" w:type="dxa"/>
            <w:vAlign w:val="bottom"/>
            <w:tcBorders>
              <w:bottom w:val="single" w:sz="8" w:color="CCECFF"/>
            </w:tcBorders>
            <w:gridSpan w:val="2"/>
          </w:tcPr>
          <w:p>
            <w:pPr>
              <w:jc w:val="right"/>
              <w:ind w:right="240"/>
              <w:spacing w:after="0"/>
              <w:rPr>
                <w:sz w:val="20"/>
                <w:szCs w:val="20"/>
                <w:color w:val="auto"/>
              </w:rPr>
            </w:pPr>
            <w:r>
              <w:rPr>
                <w:rFonts w:ascii="Arial" w:cs="Arial" w:eastAsia="Arial" w:hAnsi="Arial"/>
                <w:sz w:val="12"/>
                <w:szCs w:val="12"/>
                <w:color w:val="auto"/>
              </w:rPr>
              <w:t>—</w:t>
            </w:r>
          </w:p>
        </w:tc>
        <w:tc>
          <w:tcPr>
            <w:tcW w:w="720" w:type="dxa"/>
            <w:vAlign w:val="bottom"/>
            <w:tcBorders>
              <w:bottom w:val="single" w:sz="8" w:color="CCECFF"/>
            </w:tcBorders>
          </w:tcPr>
          <w:p>
            <w:pPr>
              <w:jc w:val="right"/>
              <w:spacing w:after="0"/>
              <w:rPr>
                <w:sz w:val="20"/>
                <w:szCs w:val="20"/>
                <w:color w:val="auto"/>
              </w:rPr>
            </w:pPr>
            <w:r>
              <w:rPr>
                <w:rFonts w:ascii="Arial" w:cs="Arial" w:eastAsia="Arial" w:hAnsi="Arial"/>
                <w:sz w:val="12"/>
                <w:szCs w:val="12"/>
                <w:color w:val="auto"/>
              </w:rPr>
              <w:t>9,568,216</w:t>
            </w:r>
          </w:p>
        </w:tc>
        <w:tc>
          <w:tcPr>
            <w:tcW w:w="220" w:type="dxa"/>
            <w:vAlign w:val="bottom"/>
            <w:tcBorders>
              <w:bottom w:val="single" w:sz="8" w:color="CCEC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842,352</w:t>
            </w:r>
          </w:p>
        </w:tc>
        <w:tc>
          <w:tcPr>
            <w:tcW w:w="240" w:type="dxa"/>
            <w:vAlign w:val="bottom"/>
            <w:tcBorders>
              <w:bottom w:val="single" w:sz="8" w:color="CCECFF"/>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149,004</w:t>
            </w:r>
          </w:p>
        </w:tc>
        <w:tc>
          <w:tcPr>
            <w:tcW w:w="100" w:type="dxa"/>
            <w:vAlign w:val="bottom"/>
            <w:tcBorders>
              <w:bottom w:val="single" w:sz="8" w:color="CCECFF"/>
            </w:tcBorders>
          </w:tcPr>
          <w:p>
            <w:pPr>
              <w:spacing w:after="0"/>
              <w:rPr>
                <w:sz w:val="12"/>
                <w:szCs w:val="12"/>
                <w:color w:val="auto"/>
              </w:rPr>
            </w:pPr>
          </w:p>
        </w:tc>
      </w:tr>
      <w:tr>
        <w:trPr>
          <w:trHeight w:val="142"/>
        </w:trPr>
        <w:tc>
          <w:tcPr>
            <w:tcW w:w="3300" w:type="dxa"/>
            <w:vAlign w:val="bottom"/>
            <w:shd w:val="clear" w:color="auto" w:fill="CCECFF"/>
          </w:tcPr>
          <w:p>
            <w:pPr>
              <w:spacing w:after="0"/>
              <w:rPr>
                <w:sz w:val="20"/>
                <w:szCs w:val="20"/>
                <w:color w:val="auto"/>
              </w:rPr>
            </w:pPr>
            <w:r>
              <w:rPr>
                <w:rFonts w:ascii="Arial" w:cs="Arial" w:eastAsia="Arial" w:hAnsi="Arial"/>
                <w:sz w:val="12"/>
                <w:szCs w:val="12"/>
                <w:b w:val="1"/>
                <w:bCs w:val="1"/>
                <w:color w:val="auto"/>
              </w:rPr>
              <w:t>Total Preferred Equity</w:t>
            </w:r>
          </w:p>
        </w:tc>
        <w:tc>
          <w:tcPr>
            <w:tcW w:w="120" w:type="dxa"/>
            <w:vAlign w:val="bottom"/>
            <w:shd w:val="clear" w:color="auto" w:fill="CCECFF"/>
          </w:tcPr>
          <w:p>
            <w:pPr>
              <w:spacing w:after="0"/>
              <w:rPr>
                <w:sz w:val="12"/>
                <w:szCs w:val="12"/>
                <w:color w:val="auto"/>
              </w:rPr>
            </w:pPr>
          </w:p>
        </w:tc>
        <w:tc>
          <w:tcPr>
            <w:tcW w:w="54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220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60" w:type="dxa"/>
            <w:vAlign w:val="bottom"/>
            <w:shd w:val="clear" w:color="auto" w:fill="CCECFF"/>
          </w:tcPr>
          <w:p>
            <w:pPr>
              <w:spacing w:after="0"/>
              <w:rPr>
                <w:sz w:val="12"/>
                <w:szCs w:val="12"/>
                <w:color w:val="auto"/>
              </w:rPr>
            </w:pPr>
          </w:p>
        </w:tc>
        <w:tc>
          <w:tcPr>
            <w:tcW w:w="300" w:type="dxa"/>
            <w:vAlign w:val="bottom"/>
            <w:shd w:val="clear" w:color="auto" w:fill="CCECFF"/>
          </w:tcPr>
          <w:p>
            <w:pPr>
              <w:spacing w:after="0"/>
              <w:rPr>
                <w:sz w:val="12"/>
                <w:szCs w:val="12"/>
                <w:color w:val="auto"/>
              </w:rPr>
            </w:pPr>
          </w:p>
        </w:tc>
        <w:tc>
          <w:tcPr>
            <w:tcW w:w="66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72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842,352</w:t>
            </w:r>
          </w:p>
        </w:tc>
        <w:tc>
          <w:tcPr>
            <w:tcW w:w="240" w:type="dxa"/>
            <w:vAlign w:val="bottom"/>
            <w:shd w:val="clear" w:color="auto" w:fill="CCECFF"/>
          </w:tcPr>
          <w:p>
            <w:pPr>
              <w:spacing w:after="0"/>
              <w:rPr>
                <w:sz w:val="12"/>
                <w:szCs w:val="12"/>
                <w:color w:val="auto"/>
              </w:rPr>
            </w:pPr>
          </w:p>
        </w:tc>
        <w:tc>
          <w:tcPr>
            <w:tcW w:w="60" w:type="dxa"/>
            <w:vAlign w:val="bottom"/>
            <w:shd w:val="clear" w:color="auto" w:fill="CCECFF"/>
          </w:tcPr>
          <w:p>
            <w:pPr>
              <w:spacing w:after="0"/>
              <w:rPr>
                <w:sz w:val="12"/>
                <w:szCs w:val="12"/>
                <w:color w:val="auto"/>
              </w:rPr>
            </w:pPr>
          </w:p>
        </w:tc>
        <w:tc>
          <w:tcPr>
            <w:tcW w:w="7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149,004</w:t>
            </w:r>
          </w:p>
        </w:tc>
        <w:tc>
          <w:tcPr>
            <w:tcW w:w="100" w:type="dxa"/>
            <w:vAlign w:val="bottom"/>
            <w:shd w:val="clear" w:color="auto" w:fill="CCECFF"/>
          </w:tcPr>
          <w:p>
            <w:pPr>
              <w:spacing w:after="0"/>
              <w:rPr>
                <w:sz w:val="12"/>
                <w:szCs w:val="12"/>
                <w:color w:val="auto"/>
              </w:rPr>
            </w:pPr>
          </w:p>
        </w:tc>
      </w:tr>
      <w:tr>
        <w:trPr>
          <w:trHeight w:val="148"/>
        </w:trPr>
        <w:tc>
          <w:tcPr>
            <w:tcW w:w="3300" w:type="dxa"/>
            <w:vAlign w:val="bottom"/>
          </w:tcPr>
          <w:p>
            <w:pPr>
              <w:spacing w:after="0" w:line="149" w:lineRule="exact"/>
              <w:rPr>
                <w:sz w:val="20"/>
                <w:szCs w:val="20"/>
                <w:color w:val="auto"/>
              </w:rPr>
            </w:pPr>
            <w:r>
              <w:rPr>
                <w:rFonts w:ascii="Arial" w:cs="Arial" w:eastAsia="Arial" w:hAnsi="Arial"/>
                <w:sz w:val="11"/>
                <w:szCs w:val="11"/>
                <w:b w:val="1"/>
                <w:bCs w:val="1"/>
                <w:color w:val="auto"/>
              </w:rPr>
              <w:t xml:space="preserve">Common Equity/Warrants—0.9% </w:t>
            </w:r>
            <w:r>
              <w:rPr>
                <w:rFonts w:ascii="Arial" w:cs="Arial" w:eastAsia="Arial" w:hAnsi="Arial"/>
                <w:sz w:val="17"/>
                <w:szCs w:val="17"/>
                <w:b w:val="1"/>
                <w:bCs w:val="1"/>
                <w:color w:val="auto"/>
                <w:vertAlign w:val="superscript"/>
              </w:rPr>
              <w:t>(6)</w:t>
            </w: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3300" w:type="dxa"/>
            <w:vAlign w:val="bottom"/>
            <w:shd w:val="clear" w:color="auto" w:fill="CCECFF"/>
          </w:tcPr>
          <w:p>
            <w:pPr>
              <w:spacing w:after="0"/>
              <w:rPr>
                <w:sz w:val="20"/>
                <w:szCs w:val="20"/>
                <w:color w:val="auto"/>
              </w:rPr>
            </w:pPr>
            <w:r>
              <w:rPr>
                <w:rFonts w:ascii="Arial" w:cs="Arial" w:eastAsia="Arial" w:hAnsi="Arial"/>
                <w:sz w:val="12"/>
                <w:szCs w:val="12"/>
                <w:color w:val="auto"/>
              </w:rPr>
              <w:t>Country Fresh Holding Company Inc.</w:t>
            </w:r>
          </w:p>
        </w:tc>
        <w:tc>
          <w:tcPr>
            <w:tcW w:w="120" w:type="dxa"/>
            <w:vAlign w:val="bottom"/>
            <w:shd w:val="clear" w:color="auto" w:fill="CCECFF"/>
          </w:tcPr>
          <w:p>
            <w:pPr>
              <w:spacing w:after="0"/>
              <w:rPr>
                <w:sz w:val="12"/>
                <w:szCs w:val="12"/>
                <w:color w:val="auto"/>
              </w:rPr>
            </w:pPr>
          </w:p>
        </w:tc>
        <w:tc>
          <w:tcPr>
            <w:tcW w:w="780" w:type="dxa"/>
            <w:vAlign w:val="bottom"/>
            <w:gridSpan w:val="2"/>
            <w:shd w:val="clear" w:color="auto" w:fill="CCECFF"/>
          </w:tcPr>
          <w:p>
            <w:pPr>
              <w:ind w:left="260"/>
              <w:spacing w:after="0"/>
              <w:rPr>
                <w:sz w:val="20"/>
                <w:szCs w:val="20"/>
                <w:color w:val="auto"/>
              </w:rPr>
            </w:pPr>
            <w:r>
              <w:rPr>
                <w:rFonts w:ascii="Arial" w:cs="Arial" w:eastAsia="Arial" w:hAnsi="Arial"/>
                <w:sz w:val="12"/>
                <w:szCs w:val="12"/>
                <w:color w:val="auto"/>
              </w:rPr>
              <w:t>—</w:t>
            </w:r>
          </w:p>
        </w:tc>
        <w:tc>
          <w:tcPr>
            <w:tcW w:w="2320" w:type="dxa"/>
            <w:vAlign w:val="bottom"/>
            <w:gridSpan w:val="2"/>
            <w:shd w:val="clear" w:color="auto" w:fill="CCECFF"/>
          </w:tcPr>
          <w:p>
            <w:pPr>
              <w:jc w:val="center"/>
              <w:ind w:right="120"/>
              <w:spacing w:after="0"/>
              <w:rPr>
                <w:sz w:val="20"/>
                <w:szCs w:val="20"/>
                <w:color w:val="auto"/>
              </w:rPr>
            </w:pPr>
            <w:r>
              <w:rPr>
                <w:rFonts w:ascii="Arial" w:cs="Arial" w:eastAsia="Arial" w:hAnsi="Arial"/>
                <w:sz w:val="12"/>
                <w:szCs w:val="12"/>
                <w:color w:val="auto"/>
                <w:w w:val="85"/>
              </w:rPr>
              <w:t>Beverage, Food and Tobacco</w:t>
            </w:r>
          </w:p>
        </w:tc>
        <w:tc>
          <w:tcPr>
            <w:tcW w:w="960" w:type="dxa"/>
            <w:vAlign w:val="bottom"/>
            <w:gridSpan w:val="2"/>
            <w:shd w:val="clear" w:color="auto" w:fill="CCECFF"/>
          </w:tcPr>
          <w:p>
            <w:pPr>
              <w:jc w:val="right"/>
              <w:ind w:right="300"/>
              <w:spacing w:after="0"/>
              <w:rPr>
                <w:sz w:val="20"/>
                <w:szCs w:val="20"/>
                <w:color w:val="auto"/>
              </w:rPr>
            </w:pPr>
            <w:r>
              <w:rPr>
                <w:rFonts w:ascii="Arial" w:cs="Arial" w:eastAsia="Arial" w:hAnsi="Arial"/>
                <w:sz w:val="12"/>
                <w:szCs w:val="12"/>
                <w:color w:val="auto"/>
              </w:rPr>
              <w:t>—</w:t>
            </w:r>
          </w:p>
        </w:tc>
        <w:tc>
          <w:tcPr>
            <w:tcW w:w="88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7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8,034</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10,453,350</w:t>
            </w:r>
          </w:p>
        </w:tc>
        <w:tc>
          <w:tcPr>
            <w:tcW w:w="240" w:type="dxa"/>
            <w:vAlign w:val="bottom"/>
            <w:shd w:val="clear" w:color="auto" w:fill="CCECFF"/>
          </w:tcPr>
          <w:p>
            <w:pPr>
              <w:spacing w:after="0"/>
              <w:rPr>
                <w:sz w:val="12"/>
                <w:szCs w:val="12"/>
                <w:color w:val="auto"/>
              </w:rPr>
            </w:pPr>
          </w:p>
        </w:tc>
        <w:tc>
          <w:tcPr>
            <w:tcW w:w="60" w:type="dxa"/>
            <w:vAlign w:val="bottom"/>
            <w:shd w:val="clear" w:color="auto" w:fill="CCECFF"/>
          </w:tcPr>
          <w:p>
            <w:pPr>
              <w:spacing w:after="0"/>
              <w:rPr>
                <w:sz w:val="12"/>
                <w:szCs w:val="12"/>
                <w:color w:val="auto"/>
              </w:rPr>
            </w:pPr>
          </w:p>
        </w:tc>
        <w:tc>
          <w:tcPr>
            <w:tcW w:w="7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4,364,922</w:t>
            </w:r>
          </w:p>
        </w:tc>
        <w:tc>
          <w:tcPr>
            <w:tcW w:w="100" w:type="dxa"/>
            <w:vAlign w:val="bottom"/>
            <w:shd w:val="clear" w:color="auto" w:fill="CCECFF"/>
          </w:tcPr>
          <w:p>
            <w:pPr>
              <w:spacing w:after="0"/>
              <w:rPr>
                <w:sz w:val="12"/>
                <w:szCs w:val="12"/>
                <w:color w:val="auto"/>
              </w:rPr>
            </w:pPr>
          </w:p>
        </w:tc>
      </w:tr>
      <w:tr>
        <w:trPr>
          <w:trHeight w:val="148"/>
        </w:trPr>
        <w:tc>
          <w:tcPr>
            <w:tcW w:w="3300" w:type="dxa"/>
            <w:vAlign w:val="bottom"/>
            <w:tcBorders>
              <w:bottom w:val="single" w:sz="8" w:color="CCECFF"/>
            </w:tcBorders>
          </w:tcPr>
          <w:p>
            <w:pPr>
              <w:spacing w:after="0" w:line="149" w:lineRule="exact"/>
              <w:rPr>
                <w:sz w:val="20"/>
                <w:szCs w:val="20"/>
                <w:color w:val="auto"/>
              </w:rPr>
            </w:pPr>
            <w:r>
              <w:rPr>
                <w:rFonts w:ascii="Arial" w:cs="Arial" w:eastAsia="Arial" w:hAnsi="Arial"/>
                <w:sz w:val="11"/>
                <w:szCs w:val="11"/>
                <w:color w:val="auto"/>
              </w:rPr>
              <w:t xml:space="preserve">Quick Weight Loss Centers, LLC </w:t>
            </w:r>
            <w:r>
              <w:rPr>
                <w:rFonts w:ascii="Arial" w:cs="Arial" w:eastAsia="Arial" w:hAnsi="Arial"/>
                <w:sz w:val="17"/>
                <w:szCs w:val="17"/>
                <w:color w:val="auto"/>
                <w:vertAlign w:val="superscript"/>
              </w:rPr>
              <w:t>(7), (8)</w:t>
            </w:r>
          </w:p>
        </w:tc>
        <w:tc>
          <w:tcPr>
            <w:tcW w:w="120" w:type="dxa"/>
            <w:vAlign w:val="bottom"/>
            <w:tcBorders>
              <w:bottom w:val="single" w:sz="8" w:color="CCECFF"/>
            </w:tcBorders>
          </w:tcPr>
          <w:p>
            <w:pPr>
              <w:spacing w:after="0"/>
              <w:rPr>
                <w:sz w:val="12"/>
                <w:szCs w:val="12"/>
                <w:color w:val="auto"/>
              </w:rPr>
            </w:pPr>
          </w:p>
        </w:tc>
        <w:tc>
          <w:tcPr>
            <w:tcW w:w="780" w:type="dxa"/>
            <w:vAlign w:val="bottom"/>
            <w:tcBorders>
              <w:bottom w:val="single" w:sz="8" w:color="CCECFF"/>
            </w:tcBorders>
            <w:gridSpan w:val="2"/>
          </w:tcPr>
          <w:p>
            <w:pPr>
              <w:ind w:left="260"/>
              <w:spacing w:after="0"/>
              <w:rPr>
                <w:sz w:val="20"/>
                <w:szCs w:val="20"/>
                <w:color w:val="auto"/>
              </w:rPr>
            </w:pPr>
            <w:r>
              <w:rPr>
                <w:rFonts w:ascii="Arial" w:cs="Arial" w:eastAsia="Arial" w:hAnsi="Arial"/>
                <w:sz w:val="12"/>
                <w:szCs w:val="12"/>
                <w:color w:val="auto"/>
              </w:rPr>
              <w:t>—</w:t>
            </w:r>
          </w:p>
        </w:tc>
        <w:tc>
          <w:tcPr>
            <w:tcW w:w="2320" w:type="dxa"/>
            <w:vAlign w:val="bottom"/>
            <w:tcBorders>
              <w:bottom w:val="single" w:sz="8" w:color="CCECFF"/>
            </w:tcBorders>
            <w:gridSpan w:val="2"/>
          </w:tcPr>
          <w:p>
            <w:pPr>
              <w:jc w:val="center"/>
              <w:ind w:right="120"/>
              <w:spacing w:after="0"/>
              <w:rPr>
                <w:sz w:val="20"/>
                <w:szCs w:val="20"/>
                <w:color w:val="auto"/>
              </w:rPr>
            </w:pPr>
            <w:r>
              <w:rPr>
                <w:rFonts w:ascii="Arial" w:cs="Arial" w:eastAsia="Arial" w:hAnsi="Arial"/>
                <w:sz w:val="12"/>
                <w:szCs w:val="12"/>
                <w:color w:val="auto"/>
                <w:w w:val="85"/>
              </w:rPr>
              <w:t>Beverage, Food and Tobacco</w:t>
            </w:r>
          </w:p>
        </w:tc>
        <w:tc>
          <w:tcPr>
            <w:tcW w:w="960" w:type="dxa"/>
            <w:vAlign w:val="bottom"/>
            <w:tcBorders>
              <w:bottom w:val="single" w:sz="8" w:color="CCECFF"/>
            </w:tcBorders>
            <w:gridSpan w:val="2"/>
          </w:tcPr>
          <w:p>
            <w:pPr>
              <w:jc w:val="right"/>
              <w:ind w:right="300"/>
              <w:spacing w:after="0"/>
              <w:rPr>
                <w:sz w:val="20"/>
                <w:szCs w:val="20"/>
                <w:color w:val="auto"/>
              </w:rPr>
            </w:pPr>
            <w:r>
              <w:rPr>
                <w:rFonts w:ascii="Arial" w:cs="Arial" w:eastAsia="Arial" w:hAnsi="Arial"/>
                <w:sz w:val="12"/>
                <w:szCs w:val="12"/>
                <w:color w:val="auto"/>
              </w:rPr>
              <w:t>—</w:t>
            </w:r>
          </w:p>
        </w:tc>
        <w:tc>
          <w:tcPr>
            <w:tcW w:w="880" w:type="dxa"/>
            <w:vAlign w:val="bottom"/>
            <w:tcBorders>
              <w:bottom w:val="single" w:sz="8" w:color="CCECFF"/>
            </w:tcBorders>
            <w:gridSpan w:val="2"/>
          </w:tcPr>
          <w:p>
            <w:pPr>
              <w:jc w:val="right"/>
              <w:ind w:right="240"/>
              <w:spacing w:after="0"/>
              <w:rPr>
                <w:sz w:val="20"/>
                <w:szCs w:val="20"/>
                <w:color w:val="auto"/>
              </w:rPr>
            </w:pPr>
            <w:r>
              <w:rPr>
                <w:rFonts w:ascii="Arial" w:cs="Arial" w:eastAsia="Arial" w:hAnsi="Arial"/>
                <w:sz w:val="12"/>
                <w:szCs w:val="12"/>
                <w:color w:val="auto"/>
              </w:rPr>
              <w:t>—</w:t>
            </w:r>
          </w:p>
        </w:tc>
        <w:tc>
          <w:tcPr>
            <w:tcW w:w="720" w:type="dxa"/>
            <w:vAlign w:val="bottom"/>
            <w:tcBorders>
              <w:bottom w:val="single" w:sz="8" w:color="CCECFF"/>
            </w:tcBorders>
          </w:tcPr>
          <w:p>
            <w:pPr>
              <w:jc w:val="right"/>
              <w:spacing w:after="0"/>
              <w:rPr>
                <w:sz w:val="20"/>
                <w:szCs w:val="20"/>
                <w:color w:val="auto"/>
              </w:rPr>
            </w:pPr>
            <w:r>
              <w:rPr>
                <w:rFonts w:ascii="Arial" w:cs="Arial" w:eastAsia="Arial" w:hAnsi="Arial"/>
                <w:sz w:val="12"/>
                <w:szCs w:val="12"/>
                <w:color w:val="auto"/>
              </w:rPr>
              <w:t>60</w:t>
            </w:r>
          </w:p>
        </w:tc>
        <w:tc>
          <w:tcPr>
            <w:tcW w:w="220" w:type="dxa"/>
            <w:vAlign w:val="bottom"/>
            <w:tcBorders>
              <w:bottom w:val="single" w:sz="8" w:color="CCEC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2,520,000</w:t>
            </w:r>
          </w:p>
        </w:tc>
        <w:tc>
          <w:tcPr>
            <w:tcW w:w="240" w:type="dxa"/>
            <w:vAlign w:val="bottom"/>
            <w:tcBorders>
              <w:bottom w:val="single" w:sz="8" w:color="CCECFF"/>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383,145</w:t>
            </w:r>
          </w:p>
        </w:tc>
        <w:tc>
          <w:tcPr>
            <w:tcW w:w="100" w:type="dxa"/>
            <w:vAlign w:val="bottom"/>
            <w:tcBorders>
              <w:bottom w:val="single" w:sz="8" w:color="CCECFF"/>
            </w:tcBorders>
          </w:tcPr>
          <w:p>
            <w:pPr>
              <w:spacing w:after="0"/>
              <w:rPr>
                <w:sz w:val="12"/>
                <w:szCs w:val="12"/>
                <w:color w:val="auto"/>
              </w:rPr>
            </w:pPr>
          </w:p>
        </w:tc>
      </w:tr>
      <w:tr>
        <w:trPr>
          <w:trHeight w:val="142"/>
        </w:trPr>
        <w:tc>
          <w:tcPr>
            <w:tcW w:w="3300" w:type="dxa"/>
            <w:vAlign w:val="bottom"/>
            <w:shd w:val="clear" w:color="auto" w:fill="CCECFF"/>
          </w:tcPr>
          <w:p>
            <w:pPr>
              <w:spacing w:after="0"/>
              <w:rPr>
                <w:sz w:val="20"/>
                <w:szCs w:val="20"/>
                <w:color w:val="auto"/>
              </w:rPr>
            </w:pPr>
            <w:r>
              <w:rPr>
                <w:rFonts w:ascii="Arial" w:cs="Arial" w:eastAsia="Arial" w:hAnsi="Arial"/>
                <w:sz w:val="12"/>
                <w:szCs w:val="12"/>
                <w:b w:val="1"/>
                <w:bCs w:val="1"/>
                <w:color w:val="auto"/>
              </w:rPr>
              <w:t>Total Common Equity/Warrants</w:t>
            </w:r>
          </w:p>
        </w:tc>
        <w:tc>
          <w:tcPr>
            <w:tcW w:w="120" w:type="dxa"/>
            <w:vAlign w:val="bottom"/>
            <w:shd w:val="clear" w:color="auto" w:fill="CCECFF"/>
          </w:tcPr>
          <w:p>
            <w:pPr>
              <w:spacing w:after="0"/>
              <w:rPr>
                <w:sz w:val="12"/>
                <w:szCs w:val="12"/>
                <w:color w:val="auto"/>
              </w:rPr>
            </w:pPr>
          </w:p>
        </w:tc>
        <w:tc>
          <w:tcPr>
            <w:tcW w:w="54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220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60" w:type="dxa"/>
            <w:vAlign w:val="bottom"/>
            <w:shd w:val="clear" w:color="auto" w:fill="CCECFF"/>
          </w:tcPr>
          <w:p>
            <w:pPr>
              <w:spacing w:after="0"/>
              <w:rPr>
                <w:sz w:val="12"/>
                <w:szCs w:val="12"/>
                <w:color w:val="auto"/>
              </w:rPr>
            </w:pPr>
          </w:p>
        </w:tc>
        <w:tc>
          <w:tcPr>
            <w:tcW w:w="300" w:type="dxa"/>
            <w:vAlign w:val="bottom"/>
            <w:shd w:val="clear" w:color="auto" w:fill="CCECFF"/>
          </w:tcPr>
          <w:p>
            <w:pPr>
              <w:spacing w:after="0"/>
              <w:rPr>
                <w:sz w:val="12"/>
                <w:szCs w:val="12"/>
                <w:color w:val="auto"/>
              </w:rPr>
            </w:pPr>
          </w:p>
        </w:tc>
        <w:tc>
          <w:tcPr>
            <w:tcW w:w="66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72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100" w:type="dxa"/>
            <w:vAlign w:val="bottom"/>
            <w:tcBorders>
              <w:bottom w:val="single" w:sz="8" w:color="auto"/>
            </w:tcBorders>
            <w:shd w:val="clear" w:color="auto" w:fill="CCECFF"/>
          </w:tcPr>
          <w:p>
            <w:pPr>
              <w:spacing w:after="0"/>
              <w:rPr>
                <w:sz w:val="12"/>
                <w:szCs w:val="12"/>
                <w:color w:val="auto"/>
              </w:rPr>
            </w:pPr>
          </w:p>
        </w:tc>
        <w:tc>
          <w:tcPr>
            <w:tcW w:w="7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rPr>
              <w:t>12,973,350</w:t>
            </w:r>
          </w:p>
        </w:tc>
        <w:tc>
          <w:tcPr>
            <w:tcW w:w="240" w:type="dxa"/>
            <w:vAlign w:val="bottom"/>
            <w:shd w:val="clear" w:color="auto" w:fill="CCECFF"/>
          </w:tcPr>
          <w:p>
            <w:pPr>
              <w:spacing w:after="0"/>
              <w:rPr>
                <w:sz w:val="12"/>
                <w:szCs w:val="12"/>
                <w:color w:val="auto"/>
              </w:rPr>
            </w:pPr>
          </w:p>
        </w:tc>
        <w:tc>
          <w:tcPr>
            <w:tcW w:w="60" w:type="dxa"/>
            <w:vAlign w:val="bottom"/>
            <w:tcBorders>
              <w:bottom w:val="single" w:sz="8" w:color="auto"/>
            </w:tcBorders>
            <w:shd w:val="clear" w:color="auto" w:fill="CCECFF"/>
          </w:tcPr>
          <w:p>
            <w:pPr>
              <w:spacing w:after="0"/>
              <w:rPr>
                <w:sz w:val="12"/>
                <w:szCs w:val="12"/>
                <w:color w:val="auto"/>
              </w:rPr>
            </w:pPr>
          </w:p>
        </w:tc>
        <w:tc>
          <w:tcPr>
            <w:tcW w:w="7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rPr>
              <w:t>4,748,067</w:t>
            </w:r>
          </w:p>
        </w:tc>
        <w:tc>
          <w:tcPr>
            <w:tcW w:w="100" w:type="dxa"/>
            <w:vAlign w:val="bottom"/>
            <w:shd w:val="clear" w:color="auto" w:fill="CCECFF"/>
          </w:tcPr>
          <w:p>
            <w:pPr>
              <w:spacing w:after="0"/>
              <w:rPr>
                <w:sz w:val="12"/>
                <w:szCs w:val="12"/>
                <w:color w:val="auto"/>
              </w:rPr>
            </w:pPr>
          </w:p>
        </w:tc>
      </w:tr>
      <w:tr>
        <w:trPr>
          <w:trHeight w:val="142"/>
        </w:trPr>
        <w:tc>
          <w:tcPr>
            <w:tcW w:w="4200" w:type="dxa"/>
            <w:vAlign w:val="bottom"/>
            <w:tcBorders>
              <w:bottom w:val="single" w:sz="8" w:color="CCECFF"/>
            </w:tcBorders>
            <w:gridSpan w:val="4"/>
          </w:tcPr>
          <w:p>
            <w:pPr>
              <w:spacing w:after="0"/>
              <w:rPr>
                <w:sz w:val="20"/>
                <w:szCs w:val="20"/>
                <w:color w:val="auto"/>
              </w:rPr>
            </w:pPr>
            <w:r>
              <w:rPr>
                <w:rFonts w:ascii="Arial" w:cs="Arial" w:eastAsia="Arial" w:hAnsi="Arial"/>
                <w:sz w:val="12"/>
                <w:szCs w:val="12"/>
                <w:b w:val="1"/>
                <w:bCs w:val="1"/>
                <w:color w:val="auto"/>
              </w:rPr>
              <w:t>Total Investments in Non-Controlled, Affiliated Portfolio Companies</w:t>
            </w:r>
          </w:p>
        </w:tc>
        <w:tc>
          <w:tcPr>
            <w:tcW w:w="2200" w:type="dxa"/>
            <w:vAlign w:val="bottom"/>
            <w:tcBorders>
              <w:bottom w:val="single" w:sz="8" w:color="CCECFF"/>
            </w:tcBorders>
          </w:tcPr>
          <w:p>
            <w:pPr>
              <w:spacing w:after="0"/>
              <w:rPr>
                <w:sz w:val="12"/>
                <w:szCs w:val="12"/>
                <w:color w:val="auto"/>
              </w:rPr>
            </w:pPr>
          </w:p>
        </w:tc>
        <w:tc>
          <w:tcPr>
            <w:tcW w:w="120" w:type="dxa"/>
            <w:vAlign w:val="bottom"/>
            <w:tcBorders>
              <w:bottom w:val="single" w:sz="8" w:color="CCECFF"/>
            </w:tcBorders>
          </w:tcPr>
          <w:p>
            <w:pPr>
              <w:spacing w:after="0"/>
              <w:rPr>
                <w:sz w:val="12"/>
                <w:szCs w:val="12"/>
                <w:color w:val="auto"/>
              </w:rPr>
            </w:pPr>
          </w:p>
        </w:tc>
        <w:tc>
          <w:tcPr>
            <w:tcW w:w="660" w:type="dxa"/>
            <w:vAlign w:val="bottom"/>
            <w:tcBorders>
              <w:bottom w:val="single" w:sz="8" w:color="CCECFF"/>
            </w:tcBorders>
          </w:tcPr>
          <w:p>
            <w:pPr>
              <w:spacing w:after="0"/>
              <w:rPr>
                <w:sz w:val="12"/>
                <w:szCs w:val="12"/>
                <w:color w:val="auto"/>
              </w:rPr>
            </w:pPr>
          </w:p>
        </w:tc>
        <w:tc>
          <w:tcPr>
            <w:tcW w:w="300" w:type="dxa"/>
            <w:vAlign w:val="bottom"/>
            <w:tcBorders>
              <w:bottom w:val="single" w:sz="8" w:color="CCECFF"/>
            </w:tcBorders>
          </w:tcPr>
          <w:p>
            <w:pPr>
              <w:spacing w:after="0"/>
              <w:rPr>
                <w:sz w:val="12"/>
                <w:szCs w:val="12"/>
                <w:color w:val="auto"/>
              </w:rPr>
            </w:pPr>
          </w:p>
        </w:tc>
        <w:tc>
          <w:tcPr>
            <w:tcW w:w="660" w:type="dxa"/>
            <w:vAlign w:val="bottom"/>
            <w:tcBorders>
              <w:bottom w:val="single" w:sz="8" w:color="CCECFF"/>
            </w:tcBorders>
          </w:tcPr>
          <w:p>
            <w:pPr>
              <w:spacing w:after="0"/>
              <w:rPr>
                <w:sz w:val="12"/>
                <w:szCs w:val="12"/>
                <w:color w:val="auto"/>
              </w:rPr>
            </w:pPr>
          </w:p>
        </w:tc>
        <w:tc>
          <w:tcPr>
            <w:tcW w:w="220" w:type="dxa"/>
            <w:vAlign w:val="bottom"/>
            <w:tcBorders>
              <w:bottom w:val="single" w:sz="8" w:color="CCECFF"/>
            </w:tcBorders>
          </w:tcPr>
          <w:p>
            <w:pPr>
              <w:spacing w:after="0"/>
              <w:rPr>
                <w:sz w:val="12"/>
                <w:szCs w:val="12"/>
                <w:color w:val="auto"/>
              </w:rPr>
            </w:pPr>
          </w:p>
        </w:tc>
        <w:tc>
          <w:tcPr>
            <w:tcW w:w="720" w:type="dxa"/>
            <w:vAlign w:val="bottom"/>
            <w:tcBorders>
              <w:bottom w:val="single" w:sz="8" w:color="CCECFF"/>
            </w:tcBorders>
          </w:tcPr>
          <w:p>
            <w:pPr>
              <w:spacing w:after="0"/>
              <w:rPr>
                <w:sz w:val="12"/>
                <w:szCs w:val="12"/>
                <w:color w:val="auto"/>
              </w:rPr>
            </w:pPr>
          </w:p>
        </w:tc>
        <w:tc>
          <w:tcPr>
            <w:tcW w:w="220" w:type="dxa"/>
            <w:vAlign w:val="bottom"/>
            <w:tcBorders>
              <w:bottom w:val="single" w:sz="8" w:color="CCEC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24,922,178</w:t>
            </w:r>
          </w:p>
        </w:tc>
        <w:tc>
          <w:tcPr>
            <w:tcW w:w="240" w:type="dxa"/>
            <w:vAlign w:val="bottom"/>
            <w:tcBorders>
              <w:bottom w:val="single" w:sz="8" w:color="CCECFF"/>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16,039,827</w:t>
            </w:r>
          </w:p>
        </w:tc>
        <w:tc>
          <w:tcPr>
            <w:tcW w:w="100" w:type="dxa"/>
            <w:vAlign w:val="bottom"/>
            <w:tcBorders>
              <w:bottom w:val="single" w:sz="8" w:color="CCECFF"/>
            </w:tcBorders>
          </w:tcPr>
          <w:p>
            <w:pPr>
              <w:spacing w:after="0"/>
              <w:rPr>
                <w:sz w:val="12"/>
                <w:szCs w:val="12"/>
                <w:color w:val="auto"/>
              </w:rPr>
            </w:pPr>
          </w:p>
        </w:tc>
      </w:tr>
      <w:tr>
        <w:trPr>
          <w:trHeight w:val="142"/>
        </w:trPr>
        <w:tc>
          <w:tcPr>
            <w:tcW w:w="4200" w:type="dxa"/>
            <w:vAlign w:val="bottom"/>
            <w:gridSpan w:val="4"/>
            <w:shd w:val="clear" w:color="auto" w:fill="CCECFF"/>
          </w:tcPr>
          <w:p>
            <w:pPr>
              <w:spacing w:after="0" w:line="142" w:lineRule="exact"/>
              <w:rPr>
                <w:sz w:val="20"/>
                <w:szCs w:val="20"/>
                <w:color w:val="auto"/>
              </w:rPr>
            </w:pPr>
            <w:r>
              <w:rPr>
                <w:rFonts w:ascii="Arial" w:cs="Arial" w:eastAsia="Arial" w:hAnsi="Arial"/>
                <w:sz w:val="10"/>
                <w:szCs w:val="10"/>
                <w:b w:val="1"/>
                <w:bCs w:val="1"/>
                <w:color w:val="auto"/>
              </w:rPr>
              <w:t xml:space="preserve">Investments in Controlled, Affiliated Portfolio Companies—34.2% </w:t>
            </w:r>
            <w:r>
              <w:rPr>
                <w:rFonts w:ascii="Arial" w:cs="Arial" w:eastAsia="Arial" w:hAnsi="Arial"/>
                <w:sz w:val="16"/>
                <w:szCs w:val="16"/>
                <w:b w:val="1"/>
                <w:bCs w:val="1"/>
                <w:color w:val="auto"/>
                <w:vertAlign w:val="superscript"/>
              </w:rPr>
              <w:t>(3), (4)</w:t>
            </w:r>
          </w:p>
        </w:tc>
        <w:tc>
          <w:tcPr>
            <w:tcW w:w="220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60" w:type="dxa"/>
            <w:vAlign w:val="bottom"/>
            <w:shd w:val="clear" w:color="auto" w:fill="CCECFF"/>
          </w:tcPr>
          <w:p>
            <w:pPr>
              <w:spacing w:after="0"/>
              <w:rPr>
                <w:sz w:val="12"/>
                <w:szCs w:val="12"/>
                <w:color w:val="auto"/>
              </w:rPr>
            </w:pPr>
          </w:p>
        </w:tc>
        <w:tc>
          <w:tcPr>
            <w:tcW w:w="300" w:type="dxa"/>
            <w:vAlign w:val="bottom"/>
            <w:shd w:val="clear" w:color="auto" w:fill="CCECFF"/>
          </w:tcPr>
          <w:p>
            <w:pPr>
              <w:spacing w:after="0"/>
              <w:rPr>
                <w:sz w:val="12"/>
                <w:szCs w:val="12"/>
                <w:color w:val="auto"/>
              </w:rPr>
            </w:pPr>
          </w:p>
        </w:tc>
        <w:tc>
          <w:tcPr>
            <w:tcW w:w="66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72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70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60" w:type="dxa"/>
            <w:vAlign w:val="bottom"/>
            <w:shd w:val="clear" w:color="auto" w:fill="CCECFF"/>
          </w:tcPr>
          <w:p>
            <w:pPr>
              <w:spacing w:after="0"/>
              <w:rPr>
                <w:sz w:val="12"/>
                <w:szCs w:val="12"/>
                <w:color w:val="auto"/>
              </w:rPr>
            </w:pPr>
          </w:p>
        </w:tc>
        <w:tc>
          <w:tcPr>
            <w:tcW w:w="7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r>
      <w:tr>
        <w:trPr>
          <w:trHeight w:val="148"/>
        </w:trPr>
        <w:tc>
          <w:tcPr>
            <w:tcW w:w="3300" w:type="dxa"/>
            <w:vAlign w:val="bottom"/>
          </w:tcPr>
          <w:p>
            <w:pPr>
              <w:spacing w:after="0"/>
              <w:rPr>
                <w:sz w:val="20"/>
                <w:szCs w:val="20"/>
                <w:color w:val="auto"/>
              </w:rPr>
            </w:pPr>
            <w:r>
              <w:rPr>
                <w:rFonts w:ascii="Arial" w:cs="Arial" w:eastAsia="Arial" w:hAnsi="Arial"/>
                <w:sz w:val="12"/>
                <w:szCs w:val="12"/>
                <w:b w:val="1"/>
                <w:bCs w:val="1"/>
                <w:color w:val="auto"/>
              </w:rPr>
              <w:t>First Lien Secured Debt—24.3%</w:t>
            </w: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3300" w:type="dxa"/>
            <w:vAlign w:val="bottom"/>
            <w:shd w:val="clear" w:color="auto" w:fill="CCECFF"/>
          </w:tcPr>
          <w:p>
            <w:pPr>
              <w:spacing w:after="0" w:line="149" w:lineRule="exact"/>
              <w:rPr>
                <w:sz w:val="20"/>
                <w:szCs w:val="20"/>
                <w:color w:val="auto"/>
              </w:rPr>
            </w:pPr>
            <w:r>
              <w:rPr>
                <w:rFonts w:ascii="Arial" w:cs="Arial" w:eastAsia="Arial" w:hAnsi="Arial"/>
                <w:sz w:val="11"/>
                <w:szCs w:val="11"/>
                <w:color w:val="auto"/>
              </w:rPr>
              <w:t xml:space="preserve">PennantPark Senior Secured Loan Fund I LLC </w:t>
            </w:r>
            <w:r>
              <w:rPr>
                <w:rFonts w:ascii="Arial" w:cs="Arial" w:eastAsia="Arial" w:hAnsi="Arial"/>
                <w:sz w:val="17"/>
                <w:szCs w:val="17"/>
                <w:color w:val="auto"/>
                <w:vertAlign w:val="superscript"/>
              </w:rPr>
              <w:t>(7), (9), (10)</w:t>
            </w:r>
          </w:p>
        </w:tc>
        <w:tc>
          <w:tcPr>
            <w:tcW w:w="660" w:type="dxa"/>
            <w:vAlign w:val="bottom"/>
            <w:gridSpan w:val="2"/>
            <w:shd w:val="clear" w:color="auto" w:fill="CCECFF"/>
          </w:tcPr>
          <w:p>
            <w:pPr>
              <w:jc w:val="center"/>
              <w:ind w:left="62"/>
              <w:spacing w:after="0"/>
              <w:rPr>
                <w:sz w:val="20"/>
                <w:szCs w:val="20"/>
                <w:color w:val="auto"/>
              </w:rPr>
            </w:pPr>
            <w:r>
              <w:rPr>
                <w:rFonts w:ascii="Arial" w:cs="Arial" w:eastAsia="Arial" w:hAnsi="Arial"/>
                <w:sz w:val="12"/>
                <w:szCs w:val="12"/>
                <w:color w:val="auto"/>
                <w:w w:val="89"/>
              </w:rPr>
              <w:t>05/06/2024</w:t>
            </w:r>
          </w:p>
        </w:tc>
        <w:tc>
          <w:tcPr>
            <w:tcW w:w="240" w:type="dxa"/>
            <w:vAlign w:val="bottom"/>
            <w:shd w:val="clear" w:color="auto" w:fill="CCECFF"/>
          </w:tcPr>
          <w:p>
            <w:pPr>
              <w:spacing w:after="0"/>
              <w:rPr>
                <w:sz w:val="12"/>
                <w:szCs w:val="12"/>
                <w:color w:val="auto"/>
              </w:rPr>
            </w:pPr>
          </w:p>
        </w:tc>
        <w:tc>
          <w:tcPr>
            <w:tcW w:w="232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88"/>
              </w:rPr>
              <w:t>Financial Services</w:t>
            </w:r>
          </w:p>
        </w:tc>
        <w:tc>
          <w:tcPr>
            <w:tcW w:w="960" w:type="dxa"/>
            <w:vAlign w:val="bottom"/>
            <w:gridSpan w:val="2"/>
            <w:shd w:val="clear" w:color="auto" w:fill="CCECFF"/>
          </w:tcPr>
          <w:p>
            <w:pPr>
              <w:jc w:val="right"/>
              <w:ind w:right="200"/>
              <w:spacing w:after="0"/>
              <w:rPr>
                <w:sz w:val="20"/>
                <w:szCs w:val="20"/>
                <w:color w:val="auto"/>
              </w:rPr>
            </w:pPr>
            <w:r>
              <w:rPr>
                <w:rFonts w:ascii="Arial" w:cs="Arial" w:eastAsia="Arial" w:hAnsi="Arial"/>
                <w:sz w:val="12"/>
                <w:szCs w:val="12"/>
                <w:color w:val="auto"/>
              </w:rPr>
              <w:t>10.10%</w:t>
            </w:r>
          </w:p>
        </w:tc>
        <w:tc>
          <w:tcPr>
            <w:tcW w:w="88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3M L+800</w:t>
            </w:r>
          </w:p>
        </w:tc>
        <w:tc>
          <w:tcPr>
            <w:tcW w:w="7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122,193,750</w:t>
            </w:r>
          </w:p>
        </w:tc>
        <w:tc>
          <w:tcPr>
            <w:tcW w:w="220" w:type="dxa"/>
            <w:vAlign w:val="bottom"/>
            <w:shd w:val="clear" w:color="auto" w:fill="CCECFF"/>
          </w:tcPr>
          <w:p>
            <w:pPr>
              <w:spacing w:after="0"/>
              <w:rPr>
                <w:sz w:val="12"/>
                <w:szCs w:val="12"/>
                <w:color w:val="auto"/>
              </w:rPr>
            </w:pPr>
          </w:p>
        </w:tc>
        <w:tc>
          <w:tcPr>
            <w:tcW w:w="100" w:type="dxa"/>
            <w:vAlign w:val="bottom"/>
            <w:tcBorders>
              <w:bottom w:val="single" w:sz="8" w:color="auto"/>
            </w:tcBorders>
            <w:shd w:val="clear" w:color="auto" w:fill="CCECFF"/>
          </w:tcPr>
          <w:p>
            <w:pPr>
              <w:spacing w:after="0"/>
              <w:rPr>
                <w:sz w:val="12"/>
                <w:szCs w:val="12"/>
                <w:color w:val="auto"/>
              </w:rPr>
            </w:pPr>
          </w:p>
        </w:tc>
        <w:tc>
          <w:tcPr>
            <w:tcW w:w="7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rPr>
              <w:t>122,193,750</w:t>
            </w:r>
          </w:p>
        </w:tc>
        <w:tc>
          <w:tcPr>
            <w:tcW w:w="240" w:type="dxa"/>
            <w:vAlign w:val="bottom"/>
            <w:shd w:val="clear" w:color="auto" w:fill="CCECFF"/>
          </w:tcPr>
          <w:p>
            <w:pPr>
              <w:spacing w:after="0"/>
              <w:rPr>
                <w:sz w:val="12"/>
                <w:szCs w:val="12"/>
                <w:color w:val="auto"/>
              </w:rPr>
            </w:pPr>
          </w:p>
        </w:tc>
        <w:tc>
          <w:tcPr>
            <w:tcW w:w="60" w:type="dxa"/>
            <w:vAlign w:val="bottom"/>
            <w:tcBorders>
              <w:bottom w:val="single" w:sz="8" w:color="auto"/>
            </w:tcBorders>
            <w:shd w:val="clear" w:color="auto" w:fill="CCECFF"/>
          </w:tcPr>
          <w:p>
            <w:pPr>
              <w:spacing w:after="0"/>
              <w:rPr>
                <w:sz w:val="12"/>
                <w:szCs w:val="12"/>
                <w:color w:val="auto"/>
              </w:rPr>
            </w:pPr>
          </w:p>
        </w:tc>
        <w:tc>
          <w:tcPr>
            <w:tcW w:w="7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rPr>
              <w:t>122,193,750</w:t>
            </w:r>
          </w:p>
        </w:tc>
        <w:tc>
          <w:tcPr>
            <w:tcW w:w="100" w:type="dxa"/>
            <w:vAlign w:val="bottom"/>
            <w:shd w:val="clear" w:color="auto" w:fill="CCECFF"/>
          </w:tcPr>
          <w:p>
            <w:pPr>
              <w:spacing w:after="0"/>
              <w:rPr>
                <w:sz w:val="12"/>
                <w:szCs w:val="12"/>
                <w:color w:val="auto"/>
              </w:rPr>
            </w:pPr>
          </w:p>
        </w:tc>
      </w:tr>
      <w:tr>
        <w:trPr>
          <w:trHeight w:val="142"/>
        </w:trPr>
        <w:tc>
          <w:tcPr>
            <w:tcW w:w="3300" w:type="dxa"/>
            <w:vAlign w:val="bottom"/>
          </w:tcPr>
          <w:p>
            <w:pPr>
              <w:spacing w:after="0"/>
              <w:rPr>
                <w:sz w:val="20"/>
                <w:szCs w:val="20"/>
                <w:color w:val="auto"/>
              </w:rPr>
            </w:pPr>
            <w:r>
              <w:rPr>
                <w:rFonts w:ascii="Arial" w:cs="Arial" w:eastAsia="Arial" w:hAnsi="Arial"/>
                <w:sz w:val="12"/>
                <w:szCs w:val="12"/>
                <w:b w:val="1"/>
                <w:bCs w:val="1"/>
                <w:color w:val="auto"/>
              </w:rPr>
              <w:t>Total First Lien Secured Debt</w:t>
            </w: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122,193,750</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122,193,750</w:t>
            </w:r>
          </w:p>
        </w:tc>
        <w:tc>
          <w:tcPr>
            <w:tcW w:w="100" w:type="dxa"/>
            <w:vAlign w:val="bottom"/>
          </w:tcPr>
          <w:p>
            <w:pPr>
              <w:spacing w:after="0"/>
              <w:rPr>
                <w:sz w:val="12"/>
                <w:szCs w:val="12"/>
                <w:color w:val="auto"/>
              </w:rPr>
            </w:pPr>
          </w:p>
        </w:tc>
      </w:tr>
      <w:tr>
        <w:trPr>
          <w:trHeight w:val="148"/>
        </w:trPr>
        <w:tc>
          <w:tcPr>
            <w:tcW w:w="3300" w:type="dxa"/>
            <w:vAlign w:val="bottom"/>
            <w:shd w:val="clear" w:color="auto" w:fill="CCECFF"/>
          </w:tcPr>
          <w:p>
            <w:pPr>
              <w:spacing w:after="0"/>
              <w:rPr>
                <w:sz w:val="20"/>
                <w:szCs w:val="20"/>
                <w:color w:val="auto"/>
              </w:rPr>
            </w:pPr>
            <w:r>
              <w:rPr>
                <w:rFonts w:ascii="Arial" w:cs="Arial" w:eastAsia="Arial" w:hAnsi="Arial"/>
                <w:sz w:val="12"/>
                <w:szCs w:val="12"/>
                <w:b w:val="1"/>
                <w:bCs w:val="1"/>
                <w:color w:val="auto"/>
              </w:rPr>
              <w:t>Equity Interests—9.9%</w:t>
            </w:r>
          </w:p>
        </w:tc>
        <w:tc>
          <w:tcPr>
            <w:tcW w:w="120" w:type="dxa"/>
            <w:vAlign w:val="bottom"/>
            <w:shd w:val="clear" w:color="auto" w:fill="CCECFF"/>
          </w:tcPr>
          <w:p>
            <w:pPr>
              <w:spacing w:after="0"/>
              <w:rPr>
                <w:sz w:val="12"/>
                <w:szCs w:val="12"/>
                <w:color w:val="auto"/>
              </w:rPr>
            </w:pPr>
          </w:p>
        </w:tc>
        <w:tc>
          <w:tcPr>
            <w:tcW w:w="54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220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60" w:type="dxa"/>
            <w:vAlign w:val="bottom"/>
            <w:shd w:val="clear" w:color="auto" w:fill="CCECFF"/>
          </w:tcPr>
          <w:p>
            <w:pPr>
              <w:spacing w:after="0"/>
              <w:rPr>
                <w:sz w:val="12"/>
                <w:szCs w:val="12"/>
                <w:color w:val="auto"/>
              </w:rPr>
            </w:pPr>
          </w:p>
        </w:tc>
        <w:tc>
          <w:tcPr>
            <w:tcW w:w="300" w:type="dxa"/>
            <w:vAlign w:val="bottom"/>
            <w:shd w:val="clear" w:color="auto" w:fill="CCECFF"/>
          </w:tcPr>
          <w:p>
            <w:pPr>
              <w:spacing w:after="0"/>
              <w:rPr>
                <w:sz w:val="12"/>
                <w:szCs w:val="12"/>
                <w:color w:val="auto"/>
              </w:rPr>
            </w:pPr>
          </w:p>
        </w:tc>
        <w:tc>
          <w:tcPr>
            <w:tcW w:w="66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72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70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60" w:type="dxa"/>
            <w:vAlign w:val="bottom"/>
            <w:shd w:val="clear" w:color="auto" w:fill="CCECFF"/>
          </w:tcPr>
          <w:p>
            <w:pPr>
              <w:spacing w:after="0"/>
              <w:rPr>
                <w:sz w:val="12"/>
                <w:szCs w:val="12"/>
                <w:color w:val="auto"/>
              </w:rPr>
            </w:pPr>
          </w:p>
        </w:tc>
        <w:tc>
          <w:tcPr>
            <w:tcW w:w="7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r>
      <w:tr>
        <w:trPr>
          <w:trHeight w:val="149"/>
        </w:trPr>
        <w:tc>
          <w:tcPr>
            <w:tcW w:w="3300" w:type="dxa"/>
            <w:vAlign w:val="bottom"/>
            <w:tcBorders>
              <w:bottom w:val="single" w:sz="8" w:color="CCECFF"/>
            </w:tcBorders>
          </w:tcPr>
          <w:p>
            <w:pPr>
              <w:spacing w:after="0" w:line="149" w:lineRule="exact"/>
              <w:rPr>
                <w:sz w:val="20"/>
                <w:szCs w:val="20"/>
                <w:color w:val="auto"/>
              </w:rPr>
            </w:pPr>
            <w:r>
              <w:rPr>
                <w:rFonts w:ascii="Arial" w:cs="Arial" w:eastAsia="Arial" w:hAnsi="Arial"/>
                <w:sz w:val="11"/>
                <w:szCs w:val="11"/>
                <w:color w:val="auto"/>
              </w:rPr>
              <w:t xml:space="preserve">PennantPark Senior Secured Loan Fund I LLC </w:t>
            </w:r>
            <w:r>
              <w:rPr>
                <w:rFonts w:ascii="Arial" w:cs="Arial" w:eastAsia="Arial" w:hAnsi="Arial"/>
                <w:sz w:val="17"/>
                <w:szCs w:val="17"/>
                <w:color w:val="auto"/>
                <w:vertAlign w:val="superscript"/>
              </w:rPr>
              <w:t>(7), (9), (10)</w:t>
            </w:r>
          </w:p>
        </w:tc>
        <w:tc>
          <w:tcPr>
            <w:tcW w:w="120" w:type="dxa"/>
            <w:vAlign w:val="bottom"/>
            <w:tcBorders>
              <w:bottom w:val="single" w:sz="8" w:color="CCECFF"/>
            </w:tcBorders>
          </w:tcPr>
          <w:p>
            <w:pPr>
              <w:spacing w:after="0"/>
              <w:rPr>
                <w:sz w:val="12"/>
                <w:szCs w:val="12"/>
                <w:color w:val="auto"/>
              </w:rPr>
            </w:pPr>
          </w:p>
        </w:tc>
        <w:tc>
          <w:tcPr>
            <w:tcW w:w="780" w:type="dxa"/>
            <w:vAlign w:val="bottom"/>
            <w:tcBorders>
              <w:bottom w:val="single" w:sz="8" w:color="CCECFF"/>
            </w:tcBorders>
            <w:gridSpan w:val="2"/>
          </w:tcPr>
          <w:p>
            <w:pPr>
              <w:ind w:left="260"/>
              <w:spacing w:after="0"/>
              <w:rPr>
                <w:sz w:val="20"/>
                <w:szCs w:val="20"/>
                <w:color w:val="auto"/>
              </w:rPr>
            </w:pPr>
            <w:r>
              <w:rPr>
                <w:rFonts w:ascii="Arial" w:cs="Arial" w:eastAsia="Arial" w:hAnsi="Arial"/>
                <w:sz w:val="12"/>
                <w:szCs w:val="12"/>
                <w:color w:val="auto"/>
              </w:rPr>
              <w:t>—</w:t>
            </w:r>
          </w:p>
        </w:tc>
        <w:tc>
          <w:tcPr>
            <w:tcW w:w="2320" w:type="dxa"/>
            <w:vAlign w:val="bottom"/>
            <w:tcBorders>
              <w:bottom w:val="single" w:sz="8" w:color="CCECFF"/>
            </w:tcBorders>
            <w:gridSpan w:val="2"/>
          </w:tcPr>
          <w:p>
            <w:pPr>
              <w:jc w:val="center"/>
              <w:ind w:right="140"/>
              <w:spacing w:after="0"/>
              <w:rPr>
                <w:sz w:val="20"/>
                <w:szCs w:val="20"/>
                <w:color w:val="auto"/>
              </w:rPr>
            </w:pPr>
            <w:r>
              <w:rPr>
                <w:rFonts w:ascii="Arial" w:cs="Arial" w:eastAsia="Arial" w:hAnsi="Arial"/>
                <w:sz w:val="12"/>
                <w:szCs w:val="12"/>
                <w:color w:val="auto"/>
                <w:w w:val="88"/>
              </w:rPr>
              <w:t>Financial Services</w:t>
            </w:r>
          </w:p>
        </w:tc>
        <w:tc>
          <w:tcPr>
            <w:tcW w:w="960" w:type="dxa"/>
            <w:vAlign w:val="bottom"/>
            <w:tcBorders>
              <w:bottom w:val="single" w:sz="8" w:color="CCECFF"/>
            </w:tcBorders>
            <w:gridSpan w:val="2"/>
          </w:tcPr>
          <w:p>
            <w:pPr>
              <w:jc w:val="right"/>
              <w:ind w:right="300"/>
              <w:spacing w:after="0"/>
              <w:rPr>
                <w:sz w:val="20"/>
                <w:szCs w:val="20"/>
                <w:color w:val="auto"/>
              </w:rPr>
            </w:pPr>
            <w:r>
              <w:rPr>
                <w:rFonts w:ascii="Arial" w:cs="Arial" w:eastAsia="Arial" w:hAnsi="Arial"/>
                <w:sz w:val="12"/>
                <w:szCs w:val="12"/>
                <w:color w:val="auto"/>
              </w:rPr>
              <w:t>—</w:t>
            </w:r>
          </w:p>
        </w:tc>
        <w:tc>
          <w:tcPr>
            <w:tcW w:w="880" w:type="dxa"/>
            <w:vAlign w:val="bottom"/>
            <w:tcBorders>
              <w:bottom w:val="single" w:sz="8" w:color="CCECFF"/>
            </w:tcBorders>
            <w:gridSpan w:val="2"/>
          </w:tcPr>
          <w:p>
            <w:pPr>
              <w:jc w:val="right"/>
              <w:ind w:right="240"/>
              <w:spacing w:after="0"/>
              <w:rPr>
                <w:sz w:val="20"/>
                <w:szCs w:val="20"/>
                <w:color w:val="auto"/>
              </w:rPr>
            </w:pPr>
            <w:r>
              <w:rPr>
                <w:rFonts w:ascii="Arial" w:cs="Arial" w:eastAsia="Arial" w:hAnsi="Arial"/>
                <w:sz w:val="12"/>
                <w:szCs w:val="12"/>
                <w:color w:val="auto"/>
              </w:rPr>
              <w:t>—</w:t>
            </w:r>
          </w:p>
        </w:tc>
        <w:tc>
          <w:tcPr>
            <w:tcW w:w="720" w:type="dxa"/>
            <w:vAlign w:val="bottom"/>
            <w:tcBorders>
              <w:bottom w:val="single" w:sz="8" w:color="CCECFF"/>
            </w:tcBorders>
          </w:tcPr>
          <w:p>
            <w:pPr>
              <w:jc w:val="right"/>
              <w:spacing w:after="0"/>
              <w:rPr>
                <w:sz w:val="20"/>
                <w:szCs w:val="20"/>
                <w:color w:val="auto"/>
              </w:rPr>
            </w:pPr>
            <w:r>
              <w:rPr>
                <w:rFonts w:ascii="Arial" w:cs="Arial" w:eastAsia="Arial" w:hAnsi="Arial"/>
                <w:sz w:val="12"/>
                <w:szCs w:val="12"/>
                <w:color w:val="auto"/>
              </w:rPr>
              <w:t>52,369</w:t>
            </w:r>
          </w:p>
        </w:tc>
        <w:tc>
          <w:tcPr>
            <w:tcW w:w="220" w:type="dxa"/>
            <w:vAlign w:val="bottom"/>
            <w:tcBorders>
              <w:bottom w:val="single" w:sz="8" w:color="CCEC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52,368,750</w:t>
            </w:r>
          </w:p>
        </w:tc>
        <w:tc>
          <w:tcPr>
            <w:tcW w:w="240" w:type="dxa"/>
            <w:vAlign w:val="bottom"/>
            <w:tcBorders>
              <w:bottom w:val="single" w:sz="8" w:color="CCECFF"/>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49,727,848</w:t>
            </w:r>
          </w:p>
        </w:tc>
        <w:tc>
          <w:tcPr>
            <w:tcW w:w="100" w:type="dxa"/>
            <w:vAlign w:val="bottom"/>
            <w:tcBorders>
              <w:bottom w:val="single" w:sz="8" w:color="CCECFF"/>
            </w:tcBorders>
          </w:tcPr>
          <w:p>
            <w:pPr>
              <w:spacing w:after="0"/>
              <w:rPr>
                <w:sz w:val="12"/>
                <w:szCs w:val="12"/>
                <w:color w:val="auto"/>
              </w:rPr>
            </w:pPr>
          </w:p>
        </w:tc>
      </w:tr>
      <w:tr>
        <w:trPr>
          <w:trHeight w:val="142"/>
        </w:trPr>
        <w:tc>
          <w:tcPr>
            <w:tcW w:w="3300" w:type="dxa"/>
            <w:vAlign w:val="bottom"/>
            <w:shd w:val="clear" w:color="auto" w:fill="CCECFF"/>
          </w:tcPr>
          <w:p>
            <w:pPr>
              <w:spacing w:after="0"/>
              <w:rPr>
                <w:sz w:val="20"/>
                <w:szCs w:val="20"/>
                <w:color w:val="auto"/>
              </w:rPr>
            </w:pPr>
            <w:r>
              <w:rPr>
                <w:rFonts w:ascii="Arial" w:cs="Arial" w:eastAsia="Arial" w:hAnsi="Arial"/>
                <w:sz w:val="12"/>
                <w:szCs w:val="12"/>
                <w:b w:val="1"/>
                <w:bCs w:val="1"/>
                <w:color w:val="auto"/>
              </w:rPr>
              <w:t>Total Equity Interests</w:t>
            </w:r>
          </w:p>
        </w:tc>
        <w:tc>
          <w:tcPr>
            <w:tcW w:w="120" w:type="dxa"/>
            <w:vAlign w:val="bottom"/>
            <w:shd w:val="clear" w:color="auto" w:fill="CCECFF"/>
          </w:tcPr>
          <w:p>
            <w:pPr>
              <w:spacing w:after="0"/>
              <w:rPr>
                <w:sz w:val="12"/>
                <w:szCs w:val="12"/>
                <w:color w:val="auto"/>
              </w:rPr>
            </w:pPr>
          </w:p>
        </w:tc>
        <w:tc>
          <w:tcPr>
            <w:tcW w:w="54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220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60" w:type="dxa"/>
            <w:vAlign w:val="bottom"/>
            <w:shd w:val="clear" w:color="auto" w:fill="CCECFF"/>
          </w:tcPr>
          <w:p>
            <w:pPr>
              <w:spacing w:after="0"/>
              <w:rPr>
                <w:sz w:val="12"/>
                <w:szCs w:val="12"/>
                <w:color w:val="auto"/>
              </w:rPr>
            </w:pPr>
          </w:p>
        </w:tc>
        <w:tc>
          <w:tcPr>
            <w:tcW w:w="300" w:type="dxa"/>
            <w:vAlign w:val="bottom"/>
            <w:shd w:val="clear" w:color="auto" w:fill="CCECFF"/>
          </w:tcPr>
          <w:p>
            <w:pPr>
              <w:spacing w:after="0"/>
              <w:rPr>
                <w:sz w:val="12"/>
                <w:szCs w:val="12"/>
                <w:color w:val="auto"/>
              </w:rPr>
            </w:pPr>
          </w:p>
        </w:tc>
        <w:tc>
          <w:tcPr>
            <w:tcW w:w="66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72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100" w:type="dxa"/>
            <w:vAlign w:val="bottom"/>
            <w:tcBorders>
              <w:bottom w:val="single" w:sz="8" w:color="auto"/>
            </w:tcBorders>
            <w:shd w:val="clear" w:color="auto" w:fill="CCECFF"/>
          </w:tcPr>
          <w:p>
            <w:pPr>
              <w:spacing w:after="0"/>
              <w:rPr>
                <w:sz w:val="12"/>
                <w:szCs w:val="12"/>
                <w:color w:val="auto"/>
              </w:rPr>
            </w:pPr>
          </w:p>
        </w:tc>
        <w:tc>
          <w:tcPr>
            <w:tcW w:w="7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rPr>
              <w:t>52,368,750</w:t>
            </w:r>
          </w:p>
        </w:tc>
        <w:tc>
          <w:tcPr>
            <w:tcW w:w="240" w:type="dxa"/>
            <w:vAlign w:val="bottom"/>
            <w:shd w:val="clear" w:color="auto" w:fill="CCECFF"/>
          </w:tcPr>
          <w:p>
            <w:pPr>
              <w:spacing w:after="0"/>
              <w:rPr>
                <w:sz w:val="12"/>
                <w:szCs w:val="12"/>
                <w:color w:val="auto"/>
              </w:rPr>
            </w:pPr>
          </w:p>
        </w:tc>
        <w:tc>
          <w:tcPr>
            <w:tcW w:w="60" w:type="dxa"/>
            <w:vAlign w:val="bottom"/>
            <w:tcBorders>
              <w:bottom w:val="single" w:sz="8" w:color="auto"/>
            </w:tcBorders>
            <w:shd w:val="clear" w:color="auto" w:fill="CCECFF"/>
          </w:tcPr>
          <w:p>
            <w:pPr>
              <w:spacing w:after="0"/>
              <w:rPr>
                <w:sz w:val="12"/>
                <w:szCs w:val="12"/>
                <w:color w:val="auto"/>
              </w:rPr>
            </w:pPr>
          </w:p>
        </w:tc>
        <w:tc>
          <w:tcPr>
            <w:tcW w:w="7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rPr>
              <w:t>49,727,848</w:t>
            </w:r>
          </w:p>
        </w:tc>
        <w:tc>
          <w:tcPr>
            <w:tcW w:w="100" w:type="dxa"/>
            <w:vAlign w:val="bottom"/>
            <w:shd w:val="clear" w:color="auto" w:fill="CCECFF"/>
          </w:tcPr>
          <w:p>
            <w:pPr>
              <w:spacing w:after="0"/>
              <w:rPr>
                <w:sz w:val="12"/>
                <w:szCs w:val="12"/>
                <w:color w:val="auto"/>
              </w:rPr>
            </w:pPr>
          </w:p>
        </w:tc>
      </w:tr>
      <w:tr>
        <w:trPr>
          <w:trHeight w:val="142"/>
        </w:trPr>
        <w:tc>
          <w:tcPr>
            <w:tcW w:w="3300" w:type="dxa"/>
            <w:vAlign w:val="bottom"/>
            <w:tcBorders>
              <w:bottom w:val="single" w:sz="8" w:color="CCECFF"/>
            </w:tcBorders>
          </w:tcPr>
          <w:p>
            <w:pPr>
              <w:spacing w:after="0"/>
              <w:rPr>
                <w:sz w:val="20"/>
                <w:szCs w:val="20"/>
                <w:color w:val="auto"/>
              </w:rPr>
            </w:pPr>
            <w:r>
              <w:rPr>
                <w:rFonts w:ascii="Arial" w:cs="Arial" w:eastAsia="Arial" w:hAnsi="Arial"/>
                <w:sz w:val="12"/>
                <w:szCs w:val="12"/>
                <w:b w:val="1"/>
                <w:bCs w:val="1"/>
                <w:color w:val="auto"/>
                <w:w w:val="91"/>
              </w:rPr>
              <w:t>Total Investments in Controlled, Affiliated Portfolio Companies</w:t>
            </w:r>
          </w:p>
        </w:tc>
        <w:tc>
          <w:tcPr>
            <w:tcW w:w="120" w:type="dxa"/>
            <w:vAlign w:val="bottom"/>
            <w:tcBorders>
              <w:bottom w:val="single" w:sz="8" w:color="CCECFF"/>
            </w:tcBorders>
          </w:tcPr>
          <w:p>
            <w:pPr>
              <w:spacing w:after="0"/>
              <w:rPr>
                <w:sz w:val="12"/>
                <w:szCs w:val="12"/>
                <w:color w:val="auto"/>
              </w:rPr>
            </w:pPr>
          </w:p>
        </w:tc>
        <w:tc>
          <w:tcPr>
            <w:tcW w:w="540" w:type="dxa"/>
            <w:vAlign w:val="bottom"/>
            <w:tcBorders>
              <w:bottom w:val="single" w:sz="8" w:color="CCECFF"/>
            </w:tcBorders>
          </w:tcPr>
          <w:p>
            <w:pPr>
              <w:spacing w:after="0"/>
              <w:rPr>
                <w:sz w:val="12"/>
                <w:szCs w:val="12"/>
                <w:color w:val="auto"/>
              </w:rPr>
            </w:pPr>
          </w:p>
        </w:tc>
        <w:tc>
          <w:tcPr>
            <w:tcW w:w="240" w:type="dxa"/>
            <w:vAlign w:val="bottom"/>
            <w:tcBorders>
              <w:bottom w:val="single" w:sz="8" w:color="CCECFF"/>
            </w:tcBorders>
          </w:tcPr>
          <w:p>
            <w:pPr>
              <w:spacing w:after="0"/>
              <w:rPr>
                <w:sz w:val="12"/>
                <w:szCs w:val="12"/>
                <w:color w:val="auto"/>
              </w:rPr>
            </w:pPr>
          </w:p>
        </w:tc>
        <w:tc>
          <w:tcPr>
            <w:tcW w:w="2200" w:type="dxa"/>
            <w:vAlign w:val="bottom"/>
            <w:tcBorders>
              <w:bottom w:val="single" w:sz="8" w:color="CCECFF"/>
            </w:tcBorders>
          </w:tcPr>
          <w:p>
            <w:pPr>
              <w:spacing w:after="0"/>
              <w:rPr>
                <w:sz w:val="12"/>
                <w:szCs w:val="12"/>
                <w:color w:val="auto"/>
              </w:rPr>
            </w:pPr>
          </w:p>
        </w:tc>
        <w:tc>
          <w:tcPr>
            <w:tcW w:w="120" w:type="dxa"/>
            <w:vAlign w:val="bottom"/>
            <w:tcBorders>
              <w:bottom w:val="single" w:sz="8" w:color="CCECFF"/>
            </w:tcBorders>
          </w:tcPr>
          <w:p>
            <w:pPr>
              <w:spacing w:after="0"/>
              <w:rPr>
                <w:sz w:val="12"/>
                <w:szCs w:val="12"/>
                <w:color w:val="auto"/>
              </w:rPr>
            </w:pPr>
          </w:p>
        </w:tc>
        <w:tc>
          <w:tcPr>
            <w:tcW w:w="660" w:type="dxa"/>
            <w:vAlign w:val="bottom"/>
            <w:tcBorders>
              <w:bottom w:val="single" w:sz="8" w:color="CCECFF"/>
            </w:tcBorders>
          </w:tcPr>
          <w:p>
            <w:pPr>
              <w:spacing w:after="0"/>
              <w:rPr>
                <w:sz w:val="12"/>
                <w:szCs w:val="12"/>
                <w:color w:val="auto"/>
              </w:rPr>
            </w:pPr>
          </w:p>
        </w:tc>
        <w:tc>
          <w:tcPr>
            <w:tcW w:w="300" w:type="dxa"/>
            <w:vAlign w:val="bottom"/>
            <w:tcBorders>
              <w:bottom w:val="single" w:sz="8" w:color="CCECFF"/>
            </w:tcBorders>
          </w:tcPr>
          <w:p>
            <w:pPr>
              <w:spacing w:after="0"/>
              <w:rPr>
                <w:sz w:val="12"/>
                <w:szCs w:val="12"/>
                <w:color w:val="auto"/>
              </w:rPr>
            </w:pPr>
          </w:p>
        </w:tc>
        <w:tc>
          <w:tcPr>
            <w:tcW w:w="660" w:type="dxa"/>
            <w:vAlign w:val="bottom"/>
            <w:tcBorders>
              <w:bottom w:val="single" w:sz="8" w:color="CCECFF"/>
            </w:tcBorders>
          </w:tcPr>
          <w:p>
            <w:pPr>
              <w:spacing w:after="0"/>
              <w:rPr>
                <w:sz w:val="12"/>
                <w:szCs w:val="12"/>
                <w:color w:val="auto"/>
              </w:rPr>
            </w:pPr>
          </w:p>
        </w:tc>
        <w:tc>
          <w:tcPr>
            <w:tcW w:w="220" w:type="dxa"/>
            <w:vAlign w:val="bottom"/>
            <w:tcBorders>
              <w:bottom w:val="single" w:sz="8" w:color="CCECFF"/>
            </w:tcBorders>
          </w:tcPr>
          <w:p>
            <w:pPr>
              <w:spacing w:after="0"/>
              <w:rPr>
                <w:sz w:val="12"/>
                <w:szCs w:val="12"/>
                <w:color w:val="auto"/>
              </w:rPr>
            </w:pPr>
          </w:p>
        </w:tc>
        <w:tc>
          <w:tcPr>
            <w:tcW w:w="720" w:type="dxa"/>
            <w:vAlign w:val="bottom"/>
            <w:tcBorders>
              <w:bottom w:val="single" w:sz="8" w:color="CCECFF"/>
            </w:tcBorders>
          </w:tcPr>
          <w:p>
            <w:pPr>
              <w:spacing w:after="0"/>
              <w:rPr>
                <w:sz w:val="12"/>
                <w:szCs w:val="12"/>
                <w:color w:val="auto"/>
              </w:rPr>
            </w:pPr>
          </w:p>
        </w:tc>
        <w:tc>
          <w:tcPr>
            <w:tcW w:w="220" w:type="dxa"/>
            <w:vAlign w:val="bottom"/>
            <w:tcBorders>
              <w:bottom w:val="single" w:sz="8" w:color="CCEC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174,562,500</w:t>
            </w:r>
          </w:p>
        </w:tc>
        <w:tc>
          <w:tcPr>
            <w:tcW w:w="240" w:type="dxa"/>
            <w:vAlign w:val="bottom"/>
            <w:tcBorders>
              <w:bottom w:val="single" w:sz="8" w:color="CCECFF"/>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171,921,598</w:t>
            </w:r>
          </w:p>
        </w:tc>
        <w:tc>
          <w:tcPr>
            <w:tcW w:w="100" w:type="dxa"/>
            <w:vAlign w:val="bottom"/>
            <w:tcBorders>
              <w:bottom w:val="single" w:sz="8" w:color="CCECFF"/>
            </w:tcBorders>
          </w:tcPr>
          <w:p>
            <w:pPr>
              <w:spacing w:after="0"/>
              <w:rPr>
                <w:sz w:val="12"/>
                <w:szCs w:val="12"/>
                <w:color w:val="auto"/>
              </w:rPr>
            </w:pPr>
          </w:p>
        </w:tc>
      </w:tr>
      <w:tr>
        <w:trPr>
          <w:trHeight w:val="142"/>
        </w:trPr>
        <w:tc>
          <w:tcPr>
            <w:tcW w:w="3300" w:type="dxa"/>
            <w:vAlign w:val="bottom"/>
            <w:shd w:val="clear" w:color="auto" w:fill="CCECFF"/>
          </w:tcPr>
          <w:p>
            <w:pPr>
              <w:spacing w:after="0"/>
              <w:rPr>
                <w:sz w:val="20"/>
                <w:szCs w:val="20"/>
                <w:color w:val="auto"/>
              </w:rPr>
            </w:pPr>
            <w:r>
              <w:rPr>
                <w:rFonts w:ascii="Arial" w:cs="Arial" w:eastAsia="Arial" w:hAnsi="Arial"/>
                <w:sz w:val="12"/>
                <w:szCs w:val="12"/>
                <w:b w:val="1"/>
                <w:bCs w:val="1"/>
                <w:color w:val="auto"/>
              </w:rPr>
              <w:t>Total Investments—234.3%</w:t>
            </w:r>
          </w:p>
        </w:tc>
        <w:tc>
          <w:tcPr>
            <w:tcW w:w="120" w:type="dxa"/>
            <w:vAlign w:val="bottom"/>
            <w:shd w:val="clear" w:color="auto" w:fill="CCECFF"/>
          </w:tcPr>
          <w:p>
            <w:pPr>
              <w:spacing w:after="0"/>
              <w:rPr>
                <w:sz w:val="12"/>
                <w:szCs w:val="12"/>
                <w:color w:val="auto"/>
              </w:rPr>
            </w:pPr>
          </w:p>
        </w:tc>
        <w:tc>
          <w:tcPr>
            <w:tcW w:w="54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220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60" w:type="dxa"/>
            <w:vAlign w:val="bottom"/>
            <w:shd w:val="clear" w:color="auto" w:fill="CCECFF"/>
          </w:tcPr>
          <w:p>
            <w:pPr>
              <w:spacing w:after="0"/>
              <w:rPr>
                <w:sz w:val="12"/>
                <w:szCs w:val="12"/>
                <w:color w:val="auto"/>
              </w:rPr>
            </w:pPr>
          </w:p>
        </w:tc>
        <w:tc>
          <w:tcPr>
            <w:tcW w:w="300" w:type="dxa"/>
            <w:vAlign w:val="bottom"/>
            <w:shd w:val="clear" w:color="auto" w:fill="CCECFF"/>
          </w:tcPr>
          <w:p>
            <w:pPr>
              <w:spacing w:after="0"/>
              <w:rPr>
                <w:sz w:val="12"/>
                <w:szCs w:val="12"/>
                <w:color w:val="auto"/>
              </w:rPr>
            </w:pPr>
          </w:p>
        </w:tc>
        <w:tc>
          <w:tcPr>
            <w:tcW w:w="66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72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100" w:type="dxa"/>
            <w:vAlign w:val="bottom"/>
            <w:tcBorders>
              <w:bottom w:val="single" w:sz="8" w:color="auto"/>
            </w:tcBorders>
            <w:shd w:val="clear" w:color="auto" w:fill="CCECFF"/>
          </w:tcPr>
          <w:p>
            <w:pPr>
              <w:spacing w:after="0"/>
              <w:rPr>
                <w:sz w:val="12"/>
                <w:szCs w:val="12"/>
                <w:color w:val="auto"/>
              </w:rPr>
            </w:pPr>
          </w:p>
        </w:tc>
        <w:tc>
          <w:tcPr>
            <w:tcW w:w="7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w w:val="88"/>
              </w:rPr>
              <w:t>1,183,194,273</w:t>
            </w:r>
          </w:p>
        </w:tc>
        <w:tc>
          <w:tcPr>
            <w:tcW w:w="240" w:type="dxa"/>
            <w:vAlign w:val="bottom"/>
            <w:shd w:val="clear" w:color="auto" w:fill="CCECFF"/>
          </w:tcPr>
          <w:p>
            <w:pPr>
              <w:spacing w:after="0"/>
              <w:rPr>
                <w:sz w:val="12"/>
                <w:szCs w:val="12"/>
                <w:color w:val="auto"/>
              </w:rPr>
            </w:pPr>
          </w:p>
        </w:tc>
        <w:tc>
          <w:tcPr>
            <w:tcW w:w="60" w:type="dxa"/>
            <w:vAlign w:val="bottom"/>
            <w:tcBorders>
              <w:bottom w:val="single" w:sz="8" w:color="auto"/>
            </w:tcBorders>
            <w:shd w:val="clear" w:color="auto" w:fill="CCECFF"/>
          </w:tcPr>
          <w:p>
            <w:pPr>
              <w:spacing w:after="0"/>
              <w:rPr>
                <w:sz w:val="12"/>
                <w:szCs w:val="12"/>
                <w:color w:val="auto"/>
              </w:rPr>
            </w:pPr>
          </w:p>
        </w:tc>
        <w:tc>
          <w:tcPr>
            <w:tcW w:w="7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w w:val="91"/>
              </w:rPr>
              <w:t>1,176,115,914</w:t>
            </w:r>
          </w:p>
        </w:tc>
        <w:tc>
          <w:tcPr>
            <w:tcW w:w="100" w:type="dxa"/>
            <w:vAlign w:val="bottom"/>
            <w:shd w:val="clear" w:color="auto" w:fill="CCECFF"/>
          </w:tcPr>
          <w:p>
            <w:pPr>
              <w:spacing w:after="0"/>
              <w:rPr>
                <w:sz w:val="12"/>
                <w:szCs w:val="12"/>
                <w:color w:val="auto"/>
              </w:rPr>
            </w:pPr>
          </w:p>
        </w:tc>
      </w:tr>
      <w:tr>
        <w:trPr>
          <w:trHeight w:val="142"/>
        </w:trPr>
        <w:tc>
          <w:tcPr>
            <w:tcW w:w="3300" w:type="dxa"/>
            <w:vAlign w:val="bottom"/>
          </w:tcPr>
          <w:p>
            <w:pPr>
              <w:spacing w:after="0"/>
              <w:rPr>
                <w:sz w:val="20"/>
                <w:szCs w:val="20"/>
                <w:color w:val="auto"/>
              </w:rPr>
            </w:pPr>
            <w:r>
              <w:rPr>
                <w:rFonts w:ascii="Arial" w:cs="Arial" w:eastAsia="Arial" w:hAnsi="Arial"/>
                <w:sz w:val="12"/>
                <w:szCs w:val="12"/>
                <w:b w:val="1"/>
                <w:bCs w:val="1"/>
                <w:color w:val="auto"/>
              </w:rPr>
              <w:t>Cash and Cash Equivalents—11.2%</w:t>
            </w: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3300" w:type="dxa"/>
            <w:vAlign w:val="bottom"/>
            <w:shd w:val="clear" w:color="auto" w:fill="CCECFF"/>
          </w:tcPr>
          <w:p>
            <w:pPr>
              <w:spacing w:after="0"/>
              <w:rPr>
                <w:sz w:val="20"/>
                <w:szCs w:val="20"/>
                <w:color w:val="auto"/>
              </w:rPr>
            </w:pPr>
            <w:r>
              <w:rPr>
                <w:rFonts w:ascii="Arial" w:cs="Arial" w:eastAsia="Arial" w:hAnsi="Arial"/>
                <w:sz w:val="12"/>
                <w:szCs w:val="12"/>
                <w:color w:val="auto"/>
              </w:rPr>
              <w:t>BlackRock Federal FD Institutional 30</w:t>
            </w:r>
          </w:p>
        </w:tc>
        <w:tc>
          <w:tcPr>
            <w:tcW w:w="120" w:type="dxa"/>
            <w:vAlign w:val="bottom"/>
            <w:shd w:val="clear" w:color="auto" w:fill="CCECFF"/>
          </w:tcPr>
          <w:p>
            <w:pPr>
              <w:spacing w:after="0"/>
              <w:rPr>
                <w:sz w:val="12"/>
                <w:szCs w:val="12"/>
                <w:color w:val="auto"/>
              </w:rPr>
            </w:pPr>
          </w:p>
        </w:tc>
        <w:tc>
          <w:tcPr>
            <w:tcW w:w="54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220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60" w:type="dxa"/>
            <w:vAlign w:val="bottom"/>
            <w:shd w:val="clear" w:color="auto" w:fill="CCECFF"/>
          </w:tcPr>
          <w:p>
            <w:pPr>
              <w:spacing w:after="0"/>
              <w:rPr>
                <w:sz w:val="12"/>
                <w:szCs w:val="12"/>
                <w:color w:val="auto"/>
              </w:rPr>
            </w:pPr>
          </w:p>
        </w:tc>
        <w:tc>
          <w:tcPr>
            <w:tcW w:w="300" w:type="dxa"/>
            <w:vAlign w:val="bottom"/>
            <w:shd w:val="clear" w:color="auto" w:fill="CCECFF"/>
          </w:tcPr>
          <w:p>
            <w:pPr>
              <w:spacing w:after="0"/>
              <w:rPr>
                <w:sz w:val="12"/>
                <w:szCs w:val="12"/>
                <w:color w:val="auto"/>
              </w:rPr>
            </w:pPr>
          </w:p>
        </w:tc>
        <w:tc>
          <w:tcPr>
            <w:tcW w:w="66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72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7,918,014</w:t>
            </w:r>
          </w:p>
        </w:tc>
        <w:tc>
          <w:tcPr>
            <w:tcW w:w="240" w:type="dxa"/>
            <w:vAlign w:val="bottom"/>
            <w:shd w:val="clear" w:color="auto" w:fill="CCECFF"/>
          </w:tcPr>
          <w:p>
            <w:pPr>
              <w:spacing w:after="0"/>
              <w:rPr>
                <w:sz w:val="12"/>
                <w:szCs w:val="12"/>
                <w:color w:val="auto"/>
              </w:rPr>
            </w:pPr>
          </w:p>
        </w:tc>
        <w:tc>
          <w:tcPr>
            <w:tcW w:w="60" w:type="dxa"/>
            <w:vAlign w:val="bottom"/>
            <w:shd w:val="clear" w:color="auto" w:fill="CCECFF"/>
          </w:tcPr>
          <w:p>
            <w:pPr>
              <w:spacing w:after="0"/>
              <w:rPr>
                <w:sz w:val="12"/>
                <w:szCs w:val="12"/>
                <w:color w:val="auto"/>
              </w:rPr>
            </w:pPr>
          </w:p>
        </w:tc>
        <w:tc>
          <w:tcPr>
            <w:tcW w:w="7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7,918,015</w:t>
            </w:r>
          </w:p>
        </w:tc>
        <w:tc>
          <w:tcPr>
            <w:tcW w:w="100" w:type="dxa"/>
            <w:vAlign w:val="bottom"/>
            <w:shd w:val="clear" w:color="auto" w:fill="CCECFF"/>
          </w:tcPr>
          <w:p>
            <w:pPr>
              <w:spacing w:after="0"/>
              <w:rPr>
                <w:sz w:val="12"/>
                <w:szCs w:val="12"/>
                <w:color w:val="auto"/>
              </w:rPr>
            </w:pPr>
          </w:p>
        </w:tc>
      </w:tr>
      <w:tr>
        <w:trPr>
          <w:trHeight w:val="149"/>
        </w:trPr>
        <w:tc>
          <w:tcPr>
            <w:tcW w:w="3300" w:type="dxa"/>
            <w:vAlign w:val="bottom"/>
            <w:tcBorders>
              <w:bottom w:val="single" w:sz="8" w:color="CCECFF"/>
            </w:tcBorders>
          </w:tcPr>
          <w:p>
            <w:pPr>
              <w:spacing w:after="0"/>
              <w:rPr>
                <w:sz w:val="20"/>
                <w:szCs w:val="20"/>
                <w:color w:val="auto"/>
              </w:rPr>
            </w:pPr>
            <w:r>
              <w:rPr>
                <w:rFonts w:ascii="Arial" w:cs="Arial" w:eastAsia="Arial" w:hAnsi="Arial"/>
                <w:sz w:val="12"/>
                <w:szCs w:val="12"/>
                <w:color w:val="auto"/>
              </w:rPr>
              <w:t>BNY Mellon Cash</w:t>
            </w:r>
          </w:p>
        </w:tc>
        <w:tc>
          <w:tcPr>
            <w:tcW w:w="120" w:type="dxa"/>
            <w:vAlign w:val="bottom"/>
            <w:tcBorders>
              <w:bottom w:val="single" w:sz="8" w:color="CCECFF"/>
            </w:tcBorders>
          </w:tcPr>
          <w:p>
            <w:pPr>
              <w:spacing w:after="0"/>
              <w:rPr>
                <w:sz w:val="12"/>
                <w:szCs w:val="12"/>
                <w:color w:val="auto"/>
              </w:rPr>
            </w:pPr>
          </w:p>
        </w:tc>
        <w:tc>
          <w:tcPr>
            <w:tcW w:w="540" w:type="dxa"/>
            <w:vAlign w:val="bottom"/>
            <w:tcBorders>
              <w:bottom w:val="single" w:sz="8" w:color="CCECFF"/>
            </w:tcBorders>
          </w:tcPr>
          <w:p>
            <w:pPr>
              <w:spacing w:after="0"/>
              <w:rPr>
                <w:sz w:val="12"/>
                <w:szCs w:val="12"/>
                <w:color w:val="auto"/>
              </w:rPr>
            </w:pPr>
          </w:p>
        </w:tc>
        <w:tc>
          <w:tcPr>
            <w:tcW w:w="240" w:type="dxa"/>
            <w:vAlign w:val="bottom"/>
            <w:tcBorders>
              <w:bottom w:val="single" w:sz="8" w:color="CCECFF"/>
            </w:tcBorders>
          </w:tcPr>
          <w:p>
            <w:pPr>
              <w:spacing w:after="0"/>
              <w:rPr>
                <w:sz w:val="12"/>
                <w:szCs w:val="12"/>
                <w:color w:val="auto"/>
              </w:rPr>
            </w:pPr>
          </w:p>
        </w:tc>
        <w:tc>
          <w:tcPr>
            <w:tcW w:w="2200" w:type="dxa"/>
            <w:vAlign w:val="bottom"/>
            <w:tcBorders>
              <w:bottom w:val="single" w:sz="8" w:color="CCECFF"/>
            </w:tcBorders>
          </w:tcPr>
          <w:p>
            <w:pPr>
              <w:spacing w:after="0"/>
              <w:rPr>
                <w:sz w:val="12"/>
                <w:szCs w:val="12"/>
                <w:color w:val="auto"/>
              </w:rPr>
            </w:pPr>
          </w:p>
        </w:tc>
        <w:tc>
          <w:tcPr>
            <w:tcW w:w="120" w:type="dxa"/>
            <w:vAlign w:val="bottom"/>
            <w:tcBorders>
              <w:bottom w:val="single" w:sz="8" w:color="CCECFF"/>
            </w:tcBorders>
          </w:tcPr>
          <w:p>
            <w:pPr>
              <w:spacing w:after="0"/>
              <w:rPr>
                <w:sz w:val="12"/>
                <w:szCs w:val="12"/>
                <w:color w:val="auto"/>
              </w:rPr>
            </w:pPr>
          </w:p>
        </w:tc>
        <w:tc>
          <w:tcPr>
            <w:tcW w:w="660" w:type="dxa"/>
            <w:vAlign w:val="bottom"/>
            <w:tcBorders>
              <w:bottom w:val="single" w:sz="8" w:color="CCECFF"/>
            </w:tcBorders>
          </w:tcPr>
          <w:p>
            <w:pPr>
              <w:spacing w:after="0"/>
              <w:rPr>
                <w:sz w:val="12"/>
                <w:szCs w:val="12"/>
                <w:color w:val="auto"/>
              </w:rPr>
            </w:pPr>
          </w:p>
        </w:tc>
        <w:tc>
          <w:tcPr>
            <w:tcW w:w="300" w:type="dxa"/>
            <w:vAlign w:val="bottom"/>
            <w:tcBorders>
              <w:bottom w:val="single" w:sz="8" w:color="CCECFF"/>
            </w:tcBorders>
          </w:tcPr>
          <w:p>
            <w:pPr>
              <w:spacing w:after="0"/>
              <w:rPr>
                <w:sz w:val="12"/>
                <w:szCs w:val="12"/>
                <w:color w:val="auto"/>
              </w:rPr>
            </w:pPr>
          </w:p>
        </w:tc>
        <w:tc>
          <w:tcPr>
            <w:tcW w:w="660" w:type="dxa"/>
            <w:vAlign w:val="bottom"/>
            <w:tcBorders>
              <w:bottom w:val="single" w:sz="8" w:color="CCECFF"/>
            </w:tcBorders>
          </w:tcPr>
          <w:p>
            <w:pPr>
              <w:spacing w:after="0"/>
              <w:rPr>
                <w:sz w:val="12"/>
                <w:szCs w:val="12"/>
                <w:color w:val="auto"/>
              </w:rPr>
            </w:pPr>
          </w:p>
        </w:tc>
        <w:tc>
          <w:tcPr>
            <w:tcW w:w="220" w:type="dxa"/>
            <w:vAlign w:val="bottom"/>
            <w:tcBorders>
              <w:bottom w:val="single" w:sz="8" w:color="CCECFF"/>
            </w:tcBorders>
          </w:tcPr>
          <w:p>
            <w:pPr>
              <w:spacing w:after="0"/>
              <w:rPr>
                <w:sz w:val="12"/>
                <w:szCs w:val="12"/>
                <w:color w:val="auto"/>
              </w:rPr>
            </w:pPr>
          </w:p>
        </w:tc>
        <w:tc>
          <w:tcPr>
            <w:tcW w:w="720" w:type="dxa"/>
            <w:vAlign w:val="bottom"/>
            <w:tcBorders>
              <w:bottom w:val="single" w:sz="8" w:color="CCECFF"/>
            </w:tcBorders>
          </w:tcPr>
          <w:p>
            <w:pPr>
              <w:spacing w:after="0"/>
              <w:rPr>
                <w:sz w:val="12"/>
                <w:szCs w:val="12"/>
                <w:color w:val="auto"/>
              </w:rPr>
            </w:pPr>
          </w:p>
        </w:tc>
        <w:tc>
          <w:tcPr>
            <w:tcW w:w="220" w:type="dxa"/>
            <w:vAlign w:val="bottom"/>
            <w:tcBorders>
              <w:bottom w:val="single" w:sz="8" w:color="CCEC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48,343,828</w:t>
            </w:r>
          </w:p>
        </w:tc>
        <w:tc>
          <w:tcPr>
            <w:tcW w:w="240" w:type="dxa"/>
            <w:vAlign w:val="bottom"/>
            <w:tcBorders>
              <w:bottom w:val="single" w:sz="8" w:color="CCECFF"/>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48,374,526</w:t>
            </w:r>
          </w:p>
        </w:tc>
        <w:tc>
          <w:tcPr>
            <w:tcW w:w="100" w:type="dxa"/>
            <w:vAlign w:val="bottom"/>
            <w:tcBorders>
              <w:bottom w:val="single" w:sz="8" w:color="CCECFF"/>
            </w:tcBorders>
          </w:tcPr>
          <w:p>
            <w:pPr>
              <w:spacing w:after="0"/>
              <w:rPr>
                <w:sz w:val="12"/>
                <w:szCs w:val="12"/>
                <w:color w:val="auto"/>
              </w:rPr>
            </w:pPr>
          </w:p>
        </w:tc>
      </w:tr>
      <w:tr>
        <w:trPr>
          <w:trHeight w:val="142"/>
        </w:trPr>
        <w:tc>
          <w:tcPr>
            <w:tcW w:w="3300" w:type="dxa"/>
            <w:vAlign w:val="bottom"/>
            <w:shd w:val="clear" w:color="auto" w:fill="CCECFF"/>
          </w:tcPr>
          <w:p>
            <w:pPr>
              <w:spacing w:after="0"/>
              <w:rPr>
                <w:sz w:val="20"/>
                <w:szCs w:val="20"/>
                <w:color w:val="auto"/>
              </w:rPr>
            </w:pPr>
            <w:r>
              <w:rPr>
                <w:rFonts w:ascii="Arial" w:cs="Arial" w:eastAsia="Arial" w:hAnsi="Arial"/>
                <w:sz w:val="12"/>
                <w:szCs w:val="12"/>
                <w:b w:val="1"/>
                <w:bCs w:val="1"/>
                <w:color w:val="auto"/>
              </w:rPr>
              <w:t>Total Cash and Cash Equivalents</w:t>
            </w:r>
          </w:p>
        </w:tc>
        <w:tc>
          <w:tcPr>
            <w:tcW w:w="120" w:type="dxa"/>
            <w:vAlign w:val="bottom"/>
            <w:shd w:val="clear" w:color="auto" w:fill="CCECFF"/>
          </w:tcPr>
          <w:p>
            <w:pPr>
              <w:spacing w:after="0"/>
              <w:rPr>
                <w:sz w:val="12"/>
                <w:szCs w:val="12"/>
                <w:color w:val="auto"/>
              </w:rPr>
            </w:pPr>
          </w:p>
        </w:tc>
        <w:tc>
          <w:tcPr>
            <w:tcW w:w="54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220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60" w:type="dxa"/>
            <w:vAlign w:val="bottom"/>
            <w:shd w:val="clear" w:color="auto" w:fill="CCECFF"/>
          </w:tcPr>
          <w:p>
            <w:pPr>
              <w:spacing w:after="0"/>
              <w:rPr>
                <w:sz w:val="12"/>
                <w:szCs w:val="12"/>
                <w:color w:val="auto"/>
              </w:rPr>
            </w:pPr>
          </w:p>
        </w:tc>
        <w:tc>
          <w:tcPr>
            <w:tcW w:w="300" w:type="dxa"/>
            <w:vAlign w:val="bottom"/>
            <w:shd w:val="clear" w:color="auto" w:fill="CCECFF"/>
          </w:tcPr>
          <w:p>
            <w:pPr>
              <w:spacing w:after="0"/>
              <w:rPr>
                <w:sz w:val="12"/>
                <w:szCs w:val="12"/>
                <w:color w:val="auto"/>
              </w:rPr>
            </w:pPr>
          </w:p>
        </w:tc>
        <w:tc>
          <w:tcPr>
            <w:tcW w:w="66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72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100" w:type="dxa"/>
            <w:vAlign w:val="bottom"/>
            <w:tcBorders>
              <w:bottom w:val="single" w:sz="8" w:color="auto"/>
            </w:tcBorders>
            <w:shd w:val="clear" w:color="auto" w:fill="CCECFF"/>
          </w:tcPr>
          <w:p>
            <w:pPr>
              <w:spacing w:after="0"/>
              <w:rPr>
                <w:sz w:val="12"/>
                <w:szCs w:val="12"/>
                <w:color w:val="auto"/>
              </w:rPr>
            </w:pPr>
          </w:p>
        </w:tc>
        <w:tc>
          <w:tcPr>
            <w:tcW w:w="7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rPr>
              <w:t>56,261,842</w:t>
            </w:r>
          </w:p>
        </w:tc>
        <w:tc>
          <w:tcPr>
            <w:tcW w:w="240" w:type="dxa"/>
            <w:vAlign w:val="bottom"/>
            <w:shd w:val="clear" w:color="auto" w:fill="CCECFF"/>
          </w:tcPr>
          <w:p>
            <w:pPr>
              <w:spacing w:after="0"/>
              <w:rPr>
                <w:sz w:val="12"/>
                <w:szCs w:val="12"/>
                <w:color w:val="auto"/>
              </w:rPr>
            </w:pPr>
          </w:p>
        </w:tc>
        <w:tc>
          <w:tcPr>
            <w:tcW w:w="60" w:type="dxa"/>
            <w:vAlign w:val="bottom"/>
            <w:tcBorders>
              <w:bottom w:val="single" w:sz="8" w:color="auto"/>
            </w:tcBorders>
            <w:shd w:val="clear" w:color="auto" w:fill="CCECFF"/>
          </w:tcPr>
          <w:p>
            <w:pPr>
              <w:spacing w:after="0"/>
              <w:rPr>
                <w:sz w:val="12"/>
                <w:szCs w:val="12"/>
                <w:color w:val="auto"/>
              </w:rPr>
            </w:pPr>
          </w:p>
        </w:tc>
        <w:tc>
          <w:tcPr>
            <w:tcW w:w="7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rPr>
              <w:t>56,292,541</w:t>
            </w:r>
          </w:p>
        </w:tc>
        <w:tc>
          <w:tcPr>
            <w:tcW w:w="100" w:type="dxa"/>
            <w:vAlign w:val="bottom"/>
            <w:shd w:val="clear" w:color="auto" w:fill="CCECFF"/>
          </w:tcPr>
          <w:p>
            <w:pPr>
              <w:spacing w:after="0"/>
              <w:rPr>
                <w:sz w:val="12"/>
                <w:szCs w:val="12"/>
                <w:color w:val="auto"/>
              </w:rPr>
            </w:pPr>
          </w:p>
        </w:tc>
      </w:tr>
      <w:tr>
        <w:trPr>
          <w:trHeight w:val="182"/>
        </w:trPr>
        <w:tc>
          <w:tcPr>
            <w:tcW w:w="3300" w:type="dxa"/>
            <w:vAlign w:val="bottom"/>
            <w:tcBorders>
              <w:bottom w:val="single" w:sz="8" w:color="CCECFF"/>
            </w:tcBorders>
          </w:tcPr>
          <w:p>
            <w:pPr>
              <w:spacing w:after="0"/>
              <w:rPr>
                <w:sz w:val="20"/>
                <w:szCs w:val="20"/>
                <w:color w:val="auto"/>
              </w:rPr>
            </w:pPr>
            <w:r>
              <w:rPr>
                <w:rFonts w:ascii="Arial" w:cs="Arial" w:eastAsia="Arial" w:hAnsi="Arial"/>
                <w:sz w:val="12"/>
                <w:szCs w:val="12"/>
                <w:b w:val="1"/>
                <w:bCs w:val="1"/>
                <w:color w:val="auto"/>
              </w:rPr>
              <w:t>Total Investments and Cash Equivalents—245.5%</w:t>
            </w:r>
          </w:p>
        </w:tc>
        <w:tc>
          <w:tcPr>
            <w:tcW w:w="120" w:type="dxa"/>
            <w:vAlign w:val="bottom"/>
            <w:tcBorders>
              <w:bottom w:val="single" w:sz="8" w:color="CCECFF"/>
            </w:tcBorders>
          </w:tcPr>
          <w:p>
            <w:pPr>
              <w:spacing w:after="0"/>
              <w:rPr>
                <w:sz w:val="15"/>
                <w:szCs w:val="15"/>
                <w:color w:val="auto"/>
              </w:rPr>
            </w:pPr>
          </w:p>
        </w:tc>
        <w:tc>
          <w:tcPr>
            <w:tcW w:w="540" w:type="dxa"/>
            <w:vAlign w:val="bottom"/>
            <w:tcBorders>
              <w:bottom w:val="single" w:sz="8" w:color="CCECFF"/>
            </w:tcBorders>
          </w:tcPr>
          <w:p>
            <w:pPr>
              <w:spacing w:after="0"/>
              <w:rPr>
                <w:sz w:val="15"/>
                <w:szCs w:val="15"/>
                <w:color w:val="auto"/>
              </w:rPr>
            </w:pPr>
          </w:p>
        </w:tc>
        <w:tc>
          <w:tcPr>
            <w:tcW w:w="240" w:type="dxa"/>
            <w:vAlign w:val="bottom"/>
            <w:tcBorders>
              <w:bottom w:val="single" w:sz="8" w:color="CCECFF"/>
            </w:tcBorders>
          </w:tcPr>
          <w:p>
            <w:pPr>
              <w:spacing w:after="0"/>
              <w:rPr>
                <w:sz w:val="15"/>
                <w:szCs w:val="15"/>
                <w:color w:val="auto"/>
              </w:rPr>
            </w:pPr>
          </w:p>
        </w:tc>
        <w:tc>
          <w:tcPr>
            <w:tcW w:w="2200" w:type="dxa"/>
            <w:vAlign w:val="bottom"/>
            <w:tcBorders>
              <w:bottom w:val="single" w:sz="8" w:color="CCECFF"/>
            </w:tcBorders>
          </w:tcPr>
          <w:p>
            <w:pPr>
              <w:spacing w:after="0"/>
              <w:rPr>
                <w:sz w:val="15"/>
                <w:szCs w:val="15"/>
                <w:color w:val="auto"/>
              </w:rPr>
            </w:pPr>
          </w:p>
        </w:tc>
        <w:tc>
          <w:tcPr>
            <w:tcW w:w="120" w:type="dxa"/>
            <w:vAlign w:val="bottom"/>
            <w:tcBorders>
              <w:bottom w:val="single" w:sz="8" w:color="CCECFF"/>
            </w:tcBorders>
          </w:tcPr>
          <w:p>
            <w:pPr>
              <w:spacing w:after="0"/>
              <w:rPr>
                <w:sz w:val="15"/>
                <w:szCs w:val="15"/>
                <w:color w:val="auto"/>
              </w:rPr>
            </w:pPr>
          </w:p>
        </w:tc>
        <w:tc>
          <w:tcPr>
            <w:tcW w:w="660" w:type="dxa"/>
            <w:vAlign w:val="bottom"/>
            <w:tcBorders>
              <w:bottom w:val="single" w:sz="8" w:color="CCECFF"/>
            </w:tcBorders>
          </w:tcPr>
          <w:p>
            <w:pPr>
              <w:spacing w:after="0"/>
              <w:rPr>
                <w:sz w:val="15"/>
                <w:szCs w:val="15"/>
                <w:color w:val="auto"/>
              </w:rPr>
            </w:pPr>
          </w:p>
        </w:tc>
        <w:tc>
          <w:tcPr>
            <w:tcW w:w="300" w:type="dxa"/>
            <w:vAlign w:val="bottom"/>
            <w:tcBorders>
              <w:bottom w:val="single" w:sz="8" w:color="CCECFF"/>
            </w:tcBorders>
          </w:tcPr>
          <w:p>
            <w:pPr>
              <w:spacing w:after="0"/>
              <w:rPr>
                <w:sz w:val="15"/>
                <w:szCs w:val="15"/>
                <w:color w:val="auto"/>
              </w:rPr>
            </w:pPr>
          </w:p>
        </w:tc>
        <w:tc>
          <w:tcPr>
            <w:tcW w:w="660" w:type="dxa"/>
            <w:vAlign w:val="bottom"/>
            <w:tcBorders>
              <w:bottom w:val="single" w:sz="8" w:color="CCECFF"/>
            </w:tcBorders>
          </w:tcPr>
          <w:p>
            <w:pPr>
              <w:spacing w:after="0"/>
              <w:rPr>
                <w:sz w:val="15"/>
                <w:szCs w:val="15"/>
                <w:color w:val="auto"/>
              </w:rPr>
            </w:pPr>
          </w:p>
        </w:tc>
        <w:tc>
          <w:tcPr>
            <w:tcW w:w="220" w:type="dxa"/>
            <w:vAlign w:val="bottom"/>
            <w:tcBorders>
              <w:bottom w:val="single" w:sz="8" w:color="CCECFF"/>
            </w:tcBorders>
          </w:tcPr>
          <w:p>
            <w:pPr>
              <w:spacing w:after="0"/>
              <w:rPr>
                <w:sz w:val="15"/>
                <w:szCs w:val="15"/>
                <w:color w:val="auto"/>
              </w:rPr>
            </w:pPr>
          </w:p>
        </w:tc>
        <w:tc>
          <w:tcPr>
            <w:tcW w:w="720" w:type="dxa"/>
            <w:vAlign w:val="bottom"/>
            <w:tcBorders>
              <w:bottom w:val="single" w:sz="8" w:color="CCECFF"/>
            </w:tcBorders>
          </w:tcPr>
          <w:p>
            <w:pPr>
              <w:spacing w:after="0"/>
              <w:rPr>
                <w:sz w:val="15"/>
                <w:szCs w:val="15"/>
                <w:color w:val="auto"/>
              </w:rPr>
            </w:pPr>
          </w:p>
        </w:tc>
        <w:tc>
          <w:tcPr>
            <w:tcW w:w="220" w:type="dxa"/>
            <w:vAlign w:val="bottom"/>
            <w:tcBorders>
              <w:bottom w:val="single" w:sz="8" w:color="CCECFF"/>
            </w:tcBorders>
          </w:tcPr>
          <w:p>
            <w:pPr>
              <w:spacing w:after="0"/>
              <w:rPr>
                <w:sz w:val="15"/>
                <w:szCs w:val="15"/>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w w:val="78"/>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88"/>
              </w:rPr>
              <w:t>1,239,456,115</w:t>
            </w:r>
          </w:p>
        </w:tc>
        <w:tc>
          <w:tcPr>
            <w:tcW w:w="240" w:type="dxa"/>
            <w:vAlign w:val="bottom"/>
            <w:tcBorders>
              <w:bottom w:val="single" w:sz="8" w:color="CCECFF"/>
            </w:tcBorders>
          </w:tcPr>
          <w:p>
            <w:pPr>
              <w:spacing w:after="0"/>
              <w:rPr>
                <w:sz w:val="15"/>
                <w:szCs w:val="15"/>
                <w:color w:val="auto"/>
              </w:rPr>
            </w:pP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w w:val="78"/>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91"/>
              </w:rPr>
              <w:t>1,232,408,455</w:t>
            </w:r>
          </w:p>
        </w:tc>
        <w:tc>
          <w:tcPr>
            <w:tcW w:w="100" w:type="dxa"/>
            <w:vAlign w:val="bottom"/>
            <w:tcBorders>
              <w:bottom w:val="single" w:sz="8" w:color="CCECFF"/>
            </w:tcBorders>
          </w:tcPr>
          <w:p>
            <w:pPr>
              <w:spacing w:after="0"/>
              <w:rPr>
                <w:sz w:val="15"/>
                <w:szCs w:val="15"/>
                <w:color w:val="auto"/>
              </w:rPr>
            </w:pPr>
          </w:p>
        </w:tc>
      </w:tr>
      <w:tr>
        <w:trPr>
          <w:trHeight w:val="129"/>
        </w:trPr>
        <w:tc>
          <w:tcPr>
            <w:tcW w:w="3300" w:type="dxa"/>
            <w:vAlign w:val="bottom"/>
            <w:shd w:val="clear" w:color="auto" w:fill="CCECFF"/>
          </w:tcPr>
          <w:p>
            <w:pPr>
              <w:spacing w:after="0" w:line="129" w:lineRule="exact"/>
              <w:rPr>
                <w:sz w:val="20"/>
                <w:szCs w:val="20"/>
                <w:color w:val="auto"/>
              </w:rPr>
            </w:pPr>
            <w:r>
              <w:rPr>
                <w:rFonts w:ascii="Arial" w:cs="Arial" w:eastAsia="Arial" w:hAnsi="Arial"/>
                <w:sz w:val="12"/>
                <w:szCs w:val="12"/>
                <w:b w:val="1"/>
                <w:bCs w:val="1"/>
                <w:color w:val="auto"/>
              </w:rPr>
              <w:t>Liabilities in Excess of Other Assets—(145.5)%</w:t>
            </w:r>
          </w:p>
        </w:tc>
        <w:tc>
          <w:tcPr>
            <w:tcW w:w="120" w:type="dxa"/>
            <w:vAlign w:val="bottom"/>
            <w:shd w:val="clear" w:color="auto" w:fill="CCECFF"/>
          </w:tcPr>
          <w:p>
            <w:pPr>
              <w:spacing w:after="0"/>
              <w:rPr>
                <w:sz w:val="11"/>
                <w:szCs w:val="11"/>
                <w:color w:val="auto"/>
              </w:rPr>
            </w:pPr>
          </w:p>
        </w:tc>
        <w:tc>
          <w:tcPr>
            <w:tcW w:w="54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220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30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72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70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840" w:type="dxa"/>
            <w:vAlign w:val="bottom"/>
            <w:gridSpan w:val="2"/>
            <w:shd w:val="clear" w:color="auto" w:fill="CCECFF"/>
          </w:tcPr>
          <w:p>
            <w:pPr>
              <w:jc w:val="right"/>
              <w:ind w:right="60"/>
              <w:spacing w:after="0" w:line="129" w:lineRule="exact"/>
              <w:rPr>
                <w:sz w:val="20"/>
                <w:szCs w:val="20"/>
                <w:color w:val="auto"/>
              </w:rPr>
            </w:pPr>
            <w:r>
              <w:rPr>
                <w:rFonts w:ascii="Arial" w:cs="Arial" w:eastAsia="Arial" w:hAnsi="Arial"/>
                <w:sz w:val="12"/>
                <w:szCs w:val="12"/>
                <w:color w:val="auto"/>
              </w:rPr>
              <w:t>(730,428,091)</w:t>
            </w:r>
          </w:p>
        </w:tc>
      </w:tr>
      <w:tr>
        <w:trPr>
          <w:trHeight w:val="148"/>
        </w:trPr>
        <w:tc>
          <w:tcPr>
            <w:tcW w:w="3300" w:type="dxa"/>
            <w:vAlign w:val="bottom"/>
          </w:tcPr>
          <w:p>
            <w:pPr>
              <w:spacing w:after="0"/>
              <w:rPr>
                <w:sz w:val="20"/>
                <w:szCs w:val="20"/>
                <w:color w:val="auto"/>
              </w:rPr>
            </w:pPr>
            <w:r>
              <w:rPr>
                <w:rFonts w:ascii="Arial" w:cs="Arial" w:eastAsia="Arial" w:hAnsi="Arial"/>
                <w:sz w:val="12"/>
                <w:szCs w:val="12"/>
                <w:b w:val="1"/>
                <w:bCs w:val="1"/>
                <w:color w:val="auto"/>
              </w:rPr>
              <w:t>Net Assets—100.0%</w:t>
            </w: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w w:val="78"/>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501,980,364</w:t>
            </w:r>
          </w:p>
        </w:tc>
        <w:tc>
          <w:tcPr>
            <w:tcW w:w="100" w:type="dxa"/>
            <w:vAlign w:val="bottom"/>
          </w:tcPr>
          <w:p>
            <w:pPr>
              <w:spacing w:after="0"/>
              <w:rPr>
                <w:sz w:val="12"/>
                <w:szCs w:val="12"/>
                <w:color w:val="auto"/>
              </w:rPr>
            </w:pPr>
          </w:p>
        </w:tc>
      </w:tr>
      <w:tr>
        <w:trPr>
          <w:trHeight w:val="20"/>
        </w:trPr>
        <w:tc>
          <w:tcPr>
            <w:tcW w:w="3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42" w:lineRule="exact"/>
        <w:rPr>
          <w:sz w:val="20"/>
          <w:szCs w:val="20"/>
          <w:color w:val="auto"/>
        </w:rPr>
      </w:pPr>
    </w:p>
    <w:p>
      <w:pPr>
        <w:ind w:left="380" w:right="40" w:hanging="372"/>
        <w:spacing w:after="0" w:line="344" w:lineRule="auto"/>
        <w:tabs>
          <w:tab w:leader="none" w:pos="380" w:val="left"/>
        </w:tabs>
        <w:numPr>
          <w:ilvl w:val="0"/>
          <w:numId w:val="3"/>
        </w:numPr>
        <w:rPr>
          <w:rFonts w:ascii="Arial" w:cs="Arial" w:eastAsia="Arial" w:hAnsi="Arial"/>
          <w:sz w:val="9"/>
          <w:szCs w:val="9"/>
          <w:color w:val="auto"/>
        </w:rPr>
      </w:pPr>
      <w:r>
        <w:rPr>
          <w:rFonts w:ascii="Arial" w:cs="Arial" w:eastAsia="Arial" w:hAnsi="Arial"/>
          <w:sz w:val="9"/>
          <w:szCs w:val="9"/>
          <w:color w:val="auto"/>
        </w:rPr>
        <w:t>Represents floating rate instruments that accrue interest at a predetermined spread relative to an index, typically the applicable LIBOR or “L” or Prime rate, or “P.” The spread may change based on the type of rate used. The terms in the Schedule of Investments disclose the actual interest rate in effect as of the reporting period. LIBOR loans are typically indexed to a 30-day, 60-day, 90-day or 180-day LIBOR rate (1M L, 2M L, 3M L, or 6M L, respectively), at the borrower’s option. All securities are subject to a LIBOR or Prime rate floor where a spread is provided, unless noted. The spread provided includes payment-in-kind, or PIK, interest and other fee rates, if any.</w:t>
      </w:r>
    </w:p>
    <w:p>
      <w:pPr>
        <w:ind w:left="380" w:hanging="372"/>
        <w:spacing w:after="0"/>
        <w:tabs>
          <w:tab w:leader="none" w:pos="380" w:val="left"/>
        </w:tabs>
        <w:numPr>
          <w:ilvl w:val="0"/>
          <w:numId w:val="3"/>
        </w:numPr>
        <w:rPr>
          <w:rFonts w:ascii="Arial" w:cs="Arial" w:eastAsia="Arial" w:hAnsi="Arial"/>
          <w:sz w:val="12"/>
          <w:szCs w:val="12"/>
          <w:color w:val="auto"/>
        </w:rPr>
      </w:pPr>
      <w:r>
        <w:rPr>
          <w:rFonts w:ascii="Arial" w:cs="Arial" w:eastAsia="Arial" w:hAnsi="Arial"/>
          <w:sz w:val="12"/>
          <w:szCs w:val="12"/>
          <w:color w:val="auto"/>
        </w:rPr>
        <w:t>Valued based on our accounting policy (See Note 2). The value of all securities was determined using significant unobservable inputs (See Note 5).</w:t>
      </w:r>
    </w:p>
    <w:p>
      <w:pPr>
        <w:spacing w:after="0" w:line="37" w:lineRule="exact"/>
        <w:rPr>
          <w:rFonts w:ascii="Arial" w:cs="Arial" w:eastAsia="Arial" w:hAnsi="Arial"/>
          <w:sz w:val="12"/>
          <w:szCs w:val="12"/>
          <w:color w:val="auto"/>
        </w:rPr>
      </w:pPr>
    </w:p>
    <w:p>
      <w:pPr>
        <w:ind w:left="380" w:hanging="372"/>
        <w:spacing w:after="0" w:line="252" w:lineRule="auto"/>
        <w:tabs>
          <w:tab w:leader="none" w:pos="380" w:val="left"/>
        </w:tabs>
        <w:numPr>
          <w:ilvl w:val="0"/>
          <w:numId w:val="3"/>
        </w:numPr>
        <w:rPr>
          <w:rFonts w:ascii="Arial" w:cs="Arial" w:eastAsia="Arial" w:hAnsi="Arial"/>
          <w:sz w:val="12"/>
          <w:szCs w:val="12"/>
          <w:color w:val="auto"/>
        </w:rPr>
      </w:pPr>
      <w:r>
        <w:rPr>
          <w:rFonts w:ascii="Arial" w:cs="Arial" w:eastAsia="Arial" w:hAnsi="Arial"/>
          <w:sz w:val="12"/>
          <w:szCs w:val="12"/>
          <w:color w:val="auto"/>
        </w:rPr>
        <w:t>The provisions of the 1940 Act classify investments based on the level of control that we maintain in a particular portfolio company. As defined in the 1940 Act, a company is generally presumed to be “non-controlled” when we own 25% or less of the portfolio company’s voting securities and “controlled” when we own more than 25% of the portfolio company’s voting securities.</w:t>
      </w:r>
    </w:p>
    <w:p>
      <w:pPr>
        <w:spacing w:after="0" w:line="20" w:lineRule="exact"/>
        <w:rPr>
          <w:rFonts w:ascii="Arial" w:cs="Arial" w:eastAsia="Arial" w:hAnsi="Arial"/>
          <w:sz w:val="12"/>
          <w:szCs w:val="12"/>
          <w:color w:val="auto"/>
        </w:rPr>
      </w:pPr>
    </w:p>
    <w:p>
      <w:pPr>
        <w:ind w:left="380" w:hanging="372"/>
        <w:spacing w:after="0" w:line="252" w:lineRule="auto"/>
        <w:tabs>
          <w:tab w:leader="none" w:pos="380" w:val="left"/>
        </w:tabs>
        <w:numPr>
          <w:ilvl w:val="0"/>
          <w:numId w:val="3"/>
        </w:numPr>
        <w:rPr>
          <w:rFonts w:ascii="Arial" w:cs="Arial" w:eastAsia="Arial" w:hAnsi="Arial"/>
          <w:sz w:val="12"/>
          <w:szCs w:val="12"/>
          <w:color w:val="auto"/>
        </w:rPr>
      </w:pPr>
      <w:r>
        <w:rPr>
          <w:rFonts w:ascii="Arial" w:cs="Arial" w:eastAsia="Arial" w:hAnsi="Arial"/>
          <w:sz w:val="12"/>
          <w:szCs w:val="12"/>
          <w:color w:val="auto"/>
        </w:rPr>
        <w:t>The provisions of the 1940 Act classify investments further based on the level of ownership that we maintain in a particular portfolio company. As defined in the 1940 Act, a company is generally deemed as “non-affiliated” when we own less than 5% of a portfolio company’s voting securities and “affiliated” when we own 5% or more of a portfolio company’s voting securities.</w:t>
      </w:r>
    </w:p>
    <w:p>
      <w:pPr>
        <w:spacing w:after="0" w:line="20" w:lineRule="exact"/>
        <w:rPr>
          <w:rFonts w:ascii="Arial" w:cs="Arial" w:eastAsia="Arial" w:hAnsi="Arial"/>
          <w:sz w:val="12"/>
          <w:szCs w:val="12"/>
          <w:color w:val="auto"/>
        </w:rPr>
      </w:pPr>
    </w:p>
    <w:p>
      <w:pPr>
        <w:ind w:left="380" w:hanging="372"/>
        <w:spacing w:after="0"/>
        <w:tabs>
          <w:tab w:leader="none" w:pos="380" w:val="left"/>
        </w:tabs>
        <w:numPr>
          <w:ilvl w:val="0"/>
          <w:numId w:val="3"/>
        </w:numPr>
        <w:rPr>
          <w:rFonts w:ascii="Arial" w:cs="Arial" w:eastAsia="Arial" w:hAnsi="Arial"/>
          <w:sz w:val="12"/>
          <w:szCs w:val="12"/>
          <w:color w:val="auto"/>
        </w:rPr>
      </w:pPr>
      <w:r>
        <w:rPr>
          <w:rFonts w:ascii="Arial" w:cs="Arial" w:eastAsia="Arial" w:hAnsi="Arial"/>
          <w:sz w:val="12"/>
          <w:szCs w:val="12"/>
          <w:color w:val="auto"/>
        </w:rPr>
        <w:t>Non-U.S. company or principal place of business outside the United States.</w:t>
      </w:r>
    </w:p>
    <w:p>
      <w:pPr>
        <w:spacing w:after="0" w:line="37" w:lineRule="exact"/>
        <w:rPr>
          <w:rFonts w:ascii="Arial" w:cs="Arial" w:eastAsia="Arial" w:hAnsi="Arial"/>
          <w:sz w:val="12"/>
          <w:szCs w:val="12"/>
          <w:color w:val="auto"/>
        </w:rPr>
      </w:pPr>
    </w:p>
    <w:p>
      <w:pPr>
        <w:ind w:left="380" w:hanging="372"/>
        <w:spacing w:after="0"/>
        <w:tabs>
          <w:tab w:leader="none" w:pos="380" w:val="left"/>
        </w:tabs>
        <w:numPr>
          <w:ilvl w:val="0"/>
          <w:numId w:val="3"/>
        </w:numPr>
        <w:rPr>
          <w:rFonts w:ascii="Arial" w:cs="Arial" w:eastAsia="Arial" w:hAnsi="Arial"/>
          <w:sz w:val="12"/>
          <w:szCs w:val="12"/>
          <w:color w:val="auto"/>
        </w:rPr>
      </w:pPr>
      <w:r>
        <w:rPr>
          <w:rFonts w:ascii="Arial" w:cs="Arial" w:eastAsia="Arial" w:hAnsi="Arial"/>
          <w:sz w:val="12"/>
          <w:szCs w:val="12"/>
          <w:color w:val="auto"/>
        </w:rPr>
        <w:t>Non-income producing securities.</w:t>
      </w:r>
    </w:p>
    <w:p>
      <w:pPr>
        <w:spacing w:after="0" w:line="37" w:lineRule="exact"/>
        <w:rPr>
          <w:rFonts w:ascii="Arial" w:cs="Arial" w:eastAsia="Arial" w:hAnsi="Arial"/>
          <w:sz w:val="12"/>
          <w:szCs w:val="12"/>
          <w:color w:val="auto"/>
        </w:rPr>
      </w:pPr>
    </w:p>
    <w:p>
      <w:pPr>
        <w:ind w:left="380" w:hanging="372"/>
        <w:spacing w:after="0"/>
        <w:tabs>
          <w:tab w:leader="none" w:pos="380" w:val="left"/>
        </w:tabs>
        <w:numPr>
          <w:ilvl w:val="0"/>
          <w:numId w:val="3"/>
        </w:numPr>
        <w:rPr>
          <w:rFonts w:ascii="Arial" w:cs="Arial" w:eastAsia="Arial" w:hAnsi="Arial"/>
          <w:sz w:val="11"/>
          <w:szCs w:val="11"/>
          <w:color w:val="auto"/>
        </w:rPr>
      </w:pPr>
      <w:r>
        <w:rPr>
          <w:rFonts w:ascii="Arial" w:cs="Arial" w:eastAsia="Arial" w:hAnsi="Arial"/>
          <w:sz w:val="11"/>
          <w:szCs w:val="11"/>
          <w:color w:val="auto"/>
        </w:rPr>
        <w:t>The securities, or a portion thereof, are not 1) pledged as collateral under the Credit Facility and held through Funding I; or, 2) securing the 2031 Asset-Backed Debt (See Note 10) and held through PennantPark CLO I, Ltd.</w:t>
      </w:r>
    </w:p>
    <w:p>
      <w:pPr>
        <w:spacing w:after="0" w:line="49" w:lineRule="exact"/>
        <w:rPr>
          <w:rFonts w:ascii="Arial" w:cs="Arial" w:eastAsia="Arial" w:hAnsi="Arial"/>
          <w:sz w:val="11"/>
          <w:szCs w:val="11"/>
          <w:color w:val="auto"/>
        </w:rPr>
      </w:pPr>
    </w:p>
    <w:p>
      <w:pPr>
        <w:ind w:left="380" w:hanging="372"/>
        <w:spacing w:after="0"/>
        <w:tabs>
          <w:tab w:leader="none" w:pos="380" w:val="left"/>
        </w:tabs>
        <w:numPr>
          <w:ilvl w:val="0"/>
          <w:numId w:val="3"/>
        </w:numPr>
        <w:rPr>
          <w:rFonts w:ascii="Arial" w:cs="Arial" w:eastAsia="Arial" w:hAnsi="Arial"/>
          <w:sz w:val="12"/>
          <w:szCs w:val="12"/>
          <w:color w:val="auto"/>
        </w:rPr>
      </w:pPr>
      <w:r>
        <w:rPr>
          <w:rFonts w:ascii="Arial" w:cs="Arial" w:eastAsia="Arial" w:hAnsi="Arial"/>
          <w:sz w:val="12"/>
          <w:szCs w:val="12"/>
          <w:color w:val="auto"/>
        </w:rPr>
        <w:t>Investment is held through our Taxable Subsidiary (See Note 1).</w:t>
      </w:r>
    </w:p>
    <w:p>
      <w:pPr>
        <w:spacing w:after="0" w:line="37" w:lineRule="exact"/>
        <w:rPr>
          <w:rFonts w:ascii="Arial" w:cs="Arial" w:eastAsia="Arial" w:hAnsi="Arial"/>
          <w:sz w:val="12"/>
          <w:szCs w:val="12"/>
          <w:color w:val="auto"/>
        </w:rPr>
      </w:pPr>
    </w:p>
    <w:p>
      <w:pPr>
        <w:ind w:left="380" w:hanging="372"/>
        <w:spacing w:after="0"/>
        <w:tabs>
          <w:tab w:leader="none" w:pos="380" w:val="left"/>
        </w:tabs>
        <w:numPr>
          <w:ilvl w:val="0"/>
          <w:numId w:val="3"/>
        </w:numPr>
        <w:rPr>
          <w:rFonts w:ascii="Arial" w:cs="Arial" w:eastAsia="Arial" w:hAnsi="Arial"/>
          <w:sz w:val="11"/>
          <w:szCs w:val="11"/>
          <w:color w:val="auto"/>
        </w:rPr>
      </w:pPr>
      <w:r>
        <w:rPr>
          <w:rFonts w:ascii="Arial" w:cs="Arial" w:eastAsia="Arial" w:hAnsi="Arial"/>
          <w:sz w:val="11"/>
          <w:szCs w:val="11"/>
          <w:color w:val="auto"/>
        </w:rPr>
        <w:t>Represents the purchase of a security with delayed settlement or a revolving line of credit that is currently an unfunded investment. This security does not earn a basis point spread above an index while it is unfunded.</w:t>
      </w:r>
    </w:p>
    <w:p>
      <w:pPr>
        <w:spacing w:after="0" w:line="49" w:lineRule="exact"/>
        <w:rPr>
          <w:rFonts w:ascii="Arial" w:cs="Arial" w:eastAsia="Arial" w:hAnsi="Arial"/>
          <w:sz w:val="11"/>
          <w:szCs w:val="11"/>
          <w:color w:val="auto"/>
        </w:rPr>
      </w:pPr>
    </w:p>
    <w:p>
      <w:pPr>
        <w:ind w:left="380" w:right="20" w:hanging="372"/>
        <w:spacing w:after="0" w:line="252" w:lineRule="auto"/>
        <w:tabs>
          <w:tab w:leader="none" w:pos="380" w:val="left"/>
        </w:tabs>
        <w:numPr>
          <w:ilvl w:val="0"/>
          <w:numId w:val="3"/>
        </w:numPr>
        <w:rPr>
          <w:rFonts w:ascii="Arial" w:cs="Arial" w:eastAsia="Arial" w:hAnsi="Arial"/>
          <w:sz w:val="12"/>
          <w:szCs w:val="12"/>
          <w:color w:val="auto"/>
        </w:rPr>
      </w:pPr>
      <w:r>
        <w:rPr>
          <w:rFonts w:ascii="Arial" w:cs="Arial" w:eastAsia="Arial" w:hAnsi="Arial"/>
          <w:sz w:val="12"/>
          <w:szCs w:val="12"/>
          <w:color w:val="auto"/>
        </w:rPr>
        <w:t>The investment is treated as a non-qualifying asset under Section 55(a) of the 1940 Act. Under the 1940 Act, we may not acquire any non-qualifying asset unless, at the time the acquisition is made, qualifying assets represent at least 70% of our total assets. As of December 31, 2019, qualifying assets represent 82% of our total assets and non-qualifying assets represent 18% of our total assets.</w:t>
      </w:r>
    </w:p>
    <w:p>
      <w:pPr>
        <w:spacing w:after="0" w:line="20" w:lineRule="exact"/>
        <w:rPr>
          <w:rFonts w:ascii="Arial" w:cs="Arial" w:eastAsia="Arial" w:hAnsi="Arial"/>
          <w:sz w:val="12"/>
          <w:szCs w:val="12"/>
          <w:color w:val="auto"/>
        </w:rPr>
      </w:pPr>
    </w:p>
    <w:p>
      <w:pPr>
        <w:ind w:left="380" w:hanging="372"/>
        <w:spacing w:after="0"/>
        <w:tabs>
          <w:tab w:leader="none" w:pos="380" w:val="left"/>
        </w:tabs>
        <w:numPr>
          <w:ilvl w:val="0"/>
          <w:numId w:val="3"/>
        </w:numPr>
        <w:rPr>
          <w:rFonts w:ascii="Arial" w:cs="Arial" w:eastAsia="Arial" w:hAnsi="Arial"/>
          <w:sz w:val="12"/>
          <w:szCs w:val="12"/>
          <w:color w:val="auto"/>
        </w:rPr>
      </w:pPr>
      <w:r>
        <w:rPr>
          <w:rFonts w:ascii="Arial" w:cs="Arial" w:eastAsia="Arial" w:hAnsi="Arial"/>
          <w:sz w:val="12"/>
          <w:szCs w:val="12"/>
          <w:color w:val="auto"/>
        </w:rPr>
        <w:t>Par amount is denominated in Canadian Dollars (C$) as denoted.</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SEE NOTES TO CONSOLIDATED FINANCIAL STATEMENTS</w:t>
      </w:r>
    </w:p>
    <w:p>
      <w:pPr>
        <w:spacing w:after="0" w:line="5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149465"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 w:name="page12"/>
    <w:bookmarkEnd w:id="11"/>
    <w:p>
      <w:pPr>
        <w:jc w:val="center"/>
        <w:spacing w:after="0"/>
        <w:rPr>
          <w:sz w:val="20"/>
          <w:szCs w:val="20"/>
          <w:color w:val="auto"/>
        </w:rPr>
      </w:pPr>
      <w:r>
        <w:rPr>
          <w:rFonts w:ascii="Arial" w:cs="Arial" w:eastAsia="Arial" w:hAnsi="Arial"/>
          <w:sz w:val="14"/>
          <w:szCs w:val="14"/>
          <w:b w:val="1"/>
          <w:bCs w:val="1"/>
          <w:color w:val="auto"/>
        </w:rPr>
        <w:t>PENNANTPARK FLOATING RATE CAPITAL LTD. AND SUBSIDIARIES</w:t>
      </w:r>
    </w:p>
    <w:p>
      <w:pPr>
        <w:jc w:val="center"/>
        <w:spacing w:after="0" w:line="225" w:lineRule="auto"/>
        <w:rPr>
          <w:sz w:val="20"/>
          <w:szCs w:val="20"/>
          <w:color w:val="auto"/>
        </w:rPr>
      </w:pPr>
      <w:r>
        <w:rPr>
          <w:rFonts w:ascii="Arial" w:cs="Arial" w:eastAsia="Arial" w:hAnsi="Arial"/>
          <w:sz w:val="14"/>
          <w:szCs w:val="14"/>
          <w:b w:val="1"/>
          <w:bCs w:val="1"/>
          <w:color w:val="auto"/>
        </w:rPr>
        <w:t>CONSOLIDATED SCHEDULE OF INVESTMENTS</w:t>
      </w:r>
    </w:p>
    <w:p>
      <w:pPr>
        <w:jc w:val="center"/>
        <w:spacing w:after="0"/>
        <w:rPr>
          <w:sz w:val="20"/>
          <w:szCs w:val="20"/>
          <w:color w:val="auto"/>
        </w:rPr>
      </w:pPr>
      <w:r>
        <w:rPr>
          <w:rFonts w:ascii="Arial" w:cs="Arial" w:eastAsia="Arial" w:hAnsi="Arial"/>
          <w:sz w:val="14"/>
          <w:szCs w:val="14"/>
          <w:b w:val="1"/>
          <w:bCs w:val="1"/>
          <w:color w:val="auto"/>
        </w:rPr>
        <w:t>SEPTEMBER 30, 2019</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33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center"/>
              <w:ind w:right="280"/>
              <w:spacing w:after="0"/>
              <w:rPr>
                <w:sz w:val="20"/>
                <w:szCs w:val="20"/>
                <w:color w:val="auto"/>
              </w:rPr>
            </w:pPr>
            <w:r>
              <w:rPr>
                <w:rFonts w:ascii="Arial" w:cs="Arial" w:eastAsia="Arial" w:hAnsi="Arial"/>
                <w:sz w:val="12"/>
                <w:szCs w:val="12"/>
                <w:b w:val="1"/>
                <w:bCs w:val="1"/>
                <w:color w:val="auto"/>
                <w:w w:val="85"/>
              </w:rPr>
              <w:t>Basis Point</w:t>
            </w: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35"/>
        </w:trPr>
        <w:tc>
          <w:tcPr>
            <w:tcW w:w="33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gridSpan w:val="2"/>
          </w:tcPr>
          <w:p>
            <w:pPr>
              <w:jc w:val="center"/>
              <w:ind w:right="280"/>
              <w:spacing w:after="0" w:line="135" w:lineRule="exact"/>
              <w:rPr>
                <w:sz w:val="20"/>
                <w:szCs w:val="20"/>
                <w:color w:val="auto"/>
              </w:rPr>
            </w:pPr>
            <w:r>
              <w:rPr>
                <w:rFonts w:ascii="Arial" w:cs="Arial" w:eastAsia="Arial" w:hAnsi="Arial"/>
                <w:sz w:val="12"/>
                <w:szCs w:val="12"/>
                <w:b w:val="1"/>
                <w:bCs w:val="1"/>
                <w:color w:val="auto"/>
                <w:w w:val="88"/>
              </w:rPr>
              <w:t>Spread</w:t>
            </w: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26"/>
        </w:trPr>
        <w:tc>
          <w:tcPr>
            <w:tcW w:w="33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gridSpan w:val="2"/>
          </w:tcPr>
          <w:p>
            <w:pPr>
              <w:jc w:val="right"/>
              <w:ind w:right="240"/>
              <w:spacing w:after="0" w:line="126" w:lineRule="exact"/>
              <w:rPr>
                <w:sz w:val="20"/>
                <w:szCs w:val="20"/>
                <w:color w:val="auto"/>
              </w:rPr>
            </w:pPr>
            <w:r>
              <w:rPr>
                <w:rFonts w:ascii="Arial" w:cs="Arial" w:eastAsia="Arial" w:hAnsi="Arial"/>
                <w:sz w:val="12"/>
                <w:szCs w:val="12"/>
                <w:b w:val="1"/>
                <w:bCs w:val="1"/>
                <w:color w:val="auto"/>
              </w:rPr>
              <w:t>Current</w:t>
            </w:r>
          </w:p>
        </w:tc>
        <w:tc>
          <w:tcPr>
            <w:tcW w:w="140" w:type="dxa"/>
            <w:vAlign w:val="bottom"/>
          </w:tcPr>
          <w:p>
            <w:pPr>
              <w:spacing w:after="0"/>
              <w:rPr>
                <w:sz w:val="10"/>
                <w:szCs w:val="10"/>
                <w:color w:val="auto"/>
              </w:rPr>
            </w:pPr>
          </w:p>
        </w:tc>
        <w:tc>
          <w:tcPr>
            <w:tcW w:w="960" w:type="dxa"/>
            <w:vAlign w:val="bottom"/>
            <w:gridSpan w:val="2"/>
          </w:tcPr>
          <w:p>
            <w:pPr>
              <w:jc w:val="center"/>
              <w:ind w:right="280"/>
              <w:spacing w:after="0" w:line="126" w:lineRule="exact"/>
              <w:rPr>
                <w:sz w:val="20"/>
                <w:szCs w:val="20"/>
                <w:color w:val="auto"/>
              </w:rPr>
            </w:pPr>
            <w:r>
              <w:rPr>
                <w:rFonts w:ascii="Arial" w:cs="Arial" w:eastAsia="Arial" w:hAnsi="Arial"/>
                <w:sz w:val="12"/>
                <w:szCs w:val="12"/>
                <w:b w:val="1"/>
                <w:bCs w:val="1"/>
                <w:color w:val="auto"/>
                <w:w w:val="87"/>
              </w:rPr>
              <w:t>Above</w:t>
            </w:r>
          </w:p>
        </w:tc>
        <w:tc>
          <w:tcPr>
            <w:tcW w:w="920" w:type="dxa"/>
            <w:vAlign w:val="bottom"/>
            <w:gridSpan w:val="2"/>
          </w:tcPr>
          <w:p>
            <w:pPr>
              <w:jc w:val="center"/>
              <w:ind w:right="240"/>
              <w:spacing w:after="0" w:line="126" w:lineRule="exact"/>
              <w:rPr>
                <w:sz w:val="20"/>
                <w:szCs w:val="20"/>
                <w:color w:val="auto"/>
              </w:rPr>
            </w:pPr>
            <w:r>
              <w:rPr>
                <w:rFonts w:ascii="Arial" w:cs="Arial" w:eastAsia="Arial" w:hAnsi="Arial"/>
                <w:sz w:val="12"/>
                <w:szCs w:val="12"/>
                <w:b w:val="1"/>
                <w:bCs w:val="1"/>
                <w:color w:val="auto"/>
                <w:w w:val="92"/>
              </w:rPr>
              <w:t>Par /</w:t>
            </w: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53"/>
        </w:trPr>
        <w:tc>
          <w:tcPr>
            <w:tcW w:w="3360" w:type="dxa"/>
            <w:vAlign w:val="bottom"/>
          </w:tcPr>
          <w:p>
            <w:pPr>
              <w:spacing w:after="0"/>
              <w:rPr>
                <w:sz w:val="20"/>
                <w:szCs w:val="20"/>
                <w:color w:val="auto"/>
              </w:rPr>
            </w:pPr>
            <w:r>
              <w:rPr>
                <w:rFonts w:ascii="Arial" w:cs="Arial" w:eastAsia="Arial" w:hAnsi="Arial"/>
                <w:sz w:val="12"/>
                <w:szCs w:val="12"/>
                <w:b w:val="1"/>
                <w:bCs w:val="1"/>
                <w:color w:val="auto"/>
              </w:rPr>
              <w:t>Issuer Name</w:t>
            </w:r>
          </w:p>
        </w:tc>
        <w:tc>
          <w:tcPr>
            <w:tcW w:w="920" w:type="dxa"/>
            <w:vAlign w:val="bottom"/>
          </w:tcPr>
          <w:p>
            <w:pPr>
              <w:jc w:val="center"/>
              <w:ind w:right="2"/>
              <w:spacing w:after="0"/>
              <w:rPr>
                <w:sz w:val="20"/>
                <w:szCs w:val="20"/>
                <w:color w:val="auto"/>
              </w:rPr>
            </w:pPr>
            <w:r>
              <w:rPr>
                <w:rFonts w:ascii="Arial" w:cs="Arial" w:eastAsia="Arial" w:hAnsi="Arial"/>
                <w:sz w:val="12"/>
                <w:szCs w:val="12"/>
                <w:b w:val="1"/>
                <w:bCs w:val="1"/>
                <w:color w:val="auto"/>
                <w:w w:val="98"/>
              </w:rPr>
              <w:t>Maturity</w:t>
            </w:r>
          </w:p>
        </w:tc>
        <w:tc>
          <w:tcPr>
            <w:tcW w:w="244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w w:val="88"/>
              </w:rPr>
              <w:t>Industry</w:t>
            </w:r>
          </w:p>
        </w:tc>
        <w:tc>
          <w:tcPr>
            <w:tcW w:w="780" w:type="dxa"/>
            <w:vAlign w:val="bottom"/>
            <w:gridSpan w:val="2"/>
          </w:tcPr>
          <w:p>
            <w:pPr>
              <w:jc w:val="right"/>
              <w:ind w:right="260"/>
              <w:spacing w:after="0"/>
              <w:rPr>
                <w:sz w:val="20"/>
                <w:szCs w:val="20"/>
                <w:color w:val="auto"/>
              </w:rPr>
            </w:pPr>
            <w:r>
              <w:rPr>
                <w:rFonts w:ascii="Arial" w:cs="Arial" w:eastAsia="Arial" w:hAnsi="Arial"/>
                <w:sz w:val="12"/>
                <w:szCs w:val="12"/>
                <w:b w:val="1"/>
                <w:bCs w:val="1"/>
                <w:color w:val="auto"/>
              </w:rPr>
              <w:t>Coupon</w:t>
            </w:r>
          </w:p>
        </w:tc>
        <w:tc>
          <w:tcPr>
            <w:tcW w:w="140" w:type="dxa"/>
            <w:vAlign w:val="bottom"/>
          </w:tcPr>
          <w:p>
            <w:pPr>
              <w:spacing w:after="0"/>
              <w:rPr>
                <w:sz w:val="13"/>
                <w:szCs w:val="13"/>
                <w:color w:val="auto"/>
              </w:rPr>
            </w:pPr>
          </w:p>
        </w:tc>
        <w:tc>
          <w:tcPr>
            <w:tcW w:w="960" w:type="dxa"/>
            <w:vAlign w:val="bottom"/>
            <w:gridSpan w:val="2"/>
          </w:tcPr>
          <w:p>
            <w:pPr>
              <w:jc w:val="center"/>
              <w:ind w:right="280"/>
              <w:spacing w:after="0" w:line="153" w:lineRule="exact"/>
              <w:rPr>
                <w:sz w:val="20"/>
                <w:szCs w:val="20"/>
                <w:color w:val="auto"/>
              </w:rPr>
            </w:pPr>
            <w:r>
              <w:rPr>
                <w:rFonts w:ascii="Arial" w:cs="Arial" w:eastAsia="Arial" w:hAnsi="Arial"/>
                <w:sz w:val="11"/>
                <w:szCs w:val="11"/>
                <w:b w:val="1"/>
                <w:bCs w:val="1"/>
                <w:color w:val="auto"/>
                <w:w w:val="96"/>
              </w:rPr>
              <w:t xml:space="preserve">Index </w:t>
            </w:r>
            <w:r>
              <w:rPr>
                <w:rFonts w:ascii="Arial" w:cs="Arial" w:eastAsia="Arial" w:hAnsi="Arial"/>
                <w:sz w:val="17"/>
                <w:szCs w:val="17"/>
                <w:b w:val="1"/>
                <w:bCs w:val="1"/>
                <w:color w:val="auto"/>
                <w:w w:val="96"/>
                <w:vertAlign w:val="superscript"/>
              </w:rPr>
              <w:t>(1)</w:t>
            </w:r>
          </w:p>
        </w:tc>
        <w:tc>
          <w:tcPr>
            <w:tcW w:w="92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79"/>
              </w:rPr>
              <w:t>Shares</w:t>
            </w:r>
          </w:p>
        </w:tc>
        <w:tc>
          <w:tcPr>
            <w:tcW w:w="900" w:type="dxa"/>
            <w:vAlign w:val="bottom"/>
            <w:gridSpan w:val="2"/>
          </w:tcPr>
          <w:p>
            <w:pPr>
              <w:ind w:left="220"/>
              <w:spacing w:after="0"/>
              <w:rPr>
                <w:sz w:val="20"/>
                <w:szCs w:val="20"/>
                <w:color w:val="auto"/>
              </w:rPr>
            </w:pPr>
            <w:r>
              <w:rPr>
                <w:rFonts w:ascii="Arial" w:cs="Arial" w:eastAsia="Arial" w:hAnsi="Arial"/>
                <w:sz w:val="12"/>
                <w:szCs w:val="12"/>
                <w:b w:val="1"/>
                <w:bCs w:val="1"/>
                <w:color w:val="auto"/>
              </w:rPr>
              <w:t>Cost</w:t>
            </w:r>
          </w:p>
        </w:tc>
        <w:tc>
          <w:tcPr>
            <w:tcW w:w="820" w:type="dxa"/>
            <w:vAlign w:val="bottom"/>
            <w:gridSpan w:val="2"/>
          </w:tcPr>
          <w:p>
            <w:pPr>
              <w:jc w:val="right"/>
              <w:ind w:right="140"/>
              <w:spacing w:after="0" w:line="153" w:lineRule="exact"/>
              <w:rPr>
                <w:sz w:val="20"/>
                <w:szCs w:val="20"/>
                <w:color w:val="auto"/>
              </w:rPr>
            </w:pPr>
            <w:r>
              <w:rPr>
                <w:rFonts w:ascii="Arial" w:cs="Arial" w:eastAsia="Arial" w:hAnsi="Arial"/>
                <w:sz w:val="11"/>
                <w:szCs w:val="11"/>
                <w:b w:val="1"/>
                <w:bCs w:val="1"/>
                <w:color w:val="auto"/>
                <w:w w:val="94"/>
              </w:rPr>
              <w:t xml:space="preserve">Fair Value </w:t>
            </w:r>
            <w:r>
              <w:rPr>
                <w:rFonts w:ascii="Arial" w:cs="Arial" w:eastAsia="Arial" w:hAnsi="Arial"/>
                <w:sz w:val="17"/>
                <w:szCs w:val="17"/>
                <w:b w:val="1"/>
                <w:bCs w:val="1"/>
                <w:color w:val="auto"/>
                <w:w w:val="94"/>
                <w:vertAlign w:val="superscript"/>
              </w:rPr>
              <w:t>(2)</w:t>
            </w:r>
          </w:p>
        </w:tc>
      </w:tr>
      <w:tr>
        <w:trPr>
          <w:trHeight w:val="142"/>
        </w:trPr>
        <w:tc>
          <w:tcPr>
            <w:tcW w:w="4280" w:type="dxa"/>
            <w:vAlign w:val="bottom"/>
            <w:tcBorders>
              <w:top w:val="single" w:sz="8" w:color="auto"/>
            </w:tcBorders>
            <w:gridSpan w:val="2"/>
            <w:shd w:val="clear" w:color="auto" w:fill="CCECFF"/>
          </w:tcPr>
          <w:p>
            <w:pPr>
              <w:spacing w:after="0" w:line="142" w:lineRule="exact"/>
              <w:rPr>
                <w:sz w:val="20"/>
                <w:szCs w:val="20"/>
                <w:color w:val="auto"/>
              </w:rPr>
            </w:pPr>
            <w:r>
              <w:rPr>
                <w:rFonts w:ascii="Arial" w:cs="Arial" w:eastAsia="Arial" w:hAnsi="Arial"/>
                <w:sz w:val="10"/>
                <w:szCs w:val="10"/>
                <w:b w:val="1"/>
                <w:bCs w:val="1"/>
                <w:color w:val="auto"/>
              </w:rPr>
              <w:t xml:space="preserve">Investments in Non-Controlled, Non-Affiliated Portfolio Companies—176.7% </w:t>
            </w:r>
            <w:r>
              <w:rPr>
                <w:rFonts w:ascii="Arial" w:cs="Arial" w:eastAsia="Arial" w:hAnsi="Arial"/>
                <w:sz w:val="16"/>
                <w:szCs w:val="16"/>
                <w:b w:val="1"/>
                <w:bCs w:val="1"/>
                <w:color w:val="auto"/>
                <w:vertAlign w:val="superscript"/>
              </w:rPr>
              <w:t>(3), (4)</w:t>
            </w:r>
          </w:p>
        </w:tc>
        <w:tc>
          <w:tcPr>
            <w:tcW w:w="2320" w:type="dxa"/>
            <w:vAlign w:val="bottom"/>
            <w:tcBorders>
              <w:top w:val="single" w:sz="8" w:color="auto"/>
            </w:tcBorders>
            <w:shd w:val="clear" w:color="auto" w:fill="CCECFF"/>
          </w:tcPr>
          <w:p>
            <w:pPr>
              <w:spacing w:after="0"/>
              <w:rPr>
                <w:sz w:val="12"/>
                <w:szCs w:val="12"/>
                <w:color w:val="auto"/>
              </w:rPr>
            </w:pPr>
          </w:p>
        </w:tc>
        <w:tc>
          <w:tcPr>
            <w:tcW w:w="120" w:type="dxa"/>
            <w:vAlign w:val="bottom"/>
            <w:tcBorders>
              <w:top w:val="single" w:sz="8" w:color="CCECFF"/>
            </w:tcBorders>
            <w:shd w:val="clear" w:color="auto" w:fill="CCECFF"/>
          </w:tcPr>
          <w:p>
            <w:pPr>
              <w:spacing w:after="0"/>
              <w:rPr>
                <w:sz w:val="12"/>
                <w:szCs w:val="12"/>
                <w:color w:val="auto"/>
              </w:rPr>
            </w:pPr>
          </w:p>
        </w:tc>
        <w:tc>
          <w:tcPr>
            <w:tcW w:w="680" w:type="dxa"/>
            <w:vAlign w:val="bottom"/>
            <w:tcBorders>
              <w:top w:val="single" w:sz="8" w:color="auto"/>
            </w:tcBorders>
            <w:shd w:val="clear" w:color="auto" w:fill="CCECFF"/>
          </w:tcPr>
          <w:p>
            <w:pPr>
              <w:spacing w:after="0"/>
              <w:rPr>
                <w:sz w:val="12"/>
                <w:szCs w:val="12"/>
                <w:color w:val="auto"/>
              </w:rPr>
            </w:pPr>
          </w:p>
        </w:tc>
        <w:tc>
          <w:tcPr>
            <w:tcW w:w="100" w:type="dxa"/>
            <w:vAlign w:val="bottom"/>
            <w:tcBorders>
              <w:top w:val="single" w:sz="8" w:color="CCECFF"/>
            </w:tcBorders>
            <w:shd w:val="clear" w:color="auto" w:fill="CCECFF"/>
          </w:tcPr>
          <w:p>
            <w:pPr>
              <w:spacing w:after="0"/>
              <w:rPr>
                <w:sz w:val="12"/>
                <w:szCs w:val="12"/>
                <w:color w:val="auto"/>
              </w:rPr>
            </w:pPr>
          </w:p>
        </w:tc>
        <w:tc>
          <w:tcPr>
            <w:tcW w:w="140" w:type="dxa"/>
            <w:vAlign w:val="bottom"/>
            <w:tcBorders>
              <w:top w:val="single" w:sz="8" w:color="CCECFF"/>
            </w:tcBorders>
            <w:shd w:val="clear" w:color="auto" w:fill="CCECFF"/>
          </w:tcPr>
          <w:p>
            <w:pPr>
              <w:spacing w:after="0"/>
              <w:rPr>
                <w:sz w:val="12"/>
                <w:szCs w:val="12"/>
                <w:color w:val="auto"/>
              </w:rPr>
            </w:pPr>
          </w:p>
        </w:tc>
        <w:tc>
          <w:tcPr>
            <w:tcW w:w="680" w:type="dxa"/>
            <w:vAlign w:val="bottom"/>
            <w:tcBorders>
              <w:top w:val="single" w:sz="8" w:color="auto"/>
            </w:tcBorders>
            <w:shd w:val="clear" w:color="auto" w:fill="CCECFF"/>
          </w:tcPr>
          <w:p>
            <w:pPr>
              <w:spacing w:after="0"/>
              <w:rPr>
                <w:sz w:val="12"/>
                <w:szCs w:val="12"/>
                <w:color w:val="auto"/>
              </w:rPr>
            </w:pPr>
          </w:p>
        </w:tc>
        <w:tc>
          <w:tcPr>
            <w:tcW w:w="280" w:type="dxa"/>
            <w:vAlign w:val="bottom"/>
            <w:tcBorders>
              <w:top w:val="single" w:sz="8" w:color="CCECFF"/>
            </w:tcBorders>
            <w:shd w:val="clear" w:color="auto" w:fill="CCECFF"/>
          </w:tcPr>
          <w:p>
            <w:pPr>
              <w:spacing w:after="0"/>
              <w:rPr>
                <w:sz w:val="12"/>
                <w:szCs w:val="12"/>
                <w:color w:val="auto"/>
              </w:rPr>
            </w:pPr>
          </w:p>
        </w:tc>
        <w:tc>
          <w:tcPr>
            <w:tcW w:w="680" w:type="dxa"/>
            <w:vAlign w:val="bottom"/>
            <w:tcBorders>
              <w:top w:val="single" w:sz="8" w:color="auto"/>
            </w:tcBorders>
            <w:shd w:val="clear" w:color="auto" w:fill="CCECFF"/>
          </w:tcPr>
          <w:p>
            <w:pPr>
              <w:spacing w:after="0"/>
              <w:rPr>
                <w:sz w:val="12"/>
                <w:szCs w:val="12"/>
                <w:color w:val="auto"/>
              </w:rPr>
            </w:pPr>
          </w:p>
        </w:tc>
        <w:tc>
          <w:tcPr>
            <w:tcW w:w="240" w:type="dxa"/>
            <w:vAlign w:val="bottom"/>
            <w:tcBorders>
              <w:top w:val="single" w:sz="8" w:color="CCECFF"/>
            </w:tcBorders>
            <w:shd w:val="clear" w:color="auto" w:fill="CCECFF"/>
          </w:tcPr>
          <w:p>
            <w:pPr>
              <w:spacing w:after="0"/>
              <w:rPr>
                <w:sz w:val="12"/>
                <w:szCs w:val="12"/>
                <w:color w:val="auto"/>
              </w:rPr>
            </w:pPr>
          </w:p>
        </w:tc>
        <w:tc>
          <w:tcPr>
            <w:tcW w:w="680" w:type="dxa"/>
            <w:vAlign w:val="bottom"/>
            <w:tcBorders>
              <w:top w:val="single" w:sz="8" w:color="auto"/>
            </w:tcBorders>
            <w:shd w:val="clear" w:color="auto" w:fill="CCECFF"/>
          </w:tcPr>
          <w:p>
            <w:pPr>
              <w:spacing w:after="0"/>
              <w:rPr>
                <w:sz w:val="12"/>
                <w:szCs w:val="12"/>
                <w:color w:val="auto"/>
              </w:rPr>
            </w:pPr>
          </w:p>
        </w:tc>
        <w:tc>
          <w:tcPr>
            <w:tcW w:w="220" w:type="dxa"/>
            <w:vAlign w:val="bottom"/>
            <w:tcBorders>
              <w:top w:val="single" w:sz="8" w:color="CCECFF"/>
            </w:tcBorders>
            <w:shd w:val="clear" w:color="auto" w:fill="CCECFF"/>
          </w:tcPr>
          <w:p>
            <w:pPr>
              <w:spacing w:after="0"/>
              <w:rPr>
                <w:sz w:val="12"/>
                <w:szCs w:val="12"/>
                <w:color w:val="auto"/>
              </w:rPr>
            </w:pPr>
          </w:p>
        </w:tc>
        <w:tc>
          <w:tcPr>
            <w:tcW w:w="700" w:type="dxa"/>
            <w:vAlign w:val="bottom"/>
            <w:tcBorders>
              <w:top w:val="single" w:sz="8" w:color="auto"/>
            </w:tcBorders>
            <w:shd w:val="clear" w:color="auto" w:fill="CCECFF"/>
          </w:tcPr>
          <w:p>
            <w:pPr>
              <w:spacing w:after="0"/>
              <w:rPr>
                <w:sz w:val="12"/>
                <w:szCs w:val="12"/>
                <w:color w:val="auto"/>
              </w:rPr>
            </w:pPr>
          </w:p>
        </w:tc>
        <w:tc>
          <w:tcPr>
            <w:tcW w:w="120" w:type="dxa"/>
            <w:vAlign w:val="bottom"/>
            <w:tcBorders>
              <w:top w:val="single" w:sz="8" w:color="CCECFF"/>
            </w:tcBorders>
            <w:shd w:val="clear" w:color="auto" w:fill="CCECFF"/>
          </w:tcPr>
          <w:p>
            <w:pPr>
              <w:spacing w:after="0"/>
              <w:rPr>
                <w:sz w:val="12"/>
                <w:szCs w:val="12"/>
                <w:color w:val="auto"/>
              </w:rPr>
            </w:pPr>
          </w:p>
        </w:tc>
      </w:tr>
      <w:tr>
        <w:trPr>
          <w:trHeight w:val="148"/>
        </w:trPr>
        <w:tc>
          <w:tcPr>
            <w:tcW w:w="3360" w:type="dxa"/>
            <w:vAlign w:val="bottom"/>
          </w:tcPr>
          <w:p>
            <w:pPr>
              <w:spacing w:after="0"/>
              <w:rPr>
                <w:sz w:val="20"/>
                <w:szCs w:val="20"/>
                <w:color w:val="auto"/>
              </w:rPr>
            </w:pPr>
            <w:r>
              <w:rPr>
                <w:rFonts w:ascii="Arial" w:cs="Arial" w:eastAsia="Arial" w:hAnsi="Arial"/>
                <w:sz w:val="12"/>
                <w:szCs w:val="12"/>
                <w:b w:val="1"/>
                <w:bCs w:val="1"/>
                <w:color w:val="auto"/>
              </w:rPr>
              <w:t>First Lien Secured Debt—162.7%</w:t>
            </w:r>
          </w:p>
        </w:tc>
        <w:tc>
          <w:tcPr>
            <w:tcW w:w="92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9"/>
        </w:trPr>
        <w:tc>
          <w:tcPr>
            <w:tcW w:w="3360" w:type="dxa"/>
            <w:vAlign w:val="bottom"/>
            <w:shd w:val="clear" w:color="auto" w:fill="CCECFF"/>
          </w:tcPr>
          <w:p>
            <w:pPr>
              <w:spacing w:after="0"/>
              <w:rPr>
                <w:sz w:val="20"/>
                <w:szCs w:val="20"/>
                <w:color w:val="auto"/>
              </w:rPr>
            </w:pPr>
            <w:r>
              <w:rPr>
                <w:rFonts w:ascii="Arial" w:cs="Arial" w:eastAsia="Arial" w:hAnsi="Arial"/>
                <w:sz w:val="12"/>
                <w:szCs w:val="12"/>
                <w:color w:val="auto"/>
              </w:rPr>
              <w:t>18 Freemont Street Acquisition, LLC</w:t>
            </w:r>
          </w:p>
        </w:tc>
        <w:tc>
          <w:tcPr>
            <w:tcW w:w="920" w:type="dxa"/>
            <w:vAlign w:val="bottom"/>
            <w:shd w:val="clear" w:color="auto" w:fill="CCECFF"/>
          </w:tcPr>
          <w:p>
            <w:pPr>
              <w:jc w:val="center"/>
              <w:ind w:right="2"/>
              <w:spacing w:after="0"/>
              <w:rPr>
                <w:sz w:val="20"/>
                <w:szCs w:val="20"/>
                <w:color w:val="auto"/>
              </w:rPr>
            </w:pPr>
            <w:r>
              <w:rPr>
                <w:rFonts w:ascii="Arial" w:cs="Arial" w:eastAsia="Arial" w:hAnsi="Arial"/>
                <w:sz w:val="12"/>
                <w:szCs w:val="12"/>
                <w:color w:val="auto"/>
                <w:w w:val="89"/>
              </w:rPr>
              <w:t>08/11/2025</w:t>
            </w:r>
          </w:p>
        </w:tc>
        <w:tc>
          <w:tcPr>
            <w:tcW w:w="2440" w:type="dxa"/>
            <w:vAlign w:val="bottom"/>
            <w:gridSpan w:val="2"/>
            <w:shd w:val="clear" w:color="auto" w:fill="CCECFF"/>
          </w:tcPr>
          <w:p>
            <w:pPr>
              <w:jc w:val="center"/>
              <w:ind w:right="180"/>
              <w:spacing w:after="0"/>
              <w:rPr>
                <w:sz w:val="20"/>
                <w:szCs w:val="20"/>
                <w:color w:val="auto"/>
              </w:rPr>
            </w:pPr>
            <w:r>
              <w:rPr>
                <w:rFonts w:ascii="Arial" w:cs="Arial" w:eastAsia="Arial" w:hAnsi="Arial"/>
                <w:sz w:val="12"/>
                <w:szCs w:val="12"/>
                <w:color w:val="auto"/>
                <w:w w:val="87"/>
              </w:rPr>
              <w:t>Hotels, Restaurants and Leisure</w:t>
            </w:r>
          </w:p>
        </w:tc>
        <w:tc>
          <w:tcPr>
            <w:tcW w:w="780" w:type="dxa"/>
            <w:vAlign w:val="bottom"/>
            <w:gridSpan w:val="2"/>
            <w:shd w:val="clear" w:color="auto" w:fill="CCECFF"/>
          </w:tcPr>
          <w:p>
            <w:pPr>
              <w:jc w:val="right"/>
              <w:ind w:right="20"/>
              <w:spacing w:after="0"/>
              <w:rPr>
                <w:sz w:val="20"/>
                <w:szCs w:val="20"/>
                <w:color w:val="auto"/>
              </w:rPr>
            </w:pPr>
            <w:r>
              <w:rPr>
                <w:rFonts w:ascii="Arial" w:cs="Arial" w:eastAsia="Arial" w:hAnsi="Arial"/>
                <w:sz w:val="12"/>
                <w:szCs w:val="12"/>
                <w:color w:val="auto"/>
              </w:rPr>
              <w:t>10.04%</w:t>
            </w:r>
          </w:p>
        </w:tc>
        <w:tc>
          <w:tcPr>
            <w:tcW w:w="140" w:type="dxa"/>
            <w:vAlign w:val="bottom"/>
            <w:shd w:val="clear" w:color="auto" w:fill="CCECFF"/>
          </w:tcPr>
          <w:p>
            <w:pPr>
              <w:spacing w:after="0"/>
              <w:rPr>
                <w:sz w:val="12"/>
                <w:szCs w:val="12"/>
                <w:color w:val="auto"/>
              </w:rPr>
            </w:pPr>
          </w:p>
        </w:tc>
        <w:tc>
          <w:tcPr>
            <w:tcW w:w="960" w:type="dxa"/>
            <w:vAlign w:val="bottom"/>
            <w:gridSpan w:val="2"/>
            <w:shd w:val="clear" w:color="auto" w:fill="CCECFF"/>
          </w:tcPr>
          <w:p>
            <w:pPr>
              <w:jc w:val="right"/>
              <w:ind w:right="280"/>
              <w:spacing w:after="0"/>
              <w:rPr>
                <w:sz w:val="20"/>
                <w:szCs w:val="20"/>
                <w:color w:val="auto"/>
              </w:rPr>
            </w:pPr>
            <w:r>
              <w:rPr>
                <w:rFonts w:ascii="Arial" w:cs="Arial" w:eastAsia="Arial" w:hAnsi="Arial"/>
                <w:sz w:val="12"/>
                <w:szCs w:val="12"/>
                <w:color w:val="auto"/>
              </w:rPr>
              <w:t>1M L+800</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15,000,000</w:t>
            </w:r>
          </w:p>
        </w:tc>
        <w:tc>
          <w:tcPr>
            <w:tcW w:w="24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w w:val="87"/>
              </w:rPr>
              <w:t>$  14,702,672</w:t>
            </w:r>
          </w:p>
        </w:tc>
        <w:tc>
          <w:tcPr>
            <w:tcW w:w="220" w:type="dxa"/>
            <w:vAlign w:val="bottom"/>
            <w:shd w:val="clear" w:color="auto" w:fill="CCECFF"/>
          </w:tcPr>
          <w:p>
            <w:pPr>
              <w:spacing w:after="0"/>
              <w:rPr>
                <w:sz w:val="12"/>
                <w:szCs w:val="12"/>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2"/>
                <w:szCs w:val="12"/>
                <w:color w:val="auto"/>
                <w:w w:val="89"/>
              </w:rPr>
              <w:t>$  15,000,000</w:t>
            </w:r>
          </w:p>
        </w:tc>
        <w:tc>
          <w:tcPr>
            <w:tcW w:w="120" w:type="dxa"/>
            <w:vAlign w:val="bottom"/>
            <w:shd w:val="clear" w:color="auto" w:fill="CCECFF"/>
          </w:tcPr>
          <w:p>
            <w:pPr>
              <w:spacing w:after="0"/>
              <w:rPr>
                <w:sz w:val="12"/>
                <w:szCs w:val="12"/>
                <w:color w:val="auto"/>
              </w:rPr>
            </w:pPr>
          </w:p>
        </w:tc>
      </w:tr>
      <w:tr>
        <w:trPr>
          <w:trHeight w:val="148"/>
        </w:trPr>
        <w:tc>
          <w:tcPr>
            <w:tcW w:w="3360" w:type="dxa"/>
            <w:vAlign w:val="bottom"/>
          </w:tcPr>
          <w:p>
            <w:pPr>
              <w:spacing w:after="0"/>
              <w:rPr>
                <w:sz w:val="20"/>
                <w:szCs w:val="20"/>
                <w:color w:val="auto"/>
              </w:rPr>
            </w:pPr>
            <w:r>
              <w:rPr>
                <w:rFonts w:ascii="Arial" w:cs="Arial" w:eastAsia="Arial" w:hAnsi="Arial"/>
                <w:sz w:val="12"/>
                <w:szCs w:val="12"/>
                <w:color w:val="auto"/>
              </w:rPr>
              <w:t>Altamira Technologies, LLC</w:t>
            </w:r>
          </w:p>
        </w:tc>
        <w:tc>
          <w:tcPr>
            <w:tcW w:w="920" w:type="dxa"/>
            <w:vAlign w:val="bottom"/>
          </w:tcPr>
          <w:p>
            <w:pPr>
              <w:jc w:val="center"/>
              <w:ind w:right="2"/>
              <w:spacing w:after="0"/>
              <w:rPr>
                <w:sz w:val="20"/>
                <w:szCs w:val="20"/>
                <w:color w:val="auto"/>
              </w:rPr>
            </w:pPr>
            <w:r>
              <w:rPr>
                <w:rFonts w:ascii="Arial" w:cs="Arial" w:eastAsia="Arial" w:hAnsi="Arial"/>
                <w:sz w:val="12"/>
                <w:szCs w:val="12"/>
                <w:color w:val="auto"/>
                <w:w w:val="89"/>
              </w:rPr>
              <w:t>07/24/2025</w:t>
            </w:r>
          </w:p>
        </w:tc>
        <w:tc>
          <w:tcPr>
            <w:tcW w:w="2440" w:type="dxa"/>
            <w:vAlign w:val="bottom"/>
            <w:gridSpan w:val="2"/>
          </w:tcPr>
          <w:p>
            <w:pPr>
              <w:jc w:val="center"/>
              <w:ind w:right="180"/>
              <w:spacing w:after="0"/>
              <w:rPr>
                <w:sz w:val="20"/>
                <w:szCs w:val="20"/>
                <w:color w:val="auto"/>
              </w:rPr>
            </w:pPr>
            <w:r>
              <w:rPr>
                <w:rFonts w:ascii="Arial" w:cs="Arial" w:eastAsia="Arial" w:hAnsi="Arial"/>
                <w:sz w:val="12"/>
                <w:szCs w:val="12"/>
                <w:color w:val="auto"/>
                <w:w w:val="89"/>
              </w:rPr>
              <w:t>IT Services</w:t>
            </w:r>
          </w:p>
        </w:tc>
        <w:tc>
          <w:tcPr>
            <w:tcW w:w="780" w:type="dxa"/>
            <w:vAlign w:val="bottom"/>
            <w:gridSpan w:val="2"/>
          </w:tcPr>
          <w:p>
            <w:pPr>
              <w:jc w:val="right"/>
              <w:ind w:right="20"/>
              <w:spacing w:after="0"/>
              <w:rPr>
                <w:sz w:val="20"/>
                <w:szCs w:val="20"/>
                <w:color w:val="auto"/>
              </w:rPr>
            </w:pPr>
            <w:r>
              <w:rPr>
                <w:rFonts w:ascii="Arial" w:cs="Arial" w:eastAsia="Arial" w:hAnsi="Arial"/>
                <w:sz w:val="12"/>
                <w:szCs w:val="12"/>
                <w:color w:val="auto"/>
              </w:rPr>
              <w:t>8.28%</w:t>
            </w:r>
          </w:p>
        </w:tc>
        <w:tc>
          <w:tcPr>
            <w:tcW w:w="140" w:type="dxa"/>
            <w:vAlign w:val="bottom"/>
          </w:tcPr>
          <w:p>
            <w:pPr>
              <w:spacing w:after="0"/>
              <w:rPr>
                <w:sz w:val="12"/>
                <w:szCs w:val="12"/>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2"/>
                <w:szCs w:val="12"/>
                <w:color w:val="auto"/>
              </w:rPr>
              <w:t>3M L+600</w:t>
            </w:r>
          </w:p>
        </w:tc>
        <w:tc>
          <w:tcPr>
            <w:tcW w:w="680" w:type="dxa"/>
            <w:vAlign w:val="bottom"/>
          </w:tcPr>
          <w:p>
            <w:pPr>
              <w:jc w:val="right"/>
              <w:spacing w:after="0"/>
              <w:rPr>
                <w:sz w:val="20"/>
                <w:szCs w:val="20"/>
                <w:color w:val="auto"/>
              </w:rPr>
            </w:pPr>
            <w:r>
              <w:rPr>
                <w:rFonts w:ascii="Arial" w:cs="Arial" w:eastAsia="Arial" w:hAnsi="Arial"/>
                <w:sz w:val="12"/>
                <w:szCs w:val="12"/>
                <w:color w:val="auto"/>
              </w:rPr>
              <w:t>6,500,000</w:t>
            </w:r>
          </w:p>
        </w:tc>
        <w:tc>
          <w:tcPr>
            <w:tcW w:w="24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6,404,125</w:t>
            </w:r>
          </w:p>
        </w:tc>
        <w:tc>
          <w:tcPr>
            <w:tcW w:w="22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6,500,000</w:t>
            </w:r>
          </w:p>
        </w:tc>
        <w:tc>
          <w:tcPr>
            <w:tcW w:w="120" w:type="dxa"/>
            <w:vAlign w:val="bottom"/>
          </w:tcPr>
          <w:p>
            <w:pPr>
              <w:spacing w:after="0"/>
              <w:rPr>
                <w:sz w:val="12"/>
                <w:szCs w:val="12"/>
                <w:color w:val="auto"/>
              </w:rPr>
            </w:pPr>
          </w:p>
        </w:tc>
      </w:tr>
      <w:tr>
        <w:trPr>
          <w:trHeight w:val="148"/>
        </w:trPr>
        <w:tc>
          <w:tcPr>
            <w:tcW w:w="3360" w:type="dxa"/>
            <w:vAlign w:val="bottom"/>
            <w:shd w:val="clear" w:color="auto" w:fill="CCECFF"/>
          </w:tcPr>
          <w:p>
            <w:pPr>
              <w:spacing w:after="0" w:line="149" w:lineRule="exact"/>
              <w:rPr>
                <w:sz w:val="20"/>
                <w:szCs w:val="20"/>
                <w:color w:val="auto"/>
              </w:rPr>
            </w:pPr>
            <w:r>
              <w:rPr>
                <w:rFonts w:ascii="Arial" w:cs="Arial" w:eastAsia="Arial" w:hAnsi="Arial"/>
                <w:sz w:val="11"/>
                <w:szCs w:val="11"/>
                <w:color w:val="auto"/>
              </w:rPr>
              <w:t xml:space="preserve">Altamira Technologies, LLC (Revolver) </w:t>
            </w:r>
            <w:r>
              <w:rPr>
                <w:rFonts w:ascii="Arial" w:cs="Arial" w:eastAsia="Arial" w:hAnsi="Arial"/>
                <w:sz w:val="17"/>
                <w:szCs w:val="17"/>
                <w:color w:val="auto"/>
                <w:vertAlign w:val="superscript"/>
              </w:rPr>
              <w:t>(7), (9)</w:t>
            </w:r>
          </w:p>
        </w:tc>
        <w:tc>
          <w:tcPr>
            <w:tcW w:w="920" w:type="dxa"/>
            <w:vAlign w:val="bottom"/>
            <w:shd w:val="clear" w:color="auto" w:fill="CCECFF"/>
          </w:tcPr>
          <w:p>
            <w:pPr>
              <w:jc w:val="center"/>
              <w:ind w:right="2"/>
              <w:spacing w:after="0"/>
              <w:rPr>
                <w:sz w:val="20"/>
                <w:szCs w:val="20"/>
                <w:color w:val="auto"/>
              </w:rPr>
            </w:pPr>
            <w:r>
              <w:rPr>
                <w:rFonts w:ascii="Arial" w:cs="Arial" w:eastAsia="Arial" w:hAnsi="Arial"/>
                <w:sz w:val="12"/>
                <w:szCs w:val="12"/>
                <w:color w:val="auto"/>
                <w:w w:val="89"/>
              </w:rPr>
              <w:t>07/24/2025</w:t>
            </w:r>
          </w:p>
        </w:tc>
        <w:tc>
          <w:tcPr>
            <w:tcW w:w="2440" w:type="dxa"/>
            <w:vAlign w:val="bottom"/>
            <w:gridSpan w:val="2"/>
            <w:shd w:val="clear" w:color="auto" w:fill="CCECFF"/>
          </w:tcPr>
          <w:p>
            <w:pPr>
              <w:jc w:val="center"/>
              <w:ind w:right="180"/>
              <w:spacing w:after="0"/>
              <w:rPr>
                <w:sz w:val="20"/>
                <w:szCs w:val="20"/>
                <w:color w:val="auto"/>
              </w:rPr>
            </w:pPr>
            <w:r>
              <w:rPr>
                <w:rFonts w:ascii="Arial" w:cs="Arial" w:eastAsia="Arial" w:hAnsi="Arial"/>
                <w:sz w:val="12"/>
                <w:szCs w:val="12"/>
                <w:color w:val="auto"/>
                <w:w w:val="89"/>
              </w:rPr>
              <w:t>IT Services</w:t>
            </w:r>
          </w:p>
        </w:tc>
        <w:tc>
          <w:tcPr>
            <w:tcW w:w="780" w:type="dxa"/>
            <w:vAlign w:val="bottom"/>
            <w:gridSpan w:val="2"/>
            <w:shd w:val="clear" w:color="auto" w:fill="CCECFF"/>
          </w:tcPr>
          <w:p>
            <w:pPr>
              <w:jc w:val="right"/>
              <w:ind w:right="12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CFF"/>
          </w:tcPr>
          <w:p>
            <w:pPr>
              <w:spacing w:after="0"/>
              <w:rPr>
                <w:sz w:val="12"/>
                <w:szCs w:val="12"/>
                <w:color w:val="auto"/>
              </w:rPr>
            </w:pPr>
          </w:p>
        </w:tc>
        <w:tc>
          <w:tcPr>
            <w:tcW w:w="960" w:type="dxa"/>
            <w:vAlign w:val="bottom"/>
            <w:gridSpan w:val="2"/>
            <w:shd w:val="clear" w:color="auto" w:fill="CCECFF"/>
          </w:tcPr>
          <w:p>
            <w:pPr>
              <w:jc w:val="right"/>
              <w:ind w:right="280"/>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2,156,250</w:t>
            </w:r>
          </w:p>
        </w:tc>
        <w:tc>
          <w:tcPr>
            <w:tcW w:w="240" w:type="dxa"/>
            <w:vAlign w:val="bottom"/>
            <w:shd w:val="clear" w:color="auto" w:fill="CCECFF"/>
          </w:tcPr>
          <w:p>
            <w:pPr>
              <w:spacing w:after="0"/>
              <w:rPr>
                <w:sz w:val="12"/>
                <w:szCs w:val="12"/>
                <w:color w:val="auto"/>
              </w:rPr>
            </w:pP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82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w:t>
            </w:r>
          </w:p>
        </w:tc>
      </w:tr>
      <w:tr>
        <w:trPr>
          <w:trHeight w:val="148"/>
        </w:trPr>
        <w:tc>
          <w:tcPr>
            <w:tcW w:w="3360" w:type="dxa"/>
            <w:vAlign w:val="bottom"/>
          </w:tcPr>
          <w:p>
            <w:pPr>
              <w:spacing w:after="0"/>
              <w:rPr>
                <w:sz w:val="20"/>
                <w:szCs w:val="20"/>
                <w:color w:val="auto"/>
              </w:rPr>
            </w:pPr>
            <w:r>
              <w:rPr>
                <w:rFonts w:ascii="Arial" w:cs="Arial" w:eastAsia="Arial" w:hAnsi="Arial"/>
                <w:sz w:val="12"/>
                <w:szCs w:val="12"/>
                <w:color w:val="auto"/>
              </w:rPr>
              <w:t>American Auto Auction Group, LLC</w:t>
            </w:r>
          </w:p>
        </w:tc>
        <w:tc>
          <w:tcPr>
            <w:tcW w:w="920" w:type="dxa"/>
            <w:vAlign w:val="bottom"/>
          </w:tcPr>
          <w:p>
            <w:pPr>
              <w:jc w:val="center"/>
              <w:ind w:right="2"/>
              <w:spacing w:after="0"/>
              <w:rPr>
                <w:sz w:val="20"/>
                <w:szCs w:val="20"/>
                <w:color w:val="auto"/>
              </w:rPr>
            </w:pPr>
            <w:r>
              <w:rPr>
                <w:rFonts w:ascii="Arial" w:cs="Arial" w:eastAsia="Arial" w:hAnsi="Arial"/>
                <w:sz w:val="12"/>
                <w:szCs w:val="12"/>
                <w:color w:val="auto"/>
                <w:w w:val="89"/>
              </w:rPr>
              <w:t>01/02/2024</w:t>
            </w:r>
          </w:p>
        </w:tc>
        <w:tc>
          <w:tcPr>
            <w:tcW w:w="2440" w:type="dxa"/>
            <w:vAlign w:val="bottom"/>
            <w:gridSpan w:val="2"/>
          </w:tcPr>
          <w:p>
            <w:pPr>
              <w:jc w:val="center"/>
              <w:ind w:right="180"/>
              <w:spacing w:after="0"/>
              <w:rPr>
                <w:sz w:val="20"/>
                <w:szCs w:val="20"/>
                <w:color w:val="auto"/>
              </w:rPr>
            </w:pPr>
            <w:r>
              <w:rPr>
                <w:rFonts w:ascii="Arial" w:cs="Arial" w:eastAsia="Arial" w:hAnsi="Arial"/>
                <w:sz w:val="12"/>
                <w:szCs w:val="12"/>
                <w:color w:val="auto"/>
                <w:w w:val="87"/>
              </w:rPr>
              <w:t>Transportation: Consumer</w:t>
            </w:r>
          </w:p>
        </w:tc>
        <w:tc>
          <w:tcPr>
            <w:tcW w:w="780" w:type="dxa"/>
            <w:vAlign w:val="bottom"/>
            <w:gridSpan w:val="2"/>
          </w:tcPr>
          <w:p>
            <w:pPr>
              <w:jc w:val="right"/>
              <w:ind w:right="20"/>
              <w:spacing w:after="0"/>
              <w:rPr>
                <w:sz w:val="20"/>
                <w:szCs w:val="20"/>
                <w:color w:val="auto"/>
              </w:rPr>
            </w:pPr>
            <w:r>
              <w:rPr>
                <w:rFonts w:ascii="Arial" w:cs="Arial" w:eastAsia="Arial" w:hAnsi="Arial"/>
                <w:sz w:val="12"/>
                <w:szCs w:val="12"/>
                <w:color w:val="auto"/>
              </w:rPr>
              <w:t>7.07%</w:t>
            </w:r>
          </w:p>
        </w:tc>
        <w:tc>
          <w:tcPr>
            <w:tcW w:w="140" w:type="dxa"/>
            <w:vAlign w:val="bottom"/>
          </w:tcPr>
          <w:p>
            <w:pPr>
              <w:spacing w:after="0"/>
              <w:rPr>
                <w:sz w:val="12"/>
                <w:szCs w:val="12"/>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2"/>
                <w:szCs w:val="12"/>
                <w:color w:val="auto"/>
              </w:rPr>
              <w:t>3M L+475</w:t>
            </w:r>
          </w:p>
        </w:tc>
        <w:tc>
          <w:tcPr>
            <w:tcW w:w="680" w:type="dxa"/>
            <w:vAlign w:val="bottom"/>
          </w:tcPr>
          <w:p>
            <w:pPr>
              <w:jc w:val="right"/>
              <w:spacing w:after="0"/>
              <w:rPr>
                <w:sz w:val="20"/>
                <w:szCs w:val="20"/>
                <w:color w:val="auto"/>
              </w:rPr>
            </w:pPr>
            <w:r>
              <w:rPr>
                <w:rFonts w:ascii="Arial" w:cs="Arial" w:eastAsia="Arial" w:hAnsi="Arial"/>
                <w:sz w:val="12"/>
                <w:szCs w:val="12"/>
                <w:color w:val="auto"/>
              </w:rPr>
              <w:t>5,798,444</w:t>
            </w:r>
          </w:p>
        </w:tc>
        <w:tc>
          <w:tcPr>
            <w:tcW w:w="24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5,727,667</w:t>
            </w:r>
          </w:p>
        </w:tc>
        <w:tc>
          <w:tcPr>
            <w:tcW w:w="22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5,740,459</w:t>
            </w:r>
          </w:p>
        </w:tc>
        <w:tc>
          <w:tcPr>
            <w:tcW w:w="120" w:type="dxa"/>
            <w:vAlign w:val="bottom"/>
          </w:tcPr>
          <w:p>
            <w:pPr>
              <w:spacing w:after="0"/>
              <w:rPr>
                <w:sz w:val="12"/>
                <w:szCs w:val="12"/>
                <w:color w:val="auto"/>
              </w:rPr>
            </w:pPr>
          </w:p>
        </w:tc>
      </w:tr>
      <w:tr>
        <w:trPr>
          <w:trHeight w:val="148"/>
        </w:trPr>
        <w:tc>
          <w:tcPr>
            <w:tcW w:w="3360" w:type="dxa"/>
            <w:vAlign w:val="bottom"/>
            <w:shd w:val="clear" w:color="auto" w:fill="CCECFF"/>
          </w:tcPr>
          <w:p>
            <w:pPr>
              <w:spacing w:after="0"/>
              <w:rPr>
                <w:sz w:val="20"/>
                <w:szCs w:val="20"/>
                <w:color w:val="auto"/>
              </w:rPr>
            </w:pPr>
            <w:r>
              <w:rPr>
                <w:rFonts w:ascii="Arial" w:cs="Arial" w:eastAsia="Arial" w:hAnsi="Arial"/>
                <w:sz w:val="12"/>
                <w:szCs w:val="12"/>
                <w:color w:val="auto"/>
              </w:rPr>
              <w:t>American Insulated Glass, LLC</w:t>
            </w:r>
          </w:p>
        </w:tc>
        <w:tc>
          <w:tcPr>
            <w:tcW w:w="920" w:type="dxa"/>
            <w:vAlign w:val="bottom"/>
            <w:shd w:val="clear" w:color="auto" w:fill="CCECFF"/>
          </w:tcPr>
          <w:p>
            <w:pPr>
              <w:jc w:val="center"/>
              <w:ind w:right="2"/>
              <w:spacing w:after="0"/>
              <w:rPr>
                <w:sz w:val="20"/>
                <w:szCs w:val="20"/>
                <w:color w:val="auto"/>
              </w:rPr>
            </w:pPr>
            <w:r>
              <w:rPr>
                <w:rFonts w:ascii="Arial" w:cs="Arial" w:eastAsia="Arial" w:hAnsi="Arial"/>
                <w:sz w:val="12"/>
                <w:szCs w:val="12"/>
                <w:color w:val="auto"/>
                <w:w w:val="89"/>
              </w:rPr>
              <w:t>12/21/2023</w:t>
            </w:r>
          </w:p>
        </w:tc>
        <w:tc>
          <w:tcPr>
            <w:tcW w:w="2440" w:type="dxa"/>
            <w:vAlign w:val="bottom"/>
            <w:gridSpan w:val="2"/>
            <w:shd w:val="clear" w:color="auto" w:fill="CCECFF"/>
          </w:tcPr>
          <w:p>
            <w:pPr>
              <w:jc w:val="center"/>
              <w:ind w:right="180"/>
              <w:spacing w:after="0"/>
              <w:rPr>
                <w:sz w:val="20"/>
                <w:szCs w:val="20"/>
                <w:color w:val="auto"/>
              </w:rPr>
            </w:pPr>
            <w:r>
              <w:rPr>
                <w:rFonts w:ascii="Arial" w:cs="Arial" w:eastAsia="Arial" w:hAnsi="Arial"/>
                <w:sz w:val="12"/>
                <w:szCs w:val="12"/>
                <w:color w:val="auto"/>
                <w:w w:val="92"/>
              </w:rPr>
              <w:t>Building Products</w:t>
            </w:r>
          </w:p>
        </w:tc>
        <w:tc>
          <w:tcPr>
            <w:tcW w:w="780" w:type="dxa"/>
            <w:vAlign w:val="bottom"/>
            <w:gridSpan w:val="2"/>
            <w:shd w:val="clear" w:color="auto" w:fill="CCECFF"/>
          </w:tcPr>
          <w:p>
            <w:pPr>
              <w:jc w:val="right"/>
              <w:ind w:right="20"/>
              <w:spacing w:after="0"/>
              <w:rPr>
                <w:sz w:val="20"/>
                <w:szCs w:val="20"/>
                <w:color w:val="auto"/>
              </w:rPr>
            </w:pPr>
            <w:r>
              <w:rPr>
                <w:rFonts w:ascii="Arial" w:cs="Arial" w:eastAsia="Arial" w:hAnsi="Arial"/>
                <w:sz w:val="12"/>
                <w:szCs w:val="12"/>
                <w:color w:val="auto"/>
              </w:rPr>
              <w:t>8.10%</w:t>
            </w:r>
          </w:p>
        </w:tc>
        <w:tc>
          <w:tcPr>
            <w:tcW w:w="140" w:type="dxa"/>
            <w:vAlign w:val="bottom"/>
            <w:shd w:val="clear" w:color="auto" w:fill="CCECFF"/>
          </w:tcPr>
          <w:p>
            <w:pPr>
              <w:spacing w:after="0"/>
              <w:rPr>
                <w:sz w:val="12"/>
                <w:szCs w:val="12"/>
                <w:color w:val="auto"/>
              </w:rPr>
            </w:pPr>
          </w:p>
        </w:tc>
        <w:tc>
          <w:tcPr>
            <w:tcW w:w="960" w:type="dxa"/>
            <w:vAlign w:val="bottom"/>
            <w:gridSpan w:val="2"/>
            <w:shd w:val="clear" w:color="auto" w:fill="CCECFF"/>
          </w:tcPr>
          <w:p>
            <w:pPr>
              <w:jc w:val="right"/>
              <w:ind w:right="280"/>
              <w:spacing w:after="0"/>
              <w:rPr>
                <w:sz w:val="20"/>
                <w:szCs w:val="20"/>
                <w:color w:val="auto"/>
              </w:rPr>
            </w:pPr>
            <w:r>
              <w:rPr>
                <w:rFonts w:ascii="Arial" w:cs="Arial" w:eastAsia="Arial" w:hAnsi="Arial"/>
                <w:sz w:val="12"/>
                <w:szCs w:val="12"/>
                <w:color w:val="auto"/>
              </w:rPr>
              <w:t>3M L+550</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14,925,000</w:t>
            </w:r>
          </w:p>
        </w:tc>
        <w:tc>
          <w:tcPr>
            <w:tcW w:w="24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14,670,272</w:t>
            </w:r>
          </w:p>
        </w:tc>
        <w:tc>
          <w:tcPr>
            <w:tcW w:w="220" w:type="dxa"/>
            <w:vAlign w:val="bottom"/>
            <w:shd w:val="clear" w:color="auto" w:fill="CCECFF"/>
          </w:tcPr>
          <w:p>
            <w:pPr>
              <w:spacing w:after="0"/>
              <w:rPr>
                <w:sz w:val="12"/>
                <w:szCs w:val="12"/>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14,701,125</w:t>
            </w:r>
          </w:p>
        </w:tc>
        <w:tc>
          <w:tcPr>
            <w:tcW w:w="120" w:type="dxa"/>
            <w:vAlign w:val="bottom"/>
            <w:shd w:val="clear" w:color="auto" w:fill="CCECFF"/>
          </w:tcPr>
          <w:p>
            <w:pPr>
              <w:spacing w:after="0"/>
              <w:rPr>
                <w:sz w:val="12"/>
                <w:szCs w:val="12"/>
                <w:color w:val="auto"/>
              </w:rPr>
            </w:pPr>
          </w:p>
        </w:tc>
      </w:tr>
      <w:tr>
        <w:trPr>
          <w:trHeight w:val="149"/>
        </w:trPr>
        <w:tc>
          <w:tcPr>
            <w:tcW w:w="3360" w:type="dxa"/>
            <w:vAlign w:val="bottom"/>
          </w:tcPr>
          <w:p>
            <w:pPr>
              <w:spacing w:after="0" w:line="149" w:lineRule="exact"/>
              <w:rPr>
                <w:sz w:val="20"/>
                <w:szCs w:val="20"/>
                <w:color w:val="auto"/>
              </w:rPr>
            </w:pPr>
            <w:r>
              <w:rPr>
                <w:rFonts w:ascii="Arial" w:cs="Arial" w:eastAsia="Arial" w:hAnsi="Arial"/>
                <w:sz w:val="11"/>
                <w:szCs w:val="11"/>
                <w:color w:val="auto"/>
              </w:rPr>
              <w:t xml:space="preserve">American Insulated Glass, LLC </w:t>
            </w:r>
            <w:r>
              <w:rPr>
                <w:rFonts w:ascii="Arial" w:cs="Arial" w:eastAsia="Arial" w:hAnsi="Arial"/>
                <w:sz w:val="17"/>
                <w:szCs w:val="17"/>
                <w:color w:val="auto"/>
                <w:vertAlign w:val="superscript"/>
              </w:rPr>
              <w:t>(7), (9)</w:t>
            </w:r>
          </w:p>
        </w:tc>
        <w:tc>
          <w:tcPr>
            <w:tcW w:w="920" w:type="dxa"/>
            <w:vAlign w:val="bottom"/>
          </w:tcPr>
          <w:p>
            <w:pPr>
              <w:jc w:val="center"/>
              <w:ind w:right="2"/>
              <w:spacing w:after="0"/>
              <w:rPr>
                <w:sz w:val="20"/>
                <w:szCs w:val="20"/>
                <w:color w:val="auto"/>
              </w:rPr>
            </w:pPr>
            <w:r>
              <w:rPr>
                <w:rFonts w:ascii="Arial" w:cs="Arial" w:eastAsia="Arial" w:hAnsi="Arial"/>
                <w:sz w:val="12"/>
                <w:szCs w:val="12"/>
                <w:color w:val="auto"/>
                <w:w w:val="89"/>
              </w:rPr>
              <w:t>12/21/2023</w:t>
            </w:r>
          </w:p>
        </w:tc>
        <w:tc>
          <w:tcPr>
            <w:tcW w:w="2440" w:type="dxa"/>
            <w:vAlign w:val="bottom"/>
            <w:gridSpan w:val="2"/>
          </w:tcPr>
          <w:p>
            <w:pPr>
              <w:jc w:val="center"/>
              <w:ind w:right="180"/>
              <w:spacing w:after="0"/>
              <w:rPr>
                <w:sz w:val="20"/>
                <w:szCs w:val="20"/>
                <w:color w:val="auto"/>
              </w:rPr>
            </w:pPr>
            <w:r>
              <w:rPr>
                <w:rFonts w:ascii="Arial" w:cs="Arial" w:eastAsia="Arial" w:hAnsi="Arial"/>
                <w:sz w:val="12"/>
                <w:szCs w:val="12"/>
                <w:color w:val="auto"/>
                <w:w w:val="92"/>
              </w:rPr>
              <w:t>Building Products</w:t>
            </w:r>
          </w:p>
        </w:tc>
        <w:tc>
          <w:tcPr>
            <w:tcW w:w="78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649,351</w:t>
            </w:r>
          </w:p>
        </w:tc>
        <w:tc>
          <w:tcPr>
            <w:tcW w:w="240" w:type="dxa"/>
            <w:vAlign w:val="bottom"/>
          </w:tcPr>
          <w:p>
            <w:pPr>
              <w:spacing w:after="0"/>
              <w:rPr>
                <w:sz w:val="12"/>
                <w:szCs w:val="12"/>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820" w:type="dxa"/>
            <w:vAlign w:val="bottom"/>
            <w:gridSpan w:val="2"/>
          </w:tcPr>
          <w:p>
            <w:pPr>
              <w:jc w:val="right"/>
              <w:ind w:right="80"/>
              <w:spacing w:after="0"/>
              <w:rPr>
                <w:sz w:val="20"/>
                <w:szCs w:val="20"/>
                <w:color w:val="auto"/>
              </w:rPr>
            </w:pPr>
            <w:r>
              <w:rPr>
                <w:rFonts w:ascii="Arial" w:cs="Arial" w:eastAsia="Arial" w:hAnsi="Arial"/>
                <w:sz w:val="12"/>
                <w:szCs w:val="12"/>
                <w:color w:val="auto"/>
              </w:rPr>
              <w:t>(9,740)</w:t>
            </w:r>
          </w:p>
        </w:tc>
      </w:tr>
      <w:tr>
        <w:trPr>
          <w:trHeight w:val="148"/>
        </w:trPr>
        <w:tc>
          <w:tcPr>
            <w:tcW w:w="3360" w:type="dxa"/>
            <w:vAlign w:val="bottom"/>
            <w:shd w:val="clear" w:color="auto" w:fill="CCECFF"/>
          </w:tcPr>
          <w:p>
            <w:pPr>
              <w:spacing w:after="0"/>
              <w:rPr>
                <w:sz w:val="20"/>
                <w:szCs w:val="20"/>
                <w:color w:val="auto"/>
              </w:rPr>
            </w:pPr>
            <w:r>
              <w:rPr>
                <w:rFonts w:ascii="Arial" w:cs="Arial" w:eastAsia="Arial" w:hAnsi="Arial"/>
                <w:sz w:val="12"/>
                <w:szCs w:val="12"/>
                <w:color w:val="auto"/>
              </w:rPr>
              <w:t>American Teleconferencing Services, Ltd.</w:t>
            </w:r>
          </w:p>
        </w:tc>
        <w:tc>
          <w:tcPr>
            <w:tcW w:w="920" w:type="dxa"/>
            <w:vAlign w:val="bottom"/>
            <w:shd w:val="clear" w:color="auto" w:fill="CCECFF"/>
          </w:tcPr>
          <w:p>
            <w:pPr>
              <w:jc w:val="center"/>
              <w:ind w:right="2"/>
              <w:spacing w:after="0"/>
              <w:rPr>
                <w:sz w:val="20"/>
                <w:szCs w:val="20"/>
                <w:color w:val="auto"/>
              </w:rPr>
            </w:pPr>
            <w:r>
              <w:rPr>
                <w:rFonts w:ascii="Arial" w:cs="Arial" w:eastAsia="Arial" w:hAnsi="Arial"/>
                <w:sz w:val="12"/>
                <w:szCs w:val="12"/>
                <w:color w:val="auto"/>
                <w:w w:val="89"/>
              </w:rPr>
              <w:t>12/08/2021</w:t>
            </w:r>
          </w:p>
        </w:tc>
        <w:tc>
          <w:tcPr>
            <w:tcW w:w="2440" w:type="dxa"/>
            <w:vAlign w:val="bottom"/>
            <w:gridSpan w:val="2"/>
            <w:shd w:val="clear" w:color="auto" w:fill="CCECFF"/>
          </w:tcPr>
          <w:p>
            <w:pPr>
              <w:jc w:val="center"/>
              <w:ind w:right="180"/>
              <w:spacing w:after="0"/>
              <w:rPr>
                <w:sz w:val="20"/>
                <w:szCs w:val="20"/>
                <w:color w:val="auto"/>
              </w:rPr>
            </w:pPr>
            <w:r>
              <w:rPr>
                <w:rFonts w:ascii="Arial" w:cs="Arial" w:eastAsia="Arial" w:hAnsi="Arial"/>
                <w:sz w:val="12"/>
                <w:szCs w:val="12"/>
                <w:color w:val="auto"/>
                <w:w w:val="89"/>
              </w:rPr>
              <w:t>Telecommunications</w:t>
            </w:r>
          </w:p>
        </w:tc>
        <w:tc>
          <w:tcPr>
            <w:tcW w:w="780" w:type="dxa"/>
            <w:vAlign w:val="bottom"/>
            <w:gridSpan w:val="2"/>
            <w:shd w:val="clear" w:color="auto" w:fill="CCECFF"/>
          </w:tcPr>
          <w:p>
            <w:pPr>
              <w:jc w:val="right"/>
              <w:ind w:right="20"/>
              <w:spacing w:after="0"/>
              <w:rPr>
                <w:sz w:val="20"/>
                <w:szCs w:val="20"/>
                <w:color w:val="auto"/>
              </w:rPr>
            </w:pPr>
            <w:r>
              <w:rPr>
                <w:rFonts w:ascii="Arial" w:cs="Arial" w:eastAsia="Arial" w:hAnsi="Arial"/>
                <w:sz w:val="12"/>
                <w:szCs w:val="12"/>
                <w:color w:val="auto"/>
              </w:rPr>
              <w:t>8.69%</w:t>
            </w:r>
          </w:p>
        </w:tc>
        <w:tc>
          <w:tcPr>
            <w:tcW w:w="140" w:type="dxa"/>
            <w:vAlign w:val="bottom"/>
            <w:shd w:val="clear" w:color="auto" w:fill="CCECFF"/>
          </w:tcPr>
          <w:p>
            <w:pPr>
              <w:spacing w:after="0"/>
              <w:rPr>
                <w:sz w:val="12"/>
                <w:szCs w:val="12"/>
                <w:color w:val="auto"/>
              </w:rPr>
            </w:pPr>
          </w:p>
        </w:tc>
        <w:tc>
          <w:tcPr>
            <w:tcW w:w="960" w:type="dxa"/>
            <w:vAlign w:val="bottom"/>
            <w:gridSpan w:val="2"/>
            <w:shd w:val="clear" w:color="auto" w:fill="CCECFF"/>
          </w:tcPr>
          <w:p>
            <w:pPr>
              <w:jc w:val="right"/>
              <w:ind w:right="280"/>
              <w:spacing w:after="0"/>
              <w:rPr>
                <w:sz w:val="20"/>
                <w:szCs w:val="20"/>
                <w:color w:val="auto"/>
              </w:rPr>
            </w:pPr>
            <w:r>
              <w:rPr>
                <w:rFonts w:ascii="Arial" w:cs="Arial" w:eastAsia="Arial" w:hAnsi="Arial"/>
                <w:sz w:val="12"/>
                <w:szCs w:val="12"/>
                <w:color w:val="auto"/>
              </w:rPr>
              <w:t>3M L+650</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9,672,954</w:t>
            </w:r>
          </w:p>
        </w:tc>
        <w:tc>
          <w:tcPr>
            <w:tcW w:w="24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9,590,848</w:t>
            </w:r>
          </w:p>
        </w:tc>
        <w:tc>
          <w:tcPr>
            <w:tcW w:w="220" w:type="dxa"/>
            <w:vAlign w:val="bottom"/>
            <w:shd w:val="clear" w:color="auto" w:fill="CCECFF"/>
          </w:tcPr>
          <w:p>
            <w:pPr>
              <w:spacing w:after="0"/>
              <w:rPr>
                <w:sz w:val="12"/>
                <w:szCs w:val="12"/>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6,771,068</w:t>
            </w:r>
          </w:p>
        </w:tc>
        <w:tc>
          <w:tcPr>
            <w:tcW w:w="120" w:type="dxa"/>
            <w:vAlign w:val="bottom"/>
            <w:shd w:val="clear" w:color="auto" w:fill="CCECFF"/>
          </w:tcPr>
          <w:p>
            <w:pPr>
              <w:spacing w:after="0"/>
              <w:rPr>
                <w:sz w:val="12"/>
                <w:szCs w:val="12"/>
                <w:color w:val="auto"/>
              </w:rPr>
            </w:pPr>
          </w:p>
        </w:tc>
      </w:tr>
      <w:tr>
        <w:trPr>
          <w:trHeight w:val="142"/>
        </w:trPr>
        <w:tc>
          <w:tcPr>
            <w:tcW w:w="3360" w:type="dxa"/>
            <w:vAlign w:val="bottom"/>
          </w:tcPr>
          <w:p>
            <w:pPr>
              <w:spacing w:after="0"/>
              <w:rPr>
                <w:sz w:val="20"/>
                <w:szCs w:val="20"/>
                <w:color w:val="auto"/>
              </w:rPr>
            </w:pPr>
            <w:r>
              <w:rPr>
                <w:rFonts w:ascii="Arial" w:cs="Arial" w:eastAsia="Arial" w:hAnsi="Arial"/>
                <w:sz w:val="12"/>
                <w:szCs w:val="12"/>
                <w:color w:val="auto"/>
              </w:rPr>
              <w:t>API Holdings III Corp.</w:t>
            </w:r>
          </w:p>
        </w:tc>
        <w:tc>
          <w:tcPr>
            <w:tcW w:w="920" w:type="dxa"/>
            <w:vAlign w:val="bottom"/>
          </w:tcPr>
          <w:p>
            <w:pPr>
              <w:jc w:val="center"/>
              <w:ind w:right="2"/>
              <w:spacing w:after="0"/>
              <w:rPr>
                <w:sz w:val="20"/>
                <w:szCs w:val="20"/>
                <w:color w:val="auto"/>
              </w:rPr>
            </w:pPr>
            <w:r>
              <w:rPr>
                <w:rFonts w:ascii="Arial" w:cs="Arial" w:eastAsia="Arial" w:hAnsi="Arial"/>
                <w:sz w:val="12"/>
                <w:szCs w:val="12"/>
                <w:color w:val="auto"/>
                <w:w w:val="89"/>
              </w:rPr>
              <w:t>05/11/2026</w:t>
            </w:r>
          </w:p>
        </w:tc>
        <w:tc>
          <w:tcPr>
            <w:tcW w:w="2440" w:type="dxa"/>
            <w:vAlign w:val="bottom"/>
            <w:gridSpan w:val="2"/>
          </w:tcPr>
          <w:p>
            <w:pPr>
              <w:jc w:val="center"/>
              <w:ind w:right="180"/>
              <w:spacing w:after="0"/>
              <w:rPr>
                <w:sz w:val="20"/>
                <w:szCs w:val="20"/>
                <w:color w:val="auto"/>
              </w:rPr>
            </w:pPr>
            <w:r>
              <w:rPr>
                <w:rFonts w:ascii="Arial" w:cs="Arial" w:eastAsia="Arial" w:hAnsi="Arial"/>
                <w:sz w:val="12"/>
                <w:szCs w:val="12"/>
                <w:color w:val="auto"/>
                <w:w w:val="88"/>
              </w:rPr>
              <w:t>Electronic Equipment, Instruments, and</w:t>
            </w: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2"/>
                <w:szCs w:val="12"/>
                <w:color w:val="auto"/>
              </w:rPr>
              <w:t>1M L+425</w:t>
            </w: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1"/>
        </w:trPr>
        <w:tc>
          <w:tcPr>
            <w:tcW w:w="33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40" w:type="dxa"/>
            <w:vAlign w:val="bottom"/>
            <w:gridSpan w:val="2"/>
          </w:tcPr>
          <w:p>
            <w:pPr>
              <w:jc w:val="center"/>
              <w:ind w:right="180"/>
              <w:spacing w:after="0"/>
              <w:rPr>
                <w:sz w:val="20"/>
                <w:szCs w:val="20"/>
                <w:color w:val="auto"/>
              </w:rPr>
            </w:pPr>
            <w:r>
              <w:rPr>
                <w:rFonts w:ascii="Arial" w:cs="Arial" w:eastAsia="Arial" w:hAnsi="Arial"/>
                <w:sz w:val="12"/>
                <w:szCs w:val="12"/>
                <w:color w:val="auto"/>
                <w:w w:val="85"/>
              </w:rPr>
              <w:t>Components</w:t>
            </w:r>
          </w:p>
        </w:tc>
        <w:tc>
          <w:tcPr>
            <w:tcW w:w="780" w:type="dxa"/>
            <w:vAlign w:val="bottom"/>
            <w:gridSpan w:val="2"/>
          </w:tcPr>
          <w:p>
            <w:pPr>
              <w:jc w:val="right"/>
              <w:ind w:right="20"/>
              <w:spacing w:after="0"/>
              <w:rPr>
                <w:sz w:val="20"/>
                <w:szCs w:val="20"/>
                <w:color w:val="auto"/>
              </w:rPr>
            </w:pPr>
            <w:r>
              <w:rPr>
                <w:rFonts w:ascii="Arial" w:cs="Arial" w:eastAsia="Arial" w:hAnsi="Arial"/>
                <w:sz w:val="12"/>
                <w:szCs w:val="12"/>
                <w:color w:val="auto"/>
              </w:rPr>
              <w:t>6.45%</w:t>
            </w: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5,985,000</w:t>
            </w:r>
          </w:p>
        </w:tc>
        <w:tc>
          <w:tcPr>
            <w:tcW w:w="24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5,955,320</w:t>
            </w:r>
          </w:p>
        </w:tc>
        <w:tc>
          <w:tcPr>
            <w:tcW w:w="22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5,783,006</w:t>
            </w:r>
          </w:p>
        </w:tc>
        <w:tc>
          <w:tcPr>
            <w:tcW w:w="120" w:type="dxa"/>
            <w:vAlign w:val="bottom"/>
          </w:tcPr>
          <w:p>
            <w:pPr>
              <w:spacing w:after="0"/>
              <w:rPr>
                <w:sz w:val="12"/>
                <w:szCs w:val="12"/>
                <w:color w:val="auto"/>
              </w:rPr>
            </w:pPr>
          </w:p>
        </w:tc>
      </w:tr>
      <w:tr>
        <w:trPr>
          <w:trHeight w:val="148"/>
        </w:trPr>
        <w:tc>
          <w:tcPr>
            <w:tcW w:w="3360" w:type="dxa"/>
            <w:vAlign w:val="bottom"/>
            <w:shd w:val="clear" w:color="auto" w:fill="CCECFF"/>
          </w:tcPr>
          <w:p>
            <w:pPr>
              <w:spacing w:after="0"/>
              <w:rPr>
                <w:sz w:val="20"/>
                <w:szCs w:val="20"/>
                <w:color w:val="auto"/>
              </w:rPr>
            </w:pPr>
            <w:r>
              <w:rPr>
                <w:rFonts w:ascii="Arial" w:cs="Arial" w:eastAsia="Arial" w:hAnsi="Arial"/>
                <w:sz w:val="12"/>
                <w:szCs w:val="12"/>
                <w:color w:val="auto"/>
              </w:rPr>
              <w:t>BEI Precision Systems &amp; Space Company, Inc.</w:t>
            </w:r>
          </w:p>
        </w:tc>
        <w:tc>
          <w:tcPr>
            <w:tcW w:w="920" w:type="dxa"/>
            <w:vAlign w:val="bottom"/>
            <w:shd w:val="clear" w:color="auto" w:fill="CCECFF"/>
          </w:tcPr>
          <w:p>
            <w:pPr>
              <w:jc w:val="center"/>
              <w:ind w:right="2"/>
              <w:spacing w:after="0"/>
              <w:rPr>
                <w:sz w:val="20"/>
                <w:szCs w:val="20"/>
                <w:color w:val="auto"/>
              </w:rPr>
            </w:pPr>
            <w:r>
              <w:rPr>
                <w:rFonts w:ascii="Arial" w:cs="Arial" w:eastAsia="Arial" w:hAnsi="Arial"/>
                <w:sz w:val="12"/>
                <w:szCs w:val="12"/>
                <w:color w:val="auto"/>
                <w:w w:val="89"/>
              </w:rPr>
              <w:t>04/28/2023</w:t>
            </w:r>
          </w:p>
        </w:tc>
        <w:tc>
          <w:tcPr>
            <w:tcW w:w="2440" w:type="dxa"/>
            <w:vAlign w:val="bottom"/>
            <w:gridSpan w:val="2"/>
            <w:shd w:val="clear" w:color="auto" w:fill="CCECFF"/>
          </w:tcPr>
          <w:p>
            <w:pPr>
              <w:jc w:val="center"/>
              <w:ind w:right="180"/>
              <w:spacing w:after="0"/>
              <w:rPr>
                <w:sz w:val="20"/>
                <w:szCs w:val="20"/>
                <w:color w:val="auto"/>
              </w:rPr>
            </w:pPr>
            <w:r>
              <w:rPr>
                <w:rFonts w:ascii="Arial" w:cs="Arial" w:eastAsia="Arial" w:hAnsi="Arial"/>
                <w:sz w:val="12"/>
                <w:szCs w:val="12"/>
                <w:color w:val="auto"/>
                <w:w w:val="85"/>
              </w:rPr>
              <w:t>Aerospace and Defense</w:t>
            </w:r>
          </w:p>
        </w:tc>
        <w:tc>
          <w:tcPr>
            <w:tcW w:w="780" w:type="dxa"/>
            <w:vAlign w:val="bottom"/>
            <w:gridSpan w:val="2"/>
            <w:shd w:val="clear" w:color="auto" w:fill="CCECFF"/>
          </w:tcPr>
          <w:p>
            <w:pPr>
              <w:jc w:val="right"/>
              <w:ind w:right="20"/>
              <w:spacing w:after="0"/>
              <w:rPr>
                <w:sz w:val="20"/>
                <w:szCs w:val="20"/>
                <w:color w:val="auto"/>
              </w:rPr>
            </w:pPr>
            <w:r>
              <w:rPr>
                <w:rFonts w:ascii="Arial" w:cs="Arial" w:eastAsia="Arial" w:hAnsi="Arial"/>
                <w:sz w:val="12"/>
                <w:szCs w:val="12"/>
                <w:color w:val="auto"/>
              </w:rPr>
              <w:t>7.61%</w:t>
            </w:r>
          </w:p>
        </w:tc>
        <w:tc>
          <w:tcPr>
            <w:tcW w:w="140" w:type="dxa"/>
            <w:vAlign w:val="bottom"/>
            <w:shd w:val="clear" w:color="auto" w:fill="CCECFF"/>
          </w:tcPr>
          <w:p>
            <w:pPr>
              <w:spacing w:after="0"/>
              <w:rPr>
                <w:sz w:val="12"/>
                <w:szCs w:val="12"/>
                <w:color w:val="auto"/>
              </w:rPr>
            </w:pPr>
          </w:p>
        </w:tc>
        <w:tc>
          <w:tcPr>
            <w:tcW w:w="960" w:type="dxa"/>
            <w:vAlign w:val="bottom"/>
            <w:gridSpan w:val="2"/>
            <w:shd w:val="clear" w:color="auto" w:fill="CCECFF"/>
          </w:tcPr>
          <w:p>
            <w:pPr>
              <w:jc w:val="right"/>
              <w:ind w:right="280"/>
              <w:spacing w:after="0"/>
              <w:rPr>
                <w:sz w:val="20"/>
                <w:szCs w:val="20"/>
                <w:color w:val="auto"/>
              </w:rPr>
            </w:pPr>
            <w:r>
              <w:rPr>
                <w:rFonts w:ascii="Arial" w:cs="Arial" w:eastAsia="Arial" w:hAnsi="Arial"/>
                <w:sz w:val="12"/>
                <w:szCs w:val="12"/>
                <w:color w:val="auto"/>
              </w:rPr>
              <w:t>3M L+550</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11,730,000</w:t>
            </w:r>
          </w:p>
        </w:tc>
        <w:tc>
          <w:tcPr>
            <w:tcW w:w="24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11,651,612</w:t>
            </w:r>
          </w:p>
        </w:tc>
        <w:tc>
          <w:tcPr>
            <w:tcW w:w="220" w:type="dxa"/>
            <w:vAlign w:val="bottom"/>
            <w:shd w:val="clear" w:color="auto" w:fill="CCECFF"/>
          </w:tcPr>
          <w:p>
            <w:pPr>
              <w:spacing w:after="0"/>
              <w:rPr>
                <w:sz w:val="12"/>
                <w:szCs w:val="12"/>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11,612,700</w:t>
            </w:r>
          </w:p>
        </w:tc>
        <w:tc>
          <w:tcPr>
            <w:tcW w:w="120" w:type="dxa"/>
            <w:vAlign w:val="bottom"/>
            <w:shd w:val="clear" w:color="auto" w:fill="CCECFF"/>
          </w:tcPr>
          <w:p>
            <w:pPr>
              <w:spacing w:after="0"/>
              <w:rPr>
                <w:sz w:val="12"/>
                <w:szCs w:val="12"/>
                <w:color w:val="auto"/>
              </w:rPr>
            </w:pPr>
          </w:p>
        </w:tc>
      </w:tr>
      <w:tr>
        <w:trPr>
          <w:trHeight w:val="148"/>
        </w:trPr>
        <w:tc>
          <w:tcPr>
            <w:tcW w:w="3360" w:type="dxa"/>
            <w:vAlign w:val="bottom"/>
          </w:tcPr>
          <w:p>
            <w:pPr>
              <w:spacing w:after="0"/>
              <w:rPr>
                <w:sz w:val="20"/>
                <w:szCs w:val="20"/>
                <w:color w:val="auto"/>
              </w:rPr>
            </w:pPr>
            <w:r>
              <w:rPr>
                <w:rFonts w:ascii="Arial" w:cs="Arial" w:eastAsia="Arial" w:hAnsi="Arial"/>
                <w:sz w:val="12"/>
                <w:szCs w:val="12"/>
                <w:color w:val="auto"/>
              </w:rPr>
              <w:t>By Light Professional IT Services, LLC</w:t>
            </w:r>
          </w:p>
        </w:tc>
        <w:tc>
          <w:tcPr>
            <w:tcW w:w="920" w:type="dxa"/>
            <w:vAlign w:val="bottom"/>
          </w:tcPr>
          <w:p>
            <w:pPr>
              <w:jc w:val="center"/>
              <w:ind w:right="2"/>
              <w:spacing w:after="0"/>
              <w:rPr>
                <w:sz w:val="20"/>
                <w:szCs w:val="20"/>
                <w:color w:val="auto"/>
              </w:rPr>
            </w:pPr>
            <w:r>
              <w:rPr>
                <w:rFonts w:ascii="Arial" w:cs="Arial" w:eastAsia="Arial" w:hAnsi="Arial"/>
                <w:sz w:val="12"/>
                <w:szCs w:val="12"/>
                <w:color w:val="auto"/>
                <w:w w:val="89"/>
              </w:rPr>
              <w:t>05/16/2022</w:t>
            </w:r>
          </w:p>
        </w:tc>
        <w:tc>
          <w:tcPr>
            <w:tcW w:w="2440" w:type="dxa"/>
            <w:vAlign w:val="bottom"/>
            <w:gridSpan w:val="2"/>
          </w:tcPr>
          <w:p>
            <w:pPr>
              <w:jc w:val="center"/>
              <w:ind w:right="180"/>
              <w:spacing w:after="0"/>
              <w:rPr>
                <w:sz w:val="20"/>
                <w:szCs w:val="20"/>
                <w:color w:val="auto"/>
              </w:rPr>
            </w:pPr>
            <w:r>
              <w:rPr>
                <w:rFonts w:ascii="Arial" w:cs="Arial" w:eastAsia="Arial" w:hAnsi="Arial"/>
                <w:sz w:val="12"/>
                <w:szCs w:val="12"/>
                <w:color w:val="auto"/>
                <w:w w:val="89"/>
              </w:rPr>
              <w:t>High Tech Industries</w:t>
            </w:r>
          </w:p>
        </w:tc>
        <w:tc>
          <w:tcPr>
            <w:tcW w:w="780" w:type="dxa"/>
            <w:vAlign w:val="bottom"/>
            <w:gridSpan w:val="2"/>
          </w:tcPr>
          <w:p>
            <w:pPr>
              <w:jc w:val="right"/>
              <w:ind w:right="20"/>
              <w:spacing w:after="0"/>
              <w:rPr>
                <w:sz w:val="20"/>
                <w:szCs w:val="20"/>
                <w:color w:val="auto"/>
              </w:rPr>
            </w:pPr>
            <w:r>
              <w:rPr>
                <w:rFonts w:ascii="Arial" w:cs="Arial" w:eastAsia="Arial" w:hAnsi="Arial"/>
                <w:sz w:val="12"/>
                <w:szCs w:val="12"/>
                <w:color w:val="auto"/>
              </w:rPr>
              <w:t>8.56%</w:t>
            </w:r>
          </w:p>
        </w:tc>
        <w:tc>
          <w:tcPr>
            <w:tcW w:w="140" w:type="dxa"/>
            <w:vAlign w:val="bottom"/>
          </w:tcPr>
          <w:p>
            <w:pPr>
              <w:spacing w:after="0"/>
              <w:rPr>
                <w:sz w:val="12"/>
                <w:szCs w:val="12"/>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2"/>
                <w:szCs w:val="12"/>
                <w:color w:val="auto"/>
              </w:rPr>
              <w:t>3M L+625</w:t>
            </w:r>
          </w:p>
        </w:tc>
        <w:tc>
          <w:tcPr>
            <w:tcW w:w="680" w:type="dxa"/>
            <w:vAlign w:val="bottom"/>
          </w:tcPr>
          <w:p>
            <w:pPr>
              <w:jc w:val="right"/>
              <w:spacing w:after="0"/>
              <w:rPr>
                <w:sz w:val="20"/>
                <w:szCs w:val="20"/>
                <w:color w:val="auto"/>
              </w:rPr>
            </w:pPr>
            <w:r>
              <w:rPr>
                <w:rFonts w:ascii="Arial" w:cs="Arial" w:eastAsia="Arial" w:hAnsi="Arial"/>
                <w:sz w:val="12"/>
                <w:szCs w:val="12"/>
                <w:color w:val="auto"/>
              </w:rPr>
              <w:t>13,096,955</w:t>
            </w:r>
          </w:p>
        </w:tc>
        <w:tc>
          <w:tcPr>
            <w:tcW w:w="24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12,864,397</w:t>
            </w:r>
          </w:p>
        </w:tc>
        <w:tc>
          <w:tcPr>
            <w:tcW w:w="22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13,096,955</w:t>
            </w:r>
          </w:p>
        </w:tc>
        <w:tc>
          <w:tcPr>
            <w:tcW w:w="120" w:type="dxa"/>
            <w:vAlign w:val="bottom"/>
          </w:tcPr>
          <w:p>
            <w:pPr>
              <w:spacing w:after="0"/>
              <w:rPr>
                <w:sz w:val="12"/>
                <w:szCs w:val="12"/>
                <w:color w:val="auto"/>
              </w:rPr>
            </w:pPr>
          </w:p>
        </w:tc>
      </w:tr>
      <w:tr>
        <w:trPr>
          <w:trHeight w:val="148"/>
        </w:trPr>
        <w:tc>
          <w:tcPr>
            <w:tcW w:w="3360" w:type="dxa"/>
            <w:vAlign w:val="bottom"/>
            <w:shd w:val="clear" w:color="auto" w:fill="CCECFF"/>
          </w:tcPr>
          <w:p>
            <w:pPr>
              <w:spacing w:after="0" w:line="149" w:lineRule="exact"/>
              <w:rPr>
                <w:sz w:val="20"/>
                <w:szCs w:val="20"/>
                <w:color w:val="auto"/>
              </w:rPr>
            </w:pPr>
            <w:r>
              <w:rPr>
                <w:rFonts w:ascii="Arial" w:cs="Arial" w:eastAsia="Arial" w:hAnsi="Arial"/>
                <w:sz w:val="11"/>
                <w:szCs w:val="11"/>
                <w:color w:val="auto"/>
              </w:rPr>
              <w:t xml:space="preserve">By Light Professional IT Services, LLC </w:t>
            </w:r>
            <w:r>
              <w:rPr>
                <w:rFonts w:ascii="Arial" w:cs="Arial" w:eastAsia="Arial" w:hAnsi="Arial"/>
                <w:sz w:val="17"/>
                <w:szCs w:val="17"/>
                <w:color w:val="auto"/>
                <w:vertAlign w:val="superscript"/>
              </w:rPr>
              <w:t>(7)</w:t>
            </w:r>
          </w:p>
        </w:tc>
        <w:tc>
          <w:tcPr>
            <w:tcW w:w="920" w:type="dxa"/>
            <w:vAlign w:val="bottom"/>
            <w:shd w:val="clear" w:color="auto" w:fill="CCECFF"/>
          </w:tcPr>
          <w:p>
            <w:pPr>
              <w:jc w:val="center"/>
              <w:ind w:right="2"/>
              <w:spacing w:after="0"/>
              <w:rPr>
                <w:sz w:val="20"/>
                <w:szCs w:val="20"/>
                <w:color w:val="auto"/>
              </w:rPr>
            </w:pPr>
            <w:r>
              <w:rPr>
                <w:rFonts w:ascii="Arial" w:cs="Arial" w:eastAsia="Arial" w:hAnsi="Arial"/>
                <w:sz w:val="12"/>
                <w:szCs w:val="12"/>
                <w:color w:val="auto"/>
                <w:w w:val="89"/>
              </w:rPr>
              <w:t>05/16/2022</w:t>
            </w:r>
          </w:p>
        </w:tc>
        <w:tc>
          <w:tcPr>
            <w:tcW w:w="2440" w:type="dxa"/>
            <w:vAlign w:val="bottom"/>
            <w:gridSpan w:val="2"/>
            <w:shd w:val="clear" w:color="auto" w:fill="CCECFF"/>
          </w:tcPr>
          <w:p>
            <w:pPr>
              <w:jc w:val="center"/>
              <w:ind w:right="180"/>
              <w:spacing w:after="0"/>
              <w:rPr>
                <w:sz w:val="20"/>
                <w:szCs w:val="20"/>
                <w:color w:val="auto"/>
              </w:rPr>
            </w:pPr>
            <w:r>
              <w:rPr>
                <w:rFonts w:ascii="Arial" w:cs="Arial" w:eastAsia="Arial" w:hAnsi="Arial"/>
                <w:sz w:val="12"/>
                <w:szCs w:val="12"/>
                <w:color w:val="auto"/>
                <w:w w:val="89"/>
              </w:rPr>
              <w:t>High Tech Industries</w:t>
            </w:r>
          </w:p>
        </w:tc>
        <w:tc>
          <w:tcPr>
            <w:tcW w:w="780" w:type="dxa"/>
            <w:vAlign w:val="bottom"/>
            <w:gridSpan w:val="2"/>
            <w:shd w:val="clear" w:color="auto" w:fill="CCECFF"/>
          </w:tcPr>
          <w:p>
            <w:pPr>
              <w:jc w:val="right"/>
              <w:ind w:right="12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CFF"/>
          </w:tcPr>
          <w:p>
            <w:pPr>
              <w:spacing w:after="0"/>
              <w:rPr>
                <w:sz w:val="12"/>
                <w:szCs w:val="12"/>
                <w:color w:val="auto"/>
              </w:rPr>
            </w:pPr>
          </w:p>
        </w:tc>
        <w:tc>
          <w:tcPr>
            <w:tcW w:w="960" w:type="dxa"/>
            <w:vAlign w:val="bottom"/>
            <w:gridSpan w:val="2"/>
            <w:shd w:val="clear" w:color="auto" w:fill="CCECFF"/>
          </w:tcPr>
          <w:p>
            <w:pPr>
              <w:jc w:val="right"/>
              <w:ind w:right="280"/>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15,745,817</w:t>
            </w:r>
          </w:p>
        </w:tc>
        <w:tc>
          <w:tcPr>
            <w:tcW w:w="240" w:type="dxa"/>
            <w:vAlign w:val="bottom"/>
            <w:shd w:val="clear" w:color="auto" w:fill="CCECFF"/>
          </w:tcPr>
          <w:p>
            <w:pPr>
              <w:spacing w:after="0"/>
              <w:rPr>
                <w:sz w:val="12"/>
                <w:szCs w:val="12"/>
                <w:color w:val="auto"/>
              </w:rPr>
            </w:pP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82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w:t>
            </w:r>
          </w:p>
        </w:tc>
      </w:tr>
      <w:tr>
        <w:trPr>
          <w:trHeight w:val="149"/>
        </w:trPr>
        <w:tc>
          <w:tcPr>
            <w:tcW w:w="3360" w:type="dxa"/>
            <w:vAlign w:val="bottom"/>
          </w:tcPr>
          <w:p>
            <w:pPr>
              <w:spacing w:after="0" w:line="149" w:lineRule="exact"/>
              <w:rPr>
                <w:sz w:val="20"/>
                <w:szCs w:val="20"/>
                <w:color w:val="auto"/>
              </w:rPr>
            </w:pPr>
            <w:r>
              <w:rPr>
                <w:rFonts w:ascii="Arial" w:cs="Arial" w:eastAsia="Arial" w:hAnsi="Arial"/>
                <w:sz w:val="11"/>
                <w:szCs w:val="11"/>
                <w:color w:val="auto"/>
              </w:rPr>
              <w:t xml:space="preserve">By Light Professional IT Services, LLC (Revolver) </w:t>
            </w:r>
            <w:r>
              <w:rPr>
                <w:rFonts w:ascii="Arial" w:cs="Arial" w:eastAsia="Arial" w:hAnsi="Arial"/>
                <w:sz w:val="17"/>
                <w:szCs w:val="17"/>
                <w:color w:val="auto"/>
                <w:vertAlign w:val="superscript"/>
              </w:rPr>
              <w:t>(7), (9)</w:t>
            </w:r>
          </w:p>
        </w:tc>
        <w:tc>
          <w:tcPr>
            <w:tcW w:w="920" w:type="dxa"/>
            <w:vAlign w:val="bottom"/>
          </w:tcPr>
          <w:p>
            <w:pPr>
              <w:jc w:val="center"/>
              <w:ind w:right="2"/>
              <w:spacing w:after="0"/>
              <w:rPr>
                <w:sz w:val="20"/>
                <w:szCs w:val="20"/>
                <w:color w:val="auto"/>
              </w:rPr>
            </w:pPr>
            <w:r>
              <w:rPr>
                <w:rFonts w:ascii="Arial" w:cs="Arial" w:eastAsia="Arial" w:hAnsi="Arial"/>
                <w:sz w:val="12"/>
                <w:szCs w:val="12"/>
                <w:color w:val="auto"/>
                <w:w w:val="89"/>
              </w:rPr>
              <w:t>05/16/2022</w:t>
            </w:r>
          </w:p>
        </w:tc>
        <w:tc>
          <w:tcPr>
            <w:tcW w:w="2440" w:type="dxa"/>
            <w:vAlign w:val="bottom"/>
            <w:gridSpan w:val="2"/>
          </w:tcPr>
          <w:p>
            <w:pPr>
              <w:jc w:val="center"/>
              <w:ind w:right="180"/>
              <w:spacing w:after="0"/>
              <w:rPr>
                <w:sz w:val="20"/>
                <w:szCs w:val="20"/>
                <w:color w:val="auto"/>
              </w:rPr>
            </w:pPr>
            <w:r>
              <w:rPr>
                <w:rFonts w:ascii="Arial" w:cs="Arial" w:eastAsia="Arial" w:hAnsi="Arial"/>
                <w:sz w:val="12"/>
                <w:szCs w:val="12"/>
                <w:color w:val="auto"/>
                <w:w w:val="89"/>
              </w:rPr>
              <w:t>High Tech Industries</w:t>
            </w:r>
          </w:p>
        </w:tc>
        <w:tc>
          <w:tcPr>
            <w:tcW w:w="78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2,504,092</w:t>
            </w:r>
          </w:p>
        </w:tc>
        <w:tc>
          <w:tcPr>
            <w:tcW w:w="240" w:type="dxa"/>
            <w:vAlign w:val="bottom"/>
          </w:tcPr>
          <w:p>
            <w:pPr>
              <w:spacing w:after="0"/>
              <w:rPr>
                <w:sz w:val="12"/>
                <w:szCs w:val="12"/>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8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r>
      <w:tr>
        <w:trPr>
          <w:trHeight w:val="148"/>
        </w:trPr>
        <w:tc>
          <w:tcPr>
            <w:tcW w:w="3360" w:type="dxa"/>
            <w:vAlign w:val="bottom"/>
            <w:shd w:val="clear" w:color="auto" w:fill="CCECFF"/>
          </w:tcPr>
          <w:p>
            <w:pPr>
              <w:spacing w:after="0"/>
              <w:rPr>
                <w:sz w:val="20"/>
                <w:szCs w:val="20"/>
                <w:color w:val="auto"/>
              </w:rPr>
            </w:pPr>
            <w:r>
              <w:rPr>
                <w:rFonts w:ascii="Arial" w:cs="Arial" w:eastAsia="Arial" w:hAnsi="Arial"/>
                <w:sz w:val="12"/>
                <w:szCs w:val="12"/>
                <w:color w:val="auto"/>
              </w:rPr>
              <w:t>Cadence Aerospace, LLC</w:t>
            </w:r>
          </w:p>
        </w:tc>
        <w:tc>
          <w:tcPr>
            <w:tcW w:w="920" w:type="dxa"/>
            <w:vAlign w:val="bottom"/>
            <w:shd w:val="clear" w:color="auto" w:fill="CCECFF"/>
          </w:tcPr>
          <w:p>
            <w:pPr>
              <w:jc w:val="center"/>
              <w:ind w:right="2"/>
              <w:spacing w:after="0"/>
              <w:rPr>
                <w:sz w:val="20"/>
                <w:szCs w:val="20"/>
                <w:color w:val="auto"/>
              </w:rPr>
            </w:pPr>
            <w:r>
              <w:rPr>
                <w:rFonts w:ascii="Arial" w:cs="Arial" w:eastAsia="Arial" w:hAnsi="Arial"/>
                <w:sz w:val="12"/>
                <w:szCs w:val="12"/>
                <w:color w:val="auto"/>
                <w:w w:val="89"/>
              </w:rPr>
              <w:t>11/14/2023</w:t>
            </w:r>
          </w:p>
        </w:tc>
        <w:tc>
          <w:tcPr>
            <w:tcW w:w="2440" w:type="dxa"/>
            <w:vAlign w:val="bottom"/>
            <w:gridSpan w:val="2"/>
            <w:shd w:val="clear" w:color="auto" w:fill="CCECFF"/>
          </w:tcPr>
          <w:p>
            <w:pPr>
              <w:jc w:val="center"/>
              <w:ind w:right="180"/>
              <w:spacing w:after="0"/>
              <w:rPr>
                <w:sz w:val="20"/>
                <w:szCs w:val="20"/>
                <w:color w:val="auto"/>
              </w:rPr>
            </w:pPr>
            <w:r>
              <w:rPr>
                <w:rFonts w:ascii="Arial" w:cs="Arial" w:eastAsia="Arial" w:hAnsi="Arial"/>
                <w:sz w:val="12"/>
                <w:szCs w:val="12"/>
                <w:color w:val="auto"/>
                <w:w w:val="85"/>
              </w:rPr>
              <w:t>Aerospace and Defense</w:t>
            </w:r>
          </w:p>
        </w:tc>
        <w:tc>
          <w:tcPr>
            <w:tcW w:w="780" w:type="dxa"/>
            <w:vAlign w:val="bottom"/>
            <w:gridSpan w:val="2"/>
            <w:shd w:val="clear" w:color="auto" w:fill="CCECFF"/>
          </w:tcPr>
          <w:p>
            <w:pPr>
              <w:jc w:val="right"/>
              <w:ind w:right="20"/>
              <w:spacing w:after="0"/>
              <w:rPr>
                <w:sz w:val="20"/>
                <w:szCs w:val="20"/>
                <w:color w:val="auto"/>
              </w:rPr>
            </w:pPr>
            <w:r>
              <w:rPr>
                <w:rFonts w:ascii="Arial" w:cs="Arial" w:eastAsia="Arial" w:hAnsi="Arial"/>
                <w:sz w:val="12"/>
                <w:szCs w:val="12"/>
                <w:color w:val="auto"/>
              </w:rPr>
              <w:t>8.54%</w:t>
            </w:r>
          </w:p>
        </w:tc>
        <w:tc>
          <w:tcPr>
            <w:tcW w:w="140" w:type="dxa"/>
            <w:vAlign w:val="bottom"/>
            <w:shd w:val="clear" w:color="auto" w:fill="CCECFF"/>
          </w:tcPr>
          <w:p>
            <w:pPr>
              <w:spacing w:after="0"/>
              <w:rPr>
                <w:sz w:val="12"/>
                <w:szCs w:val="12"/>
                <w:color w:val="auto"/>
              </w:rPr>
            </w:pPr>
          </w:p>
        </w:tc>
        <w:tc>
          <w:tcPr>
            <w:tcW w:w="960" w:type="dxa"/>
            <w:vAlign w:val="bottom"/>
            <w:gridSpan w:val="2"/>
            <w:shd w:val="clear" w:color="auto" w:fill="CCECFF"/>
          </w:tcPr>
          <w:p>
            <w:pPr>
              <w:jc w:val="right"/>
              <w:ind w:right="280"/>
              <w:spacing w:after="0"/>
              <w:rPr>
                <w:sz w:val="20"/>
                <w:szCs w:val="20"/>
                <w:color w:val="auto"/>
              </w:rPr>
            </w:pPr>
            <w:r>
              <w:rPr>
                <w:rFonts w:ascii="Arial" w:cs="Arial" w:eastAsia="Arial" w:hAnsi="Arial"/>
                <w:sz w:val="12"/>
                <w:szCs w:val="12"/>
                <w:color w:val="auto"/>
              </w:rPr>
              <w:t>3M L+650</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2,868,106</w:t>
            </w:r>
          </w:p>
        </w:tc>
        <w:tc>
          <w:tcPr>
            <w:tcW w:w="24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2,848,592</w:t>
            </w:r>
          </w:p>
        </w:tc>
        <w:tc>
          <w:tcPr>
            <w:tcW w:w="220" w:type="dxa"/>
            <w:vAlign w:val="bottom"/>
            <w:shd w:val="clear" w:color="auto" w:fill="CCECFF"/>
          </w:tcPr>
          <w:p>
            <w:pPr>
              <w:spacing w:after="0"/>
              <w:rPr>
                <w:sz w:val="12"/>
                <w:szCs w:val="12"/>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2,854,626</w:t>
            </w:r>
          </w:p>
        </w:tc>
        <w:tc>
          <w:tcPr>
            <w:tcW w:w="120" w:type="dxa"/>
            <w:vAlign w:val="bottom"/>
            <w:shd w:val="clear" w:color="auto" w:fill="CCECFF"/>
          </w:tcPr>
          <w:p>
            <w:pPr>
              <w:spacing w:after="0"/>
              <w:rPr>
                <w:sz w:val="12"/>
                <w:szCs w:val="12"/>
                <w:color w:val="auto"/>
              </w:rPr>
            </w:pPr>
          </w:p>
        </w:tc>
      </w:tr>
      <w:tr>
        <w:trPr>
          <w:trHeight w:val="148"/>
        </w:trPr>
        <w:tc>
          <w:tcPr>
            <w:tcW w:w="3360" w:type="dxa"/>
            <w:vAlign w:val="bottom"/>
          </w:tcPr>
          <w:p>
            <w:pPr>
              <w:spacing w:after="0"/>
              <w:rPr>
                <w:sz w:val="20"/>
                <w:szCs w:val="20"/>
                <w:color w:val="auto"/>
              </w:rPr>
            </w:pPr>
            <w:r>
              <w:rPr>
                <w:rFonts w:ascii="Arial" w:cs="Arial" w:eastAsia="Arial" w:hAnsi="Arial"/>
                <w:sz w:val="12"/>
                <w:szCs w:val="12"/>
                <w:color w:val="auto"/>
              </w:rPr>
              <w:t>Cano Health, LLC</w:t>
            </w:r>
          </w:p>
        </w:tc>
        <w:tc>
          <w:tcPr>
            <w:tcW w:w="920" w:type="dxa"/>
            <w:vAlign w:val="bottom"/>
          </w:tcPr>
          <w:p>
            <w:pPr>
              <w:jc w:val="center"/>
              <w:ind w:right="2"/>
              <w:spacing w:after="0"/>
              <w:rPr>
                <w:sz w:val="20"/>
                <w:szCs w:val="20"/>
                <w:color w:val="auto"/>
              </w:rPr>
            </w:pPr>
            <w:r>
              <w:rPr>
                <w:rFonts w:ascii="Arial" w:cs="Arial" w:eastAsia="Arial" w:hAnsi="Arial"/>
                <w:sz w:val="12"/>
                <w:szCs w:val="12"/>
                <w:color w:val="auto"/>
                <w:w w:val="89"/>
              </w:rPr>
              <w:t>12/23/2021</w:t>
            </w:r>
          </w:p>
        </w:tc>
        <w:tc>
          <w:tcPr>
            <w:tcW w:w="2440" w:type="dxa"/>
            <w:vAlign w:val="bottom"/>
            <w:gridSpan w:val="2"/>
          </w:tcPr>
          <w:p>
            <w:pPr>
              <w:jc w:val="center"/>
              <w:ind w:right="180"/>
              <w:spacing w:after="0"/>
              <w:rPr>
                <w:sz w:val="20"/>
                <w:szCs w:val="20"/>
                <w:color w:val="auto"/>
              </w:rPr>
            </w:pPr>
            <w:r>
              <w:rPr>
                <w:rFonts w:ascii="Arial" w:cs="Arial" w:eastAsia="Arial" w:hAnsi="Arial"/>
                <w:sz w:val="12"/>
                <w:szCs w:val="12"/>
                <w:color w:val="auto"/>
                <w:w w:val="86"/>
              </w:rPr>
              <w:t>Healthcare and Pharmaceuticals</w:t>
            </w:r>
          </w:p>
        </w:tc>
        <w:tc>
          <w:tcPr>
            <w:tcW w:w="780" w:type="dxa"/>
            <w:vAlign w:val="bottom"/>
            <w:gridSpan w:val="2"/>
          </w:tcPr>
          <w:p>
            <w:pPr>
              <w:jc w:val="right"/>
              <w:ind w:right="20"/>
              <w:spacing w:after="0"/>
              <w:rPr>
                <w:sz w:val="20"/>
                <w:szCs w:val="20"/>
                <w:color w:val="auto"/>
              </w:rPr>
            </w:pPr>
            <w:r>
              <w:rPr>
                <w:rFonts w:ascii="Arial" w:cs="Arial" w:eastAsia="Arial" w:hAnsi="Arial"/>
                <w:sz w:val="12"/>
                <w:szCs w:val="12"/>
                <w:color w:val="auto"/>
              </w:rPr>
              <w:t>8.36%</w:t>
            </w:r>
          </w:p>
        </w:tc>
        <w:tc>
          <w:tcPr>
            <w:tcW w:w="140" w:type="dxa"/>
            <w:vAlign w:val="bottom"/>
          </w:tcPr>
          <w:p>
            <w:pPr>
              <w:spacing w:after="0"/>
              <w:rPr>
                <w:sz w:val="12"/>
                <w:szCs w:val="12"/>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2"/>
                <w:szCs w:val="12"/>
                <w:color w:val="auto"/>
              </w:rPr>
              <w:t>1M L+650</w:t>
            </w:r>
          </w:p>
        </w:tc>
        <w:tc>
          <w:tcPr>
            <w:tcW w:w="680" w:type="dxa"/>
            <w:vAlign w:val="bottom"/>
          </w:tcPr>
          <w:p>
            <w:pPr>
              <w:jc w:val="right"/>
              <w:spacing w:after="0"/>
              <w:rPr>
                <w:sz w:val="20"/>
                <w:szCs w:val="20"/>
                <w:color w:val="auto"/>
              </w:rPr>
            </w:pPr>
            <w:r>
              <w:rPr>
                <w:rFonts w:ascii="Arial" w:cs="Arial" w:eastAsia="Arial" w:hAnsi="Arial"/>
                <w:sz w:val="12"/>
                <w:szCs w:val="12"/>
                <w:color w:val="auto"/>
              </w:rPr>
              <w:t>23,306,224</w:t>
            </w:r>
          </w:p>
        </w:tc>
        <w:tc>
          <w:tcPr>
            <w:tcW w:w="24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23,094,603</w:t>
            </w:r>
          </w:p>
        </w:tc>
        <w:tc>
          <w:tcPr>
            <w:tcW w:w="22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23,306,224</w:t>
            </w:r>
          </w:p>
        </w:tc>
        <w:tc>
          <w:tcPr>
            <w:tcW w:w="120" w:type="dxa"/>
            <w:vAlign w:val="bottom"/>
          </w:tcPr>
          <w:p>
            <w:pPr>
              <w:spacing w:after="0"/>
              <w:rPr>
                <w:sz w:val="12"/>
                <w:szCs w:val="12"/>
                <w:color w:val="auto"/>
              </w:rPr>
            </w:pPr>
          </w:p>
        </w:tc>
      </w:tr>
      <w:tr>
        <w:trPr>
          <w:trHeight w:val="148"/>
        </w:trPr>
        <w:tc>
          <w:tcPr>
            <w:tcW w:w="3360" w:type="dxa"/>
            <w:vAlign w:val="bottom"/>
            <w:shd w:val="clear" w:color="auto" w:fill="CCECFF"/>
          </w:tcPr>
          <w:p>
            <w:pPr>
              <w:spacing w:after="0"/>
              <w:rPr>
                <w:sz w:val="20"/>
                <w:szCs w:val="20"/>
                <w:color w:val="auto"/>
              </w:rPr>
            </w:pPr>
            <w:r>
              <w:rPr>
                <w:rFonts w:ascii="Arial" w:cs="Arial" w:eastAsia="Arial" w:hAnsi="Arial"/>
                <w:sz w:val="12"/>
                <w:szCs w:val="12"/>
                <w:color w:val="auto"/>
              </w:rPr>
              <w:t>Cardenas Markets LLC</w:t>
            </w:r>
          </w:p>
        </w:tc>
        <w:tc>
          <w:tcPr>
            <w:tcW w:w="920" w:type="dxa"/>
            <w:vAlign w:val="bottom"/>
            <w:shd w:val="clear" w:color="auto" w:fill="CCECFF"/>
          </w:tcPr>
          <w:p>
            <w:pPr>
              <w:jc w:val="center"/>
              <w:ind w:right="2"/>
              <w:spacing w:after="0"/>
              <w:rPr>
                <w:sz w:val="20"/>
                <w:szCs w:val="20"/>
                <w:color w:val="auto"/>
              </w:rPr>
            </w:pPr>
            <w:r>
              <w:rPr>
                <w:rFonts w:ascii="Arial" w:cs="Arial" w:eastAsia="Arial" w:hAnsi="Arial"/>
                <w:sz w:val="12"/>
                <w:szCs w:val="12"/>
                <w:color w:val="auto"/>
                <w:w w:val="89"/>
              </w:rPr>
              <w:t>11/29/2023</w:t>
            </w:r>
          </w:p>
        </w:tc>
        <w:tc>
          <w:tcPr>
            <w:tcW w:w="2440" w:type="dxa"/>
            <w:vAlign w:val="bottom"/>
            <w:gridSpan w:val="2"/>
            <w:shd w:val="clear" w:color="auto" w:fill="CCECFF"/>
          </w:tcPr>
          <w:p>
            <w:pPr>
              <w:jc w:val="center"/>
              <w:ind w:right="200"/>
              <w:spacing w:after="0"/>
              <w:rPr>
                <w:sz w:val="20"/>
                <w:szCs w:val="20"/>
                <w:color w:val="auto"/>
              </w:rPr>
            </w:pPr>
            <w:r>
              <w:rPr>
                <w:rFonts w:ascii="Arial" w:cs="Arial" w:eastAsia="Arial" w:hAnsi="Arial"/>
                <w:sz w:val="12"/>
                <w:szCs w:val="12"/>
                <w:color w:val="auto"/>
                <w:w w:val="85"/>
              </w:rPr>
              <w:t>Beverage, Food and Tobacco</w:t>
            </w:r>
          </w:p>
        </w:tc>
        <w:tc>
          <w:tcPr>
            <w:tcW w:w="780" w:type="dxa"/>
            <w:vAlign w:val="bottom"/>
            <w:gridSpan w:val="2"/>
            <w:shd w:val="clear" w:color="auto" w:fill="CCECFF"/>
          </w:tcPr>
          <w:p>
            <w:pPr>
              <w:jc w:val="right"/>
              <w:ind w:right="20"/>
              <w:spacing w:after="0"/>
              <w:rPr>
                <w:sz w:val="20"/>
                <w:szCs w:val="20"/>
                <w:color w:val="auto"/>
              </w:rPr>
            </w:pPr>
            <w:r>
              <w:rPr>
                <w:rFonts w:ascii="Arial" w:cs="Arial" w:eastAsia="Arial" w:hAnsi="Arial"/>
                <w:sz w:val="12"/>
                <w:szCs w:val="12"/>
                <w:color w:val="auto"/>
              </w:rPr>
              <w:t>7.86%</w:t>
            </w:r>
          </w:p>
        </w:tc>
        <w:tc>
          <w:tcPr>
            <w:tcW w:w="140" w:type="dxa"/>
            <w:vAlign w:val="bottom"/>
            <w:shd w:val="clear" w:color="auto" w:fill="CCECFF"/>
          </w:tcPr>
          <w:p>
            <w:pPr>
              <w:spacing w:after="0"/>
              <w:rPr>
                <w:sz w:val="12"/>
                <w:szCs w:val="12"/>
                <w:color w:val="auto"/>
              </w:rPr>
            </w:pPr>
          </w:p>
        </w:tc>
        <w:tc>
          <w:tcPr>
            <w:tcW w:w="960" w:type="dxa"/>
            <w:vAlign w:val="bottom"/>
            <w:gridSpan w:val="2"/>
            <w:shd w:val="clear" w:color="auto" w:fill="CCECFF"/>
          </w:tcPr>
          <w:p>
            <w:pPr>
              <w:jc w:val="right"/>
              <w:ind w:right="280"/>
              <w:spacing w:after="0"/>
              <w:rPr>
                <w:sz w:val="20"/>
                <w:szCs w:val="20"/>
                <w:color w:val="auto"/>
              </w:rPr>
            </w:pPr>
            <w:r>
              <w:rPr>
                <w:rFonts w:ascii="Arial" w:cs="Arial" w:eastAsia="Arial" w:hAnsi="Arial"/>
                <w:sz w:val="12"/>
                <w:szCs w:val="12"/>
                <w:color w:val="auto"/>
              </w:rPr>
              <w:t>1M L+575</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3,834,884</w:t>
            </w:r>
          </w:p>
        </w:tc>
        <w:tc>
          <w:tcPr>
            <w:tcW w:w="24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3,840,082</w:t>
            </w:r>
          </w:p>
        </w:tc>
        <w:tc>
          <w:tcPr>
            <w:tcW w:w="220" w:type="dxa"/>
            <w:vAlign w:val="bottom"/>
            <w:shd w:val="clear" w:color="auto" w:fill="CCECFF"/>
          </w:tcPr>
          <w:p>
            <w:pPr>
              <w:spacing w:after="0"/>
              <w:rPr>
                <w:sz w:val="12"/>
                <w:szCs w:val="12"/>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3,719,837</w:t>
            </w:r>
          </w:p>
        </w:tc>
        <w:tc>
          <w:tcPr>
            <w:tcW w:w="120" w:type="dxa"/>
            <w:vAlign w:val="bottom"/>
            <w:shd w:val="clear" w:color="auto" w:fill="CCECFF"/>
          </w:tcPr>
          <w:p>
            <w:pPr>
              <w:spacing w:after="0"/>
              <w:rPr>
                <w:sz w:val="12"/>
                <w:szCs w:val="12"/>
                <w:color w:val="auto"/>
              </w:rPr>
            </w:pPr>
          </w:p>
        </w:tc>
      </w:tr>
      <w:tr>
        <w:trPr>
          <w:trHeight w:val="148"/>
        </w:trPr>
        <w:tc>
          <w:tcPr>
            <w:tcW w:w="3360" w:type="dxa"/>
            <w:vAlign w:val="bottom"/>
          </w:tcPr>
          <w:p>
            <w:pPr>
              <w:spacing w:after="0"/>
              <w:rPr>
                <w:sz w:val="20"/>
                <w:szCs w:val="20"/>
                <w:color w:val="auto"/>
              </w:rPr>
            </w:pPr>
            <w:r>
              <w:rPr>
                <w:rFonts w:ascii="Arial" w:cs="Arial" w:eastAsia="Arial" w:hAnsi="Arial"/>
                <w:sz w:val="12"/>
                <w:szCs w:val="12"/>
                <w:color w:val="auto"/>
              </w:rPr>
              <w:t>CHA Holdings, Inc.</w:t>
            </w:r>
          </w:p>
        </w:tc>
        <w:tc>
          <w:tcPr>
            <w:tcW w:w="920" w:type="dxa"/>
            <w:vAlign w:val="bottom"/>
          </w:tcPr>
          <w:p>
            <w:pPr>
              <w:jc w:val="center"/>
              <w:ind w:right="2"/>
              <w:spacing w:after="0"/>
              <w:rPr>
                <w:sz w:val="20"/>
                <w:szCs w:val="20"/>
                <w:color w:val="auto"/>
              </w:rPr>
            </w:pPr>
            <w:r>
              <w:rPr>
                <w:rFonts w:ascii="Arial" w:cs="Arial" w:eastAsia="Arial" w:hAnsi="Arial"/>
                <w:sz w:val="12"/>
                <w:szCs w:val="12"/>
                <w:color w:val="auto"/>
                <w:w w:val="89"/>
              </w:rPr>
              <w:t>04/10/2025</w:t>
            </w:r>
          </w:p>
        </w:tc>
        <w:tc>
          <w:tcPr>
            <w:tcW w:w="2440" w:type="dxa"/>
            <w:vAlign w:val="bottom"/>
            <w:gridSpan w:val="2"/>
          </w:tcPr>
          <w:p>
            <w:pPr>
              <w:jc w:val="center"/>
              <w:ind w:right="180"/>
              <w:spacing w:after="0"/>
              <w:rPr>
                <w:sz w:val="20"/>
                <w:szCs w:val="20"/>
                <w:color w:val="auto"/>
              </w:rPr>
            </w:pPr>
            <w:r>
              <w:rPr>
                <w:rFonts w:ascii="Arial" w:cs="Arial" w:eastAsia="Arial" w:hAnsi="Arial"/>
                <w:sz w:val="12"/>
                <w:szCs w:val="12"/>
                <w:color w:val="auto"/>
                <w:w w:val="89"/>
              </w:rPr>
              <w:t>Environmental Industries</w:t>
            </w:r>
          </w:p>
        </w:tc>
        <w:tc>
          <w:tcPr>
            <w:tcW w:w="780" w:type="dxa"/>
            <w:vAlign w:val="bottom"/>
            <w:gridSpan w:val="2"/>
          </w:tcPr>
          <w:p>
            <w:pPr>
              <w:jc w:val="right"/>
              <w:ind w:right="20"/>
              <w:spacing w:after="0"/>
              <w:rPr>
                <w:sz w:val="20"/>
                <w:szCs w:val="20"/>
                <w:color w:val="auto"/>
              </w:rPr>
            </w:pPr>
            <w:r>
              <w:rPr>
                <w:rFonts w:ascii="Arial" w:cs="Arial" w:eastAsia="Arial" w:hAnsi="Arial"/>
                <w:sz w:val="12"/>
                <w:szCs w:val="12"/>
                <w:color w:val="auto"/>
              </w:rPr>
              <w:t>6.79%</w:t>
            </w:r>
          </w:p>
        </w:tc>
        <w:tc>
          <w:tcPr>
            <w:tcW w:w="140" w:type="dxa"/>
            <w:vAlign w:val="bottom"/>
          </w:tcPr>
          <w:p>
            <w:pPr>
              <w:spacing w:after="0"/>
              <w:rPr>
                <w:sz w:val="12"/>
                <w:szCs w:val="12"/>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2"/>
                <w:szCs w:val="12"/>
                <w:color w:val="auto"/>
              </w:rPr>
              <w:t>3M L+450</w:t>
            </w:r>
          </w:p>
        </w:tc>
        <w:tc>
          <w:tcPr>
            <w:tcW w:w="680" w:type="dxa"/>
            <w:vAlign w:val="bottom"/>
          </w:tcPr>
          <w:p>
            <w:pPr>
              <w:jc w:val="right"/>
              <w:spacing w:after="0"/>
              <w:rPr>
                <w:sz w:val="20"/>
                <w:szCs w:val="20"/>
                <w:color w:val="auto"/>
              </w:rPr>
            </w:pPr>
            <w:r>
              <w:rPr>
                <w:rFonts w:ascii="Arial" w:cs="Arial" w:eastAsia="Arial" w:hAnsi="Arial"/>
                <w:sz w:val="12"/>
                <w:szCs w:val="12"/>
                <w:color w:val="auto"/>
              </w:rPr>
              <w:t>7,366,205</w:t>
            </w:r>
          </w:p>
        </w:tc>
        <w:tc>
          <w:tcPr>
            <w:tcW w:w="24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7,340,067</w:t>
            </w:r>
          </w:p>
        </w:tc>
        <w:tc>
          <w:tcPr>
            <w:tcW w:w="22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7,329,374</w:t>
            </w:r>
          </w:p>
        </w:tc>
        <w:tc>
          <w:tcPr>
            <w:tcW w:w="120" w:type="dxa"/>
            <w:vAlign w:val="bottom"/>
          </w:tcPr>
          <w:p>
            <w:pPr>
              <w:spacing w:after="0"/>
              <w:rPr>
                <w:sz w:val="12"/>
                <w:szCs w:val="12"/>
                <w:color w:val="auto"/>
              </w:rPr>
            </w:pPr>
          </w:p>
        </w:tc>
      </w:tr>
      <w:tr>
        <w:trPr>
          <w:trHeight w:val="149"/>
        </w:trPr>
        <w:tc>
          <w:tcPr>
            <w:tcW w:w="3360" w:type="dxa"/>
            <w:vAlign w:val="bottom"/>
            <w:shd w:val="clear" w:color="auto" w:fill="CCECFF"/>
          </w:tcPr>
          <w:p>
            <w:pPr>
              <w:spacing w:after="0" w:line="149" w:lineRule="exact"/>
              <w:rPr>
                <w:sz w:val="20"/>
                <w:szCs w:val="20"/>
                <w:color w:val="auto"/>
              </w:rPr>
            </w:pPr>
            <w:r>
              <w:rPr>
                <w:rFonts w:ascii="Arial" w:cs="Arial" w:eastAsia="Arial" w:hAnsi="Arial"/>
                <w:sz w:val="11"/>
                <w:szCs w:val="11"/>
                <w:color w:val="auto"/>
              </w:rPr>
              <w:t xml:space="preserve">CHA Holdings, Inc. </w:t>
            </w:r>
            <w:r>
              <w:rPr>
                <w:rFonts w:ascii="Arial" w:cs="Arial" w:eastAsia="Arial" w:hAnsi="Arial"/>
                <w:sz w:val="17"/>
                <w:szCs w:val="17"/>
                <w:color w:val="auto"/>
                <w:vertAlign w:val="superscript"/>
              </w:rPr>
              <w:t>(7), (9)</w:t>
            </w:r>
          </w:p>
        </w:tc>
        <w:tc>
          <w:tcPr>
            <w:tcW w:w="920" w:type="dxa"/>
            <w:vAlign w:val="bottom"/>
            <w:shd w:val="clear" w:color="auto" w:fill="CCECFF"/>
          </w:tcPr>
          <w:p>
            <w:pPr>
              <w:jc w:val="center"/>
              <w:ind w:right="2"/>
              <w:spacing w:after="0"/>
              <w:rPr>
                <w:sz w:val="20"/>
                <w:szCs w:val="20"/>
                <w:color w:val="auto"/>
              </w:rPr>
            </w:pPr>
            <w:r>
              <w:rPr>
                <w:rFonts w:ascii="Arial" w:cs="Arial" w:eastAsia="Arial" w:hAnsi="Arial"/>
                <w:sz w:val="12"/>
                <w:szCs w:val="12"/>
                <w:color w:val="auto"/>
                <w:w w:val="89"/>
              </w:rPr>
              <w:t>04/10/2025</w:t>
            </w:r>
          </w:p>
        </w:tc>
        <w:tc>
          <w:tcPr>
            <w:tcW w:w="2440" w:type="dxa"/>
            <w:vAlign w:val="bottom"/>
            <w:gridSpan w:val="2"/>
            <w:shd w:val="clear" w:color="auto" w:fill="CCECFF"/>
          </w:tcPr>
          <w:p>
            <w:pPr>
              <w:jc w:val="center"/>
              <w:ind w:right="180"/>
              <w:spacing w:after="0"/>
              <w:rPr>
                <w:sz w:val="20"/>
                <w:szCs w:val="20"/>
                <w:color w:val="auto"/>
              </w:rPr>
            </w:pPr>
            <w:r>
              <w:rPr>
                <w:rFonts w:ascii="Arial" w:cs="Arial" w:eastAsia="Arial" w:hAnsi="Arial"/>
                <w:sz w:val="12"/>
                <w:szCs w:val="12"/>
                <w:color w:val="auto"/>
                <w:w w:val="89"/>
              </w:rPr>
              <w:t>Environmental Industries</w:t>
            </w:r>
          </w:p>
        </w:tc>
        <w:tc>
          <w:tcPr>
            <w:tcW w:w="780" w:type="dxa"/>
            <w:vAlign w:val="bottom"/>
            <w:gridSpan w:val="2"/>
            <w:shd w:val="clear" w:color="auto" w:fill="CCECFF"/>
          </w:tcPr>
          <w:p>
            <w:pPr>
              <w:jc w:val="right"/>
              <w:ind w:right="12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CFF"/>
          </w:tcPr>
          <w:p>
            <w:pPr>
              <w:spacing w:after="0"/>
              <w:rPr>
                <w:sz w:val="12"/>
                <w:szCs w:val="12"/>
                <w:color w:val="auto"/>
              </w:rPr>
            </w:pPr>
          </w:p>
        </w:tc>
        <w:tc>
          <w:tcPr>
            <w:tcW w:w="960" w:type="dxa"/>
            <w:vAlign w:val="bottom"/>
            <w:gridSpan w:val="2"/>
            <w:shd w:val="clear" w:color="auto" w:fill="CCECFF"/>
          </w:tcPr>
          <w:p>
            <w:pPr>
              <w:jc w:val="right"/>
              <w:ind w:right="280"/>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53,571</w:t>
            </w:r>
          </w:p>
        </w:tc>
        <w:tc>
          <w:tcPr>
            <w:tcW w:w="240" w:type="dxa"/>
            <w:vAlign w:val="bottom"/>
            <w:shd w:val="clear" w:color="auto" w:fill="CCECFF"/>
          </w:tcPr>
          <w:p>
            <w:pPr>
              <w:spacing w:after="0"/>
              <w:rPr>
                <w:sz w:val="12"/>
                <w:szCs w:val="12"/>
                <w:color w:val="auto"/>
              </w:rPr>
            </w:pP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820" w:type="dxa"/>
            <w:vAlign w:val="bottom"/>
            <w:gridSpan w:val="2"/>
            <w:shd w:val="clear" w:color="auto" w:fill="CCECFF"/>
          </w:tcPr>
          <w:p>
            <w:pPr>
              <w:jc w:val="right"/>
              <w:ind w:right="80"/>
              <w:spacing w:after="0"/>
              <w:rPr>
                <w:sz w:val="20"/>
                <w:szCs w:val="20"/>
                <w:color w:val="auto"/>
              </w:rPr>
            </w:pPr>
            <w:r>
              <w:rPr>
                <w:rFonts w:ascii="Arial" w:cs="Arial" w:eastAsia="Arial" w:hAnsi="Arial"/>
                <w:sz w:val="12"/>
                <w:szCs w:val="12"/>
                <w:color w:val="auto"/>
              </w:rPr>
              <w:t>(268)</w:t>
            </w:r>
          </w:p>
        </w:tc>
      </w:tr>
      <w:tr>
        <w:trPr>
          <w:trHeight w:val="148"/>
        </w:trPr>
        <w:tc>
          <w:tcPr>
            <w:tcW w:w="3360" w:type="dxa"/>
            <w:vAlign w:val="bottom"/>
          </w:tcPr>
          <w:p>
            <w:pPr>
              <w:spacing w:after="0" w:line="149" w:lineRule="exact"/>
              <w:rPr>
                <w:sz w:val="20"/>
                <w:szCs w:val="20"/>
                <w:color w:val="auto"/>
              </w:rPr>
            </w:pPr>
            <w:r>
              <w:rPr>
                <w:rFonts w:ascii="Arial" w:cs="Arial" w:eastAsia="Arial" w:hAnsi="Arial"/>
                <w:sz w:val="11"/>
                <w:szCs w:val="11"/>
                <w:color w:val="auto"/>
              </w:rPr>
              <w:t xml:space="preserve">Challenger Performance Optimization, Inc. (Revolver) </w:t>
            </w:r>
            <w:r>
              <w:rPr>
                <w:rFonts w:ascii="Arial" w:cs="Arial" w:eastAsia="Arial" w:hAnsi="Arial"/>
                <w:sz w:val="17"/>
                <w:szCs w:val="17"/>
                <w:color w:val="auto"/>
                <w:vertAlign w:val="superscript"/>
              </w:rPr>
              <w:t>(7)</w:t>
            </w:r>
          </w:p>
        </w:tc>
        <w:tc>
          <w:tcPr>
            <w:tcW w:w="920" w:type="dxa"/>
            <w:vAlign w:val="bottom"/>
          </w:tcPr>
          <w:p>
            <w:pPr>
              <w:jc w:val="center"/>
              <w:ind w:right="2"/>
              <w:spacing w:after="0"/>
              <w:rPr>
                <w:sz w:val="20"/>
                <w:szCs w:val="20"/>
                <w:color w:val="auto"/>
              </w:rPr>
            </w:pPr>
            <w:r>
              <w:rPr>
                <w:rFonts w:ascii="Arial" w:cs="Arial" w:eastAsia="Arial" w:hAnsi="Arial"/>
                <w:sz w:val="12"/>
                <w:szCs w:val="12"/>
                <w:color w:val="auto"/>
                <w:w w:val="89"/>
              </w:rPr>
              <w:t>08/31/2023</w:t>
            </w:r>
          </w:p>
        </w:tc>
        <w:tc>
          <w:tcPr>
            <w:tcW w:w="2440" w:type="dxa"/>
            <w:vAlign w:val="bottom"/>
            <w:gridSpan w:val="2"/>
          </w:tcPr>
          <w:p>
            <w:pPr>
              <w:jc w:val="center"/>
              <w:ind w:right="200"/>
              <w:spacing w:after="0"/>
              <w:rPr>
                <w:sz w:val="20"/>
                <w:szCs w:val="20"/>
                <w:color w:val="auto"/>
              </w:rPr>
            </w:pPr>
            <w:r>
              <w:rPr>
                <w:rFonts w:ascii="Arial" w:cs="Arial" w:eastAsia="Arial" w:hAnsi="Arial"/>
                <w:sz w:val="12"/>
                <w:szCs w:val="12"/>
                <w:color w:val="auto"/>
                <w:w w:val="85"/>
              </w:rPr>
              <w:t>Business Services</w:t>
            </w:r>
          </w:p>
        </w:tc>
        <w:tc>
          <w:tcPr>
            <w:tcW w:w="780" w:type="dxa"/>
            <w:vAlign w:val="bottom"/>
            <w:gridSpan w:val="2"/>
          </w:tcPr>
          <w:p>
            <w:pPr>
              <w:jc w:val="right"/>
              <w:ind w:right="20"/>
              <w:spacing w:after="0"/>
              <w:rPr>
                <w:sz w:val="20"/>
                <w:szCs w:val="20"/>
                <w:color w:val="auto"/>
              </w:rPr>
            </w:pPr>
            <w:r>
              <w:rPr>
                <w:rFonts w:ascii="Arial" w:cs="Arial" w:eastAsia="Arial" w:hAnsi="Arial"/>
                <w:sz w:val="12"/>
                <w:szCs w:val="12"/>
                <w:color w:val="auto"/>
              </w:rPr>
              <w:t>7.87%</w:t>
            </w:r>
          </w:p>
        </w:tc>
        <w:tc>
          <w:tcPr>
            <w:tcW w:w="140" w:type="dxa"/>
            <w:vAlign w:val="bottom"/>
          </w:tcPr>
          <w:p>
            <w:pPr>
              <w:spacing w:after="0"/>
              <w:rPr>
                <w:sz w:val="12"/>
                <w:szCs w:val="12"/>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2"/>
                <w:szCs w:val="12"/>
                <w:color w:val="auto"/>
              </w:rPr>
              <w:t>1M L+575</w:t>
            </w:r>
          </w:p>
        </w:tc>
        <w:tc>
          <w:tcPr>
            <w:tcW w:w="680" w:type="dxa"/>
            <w:vAlign w:val="bottom"/>
          </w:tcPr>
          <w:p>
            <w:pPr>
              <w:jc w:val="right"/>
              <w:spacing w:after="0"/>
              <w:rPr>
                <w:sz w:val="20"/>
                <w:szCs w:val="20"/>
                <w:color w:val="auto"/>
              </w:rPr>
            </w:pPr>
            <w:r>
              <w:rPr>
                <w:rFonts w:ascii="Arial" w:cs="Arial" w:eastAsia="Arial" w:hAnsi="Arial"/>
                <w:sz w:val="12"/>
                <w:szCs w:val="12"/>
                <w:color w:val="auto"/>
              </w:rPr>
              <w:t>284,579</w:t>
            </w:r>
          </w:p>
        </w:tc>
        <w:tc>
          <w:tcPr>
            <w:tcW w:w="24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284,579</w:t>
            </w:r>
          </w:p>
        </w:tc>
        <w:tc>
          <w:tcPr>
            <w:tcW w:w="22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277,464</w:t>
            </w:r>
          </w:p>
        </w:tc>
        <w:tc>
          <w:tcPr>
            <w:tcW w:w="120" w:type="dxa"/>
            <w:vAlign w:val="bottom"/>
          </w:tcPr>
          <w:p>
            <w:pPr>
              <w:spacing w:after="0"/>
              <w:rPr>
                <w:sz w:val="12"/>
                <w:szCs w:val="12"/>
                <w:color w:val="auto"/>
              </w:rPr>
            </w:pPr>
          </w:p>
        </w:tc>
      </w:tr>
      <w:tr>
        <w:trPr>
          <w:trHeight w:val="148"/>
        </w:trPr>
        <w:tc>
          <w:tcPr>
            <w:tcW w:w="3360" w:type="dxa"/>
            <w:vAlign w:val="bottom"/>
            <w:shd w:val="clear" w:color="auto" w:fill="CCECFF"/>
          </w:tcPr>
          <w:p>
            <w:pPr>
              <w:spacing w:after="0" w:line="149" w:lineRule="exact"/>
              <w:rPr>
                <w:sz w:val="20"/>
                <w:szCs w:val="20"/>
                <w:color w:val="auto"/>
              </w:rPr>
            </w:pPr>
            <w:r>
              <w:rPr>
                <w:rFonts w:ascii="Arial" w:cs="Arial" w:eastAsia="Arial" w:hAnsi="Arial"/>
                <w:sz w:val="11"/>
                <w:szCs w:val="11"/>
                <w:color w:val="auto"/>
              </w:rPr>
              <w:t xml:space="preserve">Challenger Performance Optimization, Inc. (Revolver) </w:t>
            </w:r>
            <w:r>
              <w:rPr>
                <w:rFonts w:ascii="Arial" w:cs="Arial" w:eastAsia="Arial" w:hAnsi="Arial"/>
                <w:sz w:val="17"/>
                <w:szCs w:val="17"/>
                <w:color w:val="auto"/>
                <w:vertAlign w:val="superscript"/>
              </w:rPr>
              <w:t>(7), (9)</w:t>
            </w:r>
          </w:p>
        </w:tc>
        <w:tc>
          <w:tcPr>
            <w:tcW w:w="920" w:type="dxa"/>
            <w:vAlign w:val="bottom"/>
            <w:shd w:val="clear" w:color="auto" w:fill="CCECFF"/>
          </w:tcPr>
          <w:p>
            <w:pPr>
              <w:jc w:val="center"/>
              <w:ind w:right="2"/>
              <w:spacing w:after="0"/>
              <w:rPr>
                <w:sz w:val="20"/>
                <w:szCs w:val="20"/>
                <w:color w:val="auto"/>
              </w:rPr>
            </w:pPr>
            <w:r>
              <w:rPr>
                <w:rFonts w:ascii="Arial" w:cs="Arial" w:eastAsia="Arial" w:hAnsi="Arial"/>
                <w:sz w:val="12"/>
                <w:szCs w:val="12"/>
                <w:color w:val="auto"/>
                <w:w w:val="89"/>
              </w:rPr>
              <w:t>08/31/2023</w:t>
            </w:r>
          </w:p>
        </w:tc>
        <w:tc>
          <w:tcPr>
            <w:tcW w:w="2440" w:type="dxa"/>
            <w:vAlign w:val="bottom"/>
            <w:gridSpan w:val="2"/>
            <w:shd w:val="clear" w:color="auto" w:fill="CCECFF"/>
          </w:tcPr>
          <w:p>
            <w:pPr>
              <w:jc w:val="center"/>
              <w:ind w:right="200"/>
              <w:spacing w:after="0"/>
              <w:rPr>
                <w:sz w:val="20"/>
                <w:szCs w:val="20"/>
                <w:color w:val="auto"/>
              </w:rPr>
            </w:pPr>
            <w:r>
              <w:rPr>
                <w:rFonts w:ascii="Arial" w:cs="Arial" w:eastAsia="Arial" w:hAnsi="Arial"/>
                <w:sz w:val="12"/>
                <w:szCs w:val="12"/>
                <w:color w:val="auto"/>
                <w:w w:val="85"/>
              </w:rPr>
              <w:t>Business Services</w:t>
            </w:r>
          </w:p>
        </w:tc>
        <w:tc>
          <w:tcPr>
            <w:tcW w:w="780" w:type="dxa"/>
            <w:vAlign w:val="bottom"/>
            <w:gridSpan w:val="2"/>
            <w:shd w:val="clear" w:color="auto" w:fill="CCECFF"/>
          </w:tcPr>
          <w:p>
            <w:pPr>
              <w:jc w:val="right"/>
              <w:ind w:right="12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CFF"/>
          </w:tcPr>
          <w:p>
            <w:pPr>
              <w:spacing w:after="0"/>
              <w:rPr>
                <w:sz w:val="12"/>
                <w:szCs w:val="12"/>
                <w:color w:val="auto"/>
              </w:rPr>
            </w:pPr>
          </w:p>
        </w:tc>
        <w:tc>
          <w:tcPr>
            <w:tcW w:w="960" w:type="dxa"/>
            <w:vAlign w:val="bottom"/>
            <w:gridSpan w:val="2"/>
            <w:shd w:val="clear" w:color="auto" w:fill="CCECFF"/>
          </w:tcPr>
          <w:p>
            <w:pPr>
              <w:jc w:val="right"/>
              <w:ind w:right="280"/>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426,868</w:t>
            </w:r>
          </w:p>
        </w:tc>
        <w:tc>
          <w:tcPr>
            <w:tcW w:w="240" w:type="dxa"/>
            <w:vAlign w:val="bottom"/>
            <w:shd w:val="clear" w:color="auto" w:fill="CCECFF"/>
          </w:tcPr>
          <w:p>
            <w:pPr>
              <w:spacing w:after="0"/>
              <w:rPr>
                <w:sz w:val="12"/>
                <w:szCs w:val="12"/>
                <w:color w:val="auto"/>
              </w:rPr>
            </w:pP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820" w:type="dxa"/>
            <w:vAlign w:val="bottom"/>
            <w:gridSpan w:val="2"/>
            <w:shd w:val="clear" w:color="auto" w:fill="CCECFF"/>
          </w:tcPr>
          <w:p>
            <w:pPr>
              <w:jc w:val="right"/>
              <w:ind w:right="80"/>
              <w:spacing w:after="0"/>
              <w:rPr>
                <w:sz w:val="20"/>
                <w:szCs w:val="20"/>
                <w:color w:val="auto"/>
              </w:rPr>
            </w:pPr>
            <w:r>
              <w:rPr>
                <w:rFonts w:ascii="Arial" w:cs="Arial" w:eastAsia="Arial" w:hAnsi="Arial"/>
                <w:sz w:val="12"/>
                <w:szCs w:val="12"/>
                <w:color w:val="auto"/>
              </w:rPr>
              <w:t>(10,672)</w:t>
            </w:r>
          </w:p>
        </w:tc>
      </w:tr>
      <w:tr>
        <w:trPr>
          <w:trHeight w:val="148"/>
        </w:trPr>
        <w:tc>
          <w:tcPr>
            <w:tcW w:w="3360" w:type="dxa"/>
            <w:vAlign w:val="bottom"/>
          </w:tcPr>
          <w:p>
            <w:pPr>
              <w:spacing w:after="0"/>
              <w:rPr>
                <w:sz w:val="20"/>
                <w:szCs w:val="20"/>
                <w:color w:val="auto"/>
              </w:rPr>
            </w:pPr>
            <w:r>
              <w:rPr>
                <w:rFonts w:ascii="Arial" w:cs="Arial" w:eastAsia="Arial" w:hAnsi="Arial"/>
                <w:sz w:val="12"/>
                <w:szCs w:val="12"/>
                <w:color w:val="auto"/>
              </w:rPr>
              <w:t>Confluent Health, LLC</w:t>
            </w:r>
          </w:p>
        </w:tc>
        <w:tc>
          <w:tcPr>
            <w:tcW w:w="920" w:type="dxa"/>
            <w:vAlign w:val="bottom"/>
          </w:tcPr>
          <w:p>
            <w:pPr>
              <w:jc w:val="center"/>
              <w:ind w:right="2"/>
              <w:spacing w:after="0"/>
              <w:rPr>
                <w:sz w:val="20"/>
                <w:szCs w:val="20"/>
                <w:color w:val="auto"/>
              </w:rPr>
            </w:pPr>
            <w:r>
              <w:rPr>
                <w:rFonts w:ascii="Arial" w:cs="Arial" w:eastAsia="Arial" w:hAnsi="Arial"/>
                <w:sz w:val="12"/>
                <w:szCs w:val="12"/>
                <w:color w:val="auto"/>
                <w:w w:val="89"/>
              </w:rPr>
              <w:t>06/24/2026</w:t>
            </w:r>
          </w:p>
        </w:tc>
        <w:tc>
          <w:tcPr>
            <w:tcW w:w="2440" w:type="dxa"/>
            <w:vAlign w:val="bottom"/>
            <w:gridSpan w:val="2"/>
          </w:tcPr>
          <w:p>
            <w:pPr>
              <w:jc w:val="center"/>
              <w:ind w:right="180"/>
              <w:spacing w:after="0"/>
              <w:rPr>
                <w:sz w:val="20"/>
                <w:szCs w:val="20"/>
                <w:color w:val="auto"/>
              </w:rPr>
            </w:pPr>
            <w:r>
              <w:rPr>
                <w:rFonts w:ascii="Arial" w:cs="Arial" w:eastAsia="Arial" w:hAnsi="Arial"/>
                <w:sz w:val="12"/>
                <w:szCs w:val="12"/>
                <w:color w:val="auto"/>
                <w:w w:val="87"/>
              </w:rPr>
              <w:t>Health Providers and Services</w:t>
            </w:r>
          </w:p>
        </w:tc>
        <w:tc>
          <w:tcPr>
            <w:tcW w:w="780" w:type="dxa"/>
            <w:vAlign w:val="bottom"/>
            <w:gridSpan w:val="2"/>
          </w:tcPr>
          <w:p>
            <w:pPr>
              <w:jc w:val="right"/>
              <w:ind w:right="20"/>
              <w:spacing w:after="0"/>
              <w:rPr>
                <w:sz w:val="20"/>
                <w:szCs w:val="20"/>
                <w:color w:val="auto"/>
              </w:rPr>
            </w:pPr>
            <w:r>
              <w:rPr>
                <w:rFonts w:ascii="Arial" w:cs="Arial" w:eastAsia="Arial" w:hAnsi="Arial"/>
                <w:sz w:val="12"/>
                <w:szCs w:val="12"/>
                <w:color w:val="auto"/>
              </w:rPr>
              <w:t>7.40%</w:t>
            </w:r>
          </w:p>
        </w:tc>
        <w:tc>
          <w:tcPr>
            <w:tcW w:w="140" w:type="dxa"/>
            <w:vAlign w:val="bottom"/>
          </w:tcPr>
          <w:p>
            <w:pPr>
              <w:spacing w:after="0"/>
              <w:rPr>
                <w:sz w:val="12"/>
                <w:szCs w:val="12"/>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2"/>
                <w:szCs w:val="12"/>
                <w:color w:val="auto"/>
              </w:rPr>
              <w:t>1M L+500</w:t>
            </w:r>
          </w:p>
        </w:tc>
        <w:tc>
          <w:tcPr>
            <w:tcW w:w="680" w:type="dxa"/>
            <w:vAlign w:val="bottom"/>
          </w:tcPr>
          <w:p>
            <w:pPr>
              <w:jc w:val="right"/>
              <w:spacing w:after="0"/>
              <w:rPr>
                <w:sz w:val="20"/>
                <w:szCs w:val="20"/>
                <w:color w:val="auto"/>
              </w:rPr>
            </w:pPr>
            <w:r>
              <w:rPr>
                <w:rFonts w:ascii="Arial" w:cs="Arial" w:eastAsia="Arial" w:hAnsi="Arial"/>
                <w:sz w:val="12"/>
                <w:szCs w:val="12"/>
                <w:color w:val="auto"/>
              </w:rPr>
              <w:t>4,000,000</w:t>
            </w:r>
          </w:p>
        </w:tc>
        <w:tc>
          <w:tcPr>
            <w:tcW w:w="24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3,960,046</w:t>
            </w:r>
          </w:p>
        </w:tc>
        <w:tc>
          <w:tcPr>
            <w:tcW w:w="22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3,940,000</w:t>
            </w:r>
          </w:p>
        </w:tc>
        <w:tc>
          <w:tcPr>
            <w:tcW w:w="120" w:type="dxa"/>
            <w:vAlign w:val="bottom"/>
          </w:tcPr>
          <w:p>
            <w:pPr>
              <w:spacing w:after="0"/>
              <w:rPr>
                <w:sz w:val="12"/>
                <w:szCs w:val="12"/>
                <w:color w:val="auto"/>
              </w:rPr>
            </w:pPr>
          </w:p>
        </w:tc>
      </w:tr>
      <w:tr>
        <w:trPr>
          <w:trHeight w:val="148"/>
        </w:trPr>
        <w:tc>
          <w:tcPr>
            <w:tcW w:w="3360" w:type="dxa"/>
            <w:vAlign w:val="bottom"/>
            <w:shd w:val="clear" w:color="auto" w:fill="CCECFF"/>
          </w:tcPr>
          <w:p>
            <w:pPr>
              <w:spacing w:after="0"/>
              <w:rPr>
                <w:sz w:val="20"/>
                <w:szCs w:val="20"/>
                <w:color w:val="auto"/>
              </w:rPr>
            </w:pPr>
            <w:r>
              <w:rPr>
                <w:rFonts w:ascii="Arial" w:cs="Arial" w:eastAsia="Arial" w:hAnsi="Arial"/>
                <w:sz w:val="12"/>
                <w:szCs w:val="12"/>
                <w:color w:val="auto"/>
              </w:rPr>
              <w:t>Deva Holdings, Inc.</w:t>
            </w:r>
          </w:p>
        </w:tc>
        <w:tc>
          <w:tcPr>
            <w:tcW w:w="920" w:type="dxa"/>
            <w:vAlign w:val="bottom"/>
            <w:shd w:val="clear" w:color="auto" w:fill="CCECFF"/>
          </w:tcPr>
          <w:p>
            <w:pPr>
              <w:jc w:val="center"/>
              <w:ind w:right="2"/>
              <w:spacing w:after="0"/>
              <w:rPr>
                <w:sz w:val="20"/>
                <w:szCs w:val="20"/>
                <w:color w:val="auto"/>
              </w:rPr>
            </w:pPr>
            <w:r>
              <w:rPr>
                <w:rFonts w:ascii="Arial" w:cs="Arial" w:eastAsia="Arial" w:hAnsi="Arial"/>
                <w:sz w:val="12"/>
                <w:szCs w:val="12"/>
                <w:color w:val="auto"/>
                <w:w w:val="89"/>
              </w:rPr>
              <w:t>10/31/2023</w:t>
            </w:r>
          </w:p>
        </w:tc>
        <w:tc>
          <w:tcPr>
            <w:tcW w:w="2440" w:type="dxa"/>
            <w:vAlign w:val="bottom"/>
            <w:gridSpan w:val="2"/>
            <w:shd w:val="clear" w:color="auto" w:fill="CCECFF"/>
          </w:tcPr>
          <w:p>
            <w:pPr>
              <w:jc w:val="center"/>
              <w:ind w:right="180"/>
              <w:spacing w:after="0"/>
              <w:rPr>
                <w:sz w:val="20"/>
                <w:szCs w:val="20"/>
                <w:color w:val="auto"/>
              </w:rPr>
            </w:pPr>
            <w:r>
              <w:rPr>
                <w:rFonts w:ascii="Arial" w:cs="Arial" w:eastAsia="Arial" w:hAnsi="Arial"/>
                <w:sz w:val="12"/>
                <w:szCs w:val="12"/>
                <w:color w:val="auto"/>
                <w:w w:val="88"/>
              </w:rPr>
              <w:t>Consumer Goods: Non-Durable</w:t>
            </w:r>
          </w:p>
        </w:tc>
        <w:tc>
          <w:tcPr>
            <w:tcW w:w="780" w:type="dxa"/>
            <w:vAlign w:val="bottom"/>
            <w:gridSpan w:val="2"/>
            <w:shd w:val="clear" w:color="auto" w:fill="CCECFF"/>
          </w:tcPr>
          <w:p>
            <w:pPr>
              <w:jc w:val="right"/>
              <w:ind w:right="20"/>
              <w:spacing w:after="0"/>
              <w:rPr>
                <w:sz w:val="20"/>
                <w:szCs w:val="20"/>
                <w:color w:val="auto"/>
              </w:rPr>
            </w:pPr>
            <w:r>
              <w:rPr>
                <w:rFonts w:ascii="Arial" w:cs="Arial" w:eastAsia="Arial" w:hAnsi="Arial"/>
                <w:sz w:val="12"/>
                <w:szCs w:val="12"/>
                <w:color w:val="auto"/>
              </w:rPr>
              <w:t>7.60%</w:t>
            </w:r>
          </w:p>
        </w:tc>
        <w:tc>
          <w:tcPr>
            <w:tcW w:w="140" w:type="dxa"/>
            <w:vAlign w:val="bottom"/>
            <w:shd w:val="clear" w:color="auto" w:fill="CCECFF"/>
          </w:tcPr>
          <w:p>
            <w:pPr>
              <w:spacing w:after="0"/>
              <w:rPr>
                <w:sz w:val="12"/>
                <w:szCs w:val="12"/>
                <w:color w:val="auto"/>
              </w:rPr>
            </w:pPr>
          </w:p>
        </w:tc>
        <w:tc>
          <w:tcPr>
            <w:tcW w:w="960" w:type="dxa"/>
            <w:vAlign w:val="bottom"/>
            <w:gridSpan w:val="2"/>
            <w:shd w:val="clear" w:color="auto" w:fill="CCECFF"/>
          </w:tcPr>
          <w:p>
            <w:pPr>
              <w:jc w:val="right"/>
              <w:ind w:right="280"/>
              <w:spacing w:after="0"/>
              <w:rPr>
                <w:sz w:val="20"/>
                <w:szCs w:val="20"/>
                <w:color w:val="auto"/>
              </w:rPr>
            </w:pPr>
            <w:r>
              <w:rPr>
                <w:rFonts w:ascii="Arial" w:cs="Arial" w:eastAsia="Arial" w:hAnsi="Arial"/>
                <w:sz w:val="12"/>
                <w:szCs w:val="12"/>
                <w:color w:val="auto"/>
              </w:rPr>
              <w:t>3M L+550</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944,900</w:t>
            </w:r>
          </w:p>
        </w:tc>
        <w:tc>
          <w:tcPr>
            <w:tcW w:w="24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931,008</w:t>
            </w:r>
          </w:p>
        </w:tc>
        <w:tc>
          <w:tcPr>
            <w:tcW w:w="220" w:type="dxa"/>
            <w:vAlign w:val="bottom"/>
            <w:shd w:val="clear" w:color="auto" w:fill="CCECFF"/>
          </w:tcPr>
          <w:p>
            <w:pPr>
              <w:spacing w:after="0"/>
              <w:rPr>
                <w:sz w:val="12"/>
                <w:szCs w:val="12"/>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944,900</w:t>
            </w:r>
          </w:p>
        </w:tc>
        <w:tc>
          <w:tcPr>
            <w:tcW w:w="120" w:type="dxa"/>
            <w:vAlign w:val="bottom"/>
            <w:shd w:val="clear" w:color="auto" w:fill="CCECFF"/>
          </w:tcPr>
          <w:p>
            <w:pPr>
              <w:spacing w:after="0"/>
              <w:rPr>
                <w:sz w:val="12"/>
                <w:szCs w:val="12"/>
                <w:color w:val="auto"/>
              </w:rPr>
            </w:pPr>
          </w:p>
        </w:tc>
      </w:tr>
      <w:tr>
        <w:trPr>
          <w:trHeight w:val="149"/>
        </w:trPr>
        <w:tc>
          <w:tcPr>
            <w:tcW w:w="3360" w:type="dxa"/>
            <w:vAlign w:val="bottom"/>
          </w:tcPr>
          <w:p>
            <w:pPr>
              <w:spacing w:after="0" w:line="149" w:lineRule="exact"/>
              <w:rPr>
                <w:sz w:val="20"/>
                <w:szCs w:val="20"/>
                <w:color w:val="auto"/>
              </w:rPr>
            </w:pPr>
            <w:r>
              <w:rPr>
                <w:rFonts w:ascii="Arial" w:cs="Arial" w:eastAsia="Arial" w:hAnsi="Arial"/>
                <w:sz w:val="11"/>
                <w:szCs w:val="11"/>
                <w:color w:val="auto"/>
              </w:rPr>
              <w:t xml:space="preserve">Deva Holdings, Inc. (Revolver) </w:t>
            </w:r>
            <w:r>
              <w:rPr>
                <w:rFonts w:ascii="Arial" w:cs="Arial" w:eastAsia="Arial" w:hAnsi="Arial"/>
                <w:sz w:val="17"/>
                <w:szCs w:val="17"/>
                <w:color w:val="auto"/>
                <w:vertAlign w:val="superscript"/>
              </w:rPr>
              <w:t>(7), (9)</w:t>
            </w:r>
          </w:p>
        </w:tc>
        <w:tc>
          <w:tcPr>
            <w:tcW w:w="920" w:type="dxa"/>
            <w:vAlign w:val="bottom"/>
          </w:tcPr>
          <w:p>
            <w:pPr>
              <w:jc w:val="center"/>
              <w:ind w:right="2"/>
              <w:spacing w:after="0"/>
              <w:rPr>
                <w:sz w:val="20"/>
                <w:szCs w:val="20"/>
                <w:color w:val="auto"/>
              </w:rPr>
            </w:pPr>
            <w:r>
              <w:rPr>
                <w:rFonts w:ascii="Arial" w:cs="Arial" w:eastAsia="Arial" w:hAnsi="Arial"/>
                <w:sz w:val="12"/>
                <w:szCs w:val="12"/>
                <w:color w:val="auto"/>
                <w:w w:val="89"/>
              </w:rPr>
              <w:t>10/31/2022</w:t>
            </w:r>
          </w:p>
        </w:tc>
        <w:tc>
          <w:tcPr>
            <w:tcW w:w="2440" w:type="dxa"/>
            <w:vAlign w:val="bottom"/>
            <w:gridSpan w:val="2"/>
          </w:tcPr>
          <w:p>
            <w:pPr>
              <w:jc w:val="center"/>
              <w:ind w:right="180"/>
              <w:spacing w:after="0"/>
              <w:rPr>
                <w:sz w:val="20"/>
                <w:szCs w:val="20"/>
                <w:color w:val="auto"/>
              </w:rPr>
            </w:pPr>
            <w:r>
              <w:rPr>
                <w:rFonts w:ascii="Arial" w:cs="Arial" w:eastAsia="Arial" w:hAnsi="Arial"/>
                <w:sz w:val="12"/>
                <w:szCs w:val="12"/>
                <w:color w:val="auto"/>
                <w:w w:val="88"/>
              </w:rPr>
              <w:t>Consumer Goods: Non-Durable</w:t>
            </w:r>
          </w:p>
        </w:tc>
        <w:tc>
          <w:tcPr>
            <w:tcW w:w="78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2,115,000</w:t>
            </w:r>
          </w:p>
        </w:tc>
        <w:tc>
          <w:tcPr>
            <w:tcW w:w="240" w:type="dxa"/>
            <w:vAlign w:val="bottom"/>
          </w:tcPr>
          <w:p>
            <w:pPr>
              <w:spacing w:after="0"/>
              <w:rPr>
                <w:sz w:val="12"/>
                <w:szCs w:val="12"/>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8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r>
      <w:tr>
        <w:trPr>
          <w:trHeight w:val="148"/>
        </w:trPr>
        <w:tc>
          <w:tcPr>
            <w:tcW w:w="3360" w:type="dxa"/>
            <w:vAlign w:val="bottom"/>
            <w:shd w:val="clear" w:color="auto" w:fill="CCECFF"/>
          </w:tcPr>
          <w:p>
            <w:pPr>
              <w:spacing w:after="0" w:line="149" w:lineRule="exact"/>
              <w:rPr>
                <w:sz w:val="20"/>
                <w:szCs w:val="20"/>
                <w:color w:val="auto"/>
              </w:rPr>
            </w:pPr>
            <w:r>
              <w:rPr>
                <w:rFonts w:ascii="Arial" w:cs="Arial" w:eastAsia="Arial" w:hAnsi="Arial"/>
                <w:sz w:val="11"/>
                <w:szCs w:val="11"/>
                <w:color w:val="auto"/>
              </w:rPr>
              <w:t xml:space="preserve">Digital Room Holdings, Inc. </w:t>
            </w:r>
            <w:r>
              <w:rPr>
                <w:rFonts w:ascii="Arial" w:cs="Arial" w:eastAsia="Arial" w:hAnsi="Arial"/>
                <w:sz w:val="17"/>
                <w:szCs w:val="17"/>
                <w:color w:val="auto"/>
                <w:vertAlign w:val="superscript"/>
              </w:rPr>
              <w:t>(7)</w:t>
            </w:r>
          </w:p>
        </w:tc>
        <w:tc>
          <w:tcPr>
            <w:tcW w:w="920" w:type="dxa"/>
            <w:vAlign w:val="bottom"/>
            <w:shd w:val="clear" w:color="auto" w:fill="CCECFF"/>
          </w:tcPr>
          <w:p>
            <w:pPr>
              <w:jc w:val="center"/>
              <w:ind w:right="2"/>
              <w:spacing w:after="0"/>
              <w:rPr>
                <w:sz w:val="20"/>
                <w:szCs w:val="20"/>
                <w:color w:val="auto"/>
              </w:rPr>
            </w:pPr>
            <w:r>
              <w:rPr>
                <w:rFonts w:ascii="Arial" w:cs="Arial" w:eastAsia="Arial" w:hAnsi="Arial"/>
                <w:sz w:val="12"/>
                <w:szCs w:val="12"/>
                <w:color w:val="auto"/>
                <w:w w:val="89"/>
              </w:rPr>
              <w:t>05/22/2026</w:t>
            </w:r>
          </w:p>
        </w:tc>
        <w:tc>
          <w:tcPr>
            <w:tcW w:w="2440" w:type="dxa"/>
            <w:vAlign w:val="bottom"/>
            <w:gridSpan w:val="2"/>
            <w:shd w:val="clear" w:color="auto" w:fill="CCECFF"/>
          </w:tcPr>
          <w:p>
            <w:pPr>
              <w:jc w:val="center"/>
              <w:ind w:right="180"/>
              <w:spacing w:after="0"/>
              <w:rPr>
                <w:sz w:val="20"/>
                <w:szCs w:val="20"/>
                <w:color w:val="auto"/>
              </w:rPr>
            </w:pPr>
            <w:r>
              <w:rPr>
                <w:rFonts w:ascii="Arial" w:cs="Arial" w:eastAsia="Arial" w:hAnsi="Arial"/>
                <w:sz w:val="12"/>
                <w:szCs w:val="12"/>
                <w:color w:val="auto"/>
                <w:w w:val="90"/>
              </w:rPr>
              <w:t>Media: Advertising, Printing and Publishing</w:t>
            </w:r>
          </w:p>
        </w:tc>
        <w:tc>
          <w:tcPr>
            <w:tcW w:w="780" w:type="dxa"/>
            <w:vAlign w:val="bottom"/>
            <w:gridSpan w:val="2"/>
            <w:shd w:val="clear" w:color="auto" w:fill="CCECFF"/>
          </w:tcPr>
          <w:p>
            <w:pPr>
              <w:jc w:val="right"/>
              <w:ind w:right="20"/>
              <w:spacing w:after="0"/>
              <w:rPr>
                <w:sz w:val="20"/>
                <w:szCs w:val="20"/>
                <w:color w:val="auto"/>
              </w:rPr>
            </w:pPr>
            <w:r>
              <w:rPr>
                <w:rFonts w:ascii="Arial" w:cs="Arial" w:eastAsia="Arial" w:hAnsi="Arial"/>
                <w:sz w:val="12"/>
                <w:szCs w:val="12"/>
                <w:color w:val="auto"/>
              </w:rPr>
              <w:t>7.09%</w:t>
            </w:r>
          </w:p>
        </w:tc>
        <w:tc>
          <w:tcPr>
            <w:tcW w:w="140" w:type="dxa"/>
            <w:vAlign w:val="bottom"/>
            <w:shd w:val="clear" w:color="auto" w:fill="CCECFF"/>
          </w:tcPr>
          <w:p>
            <w:pPr>
              <w:spacing w:after="0"/>
              <w:rPr>
                <w:sz w:val="12"/>
                <w:szCs w:val="12"/>
                <w:color w:val="auto"/>
              </w:rPr>
            </w:pPr>
          </w:p>
        </w:tc>
        <w:tc>
          <w:tcPr>
            <w:tcW w:w="960" w:type="dxa"/>
            <w:vAlign w:val="bottom"/>
            <w:gridSpan w:val="2"/>
            <w:shd w:val="clear" w:color="auto" w:fill="CCECFF"/>
          </w:tcPr>
          <w:p>
            <w:pPr>
              <w:jc w:val="right"/>
              <w:ind w:right="280"/>
              <w:spacing w:after="0"/>
              <w:rPr>
                <w:sz w:val="20"/>
                <w:szCs w:val="20"/>
                <w:color w:val="auto"/>
              </w:rPr>
            </w:pPr>
            <w:r>
              <w:rPr>
                <w:rFonts w:ascii="Arial" w:cs="Arial" w:eastAsia="Arial" w:hAnsi="Arial"/>
                <w:sz w:val="12"/>
                <w:szCs w:val="12"/>
                <w:color w:val="auto"/>
              </w:rPr>
              <w:t>1M L+500</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9,975,000</w:t>
            </w:r>
          </w:p>
        </w:tc>
        <w:tc>
          <w:tcPr>
            <w:tcW w:w="24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9,827,383</w:t>
            </w:r>
          </w:p>
        </w:tc>
        <w:tc>
          <w:tcPr>
            <w:tcW w:w="220" w:type="dxa"/>
            <w:vAlign w:val="bottom"/>
            <w:shd w:val="clear" w:color="auto" w:fill="CCECFF"/>
          </w:tcPr>
          <w:p>
            <w:pPr>
              <w:spacing w:after="0"/>
              <w:rPr>
                <w:sz w:val="12"/>
                <w:szCs w:val="12"/>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9,495,003</w:t>
            </w:r>
          </w:p>
        </w:tc>
        <w:tc>
          <w:tcPr>
            <w:tcW w:w="120" w:type="dxa"/>
            <w:vAlign w:val="bottom"/>
            <w:shd w:val="clear" w:color="auto" w:fill="CCECFF"/>
          </w:tcPr>
          <w:p>
            <w:pPr>
              <w:spacing w:after="0"/>
              <w:rPr>
                <w:sz w:val="12"/>
                <w:szCs w:val="12"/>
                <w:color w:val="auto"/>
              </w:rPr>
            </w:pPr>
          </w:p>
        </w:tc>
      </w:tr>
      <w:tr>
        <w:trPr>
          <w:trHeight w:val="148"/>
        </w:trPr>
        <w:tc>
          <w:tcPr>
            <w:tcW w:w="3360" w:type="dxa"/>
            <w:vAlign w:val="bottom"/>
          </w:tcPr>
          <w:p>
            <w:pPr>
              <w:spacing w:after="0"/>
              <w:rPr>
                <w:sz w:val="20"/>
                <w:szCs w:val="20"/>
                <w:color w:val="auto"/>
              </w:rPr>
            </w:pPr>
            <w:r>
              <w:rPr>
                <w:rFonts w:ascii="Arial" w:cs="Arial" w:eastAsia="Arial" w:hAnsi="Arial"/>
                <w:sz w:val="12"/>
                <w:szCs w:val="12"/>
                <w:color w:val="auto"/>
              </w:rPr>
              <w:t>Douglas Products and Packaging Company LLC</w:t>
            </w:r>
          </w:p>
        </w:tc>
        <w:tc>
          <w:tcPr>
            <w:tcW w:w="920" w:type="dxa"/>
            <w:vAlign w:val="bottom"/>
          </w:tcPr>
          <w:p>
            <w:pPr>
              <w:jc w:val="center"/>
              <w:ind w:right="2"/>
              <w:spacing w:after="0"/>
              <w:rPr>
                <w:sz w:val="20"/>
                <w:szCs w:val="20"/>
                <w:color w:val="auto"/>
              </w:rPr>
            </w:pPr>
            <w:r>
              <w:rPr>
                <w:rFonts w:ascii="Arial" w:cs="Arial" w:eastAsia="Arial" w:hAnsi="Arial"/>
                <w:sz w:val="12"/>
                <w:szCs w:val="12"/>
                <w:color w:val="auto"/>
                <w:w w:val="89"/>
              </w:rPr>
              <w:t>10/19/2022</w:t>
            </w:r>
          </w:p>
        </w:tc>
        <w:tc>
          <w:tcPr>
            <w:tcW w:w="2440" w:type="dxa"/>
            <w:vAlign w:val="bottom"/>
            <w:gridSpan w:val="2"/>
          </w:tcPr>
          <w:p>
            <w:pPr>
              <w:jc w:val="center"/>
              <w:ind w:right="200"/>
              <w:spacing w:after="0"/>
              <w:rPr>
                <w:sz w:val="20"/>
                <w:szCs w:val="20"/>
                <w:color w:val="auto"/>
              </w:rPr>
            </w:pPr>
            <w:r>
              <w:rPr>
                <w:rFonts w:ascii="Arial" w:cs="Arial" w:eastAsia="Arial" w:hAnsi="Arial"/>
                <w:sz w:val="12"/>
                <w:szCs w:val="12"/>
                <w:color w:val="auto"/>
                <w:w w:val="87"/>
              </w:rPr>
              <w:t>Chemicals, Plastics and Rubber</w:t>
            </w:r>
          </w:p>
        </w:tc>
        <w:tc>
          <w:tcPr>
            <w:tcW w:w="780" w:type="dxa"/>
            <w:vAlign w:val="bottom"/>
            <w:gridSpan w:val="2"/>
          </w:tcPr>
          <w:p>
            <w:pPr>
              <w:jc w:val="right"/>
              <w:ind w:right="20"/>
              <w:spacing w:after="0"/>
              <w:rPr>
                <w:sz w:val="20"/>
                <w:szCs w:val="20"/>
                <w:color w:val="auto"/>
              </w:rPr>
            </w:pPr>
            <w:r>
              <w:rPr>
                <w:rFonts w:ascii="Arial" w:cs="Arial" w:eastAsia="Arial" w:hAnsi="Arial"/>
                <w:sz w:val="12"/>
                <w:szCs w:val="12"/>
                <w:color w:val="auto"/>
              </w:rPr>
              <w:t>8.08%</w:t>
            </w:r>
          </w:p>
        </w:tc>
        <w:tc>
          <w:tcPr>
            <w:tcW w:w="140" w:type="dxa"/>
            <w:vAlign w:val="bottom"/>
          </w:tcPr>
          <w:p>
            <w:pPr>
              <w:spacing w:after="0"/>
              <w:rPr>
                <w:sz w:val="12"/>
                <w:szCs w:val="12"/>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2"/>
                <w:szCs w:val="12"/>
                <w:color w:val="auto"/>
              </w:rPr>
              <w:t>3M L+575</w:t>
            </w:r>
          </w:p>
        </w:tc>
        <w:tc>
          <w:tcPr>
            <w:tcW w:w="680" w:type="dxa"/>
            <w:vAlign w:val="bottom"/>
          </w:tcPr>
          <w:p>
            <w:pPr>
              <w:jc w:val="right"/>
              <w:spacing w:after="0"/>
              <w:rPr>
                <w:sz w:val="20"/>
                <w:szCs w:val="20"/>
                <w:color w:val="auto"/>
              </w:rPr>
            </w:pPr>
            <w:r>
              <w:rPr>
                <w:rFonts w:ascii="Arial" w:cs="Arial" w:eastAsia="Arial" w:hAnsi="Arial"/>
                <w:sz w:val="12"/>
                <w:szCs w:val="12"/>
                <w:color w:val="auto"/>
              </w:rPr>
              <w:t>14,340,441</w:t>
            </w:r>
          </w:p>
        </w:tc>
        <w:tc>
          <w:tcPr>
            <w:tcW w:w="24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14,159,516</w:t>
            </w:r>
          </w:p>
        </w:tc>
        <w:tc>
          <w:tcPr>
            <w:tcW w:w="22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14,197,037</w:t>
            </w:r>
          </w:p>
        </w:tc>
        <w:tc>
          <w:tcPr>
            <w:tcW w:w="120" w:type="dxa"/>
            <w:vAlign w:val="bottom"/>
          </w:tcPr>
          <w:p>
            <w:pPr>
              <w:spacing w:after="0"/>
              <w:rPr>
                <w:sz w:val="12"/>
                <w:szCs w:val="12"/>
                <w:color w:val="auto"/>
              </w:rPr>
            </w:pPr>
          </w:p>
        </w:tc>
      </w:tr>
      <w:tr>
        <w:trPr>
          <w:trHeight w:val="148"/>
        </w:trPr>
        <w:tc>
          <w:tcPr>
            <w:tcW w:w="3360" w:type="dxa"/>
            <w:vAlign w:val="bottom"/>
            <w:shd w:val="clear" w:color="auto" w:fill="CCECFF"/>
          </w:tcPr>
          <w:p>
            <w:pPr>
              <w:spacing w:after="0"/>
              <w:rPr>
                <w:sz w:val="20"/>
                <w:szCs w:val="20"/>
                <w:color w:val="auto"/>
              </w:rPr>
            </w:pPr>
            <w:r>
              <w:rPr>
                <w:rFonts w:ascii="Arial" w:cs="Arial" w:eastAsia="Arial" w:hAnsi="Arial"/>
                <w:sz w:val="12"/>
                <w:szCs w:val="12"/>
                <w:color w:val="auto"/>
              </w:rPr>
              <w:t>Douglas Products and Packaging Company LLC</w:t>
            </w:r>
          </w:p>
        </w:tc>
        <w:tc>
          <w:tcPr>
            <w:tcW w:w="920" w:type="dxa"/>
            <w:vAlign w:val="bottom"/>
            <w:shd w:val="clear" w:color="auto" w:fill="CCECFF"/>
          </w:tcPr>
          <w:p>
            <w:pPr>
              <w:jc w:val="center"/>
              <w:ind w:right="2"/>
              <w:spacing w:after="0"/>
              <w:rPr>
                <w:sz w:val="20"/>
                <w:szCs w:val="20"/>
                <w:color w:val="auto"/>
              </w:rPr>
            </w:pPr>
            <w:r>
              <w:rPr>
                <w:rFonts w:ascii="Arial" w:cs="Arial" w:eastAsia="Arial" w:hAnsi="Arial"/>
                <w:sz w:val="12"/>
                <w:szCs w:val="12"/>
                <w:color w:val="auto"/>
                <w:w w:val="89"/>
              </w:rPr>
              <w:t>10/19/2022</w:t>
            </w:r>
          </w:p>
        </w:tc>
        <w:tc>
          <w:tcPr>
            <w:tcW w:w="2440" w:type="dxa"/>
            <w:vAlign w:val="bottom"/>
            <w:gridSpan w:val="2"/>
            <w:shd w:val="clear" w:color="auto" w:fill="CCECFF"/>
          </w:tcPr>
          <w:p>
            <w:pPr>
              <w:jc w:val="center"/>
              <w:ind w:right="200"/>
              <w:spacing w:after="0"/>
              <w:rPr>
                <w:sz w:val="20"/>
                <w:szCs w:val="20"/>
                <w:color w:val="auto"/>
              </w:rPr>
            </w:pPr>
            <w:r>
              <w:rPr>
                <w:rFonts w:ascii="Arial" w:cs="Arial" w:eastAsia="Arial" w:hAnsi="Arial"/>
                <w:sz w:val="12"/>
                <w:szCs w:val="12"/>
                <w:color w:val="auto"/>
                <w:w w:val="87"/>
              </w:rPr>
              <w:t>Chemicals, Plastics and Rubber</w:t>
            </w:r>
          </w:p>
        </w:tc>
        <w:tc>
          <w:tcPr>
            <w:tcW w:w="780" w:type="dxa"/>
            <w:vAlign w:val="bottom"/>
            <w:gridSpan w:val="2"/>
            <w:shd w:val="clear" w:color="auto" w:fill="CCECFF"/>
          </w:tcPr>
          <w:p>
            <w:pPr>
              <w:jc w:val="right"/>
              <w:ind w:right="20"/>
              <w:spacing w:after="0"/>
              <w:rPr>
                <w:sz w:val="20"/>
                <w:szCs w:val="20"/>
                <w:color w:val="auto"/>
              </w:rPr>
            </w:pPr>
            <w:r>
              <w:rPr>
                <w:rFonts w:ascii="Arial" w:cs="Arial" w:eastAsia="Arial" w:hAnsi="Arial"/>
                <w:sz w:val="12"/>
                <w:szCs w:val="12"/>
                <w:color w:val="auto"/>
              </w:rPr>
              <w:t>9.75%</w:t>
            </w:r>
          </w:p>
        </w:tc>
        <w:tc>
          <w:tcPr>
            <w:tcW w:w="140" w:type="dxa"/>
            <w:vAlign w:val="bottom"/>
            <w:shd w:val="clear" w:color="auto" w:fill="CCECFF"/>
          </w:tcPr>
          <w:p>
            <w:pPr>
              <w:spacing w:after="0"/>
              <w:rPr>
                <w:sz w:val="12"/>
                <w:szCs w:val="12"/>
                <w:color w:val="auto"/>
              </w:rPr>
            </w:pPr>
          </w:p>
        </w:tc>
        <w:tc>
          <w:tcPr>
            <w:tcW w:w="960" w:type="dxa"/>
            <w:vAlign w:val="bottom"/>
            <w:gridSpan w:val="2"/>
            <w:shd w:val="clear" w:color="auto" w:fill="CCECFF"/>
          </w:tcPr>
          <w:p>
            <w:pPr>
              <w:jc w:val="right"/>
              <w:ind w:right="280"/>
              <w:spacing w:after="0"/>
              <w:rPr>
                <w:sz w:val="20"/>
                <w:szCs w:val="20"/>
                <w:color w:val="auto"/>
              </w:rPr>
            </w:pPr>
            <w:r>
              <w:rPr>
                <w:rFonts w:ascii="Arial" w:cs="Arial" w:eastAsia="Arial" w:hAnsi="Arial"/>
                <w:sz w:val="12"/>
                <w:szCs w:val="12"/>
                <w:color w:val="auto"/>
              </w:rPr>
              <w:t>P+475</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439,118</w:t>
            </w:r>
          </w:p>
        </w:tc>
        <w:tc>
          <w:tcPr>
            <w:tcW w:w="24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439,118</w:t>
            </w:r>
          </w:p>
        </w:tc>
        <w:tc>
          <w:tcPr>
            <w:tcW w:w="220" w:type="dxa"/>
            <w:vAlign w:val="bottom"/>
            <w:shd w:val="clear" w:color="auto" w:fill="CCECFF"/>
          </w:tcPr>
          <w:p>
            <w:pPr>
              <w:spacing w:after="0"/>
              <w:rPr>
                <w:sz w:val="12"/>
                <w:szCs w:val="12"/>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434,726</w:t>
            </w:r>
          </w:p>
        </w:tc>
        <w:tc>
          <w:tcPr>
            <w:tcW w:w="120" w:type="dxa"/>
            <w:vAlign w:val="bottom"/>
            <w:shd w:val="clear" w:color="auto" w:fill="CCECFF"/>
          </w:tcPr>
          <w:p>
            <w:pPr>
              <w:spacing w:after="0"/>
              <w:rPr>
                <w:sz w:val="12"/>
                <w:szCs w:val="12"/>
                <w:color w:val="auto"/>
              </w:rPr>
            </w:pPr>
          </w:p>
        </w:tc>
      </w:tr>
      <w:tr>
        <w:trPr>
          <w:trHeight w:val="148"/>
        </w:trPr>
        <w:tc>
          <w:tcPr>
            <w:tcW w:w="3360" w:type="dxa"/>
            <w:vAlign w:val="bottom"/>
            <w:shd w:val="clear" w:color="auto" w:fill="CCECFF"/>
          </w:tcPr>
          <w:p>
            <w:pPr>
              <w:ind w:left="140"/>
              <w:spacing w:after="0" w:line="149" w:lineRule="exact"/>
              <w:rPr>
                <w:sz w:val="20"/>
                <w:szCs w:val="20"/>
                <w:color w:val="auto"/>
              </w:rPr>
            </w:pPr>
            <w:r>
              <w:rPr>
                <w:rFonts w:ascii="Arial" w:cs="Arial" w:eastAsia="Arial" w:hAnsi="Arial"/>
                <w:sz w:val="11"/>
                <w:szCs w:val="11"/>
                <w:color w:val="auto"/>
              </w:rPr>
              <w:t xml:space="preserve">(Revolver) </w:t>
            </w:r>
            <w:r>
              <w:rPr>
                <w:rFonts w:ascii="Arial" w:cs="Arial" w:eastAsia="Arial" w:hAnsi="Arial"/>
                <w:sz w:val="17"/>
                <w:szCs w:val="17"/>
                <w:color w:val="auto"/>
                <w:vertAlign w:val="superscript"/>
              </w:rPr>
              <w:t>(7), (9)</w:t>
            </w:r>
          </w:p>
        </w:tc>
        <w:tc>
          <w:tcPr>
            <w:tcW w:w="920" w:type="dxa"/>
            <w:vAlign w:val="bottom"/>
            <w:shd w:val="clear" w:color="auto" w:fill="CCECFF"/>
          </w:tcPr>
          <w:p>
            <w:pPr>
              <w:spacing w:after="0"/>
              <w:rPr>
                <w:sz w:val="12"/>
                <w:szCs w:val="12"/>
                <w:color w:val="auto"/>
              </w:rPr>
            </w:pPr>
          </w:p>
        </w:tc>
        <w:tc>
          <w:tcPr>
            <w:tcW w:w="232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8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70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r>
      <w:tr>
        <w:trPr>
          <w:trHeight w:val="146"/>
        </w:trPr>
        <w:tc>
          <w:tcPr>
            <w:tcW w:w="3360" w:type="dxa"/>
            <w:vAlign w:val="bottom"/>
          </w:tcPr>
          <w:p>
            <w:pPr>
              <w:spacing w:after="0"/>
              <w:rPr>
                <w:sz w:val="20"/>
                <w:szCs w:val="20"/>
                <w:color w:val="auto"/>
              </w:rPr>
            </w:pPr>
            <w:r>
              <w:rPr>
                <w:rFonts w:ascii="Arial" w:cs="Arial" w:eastAsia="Arial" w:hAnsi="Arial"/>
                <w:sz w:val="12"/>
                <w:szCs w:val="12"/>
                <w:color w:val="auto"/>
              </w:rPr>
              <w:t>Douglas Products and Packaging Company LLC</w:t>
            </w:r>
          </w:p>
        </w:tc>
        <w:tc>
          <w:tcPr>
            <w:tcW w:w="920" w:type="dxa"/>
            <w:vAlign w:val="bottom"/>
          </w:tcPr>
          <w:p>
            <w:pPr>
              <w:jc w:val="center"/>
              <w:ind w:right="2"/>
              <w:spacing w:after="0"/>
              <w:rPr>
                <w:sz w:val="20"/>
                <w:szCs w:val="20"/>
                <w:color w:val="auto"/>
              </w:rPr>
            </w:pPr>
            <w:r>
              <w:rPr>
                <w:rFonts w:ascii="Arial" w:cs="Arial" w:eastAsia="Arial" w:hAnsi="Arial"/>
                <w:sz w:val="12"/>
                <w:szCs w:val="12"/>
                <w:color w:val="auto"/>
                <w:w w:val="89"/>
              </w:rPr>
              <w:t>10/19/2022</w:t>
            </w:r>
          </w:p>
        </w:tc>
        <w:tc>
          <w:tcPr>
            <w:tcW w:w="2440" w:type="dxa"/>
            <w:vAlign w:val="bottom"/>
            <w:gridSpan w:val="2"/>
          </w:tcPr>
          <w:p>
            <w:pPr>
              <w:jc w:val="center"/>
              <w:ind w:right="200"/>
              <w:spacing w:after="0"/>
              <w:rPr>
                <w:sz w:val="20"/>
                <w:szCs w:val="20"/>
                <w:color w:val="auto"/>
              </w:rPr>
            </w:pPr>
            <w:r>
              <w:rPr>
                <w:rFonts w:ascii="Arial" w:cs="Arial" w:eastAsia="Arial" w:hAnsi="Arial"/>
                <w:sz w:val="12"/>
                <w:szCs w:val="12"/>
                <w:color w:val="auto"/>
                <w:w w:val="87"/>
              </w:rPr>
              <w:t>Chemicals, Plastics and Rubber</w:t>
            </w:r>
          </w:p>
        </w:tc>
        <w:tc>
          <w:tcPr>
            <w:tcW w:w="78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3,952,059</w:t>
            </w:r>
          </w:p>
        </w:tc>
        <w:tc>
          <w:tcPr>
            <w:tcW w:w="240" w:type="dxa"/>
            <w:vAlign w:val="bottom"/>
          </w:tcPr>
          <w:p>
            <w:pPr>
              <w:spacing w:after="0"/>
              <w:rPr>
                <w:sz w:val="12"/>
                <w:szCs w:val="12"/>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820" w:type="dxa"/>
            <w:vAlign w:val="bottom"/>
            <w:gridSpan w:val="2"/>
          </w:tcPr>
          <w:p>
            <w:pPr>
              <w:jc w:val="right"/>
              <w:ind w:right="80"/>
              <w:spacing w:after="0"/>
              <w:rPr>
                <w:sz w:val="20"/>
                <w:szCs w:val="20"/>
                <w:color w:val="auto"/>
              </w:rPr>
            </w:pPr>
            <w:r>
              <w:rPr>
                <w:rFonts w:ascii="Arial" w:cs="Arial" w:eastAsia="Arial" w:hAnsi="Arial"/>
                <w:sz w:val="12"/>
                <w:szCs w:val="12"/>
                <w:color w:val="auto"/>
              </w:rPr>
              <w:t>(39,522)</w:t>
            </w:r>
          </w:p>
        </w:tc>
      </w:tr>
      <w:tr>
        <w:trPr>
          <w:trHeight w:val="151"/>
        </w:trPr>
        <w:tc>
          <w:tcPr>
            <w:tcW w:w="3360" w:type="dxa"/>
            <w:vAlign w:val="bottom"/>
          </w:tcPr>
          <w:p>
            <w:pPr>
              <w:ind w:left="140"/>
              <w:spacing w:after="0" w:line="150" w:lineRule="exact"/>
              <w:rPr>
                <w:sz w:val="20"/>
                <w:szCs w:val="20"/>
                <w:color w:val="auto"/>
              </w:rPr>
            </w:pPr>
            <w:r>
              <w:rPr>
                <w:rFonts w:ascii="Arial" w:cs="Arial" w:eastAsia="Arial" w:hAnsi="Arial"/>
                <w:sz w:val="11"/>
                <w:szCs w:val="11"/>
                <w:color w:val="auto"/>
              </w:rPr>
              <w:t xml:space="preserve">(Revolver) </w:t>
            </w:r>
            <w:r>
              <w:rPr>
                <w:rFonts w:ascii="Arial" w:cs="Arial" w:eastAsia="Arial" w:hAnsi="Arial"/>
                <w:sz w:val="17"/>
                <w:szCs w:val="17"/>
                <w:color w:val="auto"/>
                <w:vertAlign w:val="superscript"/>
              </w:rPr>
              <w:t>(7), (9)</w:t>
            </w:r>
          </w:p>
        </w:tc>
        <w:tc>
          <w:tcPr>
            <w:tcW w:w="920" w:type="dxa"/>
            <w:vAlign w:val="bottom"/>
          </w:tcPr>
          <w:p>
            <w:pPr>
              <w:spacing w:after="0"/>
              <w:rPr>
                <w:sz w:val="13"/>
                <w:szCs w:val="13"/>
                <w:color w:val="auto"/>
              </w:rPr>
            </w:pPr>
          </w:p>
        </w:tc>
        <w:tc>
          <w:tcPr>
            <w:tcW w:w="2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48"/>
        </w:trPr>
        <w:tc>
          <w:tcPr>
            <w:tcW w:w="3360" w:type="dxa"/>
            <w:vAlign w:val="bottom"/>
            <w:shd w:val="clear" w:color="auto" w:fill="CCECFF"/>
          </w:tcPr>
          <w:p>
            <w:pPr>
              <w:spacing w:after="0" w:line="149" w:lineRule="exact"/>
              <w:rPr>
                <w:sz w:val="20"/>
                <w:szCs w:val="20"/>
                <w:color w:val="auto"/>
              </w:rPr>
            </w:pPr>
            <w:r>
              <w:rPr>
                <w:rFonts w:ascii="Arial" w:cs="Arial" w:eastAsia="Arial" w:hAnsi="Arial"/>
                <w:sz w:val="11"/>
                <w:szCs w:val="11"/>
                <w:color w:val="auto"/>
              </w:rPr>
              <w:t xml:space="preserve">Douglas Sewer Intermediate, LLC </w:t>
            </w:r>
            <w:r>
              <w:rPr>
                <w:rFonts w:ascii="Arial" w:cs="Arial" w:eastAsia="Arial" w:hAnsi="Arial"/>
                <w:sz w:val="17"/>
                <w:szCs w:val="17"/>
                <w:color w:val="auto"/>
                <w:vertAlign w:val="superscript"/>
              </w:rPr>
              <w:t>(7)</w:t>
            </w:r>
          </w:p>
        </w:tc>
        <w:tc>
          <w:tcPr>
            <w:tcW w:w="920" w:type="dxa"/>
            <w:vAlign w:val="bottom"/>
            <w:shd w:val="clear" w:color="auto" w:fill="CCECFF"/>
          </w:tcPr>
          <w:p>
            <w:pPr>
              <w:jc w:val="center"/>
              <w:ind w:right="2"/>
              <w:spacing w:after="0"/>
              <w:rPr>
                <w:sz w:val="20"/>
                <w:szCs w:val="20"/>
                <w:color w:val="auto"/>
              </w:rPr>
            </w:pPr>
            <w:r>
              <w:rPr>
                <w:rFonts w:ascii="Arial" w:cs="Arial" w:eastAsia="Arial" w:hAnsi="Arial"/>
                <w:sz w:val="12"/>
                <w:szCs w:val="12"/>
                <w:color w:val="auto"/>
                <w:w w:val="89"/>
              </w:rPr>
              <w:t>10/19/2022</w:t>
            </w:r>
          </w:p>
        </w:tc>
        <w:tc>
          <w:tcPr>
            <w:tcW w:w="2440" w:type="dxa"/>
            <w:vAlign w:val="bottom"/>
            <w:gridSpan w:val="2"/>
            <w:shd w:val="clear" w:color="auto" w:fill="CCECFF"/>
          </w:tcPr>
          <w:p>
            <w:pPr>
              <w:jc w:val="center"/>
              <w:ind w:right="200"/>
              <w:spacing w:after="0"/>
              <w:rPr>
                <w:sz w:val="20"/>
                <w:szCs w:val="20"/>
                <w:color w:val="auto"/>
              </w:rPr>
            </w:pPr>
            <w:r>
              <w:rPr>
                <w:rFonts w:ascii="Arial" w:cs="Arial" w:eastAsia="Arial" w:hAnsi="Arial"/>
                <w:sz w:val="12"/>
                <w:szCs w:val="12"/>
                <w:color w:val="auto"/>
                <w:w w:val="87"/>
              </w:rPr>
              <w:t>Chemicals, Plastics and Rubber</w:t>
            </w:r>
          </w:p>
        </w:tc>
        <w:tc>
          <w:tcPr>
            <w:tcW w:w="780" w:type="dxa"/>
            <w:vAlign w:val="bottom"/>
            <w:gridSpan w:val="2"/>
            <w:shd w:val="clear" w:color="auto" w:fill="CCECFF"/>
          </w:tcPr>
          <w:p>
            <w:pPr>
              <w:jc w:val="right"/>
              <w:ind w:right="20"/>
              <w:spacing w:after="0"/>
              <w:rPr>
                <w:sz w:val="20"/>
                <w:szCs w:val="20"/>
                <w:color w:val="auto"/>
              </w:rPr>
            </w:pPr>
            <w:r>
              <w:rPr>
                <w:rFonts w:ascii="Arial" w:cs="Arial" w:eastAsia="Arial" w:hAnsi="Arial"/>
                <w:sz w:val="12"/>
                <w:szCs w:val="12"/>
                <w:color w:val="auto"/>
              </w:rPr>
              <w:t>7.85%</w:t>
            </w:r>
          </w:p>
        </w:tc>
        <w:tc>
          <w:tcPr>
            <w:tcW w:w="140" w:type="dxa"/>
            <w:vAlign w:val="bottom"/>
            <w:shd w:val="clear" w:color="auto" w:fill="CCECFF"/>
          </w:tcPr>
          <w:p>
            <w:pPr>
              <w:spacing w:after="0"/>
              <w:rPr>
                <w:sz w:val="12"/>
                <w:szCs w:val="12"/>
                <w:color w:val="auto"/>
              </w:rPr>
            </w:pPr>
          </w:p>
        </w:tc>
        <w:tc>
          <w:tcPr>
            <w:tcW w:w="960" w:type="dxa"/>
            <w:vAlign w:val="bottom"/>
            <w:gridSpan w:val="2"/>
            <w:shd w:val="clear" w:color="auto" w:fill="CCECFF"/>
          </w:tcPr>
          <w:p>
            <w:pPr>
              <w:jc w:val="right"/>
              <w:ind w:right="280"/>
              <w:spacing w:after="0"/>
              <w:rPr>
                <w:sz w:val="20"/>
                <w:szCs w:val="20"/>
                <w:color w:val="auto"/>
              </w:rPr>
            </w:pPr>
            <w:r>
              <w:rPr>
                <w:rFonts w:ascii="Arial" w:cs="Arial" w:eastAsia="Arial" w:hAnsi="Arial"/>
                <w:sz w:val="12"/>
                <w:szCs w:val="12"/>
                <w:color w:val="auto"/>
              </w:rPr>
              <w:t>3M L+575</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9,816,712</w:t>
            </w:r>
          </w:p>
        </w:tc>
        <w:tc>
          <w:tcPr>
            <w:tcW w:w="24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9,755,921</w:t>
            </w:r>
          </w:p>
        </w:tc>
        <w:tc>
          <w:tcPr>
            <w:tcW w:w="220" w:type="dxa"/>
            <w:vAlign w:val="bottom"/>
            <w:shd w:val="clear" w:color="auto" w:fill="CCECFF"/>
          </w:tcPr>
          <w:p>
            <w:pPr>
              <w:spacing w:after="0"/>
              <w:rPr>
                <w:sz w:val="12"/>
                <w:szCs w:val="12"/>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9,718,545</w:t>
            </w:r>
          </w:p>
        </w:tc>
        <w:tc>
          <w:tcPr>
            <w:tcW w:w="120" w:type="dxa"/>
            <w:vAlign w:val="bottom"/>
            <w:shd w:val="clear" w:color="auto" w:fill="CCECFF"/>
          </w:tcPr>
          <w:p>
            <w:pPr>
              <w:spacing w:after="0"/>
              <w:rPr>
                <w:sz w:val="12"/>
                <w:szCs w:val="12"/>
                <w:color w:val="auto"/>
              </w:rPr>
            </w:pPr>
          </w:p>
        </w:tc>
      </w:tr>
      <w:tr>
        <w:trPr>
          <w:trHeight w:val="148"/>
        </w:trPr>
        <w:tc>
          <w:tcPr>
            <w:tcW w:w="3360" w:type="dxa"/>
            <w:vAlign w:val="bottom"/>
          </w:tcPr>
          <w:p>
            <w:pPr>
              <w:spacing w:after="0"/>
              <w:rPr>
                <w:sz w:val="20"/>
                <w:szCs w:val="20"/>
                <w:color w:val="auto"/>
              </w:rPr>
            </w:pPr>
            <w:r>
              <w:rPr>
                <w:rFonts w:ascii="Arial" w:cs="Arial" w:eastAsia="Arial" w:hAnsi="Arial"/>
                <w:sz w:val="12"/>
                <w:szCs w:val="12"/>
                <w:color w:val="auto"/>
              </w:rPr>
              <w:t>East Valley Tourist Development Authority</w:t>
            </w:r>
          </w:p>
        </w:tc>
        <w:tc>
          <w:tcPr>
            <w:tcW w:w="920" w:type="dxa"/>
            <w:vAlign w:val="bottom"/>
          </w:tcPr>
          <w:p>
            <w:pPr>
              <w:jc w:val="center"/>
              <w:ind w:right="2"/>
              <w:spacing w:after="0"/>
              <w:rPr>
                <w:sz w:val="20"/>
                <w:szCs w:val="20"/>
                <w:color w:val="auto"/>
              </w:rPr>
            </w:pPr>
            <w:r>
              <w:rPr>
                <w:rFonts w:ascii="Arial" w:cs="Arial" w:eastAsia="Arial" w:hAnsi="Arial"/>
                <w:sz w:val="12"/>
                <w:szCs w:val="12"/>
                <w:color w:val="auto"/>
                <w:w w:val="89"/>
              </w:rPr>
              <w:t>03/07/2022</w:t>
            </w:r>
          </w:p>
        </w:tc>
        <w:tc>
          <w:tcPr>
            <w:tcW w:w="2440" w:type="dxa"/>
            <w:vAlign w:val="bottom"/>
            <w:gridSpan w:val="2"/>
          </w:tcPr>
          <w:p>
            <w:pPr>
              <w:jc w:val="center"/>
              <w:ind w:right="180"/>
              <w:spacing w:after="0"/>
              <w:rPr>
                <w:sz w:val="20"/>
                <w:szCs w:val="20"/>
                <w:color w:val="auto"/>
              </w:rPr>
            </w:pPr>
            <w:r>
              <w:rPr>
                <w:rFonts w:ascii="Arial" w:cs="Arial" w:eastAsia="Arial" w:hAnsi="Arial"/>
                <w:sz w:val="12"/>
                <w:szCs w:val="12"/>
                <w:color w:val="auto"/>
                <w:w w:val="88"/>
              </w:rPr>
              <w:t>Hotel, Gaming and Leisure</w:t>
            </w:r>
          </w:p>
        </w:tc>
        <w:tc>
          <w:tcPr>
            <w:tcW w:w="780" w:type="dxa"/>
            <w:vAlign w:val="bottom"/>
            <w:gridSpan w:val="2"/>
          </w:tcPr>
          <w:p>
            <w:pPr>
              <w:jc w:val="right"/>
              <w:ind w:right="20"/>
              <w:spacing w:after="0"/>
              <w:rPr>
                <w:sz w:val="20"/>
                <w:szCs w:val="20"/>
                <w:color w:val="auto"/>
              </w:rPr>
            </w:pPr>
            <w:r>
              <w:rPr>
                <w:rFonts w:ascii="Arial" w:cs="Arial" w:eastAsia="Arial" w:hAnsi="Arial"/>
                <w:sz w:val="12"/>
                <w:szCs w:val="12"/>
                <w:color w:val="auto"/>
              </w:rPr>
              <w:t>10.06%</w:t>
            </w:r>
          </w:p>
        </w:tc>
        <w:tc>
          <w:tcPr>
            <w:tcW w:w="140" w:type="dxa"/>
            <w:vAlign w:val="bottom"/>
          </w:tcPr>
          <w:p>
            <w:pPr>
              <w:spacing w:after="0"/>
              <w:rPr>
                <w:sz w:val="12"/>
                <w:szCs w:val="12"/>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2"/>
                <w:szCs w:val="12"/>
                <w:color w:val="auto"/>
              </w:rPr>
              <w:t>3M L+800</w:t>
            </w:r>
          </w:p>
        </w:tc>
        <w:tc>
          <w:tcPr>
            <w:tcW w:w="680" w:type="dxa"/>
            <w:vAlign w:val="bottom"/>
          </w:tcPr>
          <w:p>
            <w:pPr>
              <w:jc w:val="right"/>
              <w:spacing w:after="0"/>
              <w:rPr>
                <w:sz w:val="20"/>
                <w:szCs w:val="20"/>
                <w:color w:val="auto"/>
              </w:rPr>
            </w:pPr>
            <w:r>
              <w:rPr>
                <w:rFonts w:ascii="Arial" w:cs="Arial" w:eastAsia="Arial" w:hAnsi="Arial"/>
                <w:sz w:val="12"/>
                <w:szCs w:val="12"/>
                <w:color w:val="auto"/>
              </w:rPr>
              <w:t>18,592,082</w:t>
            </w:r>
          </w:p>
        </w:tc>
        <w:tc>
          <w:tcPr>
            <w:tcW w:w="24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18,478,010</w:t>
            </w:r>
          </w:p>
        </w:tc>
        <w:tc>
          <w:tcPr>
            <w:tcW w:w="22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18,406,161</w:t>
            </w:r>
          </w:p>
        </w:tc>
        <w:tc>
          <w:tcPr>
            <w:tcW w:w="120" w:type="dxa"/>
            <w:vAlign w:val="bottom"/>
          </w:tcPr>
          <w:p>
            <w:pPr>
              <w:spacing w:after="0"/>
              <w:rPr>
                <w:sz w:val="12"/>
                <w:szCs w:val="12"/>
                <w:color w:val="auto"/>
              </w:rPr>
            </w:pPr>
          </w:p>
        </w:tc>
      </w:tr>
      <w:tr>
        <w:trPr>
          <w:trHeight w:val="148"/>
        </w:trPr>
        <w:tc>
          <w:tcPr>
            <w:tcW w:w="3360" w:type="dxa"/>
            <w:vAlign w:val="bottom"/>
            <w:shd w:val="clear" w:color="auto" w:fill="CCECFF"/>
          </w:tcPr>
          <w:p>
            <w:pPr>
              <w:spacing w:after="0" w:line="149" w:lineRule="exact"/>
              <w:rPr>
                <w:sz w:val="20"/>
                <w:szCs w:val="20"/>
                <w:color w:val="auto"/>
              </w:rPr>
            </w:pPr>
            <w:r>
              <w:rPr>
                <w:rFonts w:ascii="Arial" w:cs="Arial" w:eastAsia="Arial" w:hAnsi="Arial"/>
                <w:sz w:val="11"/>
                <w:szCs w:val="11"/>
                <w:color w:val="auto"/>
              </w:rPr>
              <w:t xml:space="preserve">eCommission Financial Services, Inc. </w:t>
            </w:r>
            <w:r>
              <w:rPr>
                <w:rFonts w:ascii="Arial" w:cs="Arial" w:eastAsia="Arial" w:hAnsi="Arial"/>
                <w:sz w:val="17"/>
                <w:szCs w:val="17"/>
                <w:color w:val="auto"/>
                <w:vertAlign w:val="superscript"/>
              </w:rPr>
              <w:t>(10)</w:t>
            </w:r>
          </w:p>
        </w:tc>
        <w:tc>
          <w:tcPr>
            <w:tcW w:w="920" w:type="dxa"/>
            <w:vAlign w:val="bottom"/>
            <w:shd w:val="clear" w:color="auto" w:fill="CCECFF"/>
          </w:tcPr>
          <w:p>
            <w:pPr>
              <w:jc w:val="center"/>
              <w:ind w:right="2"/>
              <w:spacing w:after="0"/>
              <w:rPr>
                <w:sz w:val="20"/>
                <w:szCs w:val="20"/>
                <w:color w:val="auto"/>
              </w:rPr>
            </w:pPr>
            <w:r>
              <w:rPr>
                <w:rFonts w:ascii="Arial" w:cs="Arial" w:eastAsia="Arial" w:hAnsi="Arial"/>
                <w:sz w:val="12"/>
                <w:szCs w:val="12"/>
                <w:color w:val="auto"/>
                <w:w w:val="89"/>
              </w:rPr>
              <w:t>10/05/2023</w:t>
            </w:r>
          </w:p>
        </w:tc>
        <w:tc>
          <w:tcPr>
            <w:tcW w:w="2440" w:type="dxa"/>
            <w:vAlign w:val="bottom"/>
            <w:gridSpan w:val="2"/>
            <w:shd w:val="clear" w:color="auto" w:fill="CCECFF"/>
          </w:tcPr>
          <w:p>
            <w:pPr>
              <w:jc w:val="center"/>
              <w:ind w:right="180"/>
              <w:spacing w:after="0"/>
              <w:rPr>
                <w:sz w:val="20"/>
                <w:szCs w:val="20"/>
                <w:color w:val="auto"/>
              </w:rPr>
            </w:pPr>
            <w:r>
              <w:rPr>
                <w:rFonts w:ascii="Arial" w:cs="Arial" w:eastAsia="Arial" w:hAnsi="Arial"/>
                <w:sz w:val="12"/>
                <w:szCs w:val="12"/>
                <w:color w:val="auto"/>
                <w:w w:val="88"/>
              </w:rPr>
              <w:t>Banking, Finance, Insurance &amp; Real Estate</w:t>
            </w:r>
          </w:p>
        </w:tc>
        <w:tc>
          <w:tcPr>
            <w:tcW w:w="780" w:type="dxa"/>
            <w:vAlign w:val="bottom"/>
            <w:gridSpan w:val="2"/>
            <w:shd w:val="clear" w:color="auto" w:fill="CCECFF"/>
          </w:tcPr>
          <w:p>
            <w:pPr>
              <w:jc w:val="right"/>
              <w:ind w:right="20"/>
              <w:spacing w:after="0"/>
              <w:rPr>
                <w:sz w:val="20"/>
                <w:szCs w:val="20"/>
                <w:color w:val="auto"/>
              </w:rPr>
            </w:pPr>
            <w:r>
              <w:rPr>
                <w:rFonts w:ascii="Arial" w:cs="Arial" w:eastAsia="Arial" w:hAnsi="Arial"/>
                <w:sz w:val="12"/>
                <w:szCs w:val="12"/>
                <w:color w:val="auto"/>
              </w:rPr>
              <w:t>7.07%</w:t>
            </w:r>
          </w:p>
        </w:tc>
        <w:tc>
          <w:tcPr>
            <w:tcW w:w="140" w:type="dxa"/>
            <w:vAlign w:val="bottom"/>
            <w:shd w:val="clear" w:color="auto" w:fill="CCECFF"/>
          </w:tcPr>
          <w:p>
            <w:pPr>
              <w:spacing w:after="0"/>
              <w:rPr>
                <w:sz w:val="12"/>
                <w:szCs w:val="12"/>
                <w:color w:val="auto"/>
              </w:rPr>
            </w:pPr>
          </w:p>
        </w:tc>
        <w:tc>
          <w:tcPr>
            <w:tcW w:w="960" w:type="dxa"/>
            <w:vAlign w:val="bottom"/>
            <w:gridSpan w:val="2"/>
            <w:shd w:val="clear" w:color="auto" w:fill="CCECFF"/>
          </w:tcPr>
          <w:p>
            <w:pPr>
              <w:jc w:val="right"/>
              <w:ind w:right="280"/>
              <w:spacing w:after="0"/>
              <w:rPr>
                <w:sz w:val="20"/>
                <w:szCs w:val="20"/>
                <w:color w:val="auto"/>
              </w:rPr>
            </w:pPr>
            <w:r>
              <w:rPr>
                <w:rFonts w:ascii="Arial" w:cs="Arial" w:eastAsia="Arial" w:hAnsi="Arial"/>
                <w:sz w:val="12"/>
                <w:szCs w:val="12"/>
                <w:color w:val="auto"/>
              </w:rPr>
              <w:t>1M L+500</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21,564,375</w:t>
            </w:r>
          </w:p>
        </w:tc>
        <w:tc>
          <w:tcPr>
            <w:tcW w:w="24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21,564,375</w:t>
            </w:r>
          </w:p>
        </w:tc>
        <w:tc>
          <w:tcPr>
            <w:tcW w:w="220" w:type="dxa"/>
            <w:vAlign w:val="bottom"/>
            <w:shd w:val="clear" w:color="auto" w:fill="CCECFF"/>
          </w:tcPr>
          <w:p>
            <w:pPr>
              <w:spacing w:after="0"/>
              <w:rPr>
                <w:sz w:val="12"/>
                <w:szCs w:val="12"/>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21,564,375</w:t>
            </w:r>
          </w:p>
        </w:tc>
        <w:tc>
          <w:tcPr>
            <w:tcW w:w="120" w:type="dxa"/>
            <w:vAlign w:val="bottom"/>
            <w:shd w:val="clear" w:color="auto" w:fill="CCECFF"/>
          </w:tcPr>
          <w:p>
            <w:pPr>
              <w:spacing w:after="0"/>
              <w:rPr>
                <w:sz w:val="12"/>
                <w:szCs w:val="12"/>
                <w:color w:val="auto"/>
              </w:rPr>
            </w:pPr>
          </w:p>
        </w:tc>
      </w:tr>
      <w:tr>
        <w:trPr>
          <w:trHeight w:val="148"/>
        </w:trPr>
        <w:tc>
          <w:tcPr>
            <w:tcW w:w="3360" w:type="dxa"/>
            <w:vAlign w:val="bottom"/>
          </w:tcPr>
          <w:p>
            <w:pPr>
              <w:spacing w:after="0" w:line="149" w:lineRule="exact"/>
              <w:rPr>
                <w:sz w:val="20"/>
                <w:szCs w:val="20"/>
                <w:color w:val="auto"/>
              </w:rPr>
            </w:pPr>
            <w:r>
              <w:rPr>
                <w:rFonts w:ascii="Arial" w:cs="Arial" w:eastAsia="Arial" w:hAnsi="Arial"/>
                <w:sz w:val="11"/>
                <w:szCs w:val="11"/>
                <w:color w:val="auto"/>
              </w:rPr>
              <w:t xml:space="preserve">eCommission Financial Services, Inc. (Revolver) </w:t>
            </w:r>
            <w:r>
              <w:rPr>
                <w:rFonts w:ascii="Arial" w:cs="Arial" w:eastAsia="Arial" w:hAnsi="Arial"/>
                <w:sz w:val="17"/>
                <w:szCs w:val="17"/>
                <w:color w:val="auto"/>
                <w:vertAlign w:val="superscript"/>
              </w:rPr>
              <w:t>(7), (9), (10)</w:t>
            </w:r>
          </w:p>
        </w:tc>
        <w:tc>
          <w:tcPr>
            <w:tcW w:w="920" w:type="dxa"/>
            <w:vAlign w:val="bottom"/>
          </w:tcPr>
          <w:p>
            <w:pPr>
              <w:jc w:val="center"/>
              <w:ind w:right="2"/>
              <w:spacing w:after="0"/>
              <w:rPr>
                <w:sz w:val="20"/>
                <w:szCs w:val="20"/>
                <w:color w:val="auto"/>
              </w:rPr>
            </w:pPr>
            <w:r>
              <w:rPr>
                <w:rFonts w:ascii="Arial" w:cs="Arial" w:eastAsia="Arial" w:hAnsi="Arial"/>
                <w:sz w:val="12"/>
                <w:szCs w:val="12"/>
                <w:color w:val="auto"/>
                <w:w w:val="89"/>
              </w:rPr>
              <w:t>10/05/2023</w:t>
            </w:r>
          </w:p>
        </w:tc>
        <w:tc>
          <w:tcPr>
            <w:tcW w:w="2440" w:type="dxa"/>
            <w:vAlign w:val="bottom"/>
            <w:gridSpan w:val="2"/>
          </w:tcPr>
          <w:p>
            <w:pPr>
              <w:jc w:val="center"/>
              <w:ind w:right="180"/>
              <w:spacing w:after="0"/>
              <w:rPr>
                <w:sz w:val="20"/>
                <w:szCs w:val="20"/>
                <w:color w:val="auto"/>
              </w:rPr>
            </w:pPr>
            <w:r>
              <w:rPr>
                <w:rFonts w:ascii="Arial" w:cs="Arial" w:eastAsia="Arial" w:hAnsi="Arial"/>
                <w:sz w:val="12"/>
                <w:szCs w:val="12"/>
                <w:color w:val="auto"/>
                <w:w w:val="88"/>
              </w:rPr>
              <w:t>Banking, Finance, Insurance &amp; Real Estate</w:t>
            </w:r>
          </w:p>
        </w:tc>
        <w:tc>
          <w:tcPr>
            <w:tcW w:w="78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5,000,000</w:t>
            </w:r>
          </w:p>
        </w:tc>
        <w:tc>
          <w:tcPr>
            <w:tcW w:w="240" w:type="dxa"/>
            <w:vAlign w:val="bottom"/>
          </w:tcPr>
          <w:p>
            <w:pPr>
              <w:spacing w:after="0"/>
              <w:rPr>
                <w:sz w:val="12"/>
                <w:szCs w:val="12"/>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8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r>
      <w:tr>
        <w:trPr>
          <w:trHeight w:val="149"/>
        </w:trPr>
        <w:tc>
          <w:tcPr>
            <w:tcW w:w="3360" w:type="dxa"/>
            <w:vAlign w:val="bottom"/>
            <w:shd w:val="clear" w:color="auto" w:fill="CCECFF"/>
          </w:tcPr>
          <w:p>
            <w:pPr>
              <w:spacing w:after="0"/>
              <w:rPr>
                <w:sz w:val="20"/>
                <w:szCs w:val="20"/>
                <w:color w:val="auto"/>
              </w:rPr>
            </w:pPr>
            <w:r>
              <w:rPr>
                <w:rFonts w:ascii="Arial" w:cs="Arial" w:eastAsia="Arial" w:hAnsi="Arial"/>
                <w:sz w:val="12"/>
                <w:szCs w:val="12"/>
                <w:color w:val="auto"/>
              </w:rPr>
              <w:t>Education Networks of America, Inc.</w:t>
            </w:r>
          </w:p>
        </w:tc>
        <w:tc>
          <w:tcPr>
            <w:tcW w:w="920" w:type="dxa"/>
            <w:vAlign w:val="bottom"/>
            <w:shd w:val="clear" w:color="auto" w:fill="CCECFF"/>
          </w:tcPr>
          <w:p>
            <w:pPr>
              <w:jc w:val="center"/>
              <w:ind w:right="2"/>
              <w:spacing w:after="0"/>
              <w:rPr>
                <w:sz w:val="20"/>
                <w:szCs w:val="20"/>
                <w:color w:val="auto"/>
              </w:rPr>
            </w:pPr>
            <w:r>
              <w:rPr>
                <w:rFonts w:ascii="Arial" w:cs="Arial" w:eastAsia="Arial" w:hAnsi="Arial"/>
                <w:sz w:val="12"/>
                <w:szCs w:val="12"/>
                <w:color w:val="auto"/>
                <w:w w:val="89"/>
              </w:rPr>
              <w:t>05/06/2021</w:t>
            </w:r>
          </w:p>
        </w:tc>
        <w:tc>
          <w:tcPr>
            <w:tcW w:w="2440" w:type="dxa"/>
            <w:vAlign w:val="bottom"/>
            <w:gridSpan w:val="2"/>
            <w:shd w:val="clear" w:color="auto" w:fill="CCECFF"/>
          </w:tcPr>
          <w:p>
            <w:pPr>
              <w:jc w:val="center"/>
              <w:ind w:right="180"/>
              <w:spacing w:after="0"/>
              <w:rPr>
                <w:sz w:val="20"/>
                <w:szCs w:val="20"/>
                <w:color w:val="auto"/>
              </w:rPr>
            </w:pPr>
            <w:r>
              <w:rPr>
                <w:rFonts w:ascii="Arial" w:cs="Arial" w:eastAsia="Arial" w:hAnsi="Arial"/>
                <w:sz w:val="12"/>
                <w:szCs w:val="12"/>
                <w:color w:val="auto"/>
                <w:w w:val="89"/>
              </w:rPr>
              <w:t>Telecommunications</w:t>
            </w:r>
          </w:p>
        </w:tc>
        <w:tc>
          <w:tcPr>
            <w:tcW w:w="780" w:type="dxa"/>
            <w:vAlign w:val="bottom"/>
            <w:gridSpan w:val="2"/>
            <w:shd w:val="clear" w:color="auto" w:fill="CCECFF"/>
          </w:tcPr>
          <w:p>
            <w:pPr>
              <w:jc w:val="right"/>
              <w:ind w:right="20"/>
              <w:spacing w:after="0"/>
              <w:rPr>
                <w:sz w:val="20"/>
                <w:szCs w:val="20"/>
                <w:color w:val="auto"/>
              </w:rPr>
            </w:pPr>
            <w:r>
              <w:rPr>
                <w:rFonts w:ascii="Arial" w:cs="Arial" w:eastAsia="Arial" w:hAnsi="Arial"/>
                <w:sz w:val="12"/>
                <w:szCs w:val="12"/>
                <w:color w:val="auto"/>
              </w:rPr>
              <w:t>9.62%</w:t>
            </w:r>
          </w:p>
        </w:tc>
        <w:tc>
          <w:tcPr>
            <w:tcW w:w="140" w:type="dxa"/>
            <w:vAlign w:val="bottom"/>
            <w:shd w:val="clear" w:color="auto" w:fill="CCECFF"/>
          </w:tcPr>
          <w:p>
            <w:pPr>
              <w:spacing w:after="0"/>
              <w:rPr>
                <w:sz w:val="12"/>
                <w:szCs w:val="12"/>
                <w:color w:val="auto"/>
              </w:rPr>
            </w:pPr>
          </w:p>
        </w:tc>
        <w:tc>
          <w:tcPr>
            <w:tcW w:w="960" w:type="dxa"/>
            <w:vAlign w:val="bottom"/>
            <w:gridSpan w:val="2"/>
            <w:shd w:val="clear" w:color="auto" w:fill="CCECFF"/>
          </w:tcPr>
          <w:p>
            <w:pPr>
              <w:jc w:val="right"/>
              <w:ind w:right="280"/>
              <w:spacing w:after="0"/>
              <w:rPr>
                <w:sz w:val="20"/>
                <w:szCs w:val="20"/>
                <w:color w:val="auto"/>
              </w:rPr>
            </w:pPr>
            <w:r>
              <w:rPr>
                <w:rFonts w:ascii="Arial" w:cs="Arial" w:eastAsia="Arial" w:hAnsi="Arial"/>
                <w:sz w:val="12"/>
                <w:szCs w:val="12"/>
                <w:color w:val="auto"/>
              </w:rPr>
              <w:t>1M L+750</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10,401,338</w:t>
            </w:r>
          </w:p>
        </w:tc>
        <w:tc>
          <w:tcPr>
            <w:tcW w:w="24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10,401,338</w:t>
            </w:r>
          </w:p>
        </w:tc>
        <w:tc>
          <w:tcPr>
            <w:tcW w:w="220" w:type="dxa"/>
            <w:vAlign w:val="bottom"/>
            <w:shd w:val="clear" w:color="auto" w:fill="CCECFF"/>
          </w:tcPr>
          <w:p>
            <w:pPr>
              <w:spacing w:after="0"/>
              <w:rPr>
                <w:sz w:val="12"/>
                <w:szCs w:val="12"/>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10,349,331</w:t>
            </w:r>
          </w:p>
        </w:tc>
        <w:tc>
          <w:tcPr>
            <w:tcW w:w="120" w:type="dxa"/>
            <w:vAlign w:val="bottom"/>
            <w:shd w:val="clear" w:color="auto" w:fill="CCECFF"/>
          </w:tcPr>
          <w:p>
            <w:pPr>
              <w:spacing w:after="0"/>
              <w:rPr>
                <w:sz w:val="12"/>
                <w:szCs w:val="12"/>
                <w:color w:val="auto"/>
              </w:rPr>
            </w:pPr>
          </w:p>
        </w:tc>
      </w:tr>
      <w:tr>
        <w:trPr>
          <w:trHeight w:val="149"/>
        </w:trPr>
        <w:tc>
          <w:tcPr>
            <w:tcW w:w="3360" w:type="dxa"/>
            <w:vAlign w:val="bottom"/>
            <w:shd w:val="clear" w:color="auto" w:fill="CCECFF"/>
          </w:tcPr>
          <w:p>
            <w:pPr>
              <w:spacing w:after="0"/>
              <w:rPr>
                <w:sz w:val="12"/>
                <w:szCs w:val="12"/>
                <w:color w:val="auto"/>
              </w:rPr>
            </w:pPr>
          </w:p>
        </w:tc>
        <w:tc>
          <w:tcPr>
            <w:tcW w:w="920" w:type="dxa"/>
            <w:vAlign w:val="bottom"/>
            <w:shd w:val="clear" w:color="auto" w:fill="CCECFF"/>
          </w:tcPr>
          <w:p>
            <w:pPr>
              <w:spacing w:after="0"/>
              <w:rPr>
                <w:sz w:val="12"/>
                <w:szCs w:val="12"/>
                <w:color w:val="auto"/>
              </w:rPr>
            </w:pPr>
          </w:p>
        </w:tc>
        <w:tc>
          <w:tcPr>
            <w:tcW w:w="232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960" w:type="dxa"/>
            <w:vAlign w:val="bottom"/>
            <w:gridSpan w:val="2"/>
            <w:shd w:val="clear" w:color="auto" w:fill="CCECFF"/>
          </w:tcPr>
          <w:p>
            <w:pPr>
              <w:ind w:left="200"/>
              <w:spacing w:after="0"/>
              <w:rPr>
                <w:sz w:val="20"/>
                <w:szCs w:val="20"/>
                <w:color w:val="auto"/>
              </w:rPr>
            </w:pPr>
            <w:r>
              <w:rPr>
                <w:rFonts w:ascii="Arial" w:cs="Arial" w:eastAsia="Arial" w:hAnsi="Arial"/>
                <w:sz w:val="12"/>
                <w:szCs w:val="12"/>
                <w:color w:val="auto"/>
              </w:rPr>
              <w:t>(PIK 2.50%)</w:t>
            </w:r>
          </w:p>
        </w:tc>
        <w:tc>
          <w:tcPr>
            <w:tcW w:w="68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70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r>
      <w:tr>
        <w:trPr>
          <w:trHeight w:val="148"/>
        </w:trPr>
        <w:tc>
          <w:tcPr>
            <w:tcW w:w="3360" w:type="dxa"/>
            <w:vAlign w:val="bottom"/>
          </w:tcPr>
          <w:p>
            <w:pPr>
              <w:spacing w:after="0" w:line="149" w:lineRule="exact"/>
              <w:rPr>
                <w:sz w:val="20"/>
                <w:szCs w:val="20"/>
                <w:color w:val="auto"/>
              </w:rPr>
            </w:pPr>
            <w:r>
              <w:rPr>
                <w:rFonts w:ascii="Arial" w:cs="Arial" w:eastAsia="Arial" w:hAnsi="Arial"/>
                <w:sz w:val="11"/>
                <w:szCs w:val="11"/>
                <w:color w:val="auto"/>
              </w:rPr>
              <w:t xml:space="preserve">Education Networks of America, Inc. (Revolver) </w:t>
            </w:r>
            <w:r>
              <w:rPr>
                <w:rFonts w:ascii="Arial" w:cs="Arial" w:eastAsia="Arial" w:hAnsi="Arial"/>
                <w:sz w:val="17"/>
                <w:szCs w:val="17"/>
                <w:color w:val="auto"/>
                <w:vertAlign w:val="superscript"/>
              </w:rPr>
              <w:t>(7), (9)</w:t>
            </w:r>
          </w:p>
        </w:tc>
        <w:tc>
          <w:tcPr>
            <w:tcW w:w="920" w:type="dxa"/>
            <w:vAlign w:val="bottom"/>
          </w:tcPr>
          <w:p>
            <w:pPr>
              <w:jc w:val="center"/>
              <w:ind w:right="2"/>
              <w:spacing w:after="0"/>
              <w:rPr>
                <w:sz w:val="20"/>
                <w:szCs w:val="20"/>
                <w:color w:val="auto"/>
              </w:rPr>
            </w:pPr>
            <w:r>
              <w:rPr>
                <w:rFonts w:ascii="Arial" w:cs="Arial" w:eastAsia="Arial" w:hAnsi="Arial"/>
                <w:sz w:val="12"/>
                <w:szCs w:val="12"/>
                <w:color w:val="auto"/>
                <w:w w:val="89"/>
              </w:rPr>
              <w:t>05/06/2021</w:t>
            </w:r>
          </w:p>
        </w:tc>
        <w:tc>
          <w:tcPr>
            <w:tcW w:w="2440" w:type="dxa"/>
            <w:vAlign w:val="bottom"/>
            <w:gridSpan w:val="2"/>
          </w:tcPr>
          <w:p>
            <w:pPr>
              <w:jc w:val="center"/>
              <w:ind w:right="180"/>
              <w:spacing w:after="0"/>
              <w:rPr>
                <w:sz w:val="20"/>
                <w:szCs w:val="20"/>
                <w:color w:val="auto"/>
              </w:rPr>
            </w:pPr>
            <w:r>
              <w:rPr>
                <w:rFonts w:ascii="Arial" w:cs="Arial" w:eastAsia="Arial" w:hAnsi="Arial"/>
                <w:sz w:val="12"/>
                <w:szCs w:val="12"/>
                <w:color w:val="auto"/>
                <w:w w:val="89"/>
              </w:rPr>
              <w:t>Telecommunications</w:t>
            </w:r>
          </w:p>
        </w:tc>
        <w:tc>
          <w:tcPr>
            <w:tcW w:w="780" w:type="dxa"/>
            <w:vAlign w:val="bottom"/>
            <w:gridSpan w:val="2"/>
          </w:tcPr>
          <w:p>
            <w:pPr>
              <w:jc w:val="right"/>
              <w:ind w:right="20"/>
              <w:spacing w:after="0"/>
              <w:rPr>
                <w:sz w:val="20"/>
                <w:szCs w:val="20"/>
                <w:color w:val="auto"/>
              </w:rPr>
            </w:pPr>
            <w:r>
              <w:rPr>
                <w:rFonts w:ascii="Arial" w:cs="Arial" w:eastAsia="Arial" w:hAnsi="Arial"/>
                <w:sz w:val="12"/>
                <w:szCs w:val="12"/>
                <w:color w:val="auto"/>
              </w:rPr>
              <w:t>9.66%</w:t>
            </w:r>
          </w:p>
        </w:tc>
        <w:tc>
          <w:tcPr>
            <w:tcW w:w="140" w:type="dxa"/>
            <w:vAlign w:val="bottom"/>
          </w:tcPr>
          <w:p>
            <w:pPr>
              <w:spacing w:after="0"/>
              <w:rPr>
                <w:sz w:val="12"/>
                <w:szCs w:val="12"/>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2"/>
                <w:szCs w:val="12"/>
                <w:color w:val="auto"/>
              </w:rPr>
              <w:t>1M L+750</w:t>
            </w:r>
          </w:p>
        </w:tc>
        <w:tc>
          <w:tcPr>
            <w:tcW w:w="680" w:type="dxa"/>
            <w:vAlign w:val="bottom"/>
          </w:tcPr>
          <w:p>
            <w:pPr>
              <w:jc w:val="right"/>
              <w:spacing w:after="0"/>
              <w:rPr>
                <w:sz w:val="20"/>
                <w:szCs w:val="20"/>
                <w:color w:val="auto"/>
              </w:rPr>
            </w:pPr>
            <w:r>
              <w:rPr>
                <w:rFonts w:ascii="Arial" w:cs="Arial" w:eastAsia="Arial" w:hAnsi="Arial"/>
                <w:sz w:val="12"/>
                <w:szCs w:val="12"/>
                <w:color w:val="auto"/>
              </w:rPr>
              <w:t>2,189,535</w:t>
            </w:r>
          </w:p>
        </w:tc>
        <w:tc>
          <w:tcPr>
            <w:tcW w:w="24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2,189,535</w:t>
            </w:r>
          </w:p>
        </w:tc>
        <w:tc>
          <w:tcPr>
            <w:tcW w:w="22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2,178,587</w:t>
            </w:r>
          </w:p>
        </w:tc>
        <w:tc>
          <w:tcPr>
            <w:tcW w:w="120" w:type="dxa"/>
            <w:vAlign w:val="bottom"/>
          </w:tcPr>
          <w:p>
            <w:pPr>
              <w:spacing w:after="0"/>
              <w:rPr>
                <w:sz w:val="12"/>
                <w:szCs w:val="12"/>
                <w:color w:val="auto"/>
              </w:rPr>
            </w:pPr>
          </w:p>
        </w:tc>
      </w:tr>
      <w:tr>
        <w:trPr>
          <w:trHeight w:val="148"/>
        </w:trPr>
        <w:tc>
          <w:tcPr>
            <w:tcW w:w="3360" w:type="dxa"/>
            <w:vAlign w:val="bottom"/>
            <w:shd w:val="clear" w:color="auto" w:fill="CCECFF"/>
          </w:tcPr>
          <w:p>
            <w:pPr>
              <w:spacing w:after="0"/>
              <w:rPr>
                <w:sz w:val="20"/>
                <w:szCs w:val="20"/>
                <w:color w:val="auto"/>
              </w:rPr>
            </w:pPr>
            <w:r>
              <w:rPr>
                <w:rFonts w:ascii="Arial" w:cs="Arial" w:eastAsia="Arial" w:hAnsi="Arial"/>
                <w:sz w:val="12"/>
                <w:szCs w:val="12"/>
                <w:color w:val="auto"/>
              </w:rPr>
              <w:t>Efficient Collaborative Retail Marketing Company, LLC</w:t>
            </w:r>
          </w:p>
        </w:tc>
        <w:tc>
          <w:tcPr>
            <w:tcW w:w="920" w:type="dxa"/>
            <w:vAlign w:val="bottom"/>
            <w:shd w:val="clear" w:color="auto" w:fill="CCECFF"/>
          </w:tcPr>
          <w:p>
            <w:pPr>
              <w:jc w:val="center"/>
              <w:ind w:right="2"/>
              <w:spacing w:after="0"/>
              <w:rPr>
                <w:sz w:val="20"/>
                <w:szCs w:val="20"/>
                <w:color w:val="auto"/>
              </w:rPr>
            </w:pPr>
            <w:r>
              <w:rPr>
                <w:rFonts w:ascii="Arial" w:cs="Arial" w:eastAsia="Arial" w:hAnsi="Arial"/>
                <w:sz w:val="12"/>
                <w:szCs w:val="12"/>
                <w:color w:val="auto"/>
                <w:w w:val="89"/>
              </w:rPr>
              <w:t>06/15/2022</w:t>
            </w:r>
          </w:p>
        </w:tc>
        <w:tc>
          <w:tcPr>
            <w:tcW w:w="2440" w:type="dxa"/>
            <w:vAlign w:val="bottom"/>
            <w:gridSpan w:val="2"/>
            <w:shd w:val="clear" w:color="auto" w:fill="CCECFF"/>
          </w:tcPr>
          <w:p>
            <w:pPr>
              <w:jc w:val="center"/>
              <w:ind w:right="180"/>
              <w:spacing w:after="0"/>
              <w:rPr>
                <w:sz w:val="20"/>
                <w:szCs w:val="20"/>
                <w:color w:val="auto"/>
              </w:rPr>
            </w:pPr>
            <w:r>
              <w:rPr>
                <w:rFonts w:ascii="Arial" w:cs="Arial" w:eastAsia="Arial" w:hAnsi="Arial"/>
                <w:sz w:val="12"/>
                <w:szCs w:val="12"/>
                <w:color w:val="auto"/>
                <w:w w:val="90"/>
              </w:rPr>
              <w:t>Media: Diversified and Production</w:t>
            </w:r>
          </w:p>
        </w:tc>
        <w:tc>
          <w:tcPr>
            <w:tcW w:w="780" w:type="dxa"/>
            <w:vAlign w:val="bottom"/>
            <w:gridSpan w:val="2"/>
            <w:shd w:val="clear" w:color="auto" w:fill="CCECFF"/>
          </w:tcPr>
          <w:p>
            <w:pPr>
              <w:jc w:val="right"/>
              <w:ind w:right="20"/>
              <w:spacing w:after="0"/>
              <w:rPr>
                <w:sz w:val="20"/>
                <w:szCs w:val="20"/>
                <w:color w:val="auto"/>
              </w:rPr>
            </w:pPr>
            <w:r>
              <w:rPr>
                <w:rFonts w:ascii="Arial" w:cs="Arial" w:eastAsia="Arial" w:hAnsi="Arial"/>
                <w:sz w:val="12"/>
                <w:szCs w:val="12"/>
                <w:color w:val="auto"/>
              </w:rPr>
              <w:t>8.85%</w:t>
            </w:r>
          </w:p>
        </w:tc>
        <w:tc>
          <w:tcPr>
            <w:tcW w:w="140" w:type="dxa"/>
            <w:vAlign w:val="bottom"/>
            <w:shd w:val="clear" w:color="auto" w:fill="CCECFF"/>
          </w:tcPr>
          <w:p>
            <w:pPr>
              <w:spacing w:after="0"/>
              <w:rPr>
                <w:sz w:val="12"/>
                <w:szCs w:val="12"/>
                <w:color w:val="auto"/>
              </w:rPr>
            </w:pPr>
          </w:p>
        </w:tc>
        <w:tc>
          <w:tcPr>
            <w:tcW w:w="960" w:type="dxa"/>
            <w:vAlign w:val="bottom"/>
            <w:gridSpan w:val="2"/>
            <w:shd w:val="clear" w:color="auto" w:fill="CCECFF"/>
          </w:tcPr>
          <w:p>
            <w:pPr>
              <w:jc w:val="right"/>
              <w:ind w:right="280"/>
              <w:spacing w:after="0"/>
              <w:rPr>
                <w:sz w:val="20"/>
                <w:szCs w:val="20"/>
                <w:color w:val="auto"/>
              </w:rPr>
            </w:pPr>
            <w:r>
              <w:rPr>
                <w:rFonts w:ascii="Arial" w:cs="Arial" w:eastAsia="Arial" w:hAnsi="Arial"/>
                <w:sz w:val="12"/>
                <w:szCs w:val="12"/>
                <w:color w:val="auto"/>
              </w:rPr>
              <w:t>3M L+675</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7,250,797</w:t>
            </w:r>
          </w:p>
        </w:tc>
        <w:tc>
          <w:tcPr>
            <w:tcW w:w="24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7,220,335</w:t>
            </w:r>
          </w:p>
        </w:tc>
        <w:tc>
          <w:tcPr>
            <w:tcW w:w="220" w:type="dxa"/>
            <w:vAlign w:val="bottom"/>
            <w:shd w:val="clear" w:color="auto" w:fill="CCECFF"/>
          </w:tcPr>
          <w:p>
            <w:pPr>
              <w:spacing w:after="0"/>
              <w:rPr>
                <w:sz w:val="12"/>
                <w:szCs w:val="12"/>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7,178,290</w:t>
            </w:r>
          </w:p>
        </w:tc>
        <w:tc>
          <w:tcPr>
            <w:tcW w:w="120" w:type="dxa"/>
            <w:vAlign w:val="bottom"/>
            <w:shd w:val="clear" w:color="auto" w:fill="CCECFF"/>
          </w:tcPr>
          <w:p>
            <w:pPr>
              <w:spacing w:after="0"/>
              <w:rPr>
                <w:sz w:val="12"/>
                <w:szCs w:val="12"/>
                <w:color w:val="auto"/>
              </w:rPr>
            </w:pPr>
          </w:p>
        </w:tc>
      </w:tr>
      <w:tr>
        <w:trPr>
          <w:trHeight w:val="149"/>
        </w:trPr>
        <w:tc>
          <w:tcPr>
            <w:tcW w:w="3360" w:type="dxa"/>
            <w:vAlign w:val="bottom"/>
          </w:tcPr>
          <w:p>
            <w:pPr>
              <w:spacing w:after="0"/>
              <w:rPr>
                <w:sz w:val="20"/>
                <w:szCs w:val="20"/>
                <w:color w:val="auto"/>
              </w:rPr>
            </w:pPr>
            <w:r>
              <w:rPr>
                <w:rFonts w:ascii="Arial" w:cs="Arial" w:eastAsia="Arial" w:hAnsi="Arial"/>
                <w:sz w:val="12"/>
                <w:szCs w:val="12"/>
                <w:color w:val="auto"/>
              </w:rPr>
              <w:t>FlexPrint, LLC</w:t>
            </w:r>
          </w:p>
        </w:tc>
        <w:tc>
          <w:tcPr>
            <w:tcW w:w="920" w:type="dxa"/>
            <w:vAlign w:val="bottom"/>
          </w:tcPr>
          <w:p>
            <w:pPr>
              <w:jc w:val="center"/>
              <w:ind w:right="2"/>
              <w:spacing w:after="0"/>
              <w:rPr>
                <w:sz w:val="20"/>
                <w:szCs w:val="20"/>
                <w:color w:val="auto"/>
              </w:rPr>
            </w:pPr>
            <w:r>
              <w:rPr>
                <w:rFonts w:ascii="Arial" w:cs="Arial" w:eastAsia="Arial" w:hAnsi="Arial"/>
                <w:sz w:val="12"/>
                <w:szCs w:val="12"/>
                <w:color w:val="auto"/>
                <w:w w:val="89"/>
              </w:rPr>
              <w:t>01/02/2024</w:t>
            </w:r>
          </w:p>
        </w:tc>
        <w:tc>
          <w:tcPr>
            <w:tcW w:w="2440" w:type="dxa"/>
            <w:vAlign w:val="bottom"/>
            <w:gridSpan w:val="2"/>
          </w:tcPr>
          <w:p>
            <w:pPr>
              <w:jc w:val="center"/>
              <w:ind w:right="200"/>
              <w:spacing w:after="0"/>
              <w:rPr>
                <w:sz w:val="20"/>
                <w:szCs w:val="20"/>
                <w:color w:val="auto"/>
              </w:rPr>
            </w:pPr>
            <w:r>
              <w:rPr>
                <w:rFonts w:ascii="Arial" w:cs="Arial" w:eastAsia="Arial" w:hAnsi="Arial"/>
                <w:sz w:val="12"/>
                <w:szCs w:val="12"/>
                <w:color w:val="auto"/>
                <w:w w:val="86"/>
              </w:rPr>
              <w:t>Professional Services</w:t>
            </w:r>
          </w:p>
        </w:tc>
        <w:tc>
          <w:tcPr>
            <w:tcW w:w="780" w:type="dxa"/>
            <w:vAlign w:val="bottom"/>
            <w:gridSpan w:val="2"/>
          </w:tcPr>
          <w:p>
            <w:pPr>
              <w:jc w:val="right"/>
              <w:ind w:right="20"/>
              <w:spacing w:after="0"/>
              <w:rPr>
                <w:sz w:val="20"/>
                <w:szCs w:val="20"/>
                <w:color w:val="auto"/>
              </w:rPr>
            </w:pPr>
            <w:r>
              <w:rPr>
                <w:rFonts w:ascii="Arial" w:cs="Arial" w:eastAsia="Arial" w:hAnsi="Arial"/>
                <w:sz w:val="12"/>
                <w:szCs w:val="12"/>
                <w:color w:val="auto"/>
              </w:rPr>
              <w:t>8.61%</w:t>
            </w:r>
          </w:p>
        </w:tc>
        <w:tc>
          <w:tcPr>
            <w:tcW w:w="140" w:type="dxa"/>
            <w:vAlign w:val="bottom"/>
          </w:tcPr>
          <w:p>
            <w:pPr>
              <w:spacing w:after="0"/>
              <w:rPr>
                <w:sz w:val="12"/>
                <w:szCs w:val="12"/>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2"/>
                <w:szCs w:val="12"/>
                <w:color w:val="auto"/>
              </w:rPr>
              <w:t>3M L+620</w:t>
            </w:r>
          </w:p>
        </w:tc>
        <w:tc>
          <w:tcPr>
            <w:tcW w:w="680" w:type="dxa"/>
            <w:vAlign w:val="bottom"/>
          </w:tcPr>
          <w:p>
            <w:pPr>
              <w:jc w:val="right"/>
              <w:spacing w:after="0"/>
              <w:rPr>
                <w:sz w:val="20"/>
                <w:szCs w:val="20"/>
                <w:color w:val="auto"/>
              </w:rPr>
            </w:pPr>
            <w:r>
              <w:rPr>
                <w:rFonts w:ascii="Arial" w:cs="Arial" w:eastAsia="Arial" w:hAnsi="Arial"/>
                <w:sz w:val="12"/>
                <w:szCs w:val="12"/>
                <w:color w:val="auto"/>
              </w:rPr>
              <w:t>4,281,014</w:t>
            </w:r>
          </w:p>
        </w:tc>
        <w:tc>
          <w:tcPr>
            <w:tcW w:w="24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4,213,518</w:t>
            </w:r>
          </w:p>
        </w:tc>
        <w:tc>
          <w:tcPr>
            <w:tcW w:w="22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4,216,799</w:t>
            </w:r>
          </w:p>
        </w:tc>
        <w:tc>
          <w:tcPr>
            <w:tcW w:w="120" w:type="dxa"/>
            <w:vAlign w:val="bottom"/>
          </w:tcPr>
          <w:p>
            <w:pPr>
              <w:spacing w:after="0"/>
              <w:rPr>
                <w:sz w:val="12"/>
                <w:szCs w:val="12"/>
                <w:color w:val="auto"/>
              </w:rPr>
            </w:pPr>
          </w:p>
        </w:tc>
      </w:tr>
      <w:tr>
        <w:trPr>
          <w:trHeight w:val="148"/>
        </w:trPr>
        <w:tc>
          <w:tcPr>
            <w:tcW w:w="3360" w:type="dxa"/>
            <w:vAlign w:val="bottom"/>
            <w:shd w:val="clear" w:color="auto" w:fill="CCECFF"/>
          </w:tcPr>
          <w:p>
            <w:pPr>
              <w:spacing w:after="0" w:line="149" w:lineRule="exact"/>
              <w:rPr>
                <w:sz w:val="20"/>
                <w:szCs w:val="20"/>
                <w:color w:val="auto"/>
              </w:rPr>
            </w:pPr>
            <w:r>
              <w:rPr>
                <w:rFonts w:ascii="Arial" w:cs="Arial" w:eastAsia="Arial" w:hAnsi="Arial"/>
                <w:sz w:val="11"/>
                <w:szCs w:val="11"/>
                <w:color w:val="auto"/>
              </w:rPr>
              <w:t xml:space="preserve">FlexPrint, LLC </w:t>
            </w:r>
            <w:r>
              <w:rPr>
                <w:rFonts w:ascii="Arial" w:cs="Arial" w:eastAsia="Arial" w:hAnsi="Arial"/>
                <w:sz w:val="17"/>
                <w:szCs w:val="17"/>
                <w:color w:val="auto"/>
                <w:vertAlign w:val="superscript"/>
              </w:rPr>
              <w:t>(7), (9)</w:t>
            </w:r>
          </w:p>
        </w:tc>
        <w:tc>
          <w:tcPr>
            <w:tcW w:w="920" w:type="dxa"/>
            <w:vAlign w:val="bottom"/>
            <w:shd w:val="clear" w:color="auto" w:fill="CCECFF"/>
          </w:tcPr>
          <w:p>
            <w:pPr>
              <w:jc w:val="center"/>
              <w:ind w:right="2"/>
              <w:spacing w:after="0"/>
              <w:rPr>
                <w:sz w:val="20"/>
                <w:szCs w:val="20"/>
                <w:color w:val="auto"/>
              </w:rPr>
            </w:pPr>
            <w:r>
              <w:rPr>
                <w:rFonts w:ascii="Arial" w:cs="Arial" w:eastAsia="Arial" w:hAnsi="Arial"/>
                <w:sz w:val="12"/>
                <w:szCs w:val="12"/>
                <w:color w:val="auto"/>
                <w:w w:val="89"/>
              </w:rPr>
              <w:t>01/02/2024</w:t>
            </w:r>
          </w:p>
        </w:tc>
        <w:tc>
          <w:tcPr>
            <w:tcW w:w="2440" w:type="dxa"/>
            <w:vAlign w:val="bottom"/>
            <w:gridSpan w:val="2"/>
            <w:shd w:val="clear" w:color="auto" w:fill="CCECFF"/>
          </w:tcPr>
          <w:p>
            <w:pPr>
              <w:jc w:val="center"/>
              <w:ind w:right="200"/>
              <w:spacing w:after="0"/>
              <w:rPr>
                <w:sz w:val="20"/>
                <w:szCs w:val="20"/>
                <w:color w:val="auto"/>
              </w:rPr>
            </w:pPr>
            <w:r>
              <w:rPr>
                <w:rFonts w:ascii="Arial" w:cs="Arial" w:eastAsia="Arial" w:hAnsi="Arial"/>
                <w:sz w:val="12"/>
                <w:szCs w:val="12"/>
                <w:color w:val="auto"/>
                <w:w w:val="86"/>
              </w:rPr>
              <w:t>Professional Services</w:t>
            </w:r>
          </w:p>
        </w:tc>
        <w:tc>
          <w:tcPr>
            <w:tcW w:w="780" w:type="dxa"/>
            <w:vAlign w:val="bottom"/>
            <w:gridSpan w:val="2"/>
            <w:shd w:val="clear" w:color="auto" w:fill="CCECFF"/>
          </w:tcPr>
          <w:p>
            <w:pPr>
              <w:jc w:val="right"/>
              <w:ind w:right="12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CFF"/>
          </w:tcPr>
          <w:p>
            <w:pPr>
              <w:spacing w:after="0"/>
              <w:rPr>
                <w:sz w:val="12"/>
                <w:szCs w:val="12"/>
                <w:color w:val="auto"/>
              </w:rPr>
            </w:pPr>
          </w:p>
        </w:tc>
        <w:tc>
          <w:tcPr>
            <w:tcW w:w="960" w:type="dxa"/>
            <w:vAlign w:val="bottom"/>
            <w:gridSpan w:val="2"/>
            <w:shd w:val="clear" w:color="auto" w:fill="CCECFF"/>
          </w:tcPr>
          <w:p>
            <w:pPr>
              <w:jc w:val="right"/>
              <w:ind w:right="280"/>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3,772,226</w:t>
            </w:r>
          </w:p>
        </w:tc>
        <w:tc>
          <w:tcPr>
            <w:tcW w:w="240" w:type="dxa"/>
            <w:vAlign w:val="bottom"/>
            <w:shd w:val="clear" w:color="auto" w:fill="CCECFF"/>
          </w:tcPr>
          <w:p>
            <w:pPr>
              <w:spacing w:after="0"/>
              <w:rPr>
                <w:sz w:val="12"/>
                <w:szCs w:val="12"/>
                <w:color w:val="auto"/>
              </w:rPr>
            </w:pP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820" w:type="dxa"/>
            <w:vAlign w:val="bottom"/>
            <w:gridSpan w:val="2"/>
            <w:shd w:val="clear" w:color="auto" w:fill="CCECFF"/>
          </w:tcPr>
          <w:p>
            <w:pPr>
              <w:jc w:val="right"/>
              <w:ind w:right="80"/>
              <w:spacing w:after="0"/>
              <w:rPr>
                <w:sz w:val="20"/>
                <w:szCs w:val="20"/>
                <w:color w:val="auto"/>
              </w:rPr>
            </w:pPr>
            <w:r>
              <w:rPr>
                <w:rFonts w:ascii="Arial" w:cs="Arial" w:eastAsia="Arial" w:hAnsi="Arial"/>
                <w:sz w:val="12"/>
                <w:szCs w:val="12"/>
                <w:color w:val="auto"/>
              </w:rPr>
              <w:t>(28,292)</w:t>
            </w:r>
          </w:p>
        </w:tc>
      </w:tr>
      <w:tr>
        <w:trPr>
          <w:trHeight w:val="148"/>
        </w:trPr>
        <w:tc>
          <w:tcPr>
            <w:tcW w:w="3360" w:type="dxa"/>
            <w:vAlign w:val="bottom"/>
          </w:tcPr>
          <w:p>
            <w:pPr>
              <w:spacing w:after="0"/>
              <w:rPr>
                <w:sz w:val="20"/>
                <w:szCs w:val="20"/>
                <w:color w:val="auto"/>
              </w:rPr>
            </w:pPr>
            <w:r>
              <w:rPr>
                <w:rFonts w:ascii="Arial" w:cs="Arial" w:eastAsia="Arial" w:hAnsi="Arial"/>
                <w:sz w:val="12"/>
                <w:szCs w:val="12"/>
                <w:color w:val="auto"/>
              </w:rPr>
              <w:t>GCOM Software LLC</w:t>
            </w:r>
          </w:p>
        </w:tc>
        <w:tc>
          <w:tcPr>
            <w:tcW w:w="920" w:type="dxa"/>
            <w:vAlign w:val="bottom"/>
          </w:tcPr>
          <w:p>
            <w:pPr>
              <w:jc w:val="center"/>
              <w:ind w:right="2"/>
              <w:spacing w:after="0"/>
              <w:rPr>
                <w:sz w:val="20"/>
                <w:szCs w:val="20"/>
                <w:color w:val="auto"/>
              </w:rPr>
            </w:pPr>
            <w:r>
              <w:rPr>
                <w:rFonts w:ascii="Arial" w:cs="Arial" w:eastAsia="Arial" w:hAnsi="Arial"/>
                <w:sz w:val="12"/>
                <w:szCs w:val="12"/>
                <w:color w:val="auto"/>
                <w:w w:val="89"/>
              </w:rPr>
              <w:t>11/14/2022</w:t>
            </w:r>
          </w:p>
        </w:tc>
        <w:tc>
          <w:tcPr>
            <w:tcW w:w="2440" w:type="dxa"/>
            <w:vAlign w:val="bottom"/>
            <w:gridSpan w:val="2"/>
          </w:tcPr>
          <w:p>
            <w:pPr>
              <w:jc w:val="center"/>
              <w:ind w:right="180"/>
              <w:spacing w:after="0"/>
              <w:rPr>
                <w:sz w:val="20"/>
                <w:szCs w:val="20"/>
                <w:color w:val="auto"/>
              </w:rPr>
            </w:pPr>
            <w:r>
              <w:rPr>
                <w:rFonts w:ascii="Arial" w:cs="Arial" w:eastAsia="Arial" w:hAnsi="Arial"/>
                <w:sz w:val="12"/>
                <w:szCs w:val="12"/>
                <w:color w:val="auto"/>
                <w:w w:val="89"/>
              </w:rPr>
              <w:t>High Tech Industries</w:t>
            </w:r>
          </w:p>
        </w:tc>
        <w:tc>
          <w:tcPr>
            <w:tcW w:w="780" w:type="dxa"/>
            <w:vAlign w:val="bottom"/>
            <w:gridSpan w:val="2"/>
          </w:tcPr>
          <w:p>
            <w:pPr>
              <w:jc w:val="right"/>
              <w:ind w:right="20"/>
              <w:spacing w:after="0"/>
              <w:rPr>
                <w:sz w:val="20"/>
                <w:szCs w:val="20"/>
                <w:color w:val="auto"/>
              </w:rPr>
            </w:pPr>
            <w:r>
              <w:rPr>
                <w:rFonts w:ascii="Arial" w:cs="Arial" w:eastAsia="Arial" w:hAnsi="Arial"/>
                <w:sz w:val="12"/>
                <w:szCs w:val="12"/>
                <w:color w:val="auto"/>
              </w:rPr>
              <w:t>8.37%</w:t>
            </w:r>
          </w:p>
        </w:tc>
        <w:tc>
          <w:tcPr>
            <w:tcW w:w="140" w:type="dxa"/>
            <w:vAlign w:val="bottom"/>
          </w:tcPr>
          <w:p>
            <w:pPr>
              <w:spacing w:after="0"/>
              <w:rPr>
                <w:sz w:val="12"/>
                <w:szCs w:val="12"/>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2"/>
                <w:szCs w:val="12"/>
                <w:color w:val="auto"/>
              </w:rPr>
              <w:t>1M L+625</w:t>
            </w:r>
          </w:p>
        </w:tc>
        <w:tc>
          <w:tcPr>
            <w:tcW w:w="680" w:type="dxa"/>
            <w:vAlign w:val="bottom"/>
          </w:tcPr>
          <w:p>
            <w:pPr>
              <w:jc w:val="right"/>
              <w:spacing w:after="0"/>
              <w:rPr>
                <w:sz w:val="20"/>
                <w:szCs w:val="20"/>
                <w:color w:val="auto"/>
              </w:rPr>
            </w:pPr>
            <w:r>
              <w:rPr>
                <w:rFonts w:ascii="Arial" w:cs="Arial" w:eastAsia="Arial" w:hAnsi="Arial"/>
                <w:sz w:val="12"/>
                <w:szCs w:val="12"/>
                <w:color w:val="auto"/>
              </w:rPr>
              <w:t>12,112,187</w:t>
            </w:r>
          </w:p>
        </w:tc>
        <w:tc>
          <w:tcPr>
            <w:tcW w:w="24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11,880,407</w:t>
            </w:r>
          </w:p>
        </w:tc>
        <w:tc>
          <w:tcPr>
            <w:tcW w:w="22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12,112,187</w:t>
            </w:r>
          </w:p>
        </w:tc>
        <w:tc>
          <w:tcPr>
            <w:tcW w:w="120" w:type="dxa"/>
            <w:vAlign w:val="bottom"/>
          </w:tcPr>
          <w:p>
            <w:pPr>
              <w:spacing w:after="0"/>
              <w:rPr>
                <w:sz w:val="12"/>
                <w:szCs w:val="12"/>
                <w:color w:val="auto"/>
              </w:rPr>
            </w:pPr>
          </w:p>
        </w:tc>
      </w:tr>
      <w:tr>
        <w:trPr>
          <w:trHeight w:val="149"/>
        </w:trPr>
        <w:tc>
          <w:tcPr>
            <w:tcW w:w="3360" w:type="dxa"/>
            <w:vAlign w:val="bottom"/>
            <w:shd w:val="clear" w:color="auto" w:fill="CCECFF"/>
          </w:tcPr>
          <w:p>
            <w:pPr>
              <w:spacing w:after="0" w:line="149" w:lineRule="exact"/>
              <w:rPr>
                <w:sz w:val="20"/>
                <w:szCs w:val="20"/>
                <w:color w:val="auto"/>
              </w:rPr>
            </w:pPr>
            <w:r>
              <w:rPr>
                <w:rFonts w:ascii="Arial" w:cs="Arial" w:eastAsia="Arial" w:hAnsi="Arial"/>
                <w:sz w:val="11"/>
                <w:szCs w:val="11"/>
                <w:color w:val="auto"/>
              </w:rPr>
              <w:t xml:space="preserve">GCOM Software LLC (Revolver) </w:t>
            </w:r>
            <w:r>
              <w:rPr>
                <w:rFonts w:ascii="Arial" w:cs="Arial" w:eastAsia="Arial" w:hAnsi="Arial"/>
                <w:sz w:val="17"/>
                <w:szCs w:val="17"/>
                <w:color w:val="auto"/>
                <w:vertAlign w:val="superscript"/>
              </w:rPr>
              <w:t>(7), (9)</w:t>
            </w:r>
          </w:p>
        </w:tc>
        <w:tc>
          <w:tcPr>
            <w:tcW w:w="920" w:type="dxa"/>
            <w:vAlign w:val="bottom"/>
            <w:shd w:val="clear" w:color="auto" w:fill="CCECFF"/>
          </w:tcPr>
          <w:p>
            <w:pPr>
              <w:jc w:val="center"/>
              <w:ind w:right="2"/>
              <w:spacing w:after="0"/>
              <w:rPr>
                <w:sz w:val="20"/>
                <w:szCs w:val="20"/>
                <w:color w:val="auto"/>
              </w:rPr>
            </w:pPr>
            <w:r>
              <w:rPr>
                <w:rFonts w:ascii="Arial" w:cs="Arial" w:eastAsia="Arial" w:hAnsi="Arial"/>
                <w:sz w:val="12"/>
                <w:szCs w:val="12"/>
                <w:color w:val="auto"/>
                <w:w w:val="89"/>
              </w:rPr>
              <w:t>11/14/2022</w:t>
            </w:r>
          </w:p>
        </w:tc>
        <w:tc>
          <w:tcPr>
            <w:tcW w:w="2440" w:type="dxa"/>
            <w:vAlign w:val="bottom"/>
            <w:gridSpan w:val="2"/>
            <w:shd w:val="clear" w:color="auto" w:fill="CCECFF"/>
          </w:tcPr>
          <w:p>
            <w:pPr>
              <w:jc w:val="center"/>
              <w:ind w:right="180"/>
              <w:spacing w:after="0"/>
              <w:rPr>
                <w:sz w:val="20"/>
                <w:szCs w:val="20"/>
                <w:color w:val="auto"/>
              </w:rPr>
            </w:pPr>
            <w:r>
              <w:rPr>
                <w:rFonts w:ascii="Arial" w:cs="Arial" w:eastAsia="Arial" w:hAnsi="Arial"/>
                <w:sz w:val="12"/>
                <w:szCs w:val="12"/>
                <w:color w:val="auto"/>
                <w:w w:val="89"/>
              </w:rPr>
              <w:t>High Tech Industries</w:t>
            </w:r>
          </w:p>
        </w:tc>
        <w:tc>
          <w:tcPr>
            <w:tcW w:w="780" w:type="dxa"/>
            <w:vAlign w:val="bottom"/>
            <w:gridSpan w:val="2"/>
            <w:shd w:val="clear" w:color="auto" w:fill="CCECFF"/>
          </w:tcPr>
          <w:p>
            <w:pPr>
              <w:jc w:val="right"/>
              <w:ind w:right="12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CFF"/>
          </w:tcPr>
          <w:p>
            <w:pPr>
              <w:spacing w:after="0"/>
              <w:rPr>
                <w:sz w:val="12"/>
                <w:szCs w:val="12"/>
                <w:color w:val="auto"/>
              </w:rPr>
            </w:pPr>
          </w:p>
        </w:tc>
        <w:tc>
          <w:tcPr>
            <w:tcW w:w="960" w:type="dxa"/>
            <w:vAlign w:val="bottom"/>
            <w:gridSpan w:val="2"/>
            <w:shd w:val="clear" w:color="auto" w:fill="CCECFF"/>
          </w:tcPr>
          <w:p>
            <w:pPr>
              <w:jc w:val="right"/>
              <w:ind w:right="280"/>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2,666,667</w:t>
            </w:r>
          </w:p>
        </w:tc>
        <w:tc>
          <w:tcPr>
            <w:tcW w:w="240" w:type="dxa"/>
            <w:vAlign w:val="bottom"/>
            <w:shd w:val="clear" w:color="auto" w:fill="CCECFF"/>
          </w:tcPr>
          <w:p>
            <w:pPr>
              <w:spacing w:after="0"/>
              <w:rPr>
                <w:sz w:val="12"/>
                <w:szCs w:val="12"/>
                <w:color w:val="auto"/>
              </w:rPr>
            </w:pP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82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w:t>
            </w:r>
          </w:p>
        </w:tc>
      </w:tr>
      <w:tr>
        <w:trPr>
          <w:trHeight w:val="148"/>
        </w:trPr>
        <w:tc>
          <w:tcPr>
            <w:tcW w:w="3360" w:type="dxa"/>
            <w:vAlign w:val="bottom"/>
            <w:shd w:val="clear" w:color="auto" w:fill="CCECFF"/>
          </w:tcPr>
          <w:p>
            <w:pPr>
              <w:spacing w:after="0" w:line="149" w:lineRule="exact"/>
              <w:rPr>
                <w:sz w:val="20"/>
                <w:szCs w:val="20"/>
                <w:color w:val="auto"/>
              </w:rPr>
            </w:pPr>
            <w:r>
              <w:rPr>
                <w:rFonts w:ascii="Arial" w:cs="Arial" w:eastAsia="Arial" w:hAnsi="Arial"/>
                <w:sz w:val="11"/>
                <w:szCs w:val="11"/>
                <w:color w:val="auto"/>
              </w:rPr>
              <w:t xml:space="preserve">Good2Grow LLC (Revolver) </w:t>
            </w:r>
            <w:r>
              <w:rPr>
                <w:rFonts w:ascii="Arial" w:cs="Arial" w:eastAsia="Arial" w:hAnsi="Arial"/>
                <w:sz w:val="17"/>
                <w:szCs w:val="17"/>
                <w:color w:val="auto"/>
                <w:vertAlign w:val="superscript"/>
              </w:rPr>
              <w:t>(7), (9)</w:t>
            </w:r>
          </w:p>
        </w:tc>
        <w:tc>
          <w:tcPr>
            <w:tcW w:w="920" w:type="dxa"/>
            <w:vAlign w:val="bottom"/>
            <w:shd w:val="clear" w:color="auto" w:fill="CCECFF"/>
          </w:tcPr>
          <w:p>
            <w:pPr>
              <w:jc w:val="center"/>
              <w:ind w:right="2"/>
              <w:spacing w:after="0"/>
              <w:rPr>
                <w:sz w:val="20"/>
                <w:szCs w:val="20"/>
                <w:color w:val="auto"/>
              </w:rPr>
            </w:pPr>
            <w:r>
              <w:rPr>
                <w:rFonts w:ascii="Arial" w:cs="Arial" w:eastAsia="Arial" w:hAnsi="Arial"/>
                <w:sz w:val="12"/>
                <w:szCs w:val="12"/>
                <w:color w:val="auto"/>
                <w:w w:val="89"/>
              </w:rPr>
              <w:t>11/16/2023</w:t>
            </w:r>
          </w:p>
        </w:tc>
        <w:tc>
          <w:tcPr>
            <w:tcW w:w="2440" w:type="dxa"/>
            <w:vAlign w:val="bottom"/>
            <w:gridSpan w:val="2"/>
            <w:shd w:val="clear" w:color="auto" w:fill="CCECFF"/>
          </w:tcPr>
          <w:p>
            <w:pPr>
              <w:jc w:val="center"/>
              <w:ind w:right="180"/>
              <w:spacing w:after="0"/>
              <w:rPr>
                <w:sz w:val="20"/>
                <w:szCs w:val="20"/>
                <w:color w:val="auto"/>
              </w:rPr>
            </w:pPr>
            <w:r>
              <w:rPr>
                <w:rFonts w:ascii="Arial" w:cs="Arial" w:eastAsia="Arial" w:hAnsi="Arial"/>
                <w:sz w:val="12"/>
                <w:szCs w:val="12"/>
                <w:color w:val="auto"/>
                <w:w w:val="87"/>
              </w:rPr>
              <w:t>Beverages</w:t>
            </w:r>
          </w:p>
        </w:tc>
        <w:tc>
          <w:tcPr>
            <w:tcW w:w="780" w:type="dxa"/>
            <w:vAlign w:val="bottom"/>
            <w:gridSpan w:val="2"/>
            <w:shd w:val="clear" w:color="auto" w:fill="CCECFF"/>
          </w:tcPr>
          <w:p>
            <w:pPr>
              <w:jc w:val="right"/>
              <w:ind w:right="12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CFF"/>
          </w:tcPr>
          <w:p>
            <w:pPr>
              <w:spacing w:after="0"/>
              <w:rPr>
                <w:sz w:val="12"/>
                <w:szCs w:val="12"/>
                <w:color w:val="auto"/>
              </w:rPr>
            </w:pPr>
          </w:p>
        </w:tc>
        <w:tc>
          <w:tcPr>
            <w:tcW w:w="960" w:type="dxa"/>
            <w:vAlign w:val="bottom"/>
            <w:gridSpan w:val="2"/>
            <w:shd w:val="clear" w:color="auto" w:fill="CCECFF"/>
          </w:tcPr>
          <w:p>
            <w:pPr>
              <w:jc w:val="right"/>
              <w:ind w:right="280"/>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3,137,000</w:t>
            </w:r>
          </w:p>
        </w:tc>
        <w:tc>
          <w:tcPr>
            <w:tcW w:w="240" w:type="dxa"/>
            <w:vAlign w:val="bottom"/>
            <w:shd w:val="clear" w:color="auto" w:fill="CCECFF"/>
          </w:tcPr>
          <w:p>
            <w:pPr>
              <w:spacing w:after="0"/>
              <w:rPr>
                <w:sz w:val="12"/>
                <w:szCs w:val="12"/>
                <w:color w:val="auto"/>
              </w:rPr>
            </w:pP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820" w:type="dxa"/>
            <w:vAlign w:val="bottom"/>
            <w:gridSpan w:val="2"/>
            <w:shd w:val="clear" w:color="auto" w:fill="CCECFF"/>
          </w:tcPr>
          <w:p>
            <w:pPr>
              <w:jc w:val="right"/>
              <w:ind w:right="80"/>
              <w:spacing w:after="0"/>
              <w:rPr>
                <w:sz w:val="20"/>
                <w:szCs w:val="20"/>
                <w:color w:val="auto"/>
              </w:rPr>
            </w:pPr>
            <w:r>
              <w:rPr>
                <w:rFonts w:ascii="Arial" w:cs="Arial" w:eastAsia="Arial" w:hAnsi="Arial"/>
                <w:sz w:val="12"/>
                <w:szCs w:val="12"/>
                <w:color w:val="auto"/>
              </w:rPr>
              <w:t>(31,370)</w:t>
            </w:r>
          </w:p>
        </w:tc>
      </w:tr>
      <w:tr>
        <w:trPr>
          <w:trHeight w:val="149"/>
        </w:trPr>
        <w:tc>
          <w:tcPr>
            <w:tcW w:w="3360" w:type="dxa"/>
            <w:vAlign w:val="bottom"/>
          </w:tcPr>
          <w:p>
            <w:pPr>
              <w:spacing w:after="0"/>
              <w:rPr>
                <w:sz w:val="20"/>
                <w:szCs w:val="20"/>
                <w:color w:val="auto"/>
              </w:rPr>
            </w:pPr>
            <w:r>
              <w:rPr>
                <w:rFonts w:ascii="Arial" w:cs="Arial" w:eastAsia="Arial" w:hAnsi="Arial"/>
                <w:sz w:val="12"/>
                <w:szCs w:val="12"/>
                <w:color w:val="auto"/>
              </w:rPr>
              <w:t>GSM Holdings, Inc.</w:t>
            </w:r>
          </w:p>
        </w:tc>
        <w:tc>
          <w:tcPr>
            <w:tcW w:w="920" w:type="dxa"/>
            <w:vAlign w:val="bottom"/>
          </w:tcPr>
          <w:p>
            <w:pPr>
              <w:jc w:val="center"/>
              <w:ind w:right="2"/>
              <w:spacing w:after="0"/>
              <w:rPr>
                <w:sz w:val="20"/>
                <w:szCs w:val="20"/>
                <w:color w:val="auto"/>
              </w:rPr>
            </w:pPr>
            <w:r>
              <w:rPr>
                <w:rFonts w:ascii="Arial" w:cs="Arial" w:eastAsia="Arial" w:hAnsi="Arial"/>
                <w:sz w:val="12"/>
                <w:szCs w:val="12"/>
                <w:color w:val="auto"/>
                <w:w w:val="89"/>
              </w:rPr>
              <w:t>06/03/2024</w:t>
            </w:r>
          </w:p>
        </w:tc>
        <w:tc>
          <w:tcPr>
            <w:tcW w:w="2440" w:type="dxa"/>
            <w:vAlign w:val="bottom"/>
            <w:gridSpan w:val="2"/>
          </w:tcPr>
          <w:p>
            <w:pPr>
              <w:jc w:val="center"/>
              <w:ind w:right="180"/>
              <w:spacing w:after="0"/>
              <w:rPr>
                <w:sz w:val="20"/>
                <w:szCs w:val="20"/>
                <w:color w:val="auto"/>
              </w:rPr>
            </w:pPr>
            <w:r>
              <w:rPr>
                <w:rFonts w:ascii="Arial" w:cs="Arial" w:eastAsia="Arial" w:hAnsi="Arial"/>
                <w:sz w:val="12"/>
                <w:szCs w:val="12"/>
                <w:color w:val="auto"/>
                <w:w w:val="88"/>
              </w:rPr>
              <w:t>Consumer Goods: Durable</w:t>
            </w:r>
          </w:p>
        </w:tc>
        <w:tc>
          <w:tcPr>
            <w:tcW w:w="780" w:type="dxa"/>
            <w:vAlign w:val="bottom"/>
            <w:gridSpan w:val="2"/>
          </w:tcPr>
          <w:p>
            <w:pPr>
              <w:jc w:val="right"/>
              <w:ind w:right="20"/>
              <w:spacing w:after="0"/>
              <w:rPr>
                <w:sz w:val="20"/>
                <w:szCs w:val="20"/>
                <w:color w:val="auto"/>
              </w:rPr>
            </w:pPr>
            <w:r>
              <w:rPr>
                <w:rFonts w:ascii="Arial" w:cs="Arial" w:eastAsia="Arial" w:hAnsi="Arial"/>
                <w:sz w:val="12"/>
                <w:szCs w:val="12"/>
                <w:color w:val="auto"/>
              </w:rPr>
              <w:t>6.66%</w:t>
            </w:r>
          </w:p>
        </w:tc>
        <w:tc>
          <w:tcPr>
            <w:tcW w:w="140" w:type="dxa"/>
            <w:vAlign w:val="bottom"/>
          </w:tcPr>
          <w:p>
            <w:pPr>
              <w:spacing w:after="0"/>
              <w:rPr>
                <w:sz w:val="12"/>
                <w:szCs w:val="12"/>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2"/>
                <w:szCs w:val="12"/>
                <w:color w:val="auto"/>
              </w:rPr>
              <w:t>3M L+450</w:t>
            </w:r>
          </w:p>
        </w:tc>
        <w:tc>
          <w:tcPr>
            <w:tcW w:w="680" w:type="dxa"/>
            <w:vAlign w:val="bottom"/>
          </w:tcPr>
          <w:p>
            <w:pPr>
              <w:jc w:val="right"/>
              <w:spacing w:after="0"/>
              <w:rPr>
                <w:sz w:val="20"/>
                <w:szCs w:val="20"/>
                <w:color w:val="auto"/>
              </w:rPr>
            </w:pPr>
            <w:r>
              <w:rPr>
                <w:rFonts w:ascii="Arial" w:cs="Arial" w:eastAsia="Arial" w:hAnsi="Arial"/>
                <w:sz w:val="12"/>
                <w:szCs w:val="12"/>
                <w:color w:val="auto"/>
              </w:rPr>
              <w:t>19,325,409</w:t>
            </w:r>
          </w:p>
        </w:tc>
        <w:tc>
          <w:tcPr>
            <w:tcW w:w="24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19,215,204</w:t>
            </w:r>
          </w:p>
        </w:tc>
        <w:tc>
          <w:tcPr>
            <w:tcW w:w="22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19,132,154</w:t>
            </w:r>
          </w:p>
        </w:tc>
        <w:tc>
          <w:tcPr>
            <w:tcW w:w="120" w:type="dxa"/>
            <w:vAlign w:val="bottom"/>
          </w:tcPr>
          <w:p>
            <w:pPr>
              <w:spacing w:after="0"/>
              <w:rPr>
                <w:sz w:val="12"/>
                <w:szCs w:val="12"/>
                <w:color w:val="auto"/>
              </w:rPr>
            </w:pPr>
          </w:p>
        </w:tc>
      </w:tr>
      <w:tr>
        <w:trPr>
          <w:trHeight w:val="148"/>
        </w:trPr>
        <w:tc>
          <w:tcPr>
            <w:tcW w:w="3360" w:type="dxa"/>
            <w:vAlign w:val="bottom"/>
            <w:shd w:val="clear" w:color="auto" w:fill="CCECFF"/>
          </w:tcPr>
          <w:p>
            <w:pPr>
              <w:spacing w:after="0" w:line="149" w:lineRule="exact"/>
              <w:rPr>
                <w:sz w:val="20"/>
                <w:szCs w:val="20"/>
                <w:color w:val="auto"/>
              </w:rPr>
            </w:pPr>
            <w:r>
              <w:rPr>
                <w:rFonts w:ascii="Arial" w:cs="Arial" w:eastAsia="Arial" w:hAnsi="Arial"/>
                <w:sz w:val="11"/>
                <w:szCs w:val="11"/>
                <w:color w:val="auto"/>
              </w:rPr>
              <w:t xml:space="preserve">GSM Holdings, Inc. (Revolver) </w:t>
            </w:r>
            <w:r>
              <w:rPr>
                <w:rFonts w:ascii="Arial" w:cs="Arial" w:eastAsia="Arial" w:hAnsi="Arial"/>
                <w:sz w:val="17"/>
                <w:szCs w:val="17"/>
                <w:color w:val="auto"/>
                <w:vertAlign w:val="superscript"/>
              </w:rPr>
              <w:t>(7)</w:t>
            </w:r>
          </w:p>
        </w:tc>
        <w:tc>
          <w:tcPr>
            <w:tcW w:w="920" w:type="dxa"/>
            <w:vAlign w:val="bottom"/>
            <w:shd w:val="clear" w:color="auto" w:fill="CCECFF"/>
          </w:tcPr>
          <w:p>
            <w:pPr>
              <w:jc w:val="center"/>
              <w:ind w:right="2"/>
              <w:spacing w:after="0"/>
              <w:rPr>
                <w:sz w:val="20"/>
                <w:szCs w:val="20"/>
                <w:color w:val="auto"/>
              </w:rPr>
            </w:pPr>
            <w:r>
              <w:rPr>
                <w:rFonts w:ascii="Arial" w:cs="Arial" w:eastAsia="Arial" w:hAnsi="Arial"/>
                <w:sz w:val="12"/>
                <w:szCs w:val="12"/>
                <w:color w:val="auto"/>
                <w:w w:val="89"/>
              </w:rPr>
              <w:t>06/03/2024</w:t>
            </w:r>
          </w:p>
        </w:tc>
        <w:tc>
          <w:tcPr>
            <w:tcW w:w="2440" w:type="dxa"/>
            <w:vAlign w:val="bottom"/>
            <w:gridSpan w:val="2"/>
            <w:shd w:val="clear" w:color="auto" w:fill="CCECFF"/>
          </w:tcPr>
          <w:p>
            <w:pPr>
              <w:jc w:val="center"/>
              <w:ind w:right="180"/>
              <w:spacing w:after="0"/>
              <w:rPr>
                <w:sz w:val="20"/>
                <w:szCs w:val="20"/>
                <w:color w:val="auto"/>
              </w:rPr>
            </w:pPr>
            <w:r>
              <w:rPr>
                <w:rFonts w:ascii="Arial" w:cs="Arial" w:eastAsia="Arial" w:hAnsi="Arial"/>
                <w:sz w:val="12"/>
                <w:szCs w:val="12"/>
                <w:color w:val="auto"/>
                <w:w w:val="88"/>
              </w:rPr>
              <w:t>Consumer Goods: Durable</w:t>
            </w:r>
          </w:p>
        </w:tc>
        <w:tc>
          <w:tcPr>
            <w:tcW w:w="780" w:type="dxa"/>
            <w:vAlign w:val="bottom"/>
            <w:gridSpan w:val="2"/>
            <w:shd w:val="clear" w:color="auto" w:fill="CCECFF"/>
          </w:tcPr>
          <w:p>
            <w:pPr>
              <w:jc w:val="right"/>
              <w:ind w:right="20"/>
              <w:spacing w:after="0"/>
              <w:rPr>
                <w:sz w:val="20"/>
                <w:szCs w:val="20"/>
                <w:color w:val="auto"/>
              </w:rPr>
            </w:pPr>
            <w:r>
              <w:rPr>
                <w:rFonts w:ascii="Arial" w:cs="Arial" w:eastAsia="Arial" w:hAnsi="Arial"/>
                <w:sz w:val="12"/>
                <w:szCs w:val="12"/>
                <w:color w:val="auto"/>
              </w:rPr>
              <w:t>6.69%</w:t>
            </w:r>
          </w:p>
        </w:tc>
        <w:tc>
          <w:tcPr>
            <w:tcW w:w="140" w:type="dxa"/>
            <w:vAlign w:val="bottom"/>
            <w:shd w:val="clear" w:color="auto" w:fill="CCECFF"/>
          </w:tcPr>
          <w:p>
            <w:pPr>
              <w:spacing w:after="0"/>
              <w:rPr>
                <w:sz w:val="12"/>
                <w:szCs w:val="12"/>
                <w:color w:val="auto"/>
              </w:rPr>
            </w:pPr>
          </w:p>
        </w:tc>
        <w:tc>
          <w:tcPr>
            <w:tcW w:w="960" w:type="dxa"/>
            <w:vAlign w:val="bottom"/>
            <w:gridSpan w:val="2"/>
            <w:shd w:val="clear" w:color="auto" w:fill="CCECFF"/>
          </w:tcPr>
          <w:p>
            <w:pPr>
              <w:jc w:val="right"/>
              <w:ind w:right="280"/>
              <w:spacing w:after="0"/>
              <w:rPr>
                <w:sz w:val="20"/>
                <w:szCs w:val="20"/>
                <w:color w:val="auto"/>
              </w:rPr>
            </w:pPr>
            <w:r>
              <w:rPr>
                <w:rFonts w:ascii="Arial" w:cs="Arial" w:eastAsia="Arial" w:hAnsi="Arial"/>
                <w:sz w:val="12"/>
                <w:szCs w:val="12"/>
                <w:color w:val="auto"/>
              </w:rPr>
              <w:t>3M L+450</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5,938,737</w:t>
            </w:r>
          </w:p>
        </w:tc>
        <w:tc>
          <w:tcPr>
            <w:tcW w:w="24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5,938,737</w:t>
            </w:r>
          </w:p>
        </w:tc>
        <w:tc>
          <w:tcPr>
            <w:tcW w:w="220" w:type="dxa"/>
            <w:vAlign w:val="bottom"/>
            <w:shd w:val="clear" w:color="auto" w:fill="CCECFF"/>
          </w:tcPr>
          <w:p>
            <w:pPr>
              <w:spacing w:after="0"/>
              <w:rPr>
                <w:sz w:val="12"/>
                <w:szCs w:val="12"/>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5,879,350</w:t>
            </w:r>
          </w:p>
        </w:tc>
        <w:tc>
          <w:tcPr>
            <w:tcW w:w="120" w:type="dxa"/>
            <w:vAlign w:val="bottom"/>
            <w:shd w:val="clear" w:color="auto" w:fill="CCECFF"/>
          </w:tcPr>
          <w:p>
            <w:pPr>
              <w:spacing w:after="0"/>
              <w:rPr>
                <w:sz w:val="12"/>
                <w:szCs w:val="12"/>
                <w:color w:val="auto"/>
              </w:rPr>
            </w:pPr>
          </w:p>
        </w:tc>
      </w:tr>
      <w:tr>
        <w:trPr>
          <w:trHeight w:val="148"/>
        </w:trPr>
        <w:tc>
          <w:tcPr>
            <w:tcW w:w="3360" w:type="dxa"/>
            <w:vAlign w:val="bottom"/>
          </w:tcPr>
          <w:p>
            <w:pPr>
              <w:spacing w:after="0" w:line="149" w:lineRule="exact"/>
              <w:rPr>
                <w:sz w:val="20"/>
                <w:szCs w:val="20"/>
                <w:color w:val="auto"/>
              </w:rPr>
            </w:pPr>
            <w:r>
              <w:rPr>
                <w:rFonts w:ascii="Arial" w:cs="Arial" w:eastAsia="Arial" w:hAnsi="Arial"/>
                <w:sz w:val="11"/>
                <w:szCs w:val="11"/>
                <w:color w:val="auto"/>
              </w:rPr>
              <w:t xml:space="preserve">GSM Holdings, Inc. (Revolver) </w:t>
            </w:r>
            <w:r>
              <w:rPr>
                <w:rFonts w:ascii="Arial" w:cs="Arial" w:eastAsia="Arial" w:hAnsi="Arial"/>
                <w:sz w:val="17"/>
                <w:szCs w:val="17"/>
                <w:color w:val="auto"/>
                <w:vertAlign w:val="superscript"/>
              </w:rPr>
              <w:t>(7), (9)</w:t>
            </w:r>
          </w:p>
        </w:tc>
        <w:tc>
          <w:tcPr>
            <w:tcW w:w="920" w:type="dxa"/>
            <w:vAlign w:val="bottom"/>
          </w:tcPr>
          <w:p>
            <w:pPr>
              <w:jc w:val="center"/>
              <w:ind w:right="2"/>
              <w:spacing w:after="0"/>
              <w:rPr>
                <w:sz w:val="20"/>
                <w:szCs w:val="20"/>
                <w:color w:val="auto"/>
              </w:rPr>
            </w:pPr>
            <w:r>
              <w:rPr>
                <w:rFonts w:ascii="Arial" w:cs="Arial" w:eastAsia="Arial" w:hAnsi="Arial"/>
                <w:sz w:val="12"/>
                <w:szCs w:val="12"/>
                <w:color w:val="auto"/>
                <w:w w:val="89"/>
              </w:rPr>
              <w:t>06/03/2024</w:t>
            </w:r>
          </w:p>
        </w:tc>
        <w:tc>
          <w:tcPr>
            <w:tcW w:w="2440" w:type="dxa"/>
            <w:vAlign w:val="bottom"/>
            <w:gridSpan w:val="2"/>
          </w:tcPr>
          <w:p>
            <w:pPr>
              <w:jc w:val="center"/>
              <w:ind w:right="180"/>
              <w:spacing w:after="0"/>
              <w:rPr>
                <w:sz w:val="20"/>
                <w:szCs w:val="20"/>
                <w:color w:val="auto"/>
              </w:rPr>
            </w:pPr>
            <w:r>
              <w:rPr>
                <w:rFonts w:ascii="Arial" w:cs="Arial" w:eastAsia="Arial" w:hAnsi="Arial"/>
                <w:sz w:val="12"/>
                <w:szCs w:val="12"/>
                <w:color w:val="auto"/>
                <w:w w:val="88"/>
              </w:rPr>
              <w:t>Consumer Goods: Durable</w:t>
            </w:r>
          </w:p>
        </w:tc>
        <w:tc>
          <w:tcPr>
            <w:tcW w:w="78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1,187,747</w:t>
            </w:r>
          </w:p>
        </w:tc>
        <w:tc>
          <w:tcPr>
            <w:tcW w:w="240" w:type="dxa"/>
            <w:vAlign w:val="bottom"/>
          </w:tcPr>
          <w:p>
            <w:pPr>
              <w:spacing w:after="0"/>
              <w:rPr>
                <w:sz w:val="12"/>
                <w:szCs w:val="12"/>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820" w:type="dxa"/>
            <w:vAlign w:val="bottom"/>
            <w:gridSpan w:val="2"/>
          </w:tcPr>
          <w:p>
            <w:pPr>
              <w:jc w:val="right"/>
              <w:ind w:right="80"/>
              <w:spacing w:after="0"/>
              <w:rPr>
                <w:sz w:val="20"/>
                <w:szCs w:val="20"/>
                <w:color w:val="auto"/>
              </w:rPr>
            </w:pPr>
            <w:r>
              <w:rPr>
                <w:rFonts w:ascii="Arial" w:cs="Arial" w:eastAsia="Arial" w:hAnsi="Arial"/>
                <w:sz w:val="12"/>
                <w:szCs w:val="12"/>
                <w:color w:val="auto"/>
              </w:rPr>
              <w:t>(11,877)</w:t>
            </w:r>
          </w:p>
        </w:tc>
      </w:tr>
      <w:tr>
        <w:trPr>
          <w:trHeight w:val="149"/>
        </w:trPr>
        <w:tc>
          <w:tcPr>
            <w:tcW w:w="3360" w:type="dxa"/>
            <w:vAlign w:val="bottom"/>
            <w:shd w:val="clear" w:color="auto" w:fill="CCECFF"/>
          </w:tcPr>
          <w:p>
            <w:pPr>
              <w:spacing w:after="0"/>
              <w:rPr>
                <w:sz w:val="20"/>
                <w:szCs w:val="20"/>
                <w:color w:val="auto"/>
              </w:rPr>
            </w:pPr>
            <w:r>
              <w:rPr>
                <w:rFonts w:ascii="Arial" w:cs="Arial" w:eastAsia="Arial" w:hAnsi="Arial"/>
                <w:sz w:val="12"/>
                <w:szCs w:val="12"/>
                <w:color w:val="auto"/>
              </w:rPr>
              <w:t>HW Holdco, LLC</w:t>
            </w:r>
          </w:p>
        </w:tc>
        <w:tc>
          <w:tcPr>
            <w:tcW w:w="920" w:type="dxa"/>
            <w:vAlign w:val="bottom"/>
            <w:shd w:val="clear" w:color="auto" w:fill="CCECFF"/>
          </w:tcPr>
          <w:p>
            <w:pPr>
              <w:jc w:val="center"/>
              <w:ind w:right="2"/>
              <w:spacing w:after="0"/>
              <w:rPr>
                <w:sz w:val="20"/>
                <w:szCs w:val="20"/>
                <w:color w:val="auto"/>
              </w:rPr>
            </w:pPr>
            <w:r>
              <w:rPr>
                <w:rFonts w:ascii="Arial" w:cs="Arial" w:eastAsia="Arial" w:hAnsi="Arial"/>
                <w:sz w:val="12"/>
                <w:szCs w:val="12"/>
                <w:color w:val="auto"/>
                <w:w w:val="89"/>
              </w:rPr>
              <w:t>12/10/2024</w:t>
            </w:r>
          </w:p>
        </w:tc>
        <w:tc>
          <w:tcPr>
            <w:tcW w:w="2440" w:type="dxa"/>
            <w:vAlign w:val="bottom"/>
            <w:gridSpan w:val="2"/>
            <w:shd w:val="clear" w:color="auto" w:fill="CCECFF"/>
          </w:tcPr>
          <w:p>
            <w:pPr>
              <w:jc w:val="center"/>
              <w:ind w:right="180"/>
              <w:spacing w:after="0"/>
              <w:rPr>
                <w:sz w:val="20"/>
                <w:szCs w:val="20"/>
                <w:color w:val="auto"/>
              </w:rPr>
            </w:pPr>
            <w:r>
              <w:rPr>
                <w:rFonts w:ascii="Arial" w:cs="Arial" w:eastAsia="Arial" w:hAnsi="Arial"/>
                <w:sz w:val="12"/>
                <w:szCs w:val="12"/>
                <w:color w:val="auto"/>
                <w:w w:val="91"/>
              </w:rPr>
              <w:t>Media</w:t>
            </w:r>
          </w:p>
        </w:tc>
        <w:tc>
          <w:tcPr>
            <w:tcW w:w="780" w:type="dxa"/>
            <w:vAlign w:val="bottom"/>
            <w:gridSpan w:val="2"/>
            <w:shd w:val="clear" w:color="auto" w:fill="CCECFF"/>
          </w:tcPr>
          <w:p>
            <w:pPr>
              <w:jc w:val="right"/>
              <w:ind w:right="20"/>
              <w:spacing w:after="0"/>
              <w:rPr>
                <w:sz w:val="20"/>
                <w:szCs w:val="20"/>
                <w:color w:val="auto"/>
              </w:rPr>
            </w:pPr>
            <w:r>
              <w:rPr>
                <w:rFonts w:ascii="Arial" w:cs="Arial" w:eastAsia="Arial" w:hAnsi="Arial"/>
                <w:sz w:val="12"/>
                <w:szCs w:val="12"/>
                <w:color w:val="auto"/>
              </w:rPr>
              <w:t>8.39%</w:t>
            </w:r>
          </w:p>
        </w:tc>
        <w:tc>
          <w:tcPr>
            <w:tcW w:w="140" w:type="dxa"/>
            <w:vAlign w:val="bottom"/>
            <w:shd w:val="clear" w:color="auto" w:fill="CCECFF"/>
          </w:tcPr>
          <w:p>
            <w:pPr>
              <w:spacing w:after="0"/>
              <w:rPr>
                <w:sz w:val="12"/>
                <w:szCs w:val="12"/>
                <w:color w:val="auto"/>
              </w:rPr>
            </w:pPr>
          </w:p>
        </w:tc>
        <w:tc>
          <w:tcPr>
            <w:tcW w:w="960" w:type="dxa"/>
            <w:vAlign w:val="bottom"/>
            <w:gridSpan w:val="2"/>
            <w:shd w:val="clear" w:color="auto" w:fill="CCECFF"/>
          </w:tcPr>
          <w:p>
            <w:pPr>
              <w:jc w:val="right"/>
              <w:ind w:right="280"/>
              <w:spacing w:after="0"/>
              <w:rPr>
                <w:sz w:val="20"/>
                <w:szCs w:val="20"/>
                <w:color w:val="auto"/>
              </w:rPr>
            </w:pPr>
            <w:r>
              <w:rPr>
                <w:rFonts w:ascii="Arial" w:cs="Arial" w:eastAsia="Arial" w:hAnsi="Arial"/>
                <w:sz w:val="12"/>
                <w:szCs w:val="12"/>
                <w:color w:val="auto"/>
              </w:rPr>
              <w:t>1M L+625</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7,491,774</w:t>
            </w:r>
          </w:p>
        </w:tc>
        <w:tc>
          <w:tcPr>
            <w:tcW w:w="24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7,422,604</w:t>
            </w:r>
          </w:p>
        </w:tc>
        <w:tc>
          <w:tcPr>
            <w:tcW w:w="220" w:type="dxa"/>
            <w:vAlign w:val="bottom"/>
            <w:shd w:val="clear" w:color="auto" w:fill="CCECFF"/>
          </w:tcPr>
          <w:p>
            <w:pPr>
              <w:spacing w:after="0"/>
              <w:rPr>
                <w:sz w:val="12"/>
                <w:szCs w:val="12"/>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7,491,774</w:t>
            </w:r>
          </w:p>
        </w:tc>
        <w:tc>
          <w:tcPr>
            <w:tcW w:w="120" w:type="dxa"/>
            <w:vAlign w:val="bottom"/>
            <w:shd w:val="clear" w:color="auto" w:fill="CCECFF"/>
          </w:tcPr>
          <w:p>
            <w:pPr>
              <w:spacing w:after="0"/>
              <w:rPr>
                <w:sz w:val="12"/>
                <w:szCs w:val="12"/>
                <w:color w:val="auto"/>
              </w:rPr>
            </w:pPr>
          </w:p>
        </w:tc>
      </w:tr>
      <w:tr>
        <w:trPr>
          <w:trHeight w:val="148"/>
        </w:trPr>
        <w:tc>
          <w:tcPr>
            <w:tcW w:w="3360" w:type="dxa"/>
            <w:vAlign w:val="bottom"/>
          </w:tcPr>
          <w:p>
            <w:pPr>
              <w:spacing w:after="0" w:line="149" w:lineRule="exact"/>
              <w:rPr>
                <w:sz w:val="20"/>
                <w:szCs w:val="20"/>
                <w:color w:val="auto"/>
              </w:rPr>
            </w:pPr>
            <w:r>
              <w:rPr>
                <w:rFonts w:ascii="Arial" w:cs="Arial" w:eastAsia="Arial" w:hAnsi="Arial"/>
                <w:sz w:val="11"/>
                <w:szCs w:val="11"/>
                <w:color w:val="auto"/>
              </w:rPr>
              <w:t xml:space="preserve">HW Holdco, LLC (Revolver) </w:t>
            </w:r>
            <w:r>
              <w:rPr>
                <w:rFonts w:ascii="Arial" w:cs="Arial" w:eastAsia="Arial" w:hAnsi="Arial"/>
                <w:sz w:val="17"/>
                <w:szCs w:val="17"/>
                <w:color w:val="auto"/>
                <w:vertAlign w:val="superscript"/>
              </w:rPr>
              <w:t>(7)</w:t>
            </w:r>
          </w:p>
        </w:tc>
        <w:tc>
          <w:tcPr>
            <w:tcW w:w="920" w:type="dxa"/>
            <w:vAlign w:val="bottom"/>
          </w:tcPr>
          <w:p>
            <w:pPr>
              <w:jc w:val="center"/>
              <w:ind w:right="2"/>
              <w:spacing w:after="0"/>
              <w:rPr>
                <w:sz w:val="20"/>
                <w:szCs w:val="20"/>
                <w:color w:val="auto"/>
              </w:rPr>
            </w:pPr>
            <w:r>
              <w:rPr>
                <w:rFonts w:ascii="Arial" w:cs="Arial" w:eastAsia="Arial" w:hAnsi="Arial"/>
                <w:sz w:val="12"/>
                <w:szCs w:val="12"/>
                <w:color w:val="auto"/>
                <w:w w:val="89"/>
              </w:rPr>
              <w:t>12/10/2024</w:t>
            </w:r>
          </w:p>
        </w:tc>
        <w:tc>
          <w:tcPr>
            <w:tcW w:w="2440" w:type="dxa"/>
            <w:vAlign w:val="bottom"/>
            <w:gridSpan w:val="2"/>
          </w:tcPr>
          <w:p>
            <w:pPr>
              <w:jc w:val="center"/>
              <w:ind w:right="180"/>
              <w:spacing w:after="0"/>
              <w:rPr>
                <w:sz w:val="20"/>
                <w:szCs w:val="20"/>
                <w:color w:val="auto"/>
              </w:rPr>
            </w:pPr>
            <w:r>
              <w:rPr>
                <w:rFonts w:ascii="Arial" w:cs="Arial" w:eastAsia="Arial" w:hAnsi="Arial"/>
                <w:sz w:val="12"/>
                <w:szCs w:val="12"/>
                <w:color w:val="auto"/>
                <w:w w:val="91"/>
              </w:rPr>
              <w:t>Media</w:t>
            </w:r>
          </w:p>
        </w:tc>
        <w:tc>
          <w:tcPr>
            <w:tcW w:w="780" w:type="dxa"/>
            <w:vAlign w:val="bottom"/>
            <w:gridSpan w:val="2"/>
          </w:tcPr>
          <w:p>
            <w:pPr>
              <w:jc w:val="right"/>
              <w:ind w:right="20"/>
              <w:spacing w:after="0"/>
              <w:rPr>
                <w:sz w:val="20"/>
                <w:szCs w:val="20"/>
                <w:color w:val="auto"/>
              </w:rPr>
            </w:pPr>
            <w:r>
              <w:rPr>
                <w:rFonts w:ascii="Arial" w:cs="Arial" w:eastAsia="Arial" w:hAnsi="Arial"/>
                <w:sz w:val="12"/>
                <w:szCs w:val="12"/>
                <w:color w:val="auto"/>
              </w:rPr>
              <w:t>8.39%</w:t>
            </w:r>
          </w:p>
        </w:tc>
        <w:tc>
          <w:tcPr>
            <w:tcW w:w="140" w:type="dxa"/>
            <w:vAlign w:val="bottom"/>
          </w:tcPr>
          <w:p>
            <w:pPr>
              <w:spacing w:after="0"/>
              <w:rPr>
                <w:sz w:val="12"/>
                <w:szCs w:val="12"/>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2"/>
                <w:szCs w:val="12"/>
                <w:color w:val="auto"/>
              </w:rPr>
              <w:t>1M L+625</w:t>
            </w:r>
          </w:p>
        </w:tc>
        <w:tc>
          <w:tcPr>
            <w:tcW w:w="680" w:type="dxa"/>
            <w:vAlign w:val="bottom"/>
          </w:tcPr>
          <w:p>
            <w:pPr>
              <w:jc w:val="right"/>
              <w:spacing w:after="0"/>
              <w:rPr>
                <w:sz w:val="20"/>
                <w:szCs w:val="20"/>
                <w:color w:val="auto"/>
              </w:rPr>
            </w:pPr>
            <w:r>
              <w:rPr>
                <w:rFonts w:ascii="Arial" w:cs="Arial" w:eastAsia="Arial" w:hAnsi="Arial"/>
                <w:sz w:val="12"/>
                <w:szCs w:val="12"/>
                <w:color w:val="auto"/>
              </w:rPr>
              <w:t>209,032</w:t>
            </w:r>
          </w:p>
        </w:tc>
        <w:tc>
          <w:tcPr>
            <w:tcW w:w="24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209,032</w:t>
            </w:r>
          </w:p>
        </w:tc>
        <w:tc>
          <w:tcPr>
            <w:tcW w:w="22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209,032</w:t>
            </w:r>
          </w:p>
        </w:tc>
        <w:tc>
          <w:tcPr>
            <w:tcW w:w="120" w:type="dxa"/>
            <w:vAlign w:val="bottom"/>
          </w:tcPr>
          <w:p>
            <w:pPr>
              <w:spacing w:after="0"/>
              <w:rPr>
                <w:sz w:val="12"/>
                <w:szCs w:val="12"/>
                <w:color w:val="auto"/>
              </w:rPr>
            </w:pPr>
          </w:p>
        </w:tc>
      </w:tr>
      <w:tr>
        <w:trPr>
          <w:trHeight w:val="148"/>
        </w:trPr>
        <w:tc>
          <w:tcPr>
            <w:tcW w:w="3360" w:type="dxa"/>
            <w:vAlign w:val="bottom"/>
            <w:shd w:val="clear" w:color="auto" w:fill="CCECFF"/>
          </w:tcPr>
          <w:p>
            <w:pPr>
              <w:spacing w:after="0" w:line="149" w:lineRule="exact"/>
              <w:rPr>
                <w:sz w:val="20"/>
                <w:szCs w:val="20"/>
                <w:color w:val="auto"/>
              </w:rPr>
            </w:pPr>
            <w:r>
              <w:rPr>
                <w:rFonts w:ascii="Arial" w:cs="Arial" w:eastAsia="Arial" w:hAnsi="Arial"/>
                <w:sz w:val="11"/>
                <w:szCs w:val="11"/>
                <w:color w:val="auto"/>
              </w:rPr>
              <w:t xml:space="preserve">HW Holdco, LLC (Revolver) </w:t>
            </w:r>
            <w:r>
              <w:rPr>
                <w:rFonts w:ascii="Arial" w:cs="Arial" w:eastAsia="Arial" w:hAnsi="Arial"/>
                <w:sz w:val="17"/>
                <w:szCs w:val="17"/>
                <w:color w:val="auto"/>
                <w:vertAlign w:val="superscript"/>
              </w:rPr>
              <w:t>(7), (9)</w:t>
            </w:r>
          </w:p>
        </w:tc>
        <w:tc>
          <w:tcPr>
            <w:tcW w:w="920" w:type="dxa"/>
            <w:vAlign w:val="bottom"/>
            <w:shd w:val="clear" w:color="auto" w:fill="CCECFF"/>
          </w:tcPr>
          <w:p>
            <w:pPr>
              <w:jc w:val="center"/>
              <w:ind w:right="2"/>
              <w:spacing w:after="0"/>
              <w:rPr>
                <w:sz w:val="20"/>
                <w:szCs w:val="20"/>
                <w:color w:val="auto"/>
              </w:rPr>
            </w:pPr>
            <w:r>
              <w:rPr>
                <w:rFonts w:ascii="Arial" w:cs="Arial" w:eastAsia="Arial" w:hAnsi="Arial"/>
                <w:sz w:val="12"/>
                <w:szCs w:val="12"/>
                <w:color w:val="auto"/>
                <w:w w:val="89"/>
              </w:rPr>
              <w:t>12/10/2024</w:t>
            </w:r>
          </w:p>
        </w:tc>
        <w:tc>
          <w:tcPr>
            <w:tcW w:w="2440" w:type="dxa"/>
            <w:vAlign w:val="bottom"/>
            <w:gridSpan w:val="2"/>
            <w:shd w:val="clear" w:color="auto" w:fill="CCECFF"/>
          </w:tcPr>
          <w:p>
            <w:pPr>
              <w:jc w:val="center"/>
              <w:ind w:right="180"/>
              <w:spacing w:after="0"/>
              <w:rPr>
                <w:sz w:val="20"/>
                <w:szCs w:val="20"/>
                <w:color w:val="auto"/>
              </w:rPr>
            </w:pPr>
            <w:r>
              <w:rPr>
                <w:rFonts w:ascii="Arial" w:cs="Arial" w:eastAsia="Arial" w:hAnsi="Arial"/>
                <w:sz w:val="12"/>
                <w:szCs w:val="12"/>
                <w:color w:val="auto"/>
                <w:w w:val="91"/>
              </w:rPr>
              <w:t>Media</w:t>
            </w:r>
          </w:p>
        </w:tc>
        <w:tc>
          <w:tcPr>
            <w:tcW w:w="780" w:type="dxa"/>
            <w:vAlign w:val="bottom"/>
            <w:gridSpan w:val="2"/>
            <w:shd w:val="clear" w:color="auto" w:fill="CCECFF"/>
          </w:tcPr>
          <w:p>
            <w:pPr>
              <w:jc w:val="right"/>
              <w:ind w:right="12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CFF"/>
          </w:tcPr>
          <w:p>
            <w:pPr>
              <w:spacing w:after="0"/>
              <w:rPr>
                <w:sz w:val="12"/>
                <w:szCs w:val="12"/>
                <w:color w:val="auto"/>
              </w:rPr>
            </w:pPr>
          </w:p>
        </w:tc>
        <w:tc>
          <w:tcPr>
            <w:tcW w:w="960" w:type="dxa"/>
            <w:vAlign w:val="bottom"/>
            <w:gridSpan w:val="2"/>
            <w:shd w:val="clear" w:color="auto" w:fill="CCECFF"/>
          </w:tcPr>
          <w:p>
            <w:pPr>
              <w:jc w:val="right"/>
              <w:ind w:right="280"/>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1,242,581</w:t>
            </w:r>
          </w:p>
        </w:tc>
        <w:tc>
          <w:tcPr>
            <w:tcW w:w="240" w:type="dxa"/>
            <w:vAlign w:val="bottom"/>
            <w:shd w:val="clear" w:color="auto" w:fill="CCECFF"/>
          </w:tcPr>
          <w:p>
            <w:pPr>
              <w:spacing w:after="0"/>
              <w:rPr>
                <w:sz w:val="12"/>
                <w:szCs w:val="12"/>
                <w:color w:val="auto"/>
              </w:rPr>
            </w:pP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82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w:t>
            </w:r>
          </w:p>
        </w:tc>
      </w:tr>
      <w:tr>
        <w:trPr>
          <w:trHeight w:val="149"/>
        </w:trPr>
        <w:tc>
          <w:tcPr>
            <w:tcW w:w="3360" w:type="dxa"/>
            <w:vAlign w:val="bottom"/>
          </w:tcPr>
          <w:p>
            <w:pPr>
              <w:spacing w:after="0" w:line="149" w:lineRule="exact"/>
              <w:rPr>
                <w:sz w:val="20"/>
                <w:szCs w:val="20"/>
                <w:color w:val="auto"/>
              </w:rPr>
            </w:pPr>
            <w:r>
              <w:rPr>
                <w:rFonts w:ascii="Arial" w:cs="Arial" w:eastAsia="Arial" w:hAnsi="Arial"/>
                <w:sz w:val="11"/>
                <w:szCs w:val="11"/>
                <w:color w:val="auto"/>
              </w:rPr>
              <w:t xml:space="preserve">IMIA Holdings, Inc. (Revolver) </w:t>
            </w:r>
            <w:r>
              <w:rPr>
                <w:rFonts w:ascii="Arial" w:cs="Arial" w:eastAsia="Arial" w:hAnsi="Arial"/>
                <w:sz w:val="17"/>
                <w:szCs w:val="17"/>
                <w:color w:val="auto"/>
                <w:vertAlign w:val="superscript"/>
              </w:rPr>
              <w:t>(7), (9)</w:t>
            </w:r>
          </w:p>
        </w:tc>
        <w:tc>
          <w:tcPr>
            <w:tcW w:w="920" w:type="dxa"/>
            <w:vAlign w:val="bottom"/>
          </w:tcPr>
          <w:p>
            <w:pPr>
              <w:jc w:val="center"/>
              <w:ind w:right="2"/>
              <w:spacing w:after="0"/>
              <w:rPr>
                <w:sz w:val="20"/>
                <w:szCs w:val="20"/>
                <w:color w:val="auto"/>
              </w:rPr>
            </w:pPr>
            <w:r>
              <w:rPr>
                <w:rFonts w:ascii="Arial" w:cs="Arial" w:eastAsia="Arial" w:hAnsi="Arial"/>
                <w:sz w:val="12"/>
                <w:szCs w:val="12"/>
                <w:color w:val="auto"/>
                <w:w w:val="89"/>
              </w:rPr>
              <w:t>10/28/2024</w:t>
            </w:r>
          </w:p>
        </w:tc>
        <w:tc>
          <w:tcPr>
            <w:tcW w:w="2440" w:type="dxa"/>
            <w:vAlign w:val="bottom"/>
            <w:gridSpan w:val="2"/>
          </w:tcPr>
          <w:p>
            <w:pPr>
              <w:jc w:val="center"/>
              <w:ind w:right="180"/>
              <w:spacing w:after="0"/>
              <w:rPr>
                <w:sz w:val="20"/>
                <w:szCs w:val="20"/>
                <w:color w:val="auto"/>
              </w:rPr>
            </w:pPr>
            <w:r>
              <w:rPr>
                <w:rFonts w:ascii="Arial" w:cs="Arial" w:eastAsia="Arial" w:hAnsi="Arial"/>
                <w:sz w:val="12"/>
                <w:szCs w:val="12"/>
                <w:color w:val="auto"/>
                <w:w w:val="85"/>
              </w:rPr>
              <w:t>Aerospace and Defense</w:t>
            </w:r>
          </w:p>
        </w:tc>
        <w:tc>
          <w:tcPr>
            <w:tcW w:w="78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1,968,504</w:t>
            </w:r>
          </w:p>
        </w:tc>
        <w:tc>
          <w:tcPr>
            <w:tcW w:w="240" w:type="dxa"/>
            <w:vAlign w:val="bottom"/>
          </w:tcPr>
          <w:p>
            <w:pPr>
              <w:spacing w:after="0"/>
              <w:rPr>
                <w:sz w:val="12"/>
                <w:szCs w:val="12"/>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8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r>
      <w:tr>
        <w:trPr>
          <w:trHeight w:val="148"/>
        </w:trPr>
        <w:tc>
          <w:tcPr>
            <w:tcW w:w="3360" w:type="dxa"/>
            <w:vAlign w:val="bottom"/>
            <w:shd w:val="clear" w:color="auto" w:fill="CCECFF"/>
          </w:tcPr>
          <w:p>
            <w:pPr>
              <w:spacing w:after="0"/>
              <w:rPr>
                <w:sz w:val="20"/>
                <w:szCs w:val="20"/>
                <w:color w:val="auto"/>
              </w:rPr>
            </w:pPr>
            <w:r>
              <w:rPr>
                <w:rFonts w:ascii="Arial" w:cs="Arial" w:eastAsia="Arial" w:hAnsi="Arial"/>
                <w:sz w:val="12"/>
                <w:szCs w:val="12"/>
                <w:color w:val="auto"/>
              </w:rPr>
              <w:t>Impact Group, LLC</w:t>
            </w:r>
          </w:p>
        </w:tc>
        <w:tc>
          <w:tcPr>
            <w:tcW w:w="920" w:type="dxa"/>
            <w:vAlign w:val="bottom"/>
            <w:shd w:val="clear" w:color="auto" w:fill="CCECFF"/>
          </w:tcPr>
          <w:p>
            <w:pPr>
              <w:jc w:val="center"/>
              <w:ind w:right="2"/>
              <w:spacing w:after="0"/>
              <w:rPr>
                <w:sz w:val="20"/>
                <w:szCs w:val="20"/>
                <w:color w:val="auto"/>
              </w:rPr>
            </w:pPr>
            <w:r>
              <w:rPr>
                <w:rFonts w:ascii="Arial" w:cs="Arial" w:eastAsia="Arial" w:hAnsi="Arial"/>
                <w:sz w:val="12"/>
                <w:szCs w:val="12"/>
                <w:color w:val="auto"/>
                <w:w w:val="89"/>
              </w:rPr>
              <w:t>06/27/2023</w:t>
            </w:r>
          </w:p>
        </w:tc>
        <w:tc>
          <w:tcPr>
            <w:tcW w:w="2440" w:type="dxa"/>
            <w:vAlign w:val="bottom"/>
            <w:gridSpan w:val="2"/>
            <w:shd w:val="clear" w:color="auto" w:fill="CCECFF"/>
          </w:tcPr>
          <w:p>
            <w:pPr>
              <w:jc w:val="center"/>
              <w:ind w:right="180"/>
              <w:spacing w:after="0"/>
              <w:rPr>
                <w:sz w:val="20"/>
                <w:szCs w:val="20"/>
                <w:color w:val="auto"/>
              </w:rPr>
            </w:pPr>
            <w:r>
              <w:rPr>
                <w:rFonts w:ascii="Arial" w:cs="Arial" w:eastAsia="Arial" w:hAnsi="Arial"/>
                <w:sz w:val="12"/>
                <w:szCs w:val="12"/>
                <w:color w:val="auto"/>
                <w:w w:val="89"/>
              </w:rPr>
              <w:t>Wholesale</w:t>
            </w:r>
          </w:p>
        </w:tc>
        <w:tc>
          <w:tcPr>
            <w:tcW w:w="780" w:type="dxa"/>
            <w:vAlign w:val="bottom"/>
            <w:gridSpan w:val="2"/>
            <w:shd w:val="clear" w:color="auto" w:fill="CCECFF"/>
          </w:tcPr>
          <w:p>
            <w:pPr>
              <w:jc w:val="right"/>
              <w:ind w:right="20"/>
              <w:spacing w:after="0"/>
              <w:rPr>
                <w:sz w:val="20"/>
                <w:szCs w:val="20"/>
                <w:color w:val="auto"/>
              </w:rPr>
            </w:pPr>
            <w:r>
              <w:rPr>
                <w:rFonts w:ascii="Arial" w:cs="Arial" w:eastAsia="Arial" w:hAnsi="Arial"/>
                <w:sz w:val="12"/>
                <w:szCs w:val="12"/>
                <w:color w:val="auto"/>
              </w:rPr>
              <w:t>8.72%</w:t>
            </w:r>
          </w:p>
        </w:tc>
        <w:tc>
          <w:tcPr>
            <w:tcW w:w="140" w:type="dxa"/>
            <w:vAlign w:val="bottom"/>
            <w:shd w:val="clear" w:color="auto" w:fill="CCECFF"/>
          </w:tcPr>
          <w:p>
            <w:pPr>
              <w:spacing w:after="0"/>
              <w:rPr>
                <w:sz w:val="12"/>
                <w:szCs w:val="12"/>
                <w:color w:val="auto"/>
              </w:rPr>
            </w:pPr>
          </w:p>
        </w:tc>
        <w:tc>
          <w:tcPr>
            <w:tcW w:w="960" w:type="dxa"/>
            <w:vAlign w:val="bottom"/>
            <w:gridSpan w:val="2"/>
            <w:shd w:val="clear" w:color="auto" w:fill="CCECFF"/>
          </w:tcPr>
          <w:p>
            <w:pPr>
              <w:jc w:val="right"/>
              <w:ind w:right="280"/>
              <w:spacing w:after="0"/>
              <w:rPr>
                <w:sz w:val="20"/>
                <w:szCs w:val="20"/>
                <w:color w:val="auto"/>
              </w:rPr>
            </w:pPr>
            <w:r>
              <w:rPr>
                <w:rFonts w:ascii="Arial" w:cs="Arial" w:eastAsia="Arial" w:hAnsi="Arial"/>
                <w:sz w:val="12"/>
                <w:szCs w:val="12"/>
                <w:color w:val="auto"/>
              </w:rPr>
              <w:t>1M L+650</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12,807,129</w:t>
            </w:r>
          </w:p>
        </w:tc>
        <w:tc>
          <w:tcPr>
            <w:tcW w:w="24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12,742,367</w:t>
            </w:r>
          </w:p>
        </w:tc>
        <w:tc>
          <w:tcPr>
            <w:tcW w:w="220" w:type="dxa"/>
            <w:vAlign w:val="bottom"/>
            <w:shd w:val="clear" w:color="auto" w:fill="CCECFF"/>
          </w:tcPr>
          <w:p>
            <w:pPr>
              <w:spacing w:after="0"/>
              <w:rPr>
                <w:sz w:val="12"/>
                <w:szCs w:val="12"/>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12,679,058</w:t>
            </w:r>
          </w:p>
        </w:tc>
        <w:tc>
          <w:tcPr>
            <w:tcW w:w="120" w:type="dxa"/>
            <w:vAlign w:val="bottom"/>
            <w:shd w:val="clear" w:color="auto" w:fill="CCECFF"/>
          </w:tcPr>
          <w:p>
            <w:pPr>
              <w:spacing w:after="0"/>
              <w:rPr>
                <w:sz w:val="12"/>
                <w:szCs w:val="12"/>
                <w:color w:val="auto"/>
              </w:rPr>
            </w:pPr>
          </w:p>
        </w:tc>
      </w:tr>
      <w:tr>
        <w:trPr>
          <w:trHeight w:val="149"/>
        </w:trPr>
        <w:tc>
          <w:tcPr>
            <w:tcW w:w="3360" w:type="dxa"/>
            <w:vAlign w:val="bottom"/>
          </w:tcPr>
          <w:p>
            <w:pPr>
              <w:spacing w:after="0" w:line="149" w:lineRule="exact"/>
              <w:rPr>
                <w:sz w:val="20"/>
                <w:szCs w:val="20"/>
                <w:color w:val="auto"/>
              </w:rPr>
            </w:pPr>
            <w:r>
              <w:rPr>
                <w:rFonts w:ascii="Arial" w:cs="Arial" w:eastAsia="Arial" w:hAnsi="Arial"/>
                <w:sz w:val="11"/>
                <w:szCs w:val="11"/>
                <w:color w:val="auto"/>
              </w:rPr>
              <w:t xml:space="preserve">Innova Medical Ophthalmics Inc. </w:t>
            </w:r>
            <w:r>
              <w:rPr>
                <w:rFonts w:ascii="Arial" w:cs="Arial" w:eastAsia="Arial" w:hAnsi="Arial"/>
                <w:sz w:val="17"/>
                <w:szCs w:val="17"/>
                <w:color w:val="auto"/>
                <w:vertAlign w:val="superscript"/>
              </w:rPr>
              <w:t>(5), (10)</w:t>
            </w:r>
          </w:p>
        </w:tc>
        <w:tc>
          <w:tcPr>
            <w:tcW w:w="920" w:type="dxa"/>
            <w:vAlign w:val="bottom"/>
          </w:tcPr>
          <w:p>
            <w:pPr>
              <w:jc w:val="center"/>
              <w:ind w:right="2"/>
              <w:spacing w:after="0"/>
              <w:rPr>
                <w:sz w:val="20"/>
                <w:szCs w:val="20"/>
                <w:color w:val="auto"/>
              </w:rPr>
            </w:pPr>
            <w:r>
              <w:rPr>
                <w:rFonts w:ascii="Arial" w:cs="Arial" w:eastAsia="Arial" w:hAnsi="Arial"/>
                <w:sz w:val="12"/>
                <w:szCs w:val="12"/>
                <w:color w:val="auto"/>
                <w:w w:val="89"/>
              </w:rPr>
              <w:t>04/13/2023</w:t>
            </w:r>
          </w:p>
        </w:tc>
        <w:tc>
          <w:tcPr>
            <w:tcW w:w="2440" w:type="dxa"/>
            <w:vAlign w:val="bottom"/>
            <w:gridSpan w:val="2"/>
          </w:tcPr>
          <w:p>
            <w:pPr>
              <w:jc w:val="center"/>
              <w:ind w:right="200"/>
              <w:spacing w:after="0"/>
              <w:rPr>
                <w:sz w:val="20"/>
                <w:szCs w:val="20"/>
                <w:color w:val="auto"/>
              </w:rPr>
            </w:pPr>
            <w:r>
              <w:rPr>
                <w:rFonts w:ascii="Arial" w:cs="Arial" w:eastAsia="Arial" w:hAnsi="Arial"/>
                <w:sz w:val="12"/>
                <w:szCs w:val="12"/>
                <w:color w:val="auto"/>
                <w:w w:val="89"/>
              </w:rPr>
              <w:t>Capital Equipment</w:t>
            </w:r>
          </w:p>
        </w:tc>
        <w:tc>
          <w:tcPr>
            <w:tcW w:w="780" w:type="dxa"/>
            <w:vAlign w:val="bottom"/>
            <w:gridSpan w:val="2"/>
          </w:tcPr>
          <w:p>
            <w:pPr>
              <w:jc w:val="right"/>
              <w:ind w:right="20"/>
              <w:spacing w:after="0"/>
              <w:rPr>
                <w:sz w:val="20"/>
                <w:szCs w:val="20"/>
                <w:color w:val="auto"/>
              </w:rPr>
            </w:pPr>
            <w:r>
              <w:rPr>
                <w:rFonts w:ascii="Arial" w:cs="Arial" w:eastAsia="Arial" w:hAnsi="Arial"/>
                <w:sz w:val="12"/>
                <w:szCs w:val="12"/>
                <w:color w:val="auto"/>
              </w:rPr>
              <w:t>8.35%</w:t>
            </w:r>
          </w:p>
        </w:tc>
        <w:tc>
          <w:tcPr>
            <w:tcW w:w="140" w:type="dxa"/>
            <w:vAlign w:val="bottom"/>
          </w:tcPr>
          <w:p>
            <w:pPr>
              <w:spacing w:after="0"/>
              <w:rPr>
                <w:sz w:val="12"/>
                <w:szCs w:val="12"/>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2"/>
                <w:szCs w:val="12"/>
                <w:color w:val="auto"/>
              </w:rPr>
              <w:t>3M L+625</w:t>
            </w:r>
          </w:p>
        </w:tc>
        <w:tc>
          <w:tcPr>
            <w:tcW w:w="680" w:type="dxa"/>
            <w:vAlign w:val="bottom"/>
          </w:tcPr>
          <w:p>
            <w:pPr>
              <w:jc w:val="right"/>
              <w:spacing w:after="0"/>
              <w:rPr>
                <w:sz w:val="20"/>
                <w:szCs w:val="20"/>
                <w:color w:val="auto"/>
              </w:rPr>
            </w:pPr>
            <w:r>
              <w:rPr>
                <w:rFonts w:ascii="Arial" w:cs="Arial" w:eastAsia="Arial" w:hAnsi="Arial"/>
                <w:sz w:val="12"/>
                <w:szCs w:val="12"/>
                <w:color w:val="auto"/>
              </w:rPr>
              <w:t>3,305,640</w:t>
            </w:r>
          </w:p>
        </w:tc>
        <w:tc>
          <w:tcPr>
            <w:tcW w:w="24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3,271,191</w:t>
            </w:r>
          </w:p>
        </w:tc>
        <w:tc>
          <w:tcPr>
            <w:tcW w:w="22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3,272,584</w:t>
            </w:r>
          </w:p>
        </w:tc>
        <w:tc>
          <w:tcPr>
            <w:tcW w:w="120" w:type="dxa"/>
            <w:vAlign w:val="bottom"/>
          </w:tcPr>
          <w:p>
            <w:pPr>
              <w:spacing w:after="0"/>
              <w:rPr>
                <w:sz w:val="12"/>
                <w:szCs w:val="12"/>
                <w:color w:val="auto"/>
              </w:rPr>
            </w:pPr>
          </w:p>
        </w:tc>
      </w:tr>
      <w:tr>
        <w:trPr>
          <w:trHeight w:val="148"/>
        </w:trPr>
        <w:tc>
          <w:tcPr>
            <w:tcW w:w="3360" w:type="dxa"/>
            <w:vAlign w:val="bottom"/>
            <w:shd w:val="clear" w:color="auto" w:fill="CCECFF"/>
          </w:tcPr>
          <w:p>
            <w:pPr>
              <w:spacing w:after="0" w:line="149" w:lineRule="exact"/>
              <w:rPr>
                <w:sz w:val="20"/>
                <w:szCs w:val="20"/>
                <w:color w:val="auto"/>
              </w:rPr>
            </w:pPr>
            <w:r>
              <w:rPr>
                <w:rFonts w:ascii="Arial" w:cs="Arial" w:eastAsia="Arial" w:hAnsi="Arial"/>
                <w:sz w:val="11"/>
                <w:szCs w:val="11"/>
                <w:color w:val="auto"/>
              </w:rPr>
              <w:t xml:space="preserve">Innova Medical Ophthalmics Inc. (Revolver) </w:t>
            </w:r>
            <w:r>
              <w:rPr>
                <w:rFonts w:ascii="Arial" w:cs="Arial" w:eastAsia="Arial" w:hAnsi="Arial"/>
                <w:sz w:val="17"/>
                <w:szCs w:val="17"/>
                <w:color w:val="auto"/>
                <w:vertAlign w:val="superscript"/>
              </w:rPr>
              <w:t>(5), (7), (10)</w:t>
            </w:r>
          </w:p>
        </w:tc>
        <w:tc>
          <w:tcPr>
            <w:tcW w:w="920" w:type="dxa"/>
            <w:vAlign w:val="bottom"/>
            <w:shd w:val="clear" w:color="auto" w:fill="CCECFF"/>
          </w:tcPr>
          <w:p>
            <w:pPr>
              <w:jc w:val="center"/>
              <w:ind w:right="2"/>
              <w:spacing w:after="0"/>
              <w:rPr>
                <w:sz w:val="20"/>
                <w:szCs w:val="20"/>
                <w:color w:val="auto"/>
              </w:rPr>
            </w:pPr>
            <w:r>
              <w:rPr>
                <w:rFonts w:ascii="Arial" w:cs="Arial" w:eastAsia="Arial" w:hAnsi="Arial"/>
                <w:sz w:val="12"/>
                <w:szCs w:val="12"/>
                <w:color w:val="auto"/>
                <w:w w:val="89"/>
              </w:rPr>
              <w:t>04/13/2023</w:t>
            </w:r>
          </w:p>
        </w:tc>
        <w:tc>
          <w:tcPr>
            <w:tcW w:w="2440" w:type="dxa"/>
            <w:vAlign w:val="bottom"/>
            <w:gridSpan w:val="2"/>
            <w:shd w:val="clear" w:color="auto" w:fill="CCECFF"/>
          </w:tcPr>
          <w:p>
            <w:pPr>
              <w:jc w:val="center"/>
              <w:ind w:right="200"/>
              <w:spacing w:after="0"/>
              <w:rPr>
                <w:sz w:val="20"/>
                <w:szCs w:val="20"/>
                <w:color w:val="auto"/>
              </w:rPr>
            </w:pPr>
            <w:r>
              <w:rPr>
                <w:rFonts w:ascii="Arial" w:cs="Arial" w:eastAsia="Arial" w:hAnsi="Arial"/>
                <w:sz w:val="12"/>
                <w:szCs w:val="12"/>
                <w:color w:val="auto"/>
                <w:w w:val="89"/>
              </w:rPr>
              <w:t>Capital Equipment</w:t>
            </w:r>
          </w:p>
        </w:tc>
        <w:tc>
          <w:tcPr>
            <w:tcW w:w="780" w:type="dxa"/>
            <w:vAlign w:val="bottom"/>
            <w:gridSpan w:val="2"/>
            <w:shd w:val="clear" w:color="auto" w:fill="CCECFF"/>
          </w:tcPr>
          <w:p>
            <w:pPr>
              <w:jc w:val="right"/>
              <w:ind w:right="20"/>
              <w:spacing w:after="0"/>
              <w:rPr>
                <w:sz w:val="20"/>
                <w:szCs w:val="20"/>
                <w:color w:val="auto"/>
              </w:rPr>
            </w:pPr>
            <w:r>
              <w:rPr>
                <w:rFonts w:ascii="Arial" w:cs="Arial" w:eastAsia="Arial" w:hAnsi="Arial"/>
                <w:sz w:val="12"/>
                <w:szCs w:val="12"/>
                <w:color w:val="auto"/>
              </w:rPr>
              <w:t>10.00%</w:t>
            </w:r>
          </w:p>
        </w:tc>
        <w:tc>
          <w:tcPr>
            <w:tcW w:w="140" w:type="dxa"/>
            <w:vAlign w:val="bottom"/>
            <w:shd w:val="clear" w:color="auto" w:fill="CCECFF"/>
          </w:tcPr>
          <w:p>
            <w:pPr>
              <w:spacing w:after="0"/>
              <w:rPr>
                <w:sz w:val="12"/>
                <w:szCs w:val="12"/>
                <w:color w:val="auto"/>
              </w:rPr>
            </w:pPr>
          </w:p>
        </w:tc>
        <w:tc>
          <w:tcPr>
            <w:tcW w:w="960" w:type="dxa"/>
            <w:vAlign w:val="bottom"/>
            <w:gridSpan w:val="2"/>
            <w:shd w:val="clear" w:color="auto" w:fill="CCECFF"/>
          </w:tcPr>
          <w:p>
            <w:pPr>
              <w:jc w:val="right"/>
              <w:ind w:right="280"/>
              <w:spacing w:after="0"/>
              <w:rPr>
                <w:sz w:val="20"/>
                <w:szCs w:val="20"/>
                <w:color w:val="auto"/>
              </w:rPr>
            </w:pPr>
            <w:r>
              <w:rPr>
                <w:rFonts w:ascii="Arial" w:cs="Arial" w:eastAsia="Arial" w:hAnsi="Arial"/>
                <w:sz w:val="12"/>
                <w:szCs w:val="12"/>
                <w:color w:val="auto"/>
              </w:rPr>
              <w:t>P+500</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159,292</w:t>
            </w:r>
          </w:p>
        </w:tc>
        <w:tc>
          <w:tcPr>
            <w:tcW w:w="24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159,292</w:t>
            </w:r>
          </w:p>
        </w:tc>
        <w:tc>
          <w:tcPr>
            <w:tcW w:w="220" w:type="dxa"/>
            <w:vAlign w:val="bottom"/>
            <w:shd w:val="clear" w:color="auto" w:fill="CCECFF"/>
          </w:tcPr>
          <w:p>
            <w:pPr>
              <w:spacing w:after="0"/>
              <w:rPr>
                <w:sz w:val="12"/>
                <w:szCs w:val="12"/>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158,495</w:t>
            </w:r>
          </w:p>
        </w:tc>
        <w:tc>
          <w:tcPr>
            <w:tcW w:w="120" w:type="dxa"/>
            <w:vAlign w:val="bottom"/>
            <w:shd w:val="clear" w:color="auto" w:fill="CCECFF"/>
          </w:tcPr>
          <w:p>
            <w:pPr>
              <w:spacing w:after="0"/>
              <w:rPr>
                <w:sz w:val="12"/>
                <w:szCs w:val="12"/>
                <w:color w:val="auto"/>
              </w:rPr>
            </w:pPr>
          </w:p>
        </w:tc>
      </w:tr>
      <w:tr>
        <w:trPr>
          <w:trHeight w:val="148"/>
        </w:trPr>
        <w:tc>
          <w:tcPr>
            <w:tcW w:w="3360" w:type="dxa"/>
            <w:vAlign w:val="bottom"/>
          </w:tcPr>
          <w:p>
            <w:pPr>
              <w:spacing w:after="0" w:line="149" w:lineRule="exact"/>
              <w:rPr>
                <w:sz w:val="20"/>
                <w:szCs w:val="20"/>
                <w:color w:val="auto"/>
              </w:rPr>
            </w:pPr>
            <w:r>
              <w:rPr>
                <w:rFonts w:ascii="Arial" w:cs="Arial" w:eastAsia="Arial" w:hAnsi="Arial"/>
                <w:sz w:val="11"/>
                <w:szCs w:val="11"/>
                <w:color w:val="auto"/>
              </w:rPr>
              <w:t xml:space="preserve">Innova Medical Ophthalmics Inc. (Revolver) </w:t>
            </w:r>
            <w:r>
              <w:rPr>
                <w:rFonts w:ascii="Arial" w:cs="Arial" w:eastAsia="Arial" w:hAnsi="Arial"/>
                <w:sz w:val="17"/>
                <w:szCs w:val="17"/>
                <w:color w:val="auto"/>
                <w:vertAlign w:val="superscript"/>
              </w:rPr>
              <w:t>(5), (7), (9), (10)</w:t>
            </w:r>
          </w:p>
        </w:tc>
        <w:tc>
          <w:tcPr>
            <w:tcW w:w="920" w:type="dxa"/>
            <w:vAlign w:val="bottom"/>
          </w:tcPr>
          <w:p>
            <w:pPr>
              <w:jc w:val="center"/>
              <w:ind w:right="2"/>
              <w:spacing w:after="0"/>
              <w:rPr>
                <w:sz w:val="20"/>
                <w:szCs w:val="20"/>
                <w:color w:val="auto"/>
              </w:rPr>
            </w:pPr>
            <w:r>
              <w:rPr>
                <w:rFonts w:ascii="Arial" w:cs="Arial" w:eastAsia="Arial" w:hAnsi="Arial"/>
                <w:sz w:val="12"/>
                <w:szCs w:val="12"/>
                <w:color w:val="auto"/>
                <w:w w:val="89"/>
              </w:rPr>
              <w:t>04/13/2023</w:t>
            </w:r>
          </w:p>
        </w:tc>
        <w:tc>
          <w:tcPr>
            <w:tcW w:w="2440" w:type="dxa"/>
            <w:vAlign w:val="bottom"/>
            <w:gridSpan w:val="2"/>
          </w:tcPr>
          <w:p>
            <w:pPr>
              <w:jc w:val="center"/>
              <w:ind w:right="200"/>
              <w:spacing w:after="0"/>
              <w:rPr>
                <w:sz w:val="20"/>
                <w:szCs w:val="20"/>
                <w:color w:val="auto"/>
              </w:rPr>
            </w:pPr>
            <w:r>
              <w:rPr>
                <w:rFonts w:ascii="Arial" w:cs="Arial" w:eastAsia="Arial" w:hAnsi="Arial"/>
                <w:sz w:val="12"/>
                <w:szCs w:val="12"/>
                <w:color w:val="auto"/>
                <w:w w:val="89"/>
              </w:rPr>
              <w:t>Capital Equipment</w:t>
            </w:r>
          </w:p>
        </w:tc>
        <w:tc>
          <w:tcPr>
            <w:tcW w:w="78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371,681</w:t>
            </w:r>
          </w:p>
        </w:tc>
        <w:tc>
          <w:tcPr>
            <w:tcW w:w="240" w:type="dxa"/>
            <w:vAlign w:val="bottom"/>
          </w:tcPr>
          <w:p>
            <w:pPr>
              <w:spacing w:after="0"/>
              <w:rPr>
                <w:sz w:val="12"/>
                <w:szCs w:val="12"/>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820" w:type="dxa"/>
            <w:vAlign w:val="bottom"/>
            <w:gridSpan w:val="2"/>
          </w:tcPr>
          <w:p>
            <w:pPr>
              <w:jc w:val="right"/>
              <w:ind w:right="80"/>
              <w:spacing w:after="0"/>
              <w:rPr>
                <w:sz w:val="20"/>
                <w:szCs w:val="20"/>
                <w:color w:val="auto"/>
              </w:rPr>
            </w:pPr>
            <w:r>
              <w:rPr>
                <w:rFonts w:ascii="Arial" w:cs="Arial" w:eastAsia="Arial" w:hAnsi="Arial"/>
                <w:sz w:val="12"/>
                <w:szCs w:val="12"/>
                <w:color w:val="auto"/>
              </w:rPr>
              <w:t>(1,858)</w:t>
            </w:r>
          </w:p>
        </w:tc>
      </w:tr>
      <w:tr>
        <w:trPr>
          <w:trHeight w:val="149"/>
        </w:trPr>
        <w:tc>
          <w:tcPr>
            <w:tcW w:w="3360" w:type="dxa"/>
            <w:vAlign w:val="bottom"/>
            <w:shd w:val="clear" w:color="auto" w:fill="CCECFF"/>
          </w:tcPr>
          <w:p>
            <w:pPr>
              <w:spacing w:after="0"/>
              <w:rPr>
                <w:sz w:val="20"/>
                <w:szCs w:val="20"/>
                <w:color w:val="auto"/>
              </w:rPr>
            </w:pPr>
            <w:r>
              <w:rPr>
                <w:rFonts w:ascii="Arial" w:cs="Arial" w:eastAsia="Arial" w:hAnsi="Arial"/>
                <w:sz w:val="12"/>
                <w:szCs w:val="12"/>
                <w:color w:val="auto"/>
              </w:rPr>
              <w:t>Integrative Nutrition, LLC</w:t>
            </w:r>
          </w:p>
        </w:tc>
        <w:tc>
          <w:tcPr>
            <w:tcW w:w="920" w:type="dxa"/>
            <w:vAlign w:val="bottom"/>
            <w:shd w:val="clear" w:color="auto" w:fill="CCECFF"/>
          </w:tcPr>
          <w:p>
            <w:pPr>
              <w:jc w:val="center"/>
              <w:ind w:right="2"/>
              <w:spacing w:after="0"/>
              <w:rPr>
                <w:sz w:val="20"/>
                <w:szCs w:val="20"/>
                <w:color w:val="auto"/>
              </w:rPr>
            </w:pPr>
            <w:r>
              <w:rPr>
                <w:rFonts w:ascii="Arial" w:cs="Arial" w:eastAsia="Arial" w:hAnsi="Arial"/>
                <w:sz w:val="12"/>
                <w:szCs w:val="12"/>
                <w:color w:val="auto"/>
                <w:w w:val="89"/>
              </w:rPr>
              <w:t>09/29/2023</w:t>
            </w:r>
          </w:p>
        </w:tc>
        <w:tc>
          <w:tcPr>
            <w:tcW w:w="2440" w:type="dxa"/>
            <w:vAlign w:val="bottom"/>
            <w:gridSpan w:val="2"/>
            <w:shd w:val="clear" w:color="auto" w:fill="CCECFF"/>
          </w:tcPr>
          <w:p>
            <w:pPr>
              <w:jc w:val="center"/>
              <w:ind w:right="180"/>
              <w:spacing w:after="0"/>
              <w:rPr>
                <w:sz w:val="20"/>
                <w:szCs w:val="20"/>
                <w:color w:val="auto"/>
              </w:rPr>
            </w:pPr>
            <w:r>
              <w:rPr>
                <w:rFonts w:ascii="Arial" w:cs="Arial" w:eastAsia="Arial" w:hAnsi="Arial"/>
                <w:sz w:val="12"/>
                <w:szCs w:val="12"/>
                <w:color w:val="auto"/>
                <w:w w:val="85"/>
              </w:rPr>
              <w:t>Consumer Services</w:t>
            </w:r>
          </w:p>
        </w:tc>
        <w:tc>
          <w:tcPr>
            <w:tcW w:w="780" w:type="dxa"/>
            <w:vAlign w:val="bottom"/>
            <w:gridSpan w:val="2"/>
            <w:shd w:val="clear" w:color="auto" w:fill="CCECFF"/>
          </w:tcPr>
          <w:p>
            <w:pPr>
              <w:jc w:val="right"/>
              <w:ind w:right="20"/>
              <w:spacing w:after="0"/>
              <w:rPr>
                <w:sz w:val="20"/>
                <w:szCs w:val="20"/>
                <w:color w:val="auto"/>
              </w:rPr>
            </w:pPr>
            <w:r>
              <w:rPr>
                <w:rFonts w:ascii="Arial" w:cs="Arial" w:eastAsia="Arial" w:hAnsi="Arial"/>
                <w:sz w:val="12"/>
                <w:szCs w:val="12"/>
                <w:color w:val="auto"/>
              </w:rPr>
              <w:t>6.85%</w:t>
            </w:r>
          </w:p>
        </w:tc>
        <w:tc>
          <w:tcPr>
            <w:tcW w:w="140" w:type="dxa"/>
            <w:vAlign w:val="bottom"/>
            <w:shd w:val="clear" w:color="auto" w:fill="CCECFF"/>
          </w:tcPr>
          <w:p>
            <w:pPr>
              <w:spacing w:after="0"/>
              <w:rPr>
                <w:sz w:val="12"/>
                <w:szCs w:val="12"/>
                <w:color w:val="auto"/>
              </w:rPr>
            </w:pPr>
          </w:p>
        </w:tc>
        <w:tc>
          <w:tcPr>
            <w:tcW w:w="960" w:type="dxa"/>
            <w:vAlign w:val="bottom"/>
            <w:gridSpan w:val="2"/>
            <w:shd w:val="clear" w:color="auto" w:fill="CCECFF"/>
          </w:tcPr>
          <w:p>
            <w:pPr>
              <w:jc w:val="right"/>
              <w:ind w:right="280"/>
              <w:spacing w:after="0"/>
              <w:rPr>
                <w:sz w:val="20"/>
                <w:szCs w:val="20"/>
                <w:color w:val="auto"/>
              </w:rPr>
            </w:pPr>
            <w:r>
              <w:rPr>
                <w:rFonts w:ascii="Arial" w:cs="Arial" w:eastAsia="Arial" w:hAnsi="Arial"/>
                <w:sz w:val="12"/>
                <w:szCs w:val="12"/>
                <w:color w:val="auto"/>
              </w:rPr>
              <w:t>3M L+475</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25,755,126</w:t>
            </w:r>
          </w:p>
        </w:tc>
        <w:tc>
          <w:tcPr>
            <w:tcW w:w="24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25,541,479</w:t>
            </w:r>
          </w:p>
        </w:tc>
        <w:tc>
          <w:tcPr>
            <w:tcW w:w="220" w:type="dxa"/>
            <w:vAlign w:val="bottom"/>
            <w:shd w:val="clear" w:color="auto" w:fill="CCECFF"/>
          </w:tcPr>
          <w:p>
            <w:pPr>
              <w:spacing w:after="0"/>
              <w:rPr>
                <w:sz w:val="12"/>
                <w:szCs w:val="12"/>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25,755,126</w:t>
            </w:r>
          </w:p>
        </w:tc>
        <w:tc>
          <w:tcPr>
            <w:tcW w:w="120" w:type="dxa"/>
            <w:vAlign w:val="bottom"/>
            <w:shd w:val="clear" w:color="auto" w:fill="CCECFF"/>
          </w:tcPr>
          <w:p>
            <w:pPr>
              <w:spacing w:after="0"/>
              <w:rPr>
                <w:sz w:val="12"/>
                <w:szCs w:val="12"/>
                <w:color w:val="auto"/>
              </w:rPr>
            </w:pPr>
          </w:p>
        </w:tc>
      </w:tr>
      <w:tr>
        <w:trPr>
          <w:trHeight w:val="148"/>
        </w:trPr>
        <w:tc>
          <w:tcPr>
            <w:tcW w:w="3360" w:type="dxa"/>
            <w:vAlign w:val="bottom"/>
          </w:tcPr>
          <w:p>
            <w:pPr>
              <w:spacing w:after="0" w:line="149" w:lineRule="exact"/>
              <w:rPr>
                <w:sz w:val="20"/>
                <w:szCs w:val="20"/>
                <w:color w:val="auto"/>
              </w:rPr>
            </w:pPr>
            <w:r>
              <w:rPr>
                <w:rFonts w:ascii="Arial" w:cs="Arial" w:eastAsia="Arial" w:hAnsi="Arial"/>
                <w:sz w:val="11"/>
                <w:szCs w:val="11"/>
                <w:color w:val="auto"/>
              </w:rPr>
              <w:t xml:space="preserve">Integrative Nutrition, LLC (Revolver) </w:t>
            </w:r>
            <w:r>
              <w:rPr>
                <w:rFonts w:ascii="Arial" w:cs="Arial" w:eastAsia="Arial" w:hAnsi="Arial"/>
                <w:sz w:val="17"/>
                <w:szCs w:val="17"/>
                <w:color w:val="auto"/>
                <w:vertAlign w:val="superscript"/>
              </w:rPr>
              <w:t>(7), (9)</w:t>
            </w:r>
          </w:p>
        </w:tc>
        <w:tc>
          <w:tcPr>
            <w:tcW w:w="920" w:type="dxa"/>
            <w:vAlign w:val="bottom"/>
          </w:tcPr>
          <w:p>
            <w:pPr>
              <w:jc w:val="center"/>
              <w:ind w:right="2"/>
              <w:spacing w:after="0"/>
              <w:rPr>
                <w:sz w:val="20"/>
                <w:szCs w:val="20"/>
                <w:color w:val="auto"/>
              </w:rPr>
            </w:pPr>
            <w:r>
              <w:rPr>
                <w:rFonts w:ascii="Arial" w:cs="Arial" w:eastAsia="Arial" w:hAnsi="Arial"/>
                <w:sz w:val="12"/>
                <w:szCs w:val="12"/>
                <w:color w:val="auto"/>
                <w:w w:val="89"/>
              </w:rPr>
              <w:t>09/29/2023</w:t>
            </w:r>
          </w:p>
        </w:tc>
        <w:tc>
          <w:tcPr>
            <w:tcW w:w="2440" w:type="dxa"/>
            <w:vAlign w:val="bottom"/>
            <w:gridSpan w:val="2"/>
          </w:tcPr>
          <w:p>
            <w:pPr>
              <w:jc w:val="center"/>
              <w:ind w:right="180"/>
              <w:spacing w:after="0"/>
              <w:rPr>
                <w:sz w:val="20"/>
                <w:szCs w:val="20"/>
                <w:color w:val="auto"/>
              </w:rPr>
            </w:pPr>
            <w:r>
              <w:rPr>
                <w:rFonts w:ascii="Arial" w:cs="Arial" w:eastAsia="Arial" w:hAnsi="Arial"/>
                <w:sz w:val="12"/>
                <w:szCs w:val="12"/>
                <w:color w:val="auto"/>
                <w:w w:val="85"/>
              </w:rPr>
              <w:t>Consumer Services</w:t>
            </w:r>
          </w:p>
        </w:tc>
        <w:tc>
          <w:tcPr>
            <w:tcW w:w="78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5,000,000</w:t>
            </w:r>
          </w:p>
        </w:tc>
        <w:tc>
          <w:tcPr>
            <w:tcW w:w="240" w:type="dxa"/>
            <w:vAlign w:val="bottom"/>
          </w:tcPr>
          <w:p>
            <w:pPr>
              <w:spacing w:after="0"/>
              <w:rPr>
                <w:sz w:val="12"/>
                <w:szCs w:val="12"/>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8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r>
      <w:tr>
        <w:trPr>
          <w:trHeight w:val="148"/>
        </w:trPr>
        <w:tc>
          <w:tcPr>
            <w:tcW w:w="3360" w:type="dxa"/>
            <w:vAlign w:val="bottom"/>
            <w:shd w:val="clear" w:color="auto" w:fill="CCECFF"/>
          </w:tcPr>
          <w:p>
            <w:pPr>
              <w:spacing w:after="0"/>
              <w:rPr>
                <w:sz w:val="20"/>
                <w:szCs w:val="20"/>
                <w:color w:val="auto"/>
              </w:rPr>
            </w:pPr>
            <w:r>
              <w:rPr>
                <w:rFonts w:ascii="Arial" w:cs="Arial" w:eastAsia="Arial" w:hAnsi="Arial"/>
                <w:sz w:val="12"/>
                <w:szCs w:val="12"/>
                <w:color w:val="auto"/>
              </w:rPr>
              <w:t>Inventus Power, Inc.</w:t>
            </w:r>
          </w:p>
        </w:tc>
        <w:tc>
          <w:tcPr>
            <w:tcW w:w="920" w:type="dxa"/>
            <w:vAlign w:val="bottom"/>
            <w:shd w:val="clear" w:color="auto" w:fill="CCECFF"/>
          </w:tcPr>
          <w:p>
            <w:pPr>
              <w:jc w:val="center"/>
              <w:ind w:right="2"/>
              <w:spacing w:after="0"/>
              <w:rPr>
                <w:sz w:val="20"/>
                <w:szCs w:val="20"/>
                <w:color w:val="auto"/>
              </w:rPr>
            </w:pPr>
            <w:r>
              <w:rPr>
                <w:rFonts w:ascii="Arial" w:cs="Arial" w:eastAsia="Arial" w:hAnsi="Arial"/>
                <w:sz w:val="12"/>
                <w:szCs w:val="12"/>
                <w:color w:val="auto"/>
                <w:w w:val="89"/>
              </w:rPr>
              <w:t>04/30/2020</w:t>
            </w:r>
          </w:p>
        </w:tc>
        <w:tc>
          <w:tcPr>
            <w:tcW w:w="2440" w:type="dxa"/>
            <w:vAlign w:val="bottom"/>
            <w:gridSpan w:val="2"/>
            <w:shd w:val="clear" w:color="auto" w:fill="CCECFF"/>
          </w:tcPr>
          <w:p>
            <w:pPr>
              <w:jc w:val="center"/>
              <w:ind w:right="180"/>
              <w:spacing w:after="0"/>
              <w:rPr>
                <w:sz w:val="20"/>
                <w:szCs w:val="20"/>
                <w:color w:val="auto"/>
              </w:rPr>
            </w:pPr>
            <w:r>
              <w:rPr>
                <w:rFonts w:ascii="Arial" w:cs="Arial" w:eastAsia="Arial" w:hAnsi="Arial"/>
                <w:sz w:val="12"/>
                <w:szCs w:val="12"/>
                <w:color w:val="auto"/>
                <w:w w:val="88"/>
              </w:rPr>
              <w:t>Consumer Goods: Durable</w:t>
            </w:r>
          </w:p>
        </w:tc>
        <w:tc>
          <w:tcPr>
            <w:tcW w:w="780" w:type="dxa"/>
            <w:vAlign w:val="bottom"/>
            <w:gridSpan w:val="2"/>
            <w:shd w:val="clear" w:color="auto" w:fill="CCECFF"/>
          </w:tcPr>
          <w:p>
            <w:pPr>
              <w:jc w:val="right"/>
              <w:ind w:right="20"/>
              <w:spacing w:after="0"/>
              <w:rPr>
                <w:sz w:val="20"/>
                <w:szCs w:val="20"/>
                <w:color w:val="auto"/>
              </w:rPr>
            </w:pPr>
            <w:r>
              <w:rPr>
                <w:rFonts w:ascii="Arial" w:cs="Arial" w:eastAsia="Arial" w:hAnsi="Arial"/>
                <w:sz w:val="12"/>
                <w:szCs w:val="12"/>
                <w:color w:val="auto"/>
              </w:rPr>
              <w:t>8.54%</w:t>
            </w:r>
          </w:p>
        </w:tc>
        <w:tc>
          <w:tcPr>
            <w:tcW w:w="140" w:type="dxa"/>
            <w:vAlign w:val="bottom"/>
            <w:shd w:val="clear" w:color="auto" w:fill="CCECFF"/>
          </w:tcPr>
          <w:p>
            <w:pPr>
              <w:spacing w:after="0"/>
              <w:rPr>
                <w:sz w:val="12"/>
                <w:szCs w:val="12"/>
                <w:color w:val="auto"/>
              </w:rPr>
            </w:pPr>
          </w:p>
        </w:tc>
        <w:tc>
          <w:tcPr>
            <w:tcW w:w="960" w:type="dxa"/>
            <w:vAlign w:val="bottom"/>
            <w:gridSpan w:val="2"/>
            <w:shd w:val="clear" w:color="auto" w:fill="CCECFF"/>
          </w:tcPr>
          <w:p>
            <w:pPr>
              <w:jc w:val="right"/>
              <w:ind w:right="280"/>
              <w:spacing w:after="0"/>
              <w:rPr>
                <w:sz w:val="20"/>
                <w:szCs w:val="20"/>
                <w:color w:val="auto"/>
              </w:rPr>
            </w:pPr>
            <w:r>
              <w:rPr>
                <w:rFonts w:ascii="Arial" w:cs="Arial" w:eastAsia="Arial" w:hAnsi="Arial"/>
                <w:sz w:val="12"/>
                <w:szCs w:val="12"/>
                <w:color w:val="auto"/>
              </w:rPr>
              <w:t>1M L+650</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4,105,494</w:t>
            </w:r>
          </w:p>
        </w:tc>
        <w:tc>
          <w:tcPr>
            <w:tcW w:w="24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4,100,506</w:t>
            </w:r>
          </w:p>
        </w:tc>
        <w:tc>
          <w:tcPr>
            <w:tcW w:w="220" w:type="dxa"/>
            <w:vAlign w:val="bottom"/>
            <w:shd w:val="clear" w:color="auto" w:fill="CCECFF"/>
          </w:tcPr>
          <w:p>
            <w:pPr>
              <w:spacing w:after="0"/>
              <w:rPr>
                <w:sz w:val="12"/>
                <w:szCs w:val="12"/>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3,777,055</w:t>
            </w:r>
          </w:p>
        </w:tc>
        <w:tc>
          <w:tcPr>
            <w:tcW w:w="120" w:type="dxa"/>
            <w:vAlign w:val="bottom"/>
            <w:shd w:val="clear" w:color="auto" w:fill="CCECFF"/>
          </w:tcPr>
          <w:p>
            <w:pPr>
              <w:spacing w:after="0"/>
              <w:rPr>
                <w:sz w:val="12"/>
                <w:szCs w:val="12"/>
                <w:color w:val="auto"/>
              </w:rPr>
            </w:pPr>
          </w:p>
        </w:tc>
      </w:tr>
      <w:tr>
        <w:trPr>
          <w:trHeight w:val="149"/>
        </w:trPr>
        <w:tc>
          <w:tcPr>
            <w:tcW w:w="3360" w:type="dxa"/>
            <w:vAlign w:val="bottom"/>
          </w:tcPr>
          <w:p>
            <w:pPr>
              <w:spacing w:after="0" w:line="149" w:lineRule="exact"/>
              <w:rPr>
                <w:sz w:val="20"/>
                <w:szCs w:val="20"/>
                <w:color w:val="auto"/>
              </w:rPr>
            </w:pPr>
            <w:r>
              <w:rPr>
                <w:rFonts w:ascii="Arial" w:cs="Arial" w:eastAsia="Arial" w:hAnsi="Arial"/>
                <w:sz w:val="11"/>
                <w:szCs w:val="11"/>
                <w:color w:val="auto"/>
              </w:rPr>
              <w:t xml:space="preserve">K2 Pure Solutions NoCal, L.P. (Revolver) </w:t>
            </w:r>
            <w:r>
              <w:rPr>
                <w:rFonts w:ascii="Arial" w:cs="Arial" w:eastAsia="Arial" w:hAnsi="Arial"/>
                <w:sz w:val="17"/>
                <w:szCs w:val="17"/>
                <w:color w:val="auto"/>
                <w:vertAlign w:val="superscript"/>
              </w:rPr>
              <w:t>(7)</w:t>
            </w:r>
          </w:p>
        </w:tc>
        <w:tc>
          <w:tcPr>
            <w:tcW w:w="920" w:type="dxa"/>
            <w:vAlign w:val="bottom"/>
          </w:tcPr>
          <w:p>
            <w:pPr>
              <w:jc w:val="center"/>
              <w:ind w:right="2"/>
              <w:spacing w:after="0"/>
              <w:rPr>
                <w:sz w:val="20"/>
                <w:szCs w:val="20"/>
                <w:color w:val="auto"/>
              </w:rPr>
            </w:pPr>
            <w:r>
              <w:rPr>
                <w:rFonts w:ascii="Arial" w:cs="Arial" w:eastAsia="Arial" w:hAnsi="Arial"/>
                <w:sz w:val="12"/>
                <w:szCs w:val="12"/>
                <w:color w:val="auto"/>
                <w:w w:val="89"/>
              </w:rPr>
              <w:t>12/20/2023</w:t>
            </w:r>
          </w:p>
        </w:tc>
        <w:tc>
          <w:tcPr>
            <w:tcW w:w="2440" w:type="dxa"/>
            <w:vAlign w:val="bottom"/>
            <w:gridSpan w:val="2"/>
          </w:tcPr>
          <w:p>
            <w:pPr>
              <w:jc w:val="center"/>
              <w:ind w:right="200"/>
              <w:spacing w:after="0"/>
              <w:rPr>
                <w:sz w:val="20"/>
                <w:szCs w:val="20"/>
                <w:color w:val="auto"/>
              </w:rPr>
            </w:pPr>
            <w:r>
              <w:rPr>
                <w:rFonts w:ascii="Arial" w:cs="Arial" w:eastAsia="Arial" w:hAnsi="Arial"/>
                <w:sz w:val="12"/>
                <w:szCs w:val="12"/>
                <w:color w:val="auto"/>
                <w:w w:val="87"/>
              </w:rPr>
              <w:t>Chemicals, Plastics and Rubber</w:t>
            </w:r>
          </w:p>
        </w:tc>
        <w:tc>
          <w:tcPr>
            <w:tcW w:w="780" w:type="dxa"/>
            <w:vAlign w:val="bottom"/>
            <w:gridSpan w:val="2"/>
          </w:tcPr>
          <w:p>
            <w:pPr>
              <w:jc w:val="right"/>
              <w:ind w:right="20"/>
              <w:spacing w:after="0"/>
              <w:rPr>
                <w:sz w:val="20"/>
                <w:szCs w:val="20"/>
                <w:color w:val="auto"/>
              </w:rPr>
            </w:pPr>
            <w:r>
              <w:rPr>
                <w:rFonts w:ascii="Arial" w:cs="Arial" w:eastAsia="Arial" w:hAnsi="Arial"/>
                <w:sz w:val="12"/>
                <w:szCs w:val="12"/>
                <w:color w:val="auto"/>
              </w:rPr>
              <w:t>7.30%</w:t>
            </w:r>
          </w:p>
        </w:tc>
        <w:tc>
          <w:tcPr>
            <w:tcW w:w="140" w:type="dxa"/>
            <w:vAlign w:val="bottom"/>
          </w:tcPr>
          <w:p>
            <w:pPr>
              <w:spacing w:after="0"/>
              <w:rPr>
                <w:sz w:val="12"/>
                <w:szCs w:val="12"/>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2"/>
                <w:szCs w:val="12"/>
                <w:color w:val="auto"/>
              </w:rPr>
              <w:t>1M L+525</w:t>
            </w:r>
          </w:p>
        </w:tc>
        <w:tc>
          <w:tcPr>
            <w:tcW w:w="680" w:type="dxa"/>
            <w:vAlign w:val="bottom"/>
          </w:tcPr>
          <w:p>
            <w:pPr>
              <w:jc w:val="right"/>
              <w:spacing w:after="0"/>
              <w:rPr>
                <w:sz w:val="20"/>
                <w:szCs w:val="20"/>
                <w:color w:val="auto"/>
              </w:rPr>
            </w:pPr>
            <w:r>
              <w:rPr>
                <w:rFonts w:ascii="Arial" w:cs="Arial" w:eastAsia="Arial" w:hAnsi="Arial"/>
                <w:sz w:val="12"/>
                <w:szCs w:val="12"/>
                <w:color w:val="auto"/>
              </w:rPr>
              <w:t>500,000</w:t>
            </w:r>
          </w:p>
        </w:tc>
        <w:tc>
          <w:tcPr>
            <w:tcW w:w="24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500,000</w:t>
            </w:r>
          </w:p>
        </w:tc>
        <w:tc>
          <w:tcPr>
            <w:tcW w:w="22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493,950</w:t>
            </w:r>
          </w:p>
        </w:tc>
        <w:tc>
          <w:tcPr>
            <w:tcW w:w="120" w:type="dxa"/>
            <w:vAlign w:val="bottom"/>
          </w:tcPr>
          <w:p>
            <w:pPr>
              <w:spacing w:after="0"/>
              <w:rPr>
                <w:sz w:val="12"/>
                <w:szCs w:val="12"/>
                <w:color w:val="auto"/>
              </w:rPr>
            </w:pPr>
          </w:p>
        </w:tc>
      </w:tr>
      <w:tr>
        <w:trPr>
          <w:trHeight w:val="148"/>
        </w:trPr>
        <w:tc>
          <w:tcPr>
            <w:tcW w:w="3360" w:type="dxa"/>
            <w:vAlign w:val="bottom"/>
            <w:shd w:val="clear" w:color="auto" w:fill="CCECFF"/>
          </w:tcPr>
          <w:p>
            <w:pPr>
              <w:spacing w:after="0" w:line="149" w:lineRule="exact"/>
              <w:rPr>
                <w:sz w:val="20"/>
                <w:szCs w:val="20"/>
                <w:color w:val="auto"/>
              </w:rPr>
            </w:pPr>
            <w:r>
              <w:rPr>
                <w:rFonts w:ascii="Arial" w:cs="Arial" w:eastAsia="Arial" w:hAnsi="Arial"/>
                <w:sz w:val="11"/>
                <w:szCs w:val="11"/>
                <w:color w:val="auto"/>
              </w:rPr>
              <w:t xml:space="preserve">K2 Pure Solutions NoCal, L.P. (Revolver) </w:t>
            </w:r>
            <w:r>
              <w:rPr>
                <w:rFonts w:ascii="Arial" w:cs="Arial" w:eastAsia="Arial" w:hAnsi="Arial"/>
                <w:sz w:val="17"/>
                <w:szCs w:val="17"/>
                <w:color w:val="auto"/>
                <w:vertAlign w:val="superscript"/>
              </w:rPr>
              <w:t>(7), (9)</w:t>
            </w:r>
          </w:p>
        </w:tc>
        <w:tc>
          <w:tcPr>
            <w:tcW w:w="920" w:type="dxa"/>
            <w:vAlign w:val="bottom"/>
            <w:shd w:val="clear" w:color="auto" w:fill="CCECFF"/>
          </w:tcPr>
          <w:p>
            <w:pPr>
              <w:jc w:val="center"/>
              <w:ind w:right="2"/>
              <w:spacing w:after="0"/>
              <w:rPr>
                <w:sz w:val="20"/>
                <w:szCs w:val="20"/>
                <w:color w:val="auto"/>
              </w:rPr>
            </w:pPr>
            <w:r>
              <w:rPr>
                <w:rFonts w:ascii="Arial" w:cs="Arial" w:eastAsia="Arial" w:hAnsi="Arial"/>
                <w:sz w:val="12"/>
                <w:szCs w:val="12"/>
                <w:color w:val="auto"/>
                <w:w w:val="89"/>
              </w:rPr>
              <w:t>12/20/2023</w:t>
            </w:r>
          </w:p>
        </w:tc>
        <w:tc>
          <w:tcPr>
            <w:tcW w:w="2440" w:type="dxa"/>
            <w:vAlign w:val="bottom"/>
            <w:gridSpan w:val="2"/>
            <w:shd w:val="clear" w:color="auto" w:fill="CCECFF"/>
          </w:tcPr>
          <w:p>
            <w:pPr>
              <w:jc w:val="center"/>
              <w:ind w:right="200"/>
              <w:spacing w:after="0"/>
              <w:rPr>
                <w:sz w:val="20"/>
                <w:szCs w:val="20"/>
                <w:color w:val="auto"/>
              </w:rPr>
            </w:pPr>
            <w:r>
              <w:rPr>
                <w:rFonts w:ascii="Arial" w:cs="Arial" w:eastAsia="Arial" w:hAnsi="Arial"/>
                <w:sz w:val="12"/>
                <w:szCs w:val="12"/>
                <w:color w:val="auto"/>
                <w:w w:val="87"/>
              </w:rPr>
              <w:t>Chemicals, Plastics and Rubber</w:t>
            </w:r>
          </w:p>
        </w:tc>
        <w:tc>
          <w:tcPr>
            <w:tcW w:w="780" w:type="dxa"/>
            <w:vAlign w:val="bottom"/>
            <w:gridSpan w:val="2"/>
            <w:shd w:val="clear" w:color="auto" w:fill="CCECFF"/>
          </w:tcPr>
          <w:p>
            <w:pPr>
              <w:jc w:val="right"/>
              <w:ind w:right="12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CFF"/>
          </w:tcPr>
          <w:p>
            <w:pPr>
              <w:spacing w:after="0"/>
              <w:rPr>
                <w:sz w:val="12"/>
                <w:szCs w:val="12"/>
                <w:color w:val="auto"/>
              </w:rPr>
            </w:pPr>
          </w:p>
        </w:tc>
        <w:tc>
          <w:tcPr>
            <w:tcW w:w="960" w:type="dxa"/>
            <w:vAlign w:val="bottom"/>
            <w:gridSpan w:val="2"/>
            <w:shd w:val="clear" w:color="auto" w:fill="CCECFF"/>
          </w:tcPr>
          <w:p>
            <w:pPr>
              <w:jc w:val="right"/>
              <w:ind w:right="280"/>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928,571</w:t>
            </w:r>
          </w:p>
        </w:tc>
        <w:tc>
          <w:tcPr>
            <w:tcW w:w="240" w:type="dxa"/>
            <w:vAlign w:val="bottom"/>
            <w:shd w:val="clear" w:color="auto" w:fill="CCECFF"/>
          </w:tcPr>
          <w:p>
            <w:pPr>
              <w:spacing w:after="0"/>
              <w:rPr>
                <w:sz w:val="12"/>
                <w:szCs w:val="12"/>
                <w:color w:val="auto"/>
              </w:rPr>
            </w:pP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820" w:type="dxa"/>
            <w:vAlign w:val="bottom"/>
            <w:gridSpan w:val="2"/>
            <w:shd w:val="clear" w:color="auto" w:fill="CCECFF"/>
          </w:tcPr>
          <w:p>
            <w:pPr>
              <w:jc w:val="right"/>
              <w:ind w:right="80"/>
              <w:spacing w:after="0"/>
              <w:rPr>
                <w:sz w:val="20"/>
                <w:szCs w:val="20"/>
                <w:color w:val="auto"/>
              </w:rPr>
            </w:pPr>
            <w:r>
              <w:rPr>
                <w:rFonts w:ascii="Arial" w:cs="Arial" w:eastAsia="Arial" w:hAnsi="Arial"/>
                <w:sz w:val="12"/>
                <w:szCs w:val="12"/>
                <w:color w:val="auto"/>
              </w:rPr>
              <w:t>(11,236)</w:t>
            </w:r>
          </w:p>
        </w:tc>
      </w:tr>
      <w:tr>
        <w:trPr>
          <w:trHeight w:val="149"/>
        </w:trPr>
        <w:tc>
          <w:tcPr>
            <w:tcW w:w="3360" w:type="dxa"/>
            <w:vAlign w:val="bottom"/>
          </w:tcPr>
          <w:p>
            <w:pPr>
              <w:spacing w:after="0"/>
              <w:rPr>
                <w:sz w:val="20"/>
                <w:szCs w:val="20"/>
                <w:color w:val="auto"/>
              </w:rPr>
            </w:pPr>
            <w:r>
              <w:rPr>
                <w:rFonts w:ascii="Arial" w:cs="Arial" w:eastAsia="Arial" w:hAnsi="Arial"/>
                <w:sz w:val="12"/>
                <w:szCs w:val="12"/>
                <w:color w:val="auto"/>
              </w:rPr>
              <w:t>Kentucky Downs, LLC</w:t>
            </w:r>
          </w:p>
        </w:tc>
        <w:tc>
          <w:tcPr>
            <w:tcW w:w="920" w:type="dxa"/>
            <w:vAlign w:val="bottom"/>
          </w:tcPr>
          <w:p>
            <w:pPr>
              <w:jc w:val="center"/>
              <w:ind w:right="2"/>
              <w:spacing w:after="0"/>
              <w:rPr>
                <w:sz w:val="20"/>
                <w:szCs w:val="20"/>
                <w:color w:val="auto"/>
              </w:rPr>
            </w:pPr>
            <w:r>
              <w:rPr>
                <w:rFonts w:ascii="Arial" w:cs="Arial" w:eastAsia="Arial" w:hAnsi="Arial"/>
                <w:sz w:val="12"/>
                <w:szCs w:val="12"/>
                <w:color w:val="auto"/>
                <w:w w:val="89"/>
              </w:rPr>
              <w:t>03/07/2025</w:t>
            </w:r>
          </w:p>
        </w:tc>
        <w:tc>
          <w:tcPr>
            <w:tcW w:w="2440" w:type="dxa"/>
            <w:vAlign w:val="bottom"/>
            <w:gridSpan w:val="2"/>
          </w:tcPr>
          <w:p>
            <w:pPr>
              <w:jc w:val="center"/>
              <w:ind w:right="180"/>
              <w:spacing w:after="0"/>
              <w:rPr>
                <w:sz w:val="20"/>
                <w:szCs w:val="20"/>
                <w:color w:val="auto"/>
              </w:rPr>
            </w:pPr>
            <w:r>
              <w:rPr>
                <w:rFonts w:ascii="Arial" w:cs="Arial" w:eastAsia="Arial" w:hAnsi="Arial"/>
                <w:sz w:val="12"/>
                <w:szCs w:val="12"/>
                <w:color w:val="auto"/>
                <w:w w:val="87"/>
              </w:rPr>
              <w:t>Hotels, Restaurants and Leisure</w:t>
            </w:r>
          </w:p>
        </w:tc>
        <w:tc>
          <w:tcPr>
            <w:tcW w:w="780" w:type="dxa"/>
            <w:vAlign w:val="bottom"/>
            <w:gridSpan w:val="2"/>
          </w:tcPr>
          <w:p>
            <w:pPr>
              <w:jc w:val="right"/>
              <w:ind w:right="20"/>
              <w:spacing w:after="0"/>
              <w:rPr>
                <w:sz w:val="20"/>
                <w:szCs w:val="20"/>
                <w:color w:val="auto"/>
              </w:rPr>
            </w:pPr>
            <w:r>
              <w:rPr>
                <w:rFonts w:ascii="Arial" w:cs="Arial" w:eastAsia="Arial" w:hAnsi="Arial"/>
                <w:sz w:val="12"/>
                <w:szCs w:val="12"/>
                <w:color w:val="auto"/>
              </w:rPr>
              <w:t>10.60%</w:t>
            </w:r>
          </w:p>
        </w:tc>
        <w:tc>
          <w:tcPr>
            <w:tcW w:w="140" w:type="dxa"/>
            <w:vAlign w:val="bottom"/>
          </w:tcPr>
          <w:p>
            <w:pPr>
              <w:spacing w:after="0"/>
              <w:rPr>
                <w:sz w:val="12"/>
                <w:szCs w:val="12"/>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2"/>
                <w:szCs w:val="12"/>
                <w:color w:val="auto"/>
              </w:rPr>
              <w:t>1M L+850</w:t>
            </w:r>
          </w:p>
        </w:tc>
        <w:tc>
          <w:tcPr>
            <w:tcW w:w="680" w:type="dxa"/>
            <w:vAlign w:val="bottom"/>
          </w:tcPr>
          <w:p>
            <w:pPr>
              <w:jc w:val="right"/>
              <w:spacing w:after="0"/>
              <w:rPr>
                <w:sz w:val="20"/>
                <w:szCs w:val="20"/>
                <w:color w:val="auto"/>
              </w:rPr>
            </w:pPr>
            <w:r>
              <w:rPr>
                <w:rFonts w:ascii="Arial" w:cs="Arial" w:eastAsia="Arial" w:hAnsi="Arial"/>
                <w:sz w:val="12"/>
                <w:szCs w:val="12"/>
                <w:color w:val="auto"/>
              </w:rPr>
              <w:t>5,429,692</w:t>
            </w:r>
          </w:p>
        </w:tc>
        <w:tc>
          <w:tcPr>
            <w:tcW w:w="24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5,327,414</w:t>
            </w:r>
          </w:p>
        </w:tc>
        <w:tc>
          <w:tcPr>
            <w:tcW w:w="22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5,429,692</w:t>
            </w:r>
          </w:p>
        </w:tc>
        <w:tc>
          <w:tcPr>
            <w:tcW w:w="120" w:type="dxa"/>
            <w:vAlign w:val="bottom"/>
          </w:tcPr>
          <w:p>
            <w:pPr>
              <w:spacing w:after="0"/>
              <w:rPr>
                <w:sz w:val="12"/>
                <w:szCs w:val="12"/>
                <w:color w:val="auto"/>
              </w:rPr>
            </w:pPr>
          </w:p>
        </w:tc>
      </w:tr>
      <w:tr>
        <w:trPr>
          <w:trHeight w:val="148"/>
        </w:trPr>
        <w:tc>
          <w:tcPr>
            <w:tcW w:w="3360" w:type="dxa"/>
            <w:vAlign w:val="bottom"/>
            <w:shd w:val="clear" w:color="auto" w:fill="CCECFF"/>
          </w:tcPr>
          <w:p>
            <w:pPr>
              <w:spacing w:after="0" w:line="149" w:lineRule="exact"/>
              <w:rPr>
                <w:sz w:val="20"/>
                <w:szCs w:val="20"/>
                <w:color w:val="auto"/>
              </w:rPr>
            </w:pPr>
            <w:r>
              <w:rPr>
                <w:rFonts w:ascii="Arial" w:cs="Arial" w:eastAsia="Arial" w:hAnsi="Arial"/>
                <w:sz w:val="11"/>
                <w:szCs w:val="11"/>
                <w:color w:val="auto"/>
              </w:rPr>
              <w:t xml:space="preserve">Kentucky Downs, LLC </w:t>
            </w:r>
            <w:r>
              <w:rPr>
                <w:rFonts w:ascii="Arial" w:cs="Arial" w:eastAsia="Arial" w:hAnsi="Arial"/>
                <w:sz w:val="17"/>
                <w:szCs w:val="17"/>
                <w:color w:val="auto"/>
                <w:vertAlign w:val="superscript"/>
              </w:rPr>
              <w:t>(7), (9)</w:t>
            </w:r>
          </w:p>
        </w:tc>
        <w:tc>
          <w:tcPr>
            <w:tcW w:w="920" w:type="dxa"/>
            <w:vAlign w:val="bottom"/>
            <w:shd w:val="clear" w:color="auto" w:fill="CCECFF"/>
          </w:tcPr>
          <w:p>
            <w:pPr>
              <w:jc w:val="center"/>
              <w:ind w:right="2"/>
              <w:spacing w:after="0"/>
              <w:rPr>
                <w:sz w:val="20"/>
                <w:szCs w:val="20"/>
                <w:color w:val="auto"/>
              </w:rPr>
            </w:pPr>
            <w:r>
              <w:rPr>
                <w:rFonts w:ascii="Arial" w:cs="Arial" w:eastAsia="Arial" w:hAnsi="Arial"/>
                <w:sz w:val="12"/>
                <w:szCs w:val="12"/>
                <w:color w:val="auto"/>
                <w:w w:val="89"/>
              </w:rPr>
              <w:t>03/07/2025</w:t>
            </w:r>
          </w:p>
        </w:tc>
        <w:tc>
          <w:tcPr>
            <w:tcW w:w="2440" w:type="dxa"/>
            <w:vAlign w:val="bottom"/>
            <w:gridSpan w:val="2"/>
            <w:shd w:val="clear" w:color="auto" w:fill="CCECFF"/>
          </w:tcPr>
          <w:p>
            <w:pPr>
              <w:jc w:val="center"/>
              <w:ind w:right="180"/>
              <w:spacing w:after="0"/>
              <w:rPr>
                <w:sz w:val="20"/>
                <w:szCs w:val="20"/>
                <w:color w:val="auto"/>
              </w:rPr>
            </w:pPr>
            <w:r>
              <w:rPr>
                <w:rFonts w:ascii="Arial" w:cs="Arial" w:eastAsia="Arial" w:hAnsi="Arial"/>
                <w:sz w:val="12"/>
                <w:szCs w:val="12"/>
                <w:color w:val="auto"/>
                <w:w w:val="87"/>
              </w:rPr>
              <w:t>Hotels, Restaurants and Leisure</w:t>
            </w:r>
          </w:p>
        </w:tc>
        <w:tc>
          <w:tcPr>
            <w:tcW w:w="780" w:type="dxa"/>
            <w:vAlign w:val="bottom"/>
            <w:gridSpan w:val="2"/>
            <w:shd w:val="clear" w:color="auto" w:fill="CCECFF"/>
          </w:tcPr>
          <w:p>
            <w:pPr>
              <w:jc w:val="right"/>
              <w:ind w:right="12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CFF"/>
          </w:tcPr>
          <w:p>
            <w:pPr>
              <w:spacing w:after="0"/>
              <w:rPr>
                <w:sz w:val="12"/>
                <w:szCs w:val="12"/>
                <w:color w:val="auto"/>
              </w:rPr>
            </w:pPr>
          </w:p>
        </w:tc>
        <w:tc>
          <w:tcPr>
            <w:tcW w:w="960" w:type="dxa"/>
            <w:vAlign w:val="bottom"/>
            <w:gridSpan w:val="2"/>
            <w:shd w:val="clear" w:color="auto" w:fill="CCECFF"/>
          </w:tcPr>
          <w:p>
            <w:pPr>
              <w:jc w:val="right"/>
              <w:ind w:right="280"/>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1,344,828</w:t>
            </w:r>
          </w:p>
        </w:tc>
        <w:tc>
          <w:tcPr>
            <w:tcW w:w="240" w:type="dxa"/>
            <w:vAlign w:val="bottom"/>
            <w:shd w:val="clear" w:color="auto" w:fill="CCECFF"/>
          </w:tcPr>
          <w:p>
            <w:pPr>
              <w:spacing w:after="0"/>
              <w:rPr>
                <w:sz w:val="12"/>
                <w:szCs w:val="12"/>
                <w:color w:val="auto"/>
              </w:rPr>
            </w:pP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82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w:t>
            </w:r>
          </w:p>
        </w:tc>
      </w:tr>
      <w:tr>
        <w:trPr>
          <w:trHeight w:val="148"/>
        </w:trPr>
        <w:tc>
          <w:tcPr>
            <w:tcW w:w="3360" w:type="dxa"/>
            <w:vAlign w:val="bottom"/>
          </w:tcPr>
          <w:p>
            <w:pPr>
              <w:spacing w:after="0"/>
              <w:rPr>
                <w:sz w:val="20"/>
                <w:szCs w:val="20"/>
                <w:color w:val="auto"/>
              </w:rPr>
            </w:pPr>
            <w:r>
              <w:rPr>
                <w:rFonts w:ascii="Arial" w:cs="Arial" w:eastAsia="Arial" w:hAnsi="Arial"/>
                <w:sz w:val="12"/>
                <w:szCs w:val="12"/>
                <w:color w:val="auto"/>
              </w:rPr>
              <w:t>KHC Holdings, Inc.</w:t>
            </w:r>
          </w:p>
        </w:tc>
        <w:tc>
          <w:tcPr>
            <w:tcW w:w="920" w:type="dxa"/>
            <w:vAlign w:val="bottom"/>
          </w:tcPr>
          <w:p>
            <w:pPr>
              <w:jc w:val="center"/>
              <w:ind w:right="2"/>
              <w:spacing w:after="0"/>
              <w:rPr>
                <w:sz w:val="20"/>
                <w:szCs w:val="20"/>
                <w:color w:val="auto"/>
              </w:rPr>
            </w:pPr>
            <w:r>
              <w:rPr>
                <w:rFonts w:ascii="Arial" w:cs="Arial" w:eastAsia="Arial" w:hAnsi="Arial"/>
                <w:sz w:val="12"/>
                <w:szCs w:val="12"/>
                <w:color w:val="auto"/>
                <w:w w:val="89"/>
              </w:rPr>
              <w:t>10/31/2022</w:t>
            </w:r>
          </w:p>
        </w:tc>
        <w:tc>
          <w:tcPr>
            <w:tcW w:w="2440" w:type="dxa"/>
            <w:vAlign w:val="bottom"/>
            <w:gridSpan w:val="2"/>
          </w:tcPr>
          <w:p>
            <w:pPr>
              <w:jc w:val="center"/>
              <w:ind w:right="180"/>
              <w:spacing w:after="0"/>
              <w:rPr>
                <w:sz w:val="20"/>
                <w:szCs w:val="20"/>
                <w:color w:val="auto"/>
              </w:rPr>
            </w:pPr>
            <w:r>
              <w:rPr>
                <w:rFonts w:ascii="Arial" w:cs="Arial" w:eastAsia="Arial" w:hAnsi="Arial"/>
                <w:sz w:val="12"/>
                <w:szCs w:val="12"/>
                <w:color w:val="auto"/>
                <w:w w:val="89"/>
              </w:rPr>
              <w:t>Wholesale</w:t>
            </w:r>
          </w:p>
        </w:tc>
        <w:tc>
          <w:tcPr>
            <w:tcW w:w="780" w:type="dxa"/>
            <w:vAlign w:val="bottom"/>
            <w:gridSpan w:val="2"/>
          </w:tcPr>
          <w:p>
            <w:pPr>
              <w:jc w:val="right"/>
              <w:ind w:right="20"/>
              <w:spacing w:after="0"/>
              <w:rPr>
                <w:sz w:val="20"/>
                <w:szCs w:val="20"/>
                <w:color w:val="auto"/>
              </w:rPr>
            </w:pPr>
            <w:r>
              <w:rPr>
                <w:rFonts w:ascii="Arial" w:cs="Arial" w:eastAsia="Arial" w:hAnsi="Arial"/>
                <w:sz w:val="12"/>
                <w:szCs w:val="12"/>
                <w:color w:val="auto"/>
              </w:rPr>
              <w:t>8.23%</w:t>
            </w:r>
          </w:p>
        </w:tc>
        <w:tc>
          <w:tcPr>
            <w:tcW w:w="140" w:type="dxa"/>
            <w:vAlign w:val="bottom"/>
          </w:tcPr>
          <w:p>
            <w:pPr>
              <w:spacing w:after="0"/>
              <w:rPr>
                <w:sz w:val="12"/>
                <w:szCs w:val="12"/>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2"/>
                <w:szCs w:val="12"/>
                <w:color w:val="auto"/>
              </w:rPr>
              <w:t>3M L+600</w:t>
            </w:r>
          </w:p>
        </w:tc>
        <w:tc>
          <w:tcPr>
            <w:tcW w:w="680" w:type="dxa"/>
            <w:vAlign w:val="bottom"/>
          </w:tcPr>
          <w:p>
            <w:pPr>
              <w:jc w:val="right"/>
              <w:spacing w:after="0"/>
              <w:rPr>
                <w:sz w:val="20"/>
                <w:szCs w:val="20"/>
                <w:color w:val="auto"/>
              </w:rPr>
            </w:pPr>
            <w:r>
              <w:rPr>
                <w:rFonts w:ascii="Arial" w:cs="Arial" w:eastAsia="Arial" w:hAnsi="Arial"/>
                <w:sz w:val="12"/>
                <w:szCs w:val="12"/>
                <w:color w:val="auto"/>
              </w:rPr>
              <w:t>12,031,250</w:t>
            </w:r>
          </w:p>
        </w:tc>
        <w:tc>
          <w:tcPr>
            <w:tcW w:w="24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11,925,121</w:t>
            </w:r>
          </w:p>
        </w:tc>
        <w:tc>
          <w:tcPr>
            <w:tcW w:w="22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12,031,250</w:t>
            </w:r>
          </w:p>
        </w:tc>
        <w:tc>
          <w:tcPr>
            <w:tcW w:w="120" w:type="dxa"/>
            <w:vAlign w:val="bottom"/>
          </w:tcPr>
          <w:p>
            <w:pPr>
              <w:spacing w:after="0"/>
              <w:rPr>
                <w:sz w:val="12"/>
                <w:szCs w:val="12"/>
                <w:color w:val="auto"/>
              </w:rPr>
            </w:pPr>
          </w:p>
        </w:tc>
      </w:tr>
      <w:tr>
        <w:trPr>
          <w:trHeight w:val="149"/>
        </w:trPr>
        <w:tc>
          <w:tcPr>
            <w:tcW w:w="3360" w:type="dxa"/>
            <w:vAlign w:val="bottom"/>
            <w:shd w:val="clear" w:color="auto" w:fill="CCECFF"/>
          </w:tcPr>
          <w:p>
            <w:pPr>
              <w:spacing w:after="0" w:line="149" w:lineRule="exact"/>
              <w:rPr>
                <w:sz w:val="20"/>
                <w:szCs w:val="20"/>
                <w:color w:val="auto"/>
              </w:rPr>
            </w:pPr>
            <w:r>
              <w:rPr>
                <w:rFonts w:ascii="Arial" w:cs="Arial" w:eastAsia="Arial" w:hAnsi="Arial"/>
                <w:sz w:val="11"/>
                <w:szCs w:val="11"/>
                <w:color w:val="auto"/>
              </w:rPr>
              <w:t xml:space="preserve">KHC Holdings, Inc. (Revolver) </w:t>
            </w:r>
            <w:r>
              <w:rPr>
                <w:rFonts w:ascii="Arial" w:cs="Arial" w:eastAsia="Arial" w:hAnsi="Arial"/>
                <w:sz w:val="17"/>
                <w:szCs w:val="17"/>
                <w:color w:val="auto"/>
                <w:vertAlign w:val="superscript"/>
              </w:rPr>
              <w:t>(7)</w:t>
            </w:r>
          </w:p>
        </w:tc>
        <w:tc>
          <w:tcPr>
            <w:tcW w:w="920" w:type="dxa"/>
            <w:vAlign w:val="bottom"/>
            <w:shd w:val="clear" w:color="auto" w:fill="CCECFF"/>
          </w:tcPr>
          <w:p>
            <w:pPr>
              <w:jc w:val="center"/>
              <w:ind w:right="2"/>
              <w:spacing w:after="0"/>
              <w:rPr>
                <w:sz w:val="20"/>
                <w:szCs w:val="20"/>
                <w:color w:val="auto"/>
              </w:rPr>
            </w:pPr>
            <w:r>
              <w:rPr>
                <w:rFonts w:ascii="Arial" w:cs="Arial" w:eastAsia="Arial" w:hAnsi="Arial"/>
                <w:sz w:val="12"/>
                <w:szCs w:val="12"/>
                <w:color w:val="auto"/>
                <w:w w:val="89"/>
              </w:rPr>
              <w:t>10/30/2020</w:t>
            </w:r>
          </w:p>
        </w:tc>
        <w:tc>
          <w:tcPr>
            <w:tcW w:w="2440" w:type="dxa"/>
            <w:vAlign w:val="bottom"/>
            <w:gridSpan w:val="2"/>
            <w:shd w:val="clear" w:color="auto" w:fill="CCECFF"/>
          </w:tcPr>
          <w:p>
            <w:pPr>
              <w:jc w:val="center"/>
              <w:ind w:right="180"/>
              <w:spacing w:after="0"/>
              <w:rPr>
                <w:sz w:val="20"/>
                <w:szCs w:val="20"/>
                <w:color w:val="auto"/>
              </w:rPr>
            </w:pPr>
            <w:r>
              <w:rPr>
                <w:rFonts w:ascii="Arial" w:cs="Arial" w:eastAsia="Arial" w:hAnsi="Arial"/>
                <w:sz w:val="12"/>
                <w:szCs w:val="12"/>
                <w:color w:val="auto"/>
                <w:w w:val="89"/>
              </w:rPr>
              <w:t>Wholesale</w:t>
            </w:r>
          </w:p>
        </w:tc>
        <w:tc>
          <w:tcPr>
            <w:tcW w:w="780" w:type="dxa"/>
            <w:vAlign w:val="bottom"/>
            <w:gridSpan w:val="2"/>
            <w:shd w:val="clear" w:color="auto" w:fill="CCECFF"/>
          </w:tcPr>
          <w:p>
            <w:pPr>
              <w:jc w:val="right"/>
              <w:ind w:right="20"/>
              <w:spacing w:after="0"/>
              <w:rPr>
                <w:sz w:val="20"/>
                <w:szCs w:val="20"/>
                <w:color w:val="auto"/>
              </w:rPr>
            </w:pPr>
            <w:r>
              <w:rPr>
                <w:rFonts w:ascii="Arial" w:cs="Arial" w:eastAsia="Arial" w:hAnsi="Arial"/>
                <w:sz w:val="12"/>
                <w:szCs w:val="12"/>
                <w:color w:val="auto"/>
              </w:rPr>
              <w:t>6.29%</w:t>
            </w:r>
          </w:p>
        </w:tc>
        <w:tc>
          <w:tcPr>
            <w:tcW w:w="140" w:type="dxa"/>
            <w:vAlign w:val="bottom"/>
            <w:shd w:val="clear" w:color="auto" w:fill="CCECFF"/>
          </w:tcPr>
          <w:p>
            <w:pPr>
              <w:spacing w:after="0"/>
              <w:rPr>
                <w:sz w:val="12"/>
                <w:szCs w:val="12"/>
                <w:color w:val="auto"/>
              </w:rPr>
            </w:pPr>
          </w:p>
        </w:tc>
        <w:tc>
          <w:tcPr>
            <w:tcW w:w="960" w:type="dxa"/>
            <w:vAlign w:val="bottom"/>
            <w:gridSpan w:val="2"/>
            <w:shd w:val="clear" w:color="auto" w:fill="CCECFF"/>
          </w:tcPr>
          <w:p>
            <w:pPr>
              <w:jc w:val="right"/>
              <w:ind w:right="280"/>
              <w:spacing w:after="0"/>
              <w:rPr>
                <w:sz w:val="20"/>
                <w:szCs w:val="20"/>
                <w:color w:val="auto"/>
              </w:rPr>
            </w:pPr>
            <w:r>
              <w:rPr>
                <w:rFonts w:ascii="Arial" w:cs="Arial" w:eastAsia="Arial" w:hAnsi="Arial"/>
                <w:sz w:val="12"/>
                <w:szCs w:val="12"/>
                <w:color w:val="auto"/>
              </w:rPr>
              <w:t>1M L+425</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479,839</w:t>
            </w:r>
          </w:p>
        </w:tc>
        <w:tc>
          <w:tcPr>
            <w:tcW w:w="24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479,839</w:t>
            </w:r>
          </w:p>
        </w:tc>
        <w:tc>
          <w:tcPr>
            <w:tcW w:w="220" w:type="dxa"/>
            <w:vAlign w:val="bottom"/>
            <w:shd w:val="clear" w:color="auto" w:fill="CCECFF"/>
          </w:tcPr>
          <w:p>
            <w:pPr>
              <w:spacing w:after="0"/>
              <w:rPr>
                <w:sz w:val="12"/>
                <w:szCs w:val="12"/>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479,839</w:t>
            </w:r>
          </w:p>
        </w:tc>
        <w:tc>
          <w:tcPr>
            <w:tcW w:w="120" w:type="dxa"/>
            <w:vAlign w:val="bottom"/>
            <w:shd w:val="clear" w:color="auto" w:fill="CCECFF"/>
          </w:tcPr>
          <w:p>
            <w:pPr>
              <w:spacing w:after="0"/>
              <w:rPr>
                <w:sz w:val="12"/>
                <w:szCs w:val="12"/>
                <w:color w:val="auto"/>
              </w:rPr>
            </w:pPr>
          </w:p>
        </w:tc>
      </w:tr>
      <w:tr>
        <w:trPr>
          <w:trHeight w:val="148"/>
        </w:trPr>
        <w:tc>
          <w:tcPr>
            <w:tcW w:w="3360" w:type="dxa"/>
            <w:vAlign w:val="bottom"/>
          </w:tcPr>
          <w:p>
            <w:pPr>
              <w:spacing w:after="0" w:line="149" w:lineRule="exact"/>
              <w:rPr>
                <w:sz w:val="20"/>
                <w:szCs w:val="20"/>
                <w:color w:val="auto"/>
              </w:rPr>
            </w:pPr>
            <w:r>
              <w:rPr>
                <w:rFonts w:ascii="Arial" w:cs="Arial" w:eastAsia="Arial" w:hAnsi="Arial"/>
                <w:sz w:val="11"/>
                <w:szCs w:val="11"/>
                <w:color w:val="auto"/>
              </w:rPr>
              <w:t xml:space="preserve">KHC Holdings, Inc. (Revolver) </w:t>
            </w:r>
            <w:r>
              <w:rPr>
                <w:rFonts w:ascii="Arial" w:cs="Arial" w:eastAsia="Arial" w:hAnsi="Arial"/>
                <w:sz w:val="17"/>
                <w:szCs w:val="17"/>
                <w:color w:val="auto"/>
                <w:vertAlign w:val="superscript"/>
              </w:rPr>
              <w:t>(7), (9)</w:t>
            </w:r>
          </w:p>
        </w:tc>
        <w:tc>
          <w:tcPr>
            <w:tcW w:w="920" w:type="dxa"/>
            <w:vAlign w:val="bottom"/>
          </w:tcPr>
          <w:p>
            <w:pPr>
              <w:jc w:val="center"/>
              <w:ind w:right="2"/>
              <w:spacing w:after="0"/>
              <w:rPr>
                <w:sz w:val="20"/>
                <w:szCs w:val="20"/>
                <w:color w:val="auto"/>
              </w:rPr>
            </w:pPr>
            <w:r>
              <w:rPr>
                <w:rFonts w:ascii="Arial" w:cs="Arial" w:eastAsia="Arial" w:hAnsi="Arial"/>
                <w:sz w:val="12"/>
                <w:szCs w:val="12"/>
                <w:color w:val="auto"/>
                <w:w w:val="89"/>
              </w:rPr>
              <w:t>10/30/2020</w:t>
            </w:r>
          </w:p>
        </w:tc>
        <w:tc>
          <w:tcPr>
            <w:tcW w:w="2440" w:type="dxa"/>
            <w:vAlign w:val="bottom"/>
            <w:gridSpan w:val="2"/>
          </w:tcPr>
          <w:p>
            <w:pPr>
              <w:jc w:val="center"/>
              <w:ind w:right="180"/>
              <w:spacing w:after="0"/>
              <w:rPr>
                <w:sz w:val="20"/>
                <w:szCs w:val="20"/>
                <w:color w:val="auto"/>
              </w:rPr>
            </w:pPr>
            <w:r>
              <w:rPr>
                <w:rFonts w:ascii="Arial" w:cs="Arial" w:eastAsia="Arial" w:hAnsi="Arial"/>
                <w:sz w:val="12"/>
                <w:szCs w:val="12"/>
                <w:color w:val="auto"/>
                <w:w w:val="89"/>
              </w:rPr>
              <w:t>Wholesale</w:t>
            </w:r>
          </w:p>
        </w:tc>
        <w:tc>
          <w:tcPr>
            <w:tcW w:w="78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729,839</w:t>
            </w:r>
          </w:p>
        </w:tc>
        <w:tc>
          <w:tcPr>
            <w:tcW w:w="240" w:type="dxa"/>
            <w:vAlign w:val="bottom"/>
          </w:tcPr>
          <w:p>
            <w:pPr>
              <w:spacing w:after="0"/>
              <w:rPr>
                <w:sz w:val="12"/>
                <w:szCs w:val="12"/>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8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r>
      <w:tr>
        <w:trPr>
          <w:trHeight w:val="148"/>
        </w:trPr>
        <w:tc>
          <w:tcPr>
            <w:tcW w:w="3360" w:type="dxa"/>
            <w:vAlign w:val="bottom"/>
            <w:shd w:val="clear" w:color="auto" w:fill="CCECFF"/>
          </w:tcPr>
          <w:p>
            <w:pPr>
              <w:spacing w:after="0"/>
              <w:rPr>
                <w:sz w:val="20"/>
                <w:szCs w:val="20"/>
                <w:color w:val="auto"/>
              </w:rPr>
            </w:pPr>
            <w:r>
              <w:rPr>
                <w:rFonts w:ascii="Arial" w:cs="Arial" w:eastAsia="Arial" w:hAnsi="Arial"/>
                <w:sz w:val="12"/>
                <w:szCs w:val="12"/>
                <w:color w:val="auto"/>
              </w:rPr>
              <w:t>Lago Resort &amp; Casino, LLC</w:t>
            </w:r>
          </w:p>
        </w:tc>
        <w:tc>
          <w:tcPr>
            <w:tcW w:w="920" w:type="dxa"/>
            <w:vAlign w:val="bottom"/>
            <w:shd w:val="clear" w:color="auto" w:fill="CCECFF"/>
          </w:tcPr>
          <w:p>
            <w:pPr>
              <w:jc w:val="center"/>
              <w:ind w:right="2"/>
              <w:spacing w:after="0"/>
              <w:rPr>
                <w:sz w:val="20"/>
                <w:szCs w:val="20"/>
                <w:color w:val="auto"/>
              </w:rPr>
            </w:pPr>
            <w:r>
              <w:rPr>
                <w:rFonts w:ascii="Arial" w:cs="Arial" w:eastAsia="Arial" w:hAnsi="Arial"/>
                <w:sz w:val="12"/>
                <w:szCs w:val="12"/>
                <w:color w:val="auto"/>
                <w:w w:val="89"/>
              </w:rPr>
              <w:t>03/07/2022</w:t>
            </w:r>
          </w:p>
        </w:tc>
        <w:tc>
          <w:tcPr>
            <w:tcW w:w="2440" w:type="dxa"/>
            <w:vAlign w:val="bottom"/>
            <w:gridSpan w:val="2"/>
            <w:shd w:val="clear" w:color="auto" w:fill="CCECFF"/>
          </w:tcPr>
          <w:p>
            <w:pPr>
              <w:jc w:val="center"/>
              <w:ind w:right="180"/>
              <w:spacing w:after="0"/>
              <w:rPr>
                <w:sz w:val="20"/>
                <w:szCs w:val="20"/>
                <w:color w:val="auto"/>
              </w:rPr>
            </w:pPr>
            <w:r>
              <w:rPr>
                <w:rFonts w:ascii="Arial" w:cs="Arial" w:eastAsia="Arial" w:hAnsi="Arial"/>
                <w:sz w:val="12"/>
                <w:szCs w:val="12"/>
                <w:color w:val="auto"/>
                <w:w w:val="88"/>
              </w:rPr>
              <w:t>Hotel, Gaming and Leisure</w:t>
            </w:r>
          </w:p>
        </w:tc>
        <w:tc>
          <w:tcPr>
            <w:tcW w:w="780" w:type="dxa"/>
            <w:vAlign w:val="bottom"/>
            <w:gridSpan w:val="2"/>
            <w:shd w:val="clear" w:color="auto" w:fill="CCECFF"/>
          </w:tcPr>
          <w:p>
            <w:pPr>
              <w:jc w:val="right"/>
              <w:ind w:right="20"/>
              <w:spacing w:after="0"/>
              <w:rPr>
                <w:sz w:val="20"/>
                <w:szCs w:val="20"/>
                <w:color w:val="auto"/>
              </w:rPr>
            </w:pPr>
            <w:r>
              <w:rPr>
                <w:rFonts w:ascii="Arial" w:cs="Arial" w:eastAsia="Arial" w:hAnsi="Arial"/>
                <w:sz w:val="12"/>
                <w:szCs w:val="12"/>
                <w:color w:val="auto"/>
              </w:rPr>
              <w:t>11.60%</w:t>
            </w:r>
          </w:p>
        </w:tc>
        <w:tc>
          <w:tcPr>
            <w:tcW w:w="140" w:type="dxa"/>
            <w:vAlign w:val="bottom"/>
            <w:shd w:val="clear" w:color="auto" w:fill="CCECFF"/>
          </w:tcPr>
          <w:p>
            <w:pPr>
              <w:spacing w:after="0"/>
              <w:rPr>
                <w:sz w:val="12"/>
                <w:szCs w:val="12"/>
                <w:color w:val="auto"/>
              </w:rPr>
            </w:pPr>
          </w:p>
        </w:tc>
        <w:tc>
          <w:tcPr>
            <w:tcW w:w="960" w:type="dxa"/>
            <w:vAlign w:val="bottom"/>
            <w:gridSpan w:val="2"/>
            <w:shd w:val="clear" w:color="auto" w:fill="CCECFF"/>
          </w:tcPr>
          <w:p>
            <w:pPr>
              <w:jc w:val="right"/>
              <w:ind w:right="280"/>
              <w:spacing w:after="0"/>
              <w:rPr>
                <w:sz w:val="20"/>
                <w:szCs w:val="20"/>
                <w:color w:val="auto"/>
              </w:rPr>
            </w:pPr>
            <w:r>
              <w:rPr>
                <w:rFonts w:ascii="Arial" w:cs="Arial" w:eastAsia="Arial" w:hAnsi="Arial"/>
                <w:sz w:val="12"/>
                <w:szCs w:val="12"/>
                <w:color w:val="auto"/>
              </w:rPr>
              <w:t>3M L+950</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9,316,000</w:t>
            </w:r>
          </w:p>
        </w:tc>
        <w:tc>
          <w:tcPr>
            <w:tcW w:w="24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9,224,654</w:t>
            </w:r>
          </w:p>
        </w:tc>
        <w:tc>
          <w:tcPr>
            <w:tcW w:w="220" w:type="dxa"/>
            <w:vAlign w:val="bottom"/>
            <w:shd w:val="clear" w:color="auto" w:fill="CCECFF"/>
          </w:tcPr>
          <w:p>
            <w:pPr>
              <w:spacing w:after="0"/>
              <w:rPr>
                <w:sz w:val="12"/>
                <w:szCs w:val="12"/>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9,176,260</w:t>
            </w:r>
          </w:p>
        </w:tc>
        <w:tc>
          <w:tcPr>
            <w:tcW w:w="120" w:type="dxa"/>
            <w:vAlign w:val="bottom"/>
            <w:shd w:val="clear" w:color="auto" w:fill="CCECFF"/>
          </w:tcPr>
          <w:p>
            <w:pPr>
              <w:spacing w:after="0"/>
              <w:rPr>
                <w:sz w:val="12"/>
                <w:szCs w:val="12"/>
                <w:color w:val="auto"/>
              </w:rPr>
            </w:pPr>
          </w:p>
        </w:tc>
      </w:tr>
      <w:tr>
        <w:trPr>
          <w:trHeight w:val="149"/>
        </w:trPr>
        <w:tc>
          <w:tcPr>
            <w:tcW w:w="3360" w:type="dxa"/>
            <w:vAlign w:val="bottom"/>
          </w:tcPr>
          <w:p>
            <w:pPr>
              <w:spacing w:after="0"/>
              <w:rPr>
                <w:sz w:val="20"/>
                <w:szCs w:val="20"/>
                <w:color w:val="auto"/>
              </w:rPr>
            </w:pPr>
            <w:r>
              <w:rPr>
                <w:rFonts w:ascii="Arial" w:cs="Arial" w:eastAsia="Arial" w:hAnsi="Arial"/>
                <w:sz w:val="12"/>
                <w:szCs w:val="12"/>
                <w:color w:val="auto"/>
              </w:rPr>
              <w:t>LAV Gear Holdings, Inc.</w:t>
            </w:r>
          </w:p>
        </w:tc>
        <w:tc>
          <w:tcPr>
            <w:tcW w:w="920" w:type="dxa"/>
            <w:vAlign w:val="bottom"/>
          </w:tcPr>
          <w:p>
            <w:pPr>
              <w:jc w:val="center"/>
              <w:ind w:right="2"/>
              <w:spacing w:after="0"/>
              <w:rPr>
                <w:sz w:val="20"/>
                <w:szCs w:val="20"/>
                <w:color w:val="auto"/>
              </w:rPr>
            </w:pPr>
            <w:r>
              <w:rPr>
                <w:rFonts w:ascii="Arial" w:cs="Arial" w:eastAsia="Arial" w:hAnsi="Arial"/>
                <w:sz w:val="12"/>
                <w:szCs w:val="12"/>
                <w:color w:val="auto"/>
                <w:w w:val="89"/>
              </w:rPr>
              <w:t>10/31/2024</w:t>
            </w:r>
          </w:p>
        </w:tc>
        <w:tc>
          <w:tcPr>
            <w:tcW w:w="2440" w:type="dxa"/>
            <w:vAlign w:val="bottom"/>
            <w:gridSpan w:val="2"/>
          </w:tcPr>
          <w:p>
            <w:pPr>
              <w:jc w:val="center"/>
              <w:ind w:right="200"/>
              <w:spacing w:after="0"/>
              <w:rPr>
                <w:sz w:val="20"/>
                <w:szCs w:val="20"/>
                <w:color w:val="auto"/>
              </w:rPr>
            </w:pPr>
            <w:r>
              <w:rPr>
                <w:rFonts w:ascii="Arial" w:cs="Arial" w:eastAsia="Arial" w:hAnsi="Arial"/>
                <w:sz w:val="12"/>
                <w:szCs w:val="12"/>
                <w:color w:val="auto"/>
                <w:w w:val="89"/>
              </w:rPr>
              <w:t>Capital Equipment</w:t>
            </w:r>
          </w:p>
        </w:tc>
        <w:tc>
          <w:tcPr>
            <w:tcW w:w="780" w:type="dxa"/>
            <w:vAlign w:val="bottom"/>
            <w:gridSpan w:val="2"/>
          </w:tcPr>
          <w:p>
            <w:pPr>
              <w:jc w:val="right"/>
              <w:ind w:right="20"/>
              <w:spacing w:after="0"/>
              <w:rPr>
                <w:sz w:val="20"/>
                <w:szCs w:val="20"/>
                <w:color w:val="auto"/>
              </w:rPr>
            </w:pPr>
            <w:r>
              <w:rPr>
                <w:rFonts w:ascii="Arial" w:cs="Arial" w:eastAsia="Arial" w:hAnsi="Arial"/>
                <w:sz w:val="12"/>
                <w:szCs w:val="12"/>
                <w:color w:val="auto"/>
              </w:rPr>
              <w:t>7.60%</w:t>
            </w:r>
          </w:p>
        </w:tc>
        <w:tc>
          <w:tcPr>
            <w:tcW w:w="140" w:type="dxa"/>
            <w:vAlign w:val="bottom"/>
          </w:tcPr>
          <w:p>
            <w:pPr>
              <w:spacing w:after="0"/>
              <w:rPr>
                <w:sz w:val="12"/>
                <w:szCs w:val="12"/>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2"/>
                <w:szCs w:val="12"/>
                <w:color w:val="auto"/>
              </w:rPr>
              <w:t>1M L+550</w:t>
            </w:r>
          </w:p>
        </w:tc>
        <w:tc>
          <w:tcPr>
            <w:tcW w:w="680" w:type="dxa"/>
            <w:vAlign w:val="bottom"/>
          </w:tcPr>
          <w:p>
            <w:pPr>
              <w:jc w:val="right"/>
              <w:spacing w:after="0"/>
              <w:rPr>
                <w:sz w:val="20"/>
                <w:szCs w:val="20"/>
                <w:color w:val="auto"/>
              </w:rPr>
            </w:pPr>
            <w:r>
              <w:rPr>
                <w:rFonts w:ascii="Arial" w:cs="Arial" w:eastAsia="Arial" w:hAnsi="Arial"/>
                <w:sz w:val="12"/>
                <w:szCs w:val="12"/>
                <w:color w:val="auto"/>
              </w:rPr>
              <w:t>8,357,143</w:t>
            </w:r>
          </w:p>
        </w:tc>
        <w:tc>
          <w:tcPr>
            <w:tcW w:w="24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8,311,279</w:t>
            </w:r>
          </w:p>
        </w:tc>
        <w:tc>
          <w:tcPr>
            <w:tcW w:w="22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8,349,621</w:t>
            </w:r>
          </w:p>
        </w:tc>
        <w:tc>
          <w:tcPr>
            <w:tcW w:w="120" w:type="dxa"/>
            <w:vAlign w:val="bottom"/>
          </w:tcPr>
          <w:p>
            <w:pPr>
              <w:spacing w:after="0"/>
              <w:rPr>
                <w:sz w:val="12"/>
                <w:szCs w:val="12"/>
                <w:color w:val="auto"/>
              </w:rPr>
            </w:pPr>
          </w:p>
        </w:tc>
      </w:tr>
      <w:tr>
        <w:trPr>
          <w:trHeight w:val="148"/>
        </w:trPr>
        <w:tc>
          <w:tcPr>
            <w:tcW w:w="3360" w:type="dxa"/>
            <w:vAlign w:val="bottom"/>
            <w:shd w:val="clear" w:color="auto" w:fill="CCECFF"/>
          </w:tcPr>
          <w:p>
            <w:pPr>
              <w:spacing w:after="0" w:line="149" w:lineRule="exact"/>
              <w:rPr>
                <w:sz w:val="20"/>
                <w:szCs w:val="20"/>
                <w:color w:val="auto"/>
              </w:rPr>
            </w:pPr>
            <w:r>
              <w:rPr>
                <w:rFonts w:ascii="Arial" w:cs="Arial" w:eastAsia="Arial" w:hAnsi="Arial"/>
                <w:sz w:val="11"/>
                <w:szCs w:val="11"/>
                <w:color w:val="auto"/>
              </w:rPr>
              <w:t xml:space="preserve">LAV Gear Holdings, Inc. (Revolver) </w:t>
            </w:r>
            <w:r>
              <w:rPr>
                <w:rFonts w:ascii="Arial" w:cs="Arial" w:eastAsia="Arial" w:hAnsi="Arial"/>
                <w:sz w:val="17"/>
                <w:szCs w:val="17"/>
                <w:color w:val="auto"/>
                <w:vertAlign w:val="superscript"/>
              </w:rPr>
              <w:t>(7)</w:t>
            </w:r>
          </w:p>
        </w:tc>
        <w:tc>
          <w:tcPr>
            <w:tcW w:w="920" w:type="dxa"/>
            <w:vAlign w:val="bottom"/>
            <w:shd w:val="clear" w:color="auto" w:fill="CCECFF"/>
          </w:tcPr>
          <w:p>
            <w:pPr>
              <w:jc w:val="center"/>
              <w:ind w:right="2"/>
              <w:spacing w:after="0"/>
              <w:rPr>
                <w:sz w:val="20"/>
                <w:szCs w:val="20"/>
                <w:color w:val="auto"/>
              </w:rPr>
            </w:pPr>
            <w:r>
              <w:rPr>
                <w:rFonts w:ascii="Arial" w:cs="Arial" w:eastAsia="Arial" w:hAnsi="Arial"/>
                <w:sz w:val="12"/>
                <w:szCs w:val="12"/>
                <w:color w:val="auto"/>
                <w:w w:val="89"/>
              </w:rPr>
              <w:t>10/31/2024</w:t>
            </w:r>
          </w:p>
        </w:tc>
        <w:tc>
          <w:tcPr>
            <w:tcW w:w="2440" w:type="dxa"/>
            <w:vAlign w:val="bottom"/>
            <w:gridSpan w:val="2"/>
            <w:shd w:val="clear" w:color="auto" w:fill="CCECFF"/>
          </w:tcPr>
          <w:p>
            <w:pPr>
              <w:jc w:val="center"/>
              <w:ind w:right="200"/>
              <w:spacing w:after="0"/>
              <w:rPr>
                <w:sz w:val="20"/>
                <w:szCs w:val="20"/>
                <w:color w:val="auto"/>
              </w:rPr>
            </w:pPr>
            <w:r>
              <w:rPr>
                <w:rFonts w:ascii="Arial" w:cs="Arial" w:eastAsia="Arial" w:hAnsi="Arial"/>
                <w:sz w:val="12"/>
                <w:szCs w:val="12"/>
                <w:color w:val="auto"/>
                <w:w w:val="89"/>
              </w:rPr>
              <w:t>Capital Equipment</w:t>
            </w:r>
          </w:p>
        </w:tc>
        <w:tc>
          <w:tcPr>
            <w:tcW w:w="780" w:type="dxa"/>
            <w:vAlign w:val="bottom"/>
            <w:gridSpan w:val="2"/>
            <w:shd w:val="clear" w:color="auto" w:fill="CCECFF"/>
          </w:tcPr>
          <w:p>
            <w:pPr>
              <w:jc w:val="right"/>
              <w:ind w:right="20"/>
              <w:spacing w:after="0"/>
              <w:rPr>
                <w:sz w:val="20"/>
                <w:szCs w:val="20"/>
                <w:color w:val="auto"/>
              </w:rPr>
            </w:pPr>
            <w:r>
              <w:rPr>
                <w:rFonts w:ascii="Arial" w:cs="Arial" w:eastAsia="Arial" w:hAnsi="Arial"/>
                <w:sz w:val="12"/>
                <w:szCs w:val="12"/>
                <w:color w:val="auto"/>
              </w:rPr>
              <w:t>7.61%</w:t>
            </w:r>
          </w:p>
        </w:tc>
        <w:tc>
          <w:tcPr>
            <w:tcW w:w="140" w:type="dxa"/>
            <w:vAlign w:val="bottom"/>
            <w:shd w:val="clear" w:color="auto" w:fill="CCECFF"/>
          </w:tcPr>
          <w:p>
            <w:pPr>
              <w:spacing w:after="0"/>
              <w:rPr>
                <w:sz w:val="12"/>
                <w:szCs w:val="12"/>
                <w:color w:val="auto"/>
              </w:rPr>
            </w:pPr>
          </w:p>
        </w:tc>
        <w:tc>
          <w:tcPr>
            <w:tcW w:w="960" w:type="dxa"/>
            <w:vAlign w:val="bottom"/>
            <w:gridSpan w:val="2"/>
            <w:shd w:val="clear" w:color="auto" w:fill="CCECFF"/>
          </w:tcPr>
          <w:p>
            <w:pPr>
              <w:jc w:val="right"/>
              <w:ind w:right="280"/>
              <w:spacing w:after="0"/>
              <w:rPr>
                <w:sz w:val="20"/>
                <w:szCs w:val="20"/>
                <w:color w:val="auto"/>
              </w:rPr>
            </w:pPr>
            <w:r>
              <w:rPr>
                <w:rFonts w:ascii="Arial" w:cs="Arial" w:eastAsia="Arial" w:hAnsi="Arial"/>
                <w:sz w:val="12"/>
                <w:szCs w:val="12"/>
                <w:color w:val="auto"/>
              </w:rPr>
              <w:t>1M L+550</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126,984</w:t>
            </w:r>
          </w:p>
        </w:tc>
        <w:tc>
          <w:tcPr>
            <w:tcW w:w="24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126,984</w:t>
            </w:r>
          </w:p>
        </w:tc>
        <w:tc>
          <w:tcPr>
            <w:tcW w:w="220" w:type="dxa"/>
            <w:vAlign w:val="bottom"/>
            <w:shd w:val="clear" w:color="auto" w:fill="CCECFF"/>
          </w:tcPr>
          <w:p>
            <w:pPr>
              <w:spacing w:after="0"/>
              <w:rPr>
                <w:sz w:val="12"/>
                <w:szCs w:val="12"/>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126,870</w:t>
            </w:r>
          </w:p>
        </w:tc>
        <w:tc>
          <w:tcPr>
            <w:tcW w:w="120" w:type="dxa"/>
            <w:vAlign w:val="bottom"/>
            <w:shd w:val="clear" w:color="auto" w:fill="CCECFF"/>
          </w:tcPr>
          <w:p>
            <w:pPr>
              <w:spacing w:after="0"/>
              <w:rPr>
                <w:sz w:val="12"/>
                <w:szCs w:val="12"/>
                <w:color w:val="auto"/>
              </w:rPr>
            </w:pPr>
          </w:p>
        </w:tc>
      </w:tr>
      <w:tr>
        <w:trPr>
          <w:trHeight w:val="148"/>
        </w:trPr>
        <w:tc>
          <w:tcPr>
            <w:tcW w:w="3360" w:type="dxa"/>
            <w:vAlign w:val="bottom"/>
          </w:tcPr>
          <w:p>
            <w:pPr>
              <w:spacing w:after="0" w:line="149" w:lineRule="exact"/>
              <w:rPr>
                <w:sz w:val="20"/>
                <w:szCs w:val="20"/>
                <w:color w:val="auto"/>
              </w:rPr>
            </w:pPr>
            <w:r>
              <w:rPr>
                <w:rFonts w:ascii="Arial" w:cs="Arial" w:eastAsia="Arial" w:hAnsi="Arial"/>
                <w:sz w:val="11"/>
                <w:szCs w:val="11"/>
                <w:color w:val="auto"/>
              </w:rPr>
              <w:t xml:space="preserve">LAV Gear Holdings, Inc. (Revolver) </w:t>
            </w:r>
            <w:r>
              <w:rPr>
                <w:rFonts w:ascii="Arial" w:cs="Arial" w:eastAsia="Arial" w:hAnsi="Arial"/>
                <w:sz w:val="17"/>
                <w:szCs w:val="17"/>
                <w:color w:val="auto"/>
                <w:vertAlign w:val="superscript"/>
              </w:rPr>
              <w:t>(7), (9)</w:t>
            </w:r>
          </w:p>
        </w:tc>
        <w:tc>
          <w:tcPr>
            <w:tcW w:w="920" w:type="dxa"/>
            <w:vAlign w:val="bottom"/>
          </w:tcPr>
          <w:p>
            <w:pPr>
              <w:jc w:val="center"/>
              <w:ind w:right="2"/>
              <w:spacing w:after="0"/>
              <w:rPr>
                <w:sz w:val="20"/>
                <w:szCs w:val="20"/>
                <w:color w:val="auto"/>
              </w:rPr>
            </w:pPr>
            <w:r>
              <w:rPr>
                <w:rFonts w:ascii="Arial" w:cs="Arial" w:eastAsia="Arial" w:hAnsi="Arial"/>
                <w:sz w:val="12"/>
                <w:szCs w:val="12"/>
                <w:color w:val="auto"/>
                <w:w w:val="89"/>
              </w:rPr>
              <w:t>10/31/2024</w:t>
            </w:r>
          </w:p>
        </w:tc>
        <w:tc>
          <w:tcPr>
            <w:tcW w:w="2440" w:type="dxa"/>
            <w:vAlign w:val="bottom"/>
            <w:gridSpan w:val="2"/>
          </w:tcPr>
          <w:p>
            <w:pPr>
              <w:jc w:val="center"/>
              <w:ind w:right="200"/>
              <w:spacing w:after="0"/>
              <w:rPr>
                <w:sz w:val="20"/>
                <w:szCs w:val="20"/>
                <w:color w:val="auto"/>
              </w:rPr>
            </w:pPr>
            <w:r>
              <w:rPr>
                <w:rFonts w:ascii="Arial" w:cs="Arial" w:eastAsia="Arial" w:hAnsi="Arial"/>
                <w:sz w:val="12"/>
                <w:szCs w:val="12"/>
                <w:color w:val="auto"/>
                <w:w w:val="89"/>
              </w:rPr>
              <w:t>Capital Equipment</w:t>
            </w:r>
          </w:p>
        </w:tc>
        <w:tc>
          <w:tcPr>
            <w:tcW w:w="78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1,460,317</w:t>
            </w:r>
          </w:p>
        </w:tc>
        <w:tc>
          <w:tcPr>
            <w:tcW w:w="240" w:type="dxa"/>
            <w:vAlign w:val="bottom"/>
          </w:tcPr>
          <w:p>
            <w:pPr>
              <w:spacing w:after="0"/>
              <w:rPr>
                <w:sz w:val="12"/>
                <w:szCs w:val="12"/>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820" w:type="dxa"/>
            <w:vAlign w:val="bottom"/>
            <w:gridSpan w:val="2"/>
          </w:tcPr>
          <w:p>
            <w:pPr>
              <w:jc w:val="right"/>
              <w:ind w:right="80"/>
              <w:spacing w:after="0"/>
              <w:rPr>
                <w:sz w:val="20"/>
                <w:szCs w:val="20"/>
                <w:color w:val="auto"/>
              </w:rPr>
            </w:pPr>
            <w:r>
              <w:rPr>
                <w:rFonts w:ascii="Arial" w:cs="Arial" w:eastAsia="Arial" w:hAnsi="Arial"/>
                <w:sz w:val="12"/>
                <w:szCs w:val="12"/>
                <w:color w:val="auto"/>
              </w:rPr>
              <w:t>(1,314)</w:t>
            </w:r>
          </w:p>
        </w:tc>
      </w:tr>
      <w:tr>
        <w:trPr>
          <w:trHeight w:val="149"/>
        </w:trPr>
        <w:tc>
          <w:tcPr>
            <w:tcW w:w="3360" w:type="dxa"/>
            <w:vAlign w:val="bottom"/>
            <w:shd w:val="clear" w:color="auto" w:fill="CCECFF"/>
          </w:tcPr>
          <w:p>
            <w:pPr>
              <w:spacing w:after="0" w:line="149" w:lineRule="exact"/>
              <w:rPr>
                <w:sz w:val="20"/>
                <w:szCs w:val="20"/>
                <w:color w:val="auto"/>
              </w:rPr>
            </w:pPr>
            <w:r>
              <w:rPr>
                <w:rFonts w:ascii="Arial" w:cs="Arial" w:eastAsia="Arial" w:hAnsi="Arial"/>
                <w:sz w:val="11"/>
                <w:szCs w:val="11"/>
                <w:color w:val="auto"/>
              </w:rPr>
              <w:t xml:space="preserve">LifeCare Holdings LLC </w:t>
            </w:r>
            <w:r>
              <w:rPr>
                <w:rFonts w:ascii="Arial" w:cs="Arial" w:eastAsia="Arial" w:hAnsi="Arial"/>
                <w:sz w:val="17"/>
                <w:szCs w:val="17"/>
                <w:color w:val="auto"/>
                <w:vertAlign w:val="superscript"/>
              </w:rPr>
              <w:t>(7)</w:t>
            </w:r>
          </w:p>
        </w:tc>
        <w:tc>
          <w:tcPr>
            <w:tcW w:w="920" w:type="dxa"/>
            <w:vAlign w:val="bottom"/>
            <w:shd w:val="clear" w:color="auto" w:fill="CCECFF"/>
          </w:tcPr>
          <w:p>
            <w:pPr>
              <w:jc w:val="center"/>
              <w:ind w:right="2"/>
              <w:spacing w:after="0"/>
              <w:rPr>
                <w:sz w:val="20"/>
                <w:szCs w:val="20"/>
                <w:color w:val="auto"/>
              </w:rPr>
            </w:pPr>
            <w:r>
              <w:rPr>
                <w:rFonts w:ascii="Arial" w:cs="Arial" w:eastAsia="Arial" w:hAnsi="Arial"/>
                <w:sz w:val="12"/>
                <w:szCs w:val="12"/>
                <w:color w:val="auto"/>
                <w:w w:val="89"/>
              </w:rPr>
              <w:t>11/30/2021</w:t>
            </w:r>
          </w:p>
        </w:tc>
        <w:tc>
          <w:tcPr>
            <w:tcW w:w="2440" w:type="dxa"/>
            <w:vAlign w:val="bottom"/>
            <w:gridSpan w:val="2"/>
            <w:shd w:val="clear" w:color="auto" w:fill="CCECFF"/>
          </w:tcPr>
          <w:p>
            <w:pPr>
              <w:jc w:val="center"/>
              <w:ind w:right="180"/>
              <w:spacing w:after="0"/>
              <w:rPr>
                <w:sz w:val="20"/>
                <w:szCs w:val="20"/>
                <w:color w:val="auto"/>
              </w:rPr>
            </w:pPr>
            <w:r>
              <w:rPr>
                <w:rFonts w:ascii="Arial" w:cs="Arial" w:eastAsia="Arial" w:hAnsi="Arial"/>
                <w:sz w:val="12"/>
                <w:szCs w:val="12"/>
                <w:color w:val="auto"/>
                <w:w w:val="86"/>
              </w:rPr>
              <w:t>Healthcare and Pharmaceuticals</w:t>
            </w:r>
          </w:p>
        </w:tc>
        <w:tc>
          <w:tcPr>
            <w:tcW w:w="780" w:type="dxa"/>
            <w:vAlign w:val="bottom"/>
            <w:gridSpan w:val="2"/>
            <w:shd w:val="clear" w:color="auto" w:fill="CCECFF"/>
          </w:tcPr>
          <w:p>
            <w:pPr>
              <w:jc w:val="right"/>
              <w:ind w:right="20"/>
              <w:spacing w:after="0"/>
              <w:rPr>
                <w:sz w:val="20"/>
                <w:szCs w:val="20"/>
                <w:color w:val="auto"/>
              </w:rPr>
            </w:pPr>
            <w:r>
              <w:rPr>
                <w:rFonts w:ascii="Arial" w:cs="Arial" w:eastAsia="Arial" w:hAnsi="Arial"/>
                <w:sz w:val="12"/>
                <w:szCs w:val="12"/>
                <w:color w:val="auto"/>
              </w:rPr>
              <w:t>0.00%</w:t>
            </w:r>
          </w:p>
        </w:tc>
        <w:tc>
          <w:tcPr>
            <w:tcW w:w="140" w:type="dxa"/>
            <w:vAlign w:val="bottom"/>
            <w:shd w:val="clear" w:color="auto" w:fill="CCECFF"/>
          </w:tcPr>
          <w:p>
            <w:pPr>
              <w:jc w:val="right"/>
              <w:spacing w:after="0"/>
              <w:rPr>
                <w:sz w:val="20"/>
                <w:szCs w:val="20"/>
                <w:color w:val="auto"/>
              </w:rPr>
            </w:pPr>
            <w:r>
              <w:rPr>
                <w:rFonts w:ascii="Arial" w:cs="Arial" w:eastAsia="Arial" w:hAnsi="Arial"/>
                <w:sz w:val="10"/>
                <w:szCs w:val="10"/>
                <w:color w:val="auto"/>
                <w:w w:val="81"/>
              </w:rPr>
              <w:t>(6)</w:t>
            </w:r>
          </w:p>
        </w:tc>
        <w:tc>
          <w:tcPr>
            <w:tcW w:w="960" w:type="dxa"/>
            <w:vAlign w:val="bottom"/>
            <w:gridSpan w:val="2"/>
            <w:shd w:val="clear" w:color="auto" w:fill="CCECFF"/>
          </w:tcPr>
          <w:p>
            <w:pPr>
              <w:jc w:val="right"/>
              <w:ind w:right="280"/>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4,736,107</w:t>
            </w:r>
          </w:p>
        </w:tc>
        <w:tc>
          <w:tcPr>
            <w:tcW w:w="24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4,599,788</w:t>
            </w:r>
          </w:p>
        </w:tc>
        <w:tc>
          <w:tcPr>
            <w:tcW w:w="220" w:type="dxa"/>
            <w:vAlign w:val="bottom"/>
            <w:shd w:val="clear" w:color="auto" w:fill="CCECFF"/>
          </w:tcPr>
          <w:p>
            <w:pPr>
              <w:spacing w:after="0"/>
              <w:rPr>
                <w:sz w:val="12"/>
                <w:szCs w:val="12"/>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94,722</w:t>
            </w:r>
          </w:p>
        </w:tc>
        <w:tc>
          <w:tcPr>
            <w:tcW w:w="120" w:type="dxa"/>
            <w:vAlign w:val="bottom"/>
            <w:shd w:val="clear" w:color="auto" w:fill="CCECFF"/>
          </w:tcPr>
          <w:p>
            <w:pPr>
              <w:spacing w:after="0"/>
              <w:rPr>
                <w:sz w:val="12"/>
                <w:szCs w:val="12"/>
                <w:color w:val="auto"/>
              </w:rPr>
            </w:pPr>
          </w:p>
        </w:tc>
      </w:tr>
      <w:tr>
        <w:trPr>
          <w:trHeight w:val="148"/>
        </w:trPr>
        <w:tc>
          <w:tcPr>
            <w:tcW w:w="3360" w:type="dxa"/>
            <w:vAlign w:val="bottom"/>
          </w:tcPr>
          <w:p>
            <w:pPr>
              <w:spacing w:after="0"/>
              <w:rPr>
                <w:sz w:val="20"/>
                <w:szCs w:val="20"/>
                <w:color w:val="auto"/>
              </w:rPr>
            </w:pPr>
            <w:r>
              <w:rPr>
                <w:rFonts w:ascii="Arial" w:cs="Arial" w:eastAsia="Arial" w:hAnsi="Arial"/>
                <w:sz w:val="12"/>
                <w:szCs w:val="12"/>
                <w:color w:val="auto"/>
              </w:rPr>
              <w:t>Lombart Brothers, Inc.</w:t>
            </w:r>
          </w:p>
        </w:tc>
        <w:tc>
          <w:tcPr>
            <w:tcW w:w="920" w:type="dxa"/>
            <w:vAlign w:val="bottom"/>
          </w:tcPr>
          <w:p>
            <w:pPr>
              <w:jc w:val="center"/>
              <w:ind w:right="2"/>
              <w:spacing w:after="0"/>
              <w:rPr>
                <w:sz w:val="20"/>
                <w:szCs w:val="20"/>
                <w:color w:val="auto"/>
              </w:rPr>
            </w:pPr>
            <w:r>
              <w:rPr>
                <w:rFonts w:ascii="Arial" w:cs="Arial" w:eastAsia="Arial" w:hAnsi="Arial"/>
                <w:sz w:val="12"/>
                <w:szCs w:val="12"/>
                <w:color w:val="auto"/>
                <w:w w:val="89"/>
              </w:rPr>
              <w:t>04/13/2022</w:t>
            </w:r>
          </w:p>
        </w:tc>
        <w:tc>
          <w:tcPr>
            <w:tcW w:w="2440" w:type="dxa"/>
            <w:vAlign w:val="bottom"/>
            <w:gridSpan w:val="2"/>
          </w:tcPr>
          <w:p>
            <w:pPr>
              <w:jc w:val="center"/>
              <w:ind w:right="200"/>
              <w:spacing w:after="0"/>
              <w:rPr>
                <w:sz w:val="20"/>
                <w:szCs w:val="20"/>
                <w:color w:val="auto"/>
              </w:rPr>
            </w:pPr>
            <w:r>
              <w:rPr>
                <w:rFonts w:ascii="Arial" w:cs="Arial" w:eastAsia="Arial" w:hAnsi="Arial"/>
                <w:sz w:val="12"/>
                <w:szCs w:val="12"/>
                <w:color w:val="auto"/>
                <w:w w:val="89"/>
              </w:rPr>
              <w:t>Capital Equipment</w:t>
            </w:r>
          </w:p>
        </w:tc>
        <w:tc>
          <w:tcPr>
            <w:tcW w:w="780" w:type="dxa"/>
            <w:vAlign w:val="bottom"/>
            <w:gridSpan w:val="2"/>
          </w:tcPr>
          <w:p>
            <w:pPr>
              <w:jc w:val="right"/>
              <w:ind w:right="20"/>
              <w:spacing w:after="0"/>
              <w:rPr>
                <w:sz w:val="20"/>
                <w:szCs w:val="20"/>
                <w:color w:val="auto"/>
              </w:rPr>
            </w:pPr>
            <w:r>
              <w:rPr>
                <w:rFonts w:ascii="Arial" w:cs="Arial" w:eastAsia="Arial" w:hAnsi="Arial"/>
                <w:sz w:val="12"/>
                <w:szCs w:val="12"/>
                <w:color w:val="auto"/>
              </w:rPr>
              <w:t>8.35%</w:t>
            </w:r>
          </w:p>
        </w:tc>
        <w:tc>
          <w:tcPr>
            <w:tcW w:w="140" w:type="dxa"/>
            <w:vAlign w:val="bottom"/>
          </w:tcPr>
          <w:p>
            <w:pPr>
              <w:spacing w:after="0"/>
              <w:rPr>
                <w:sz w:val="12"/>
                <w:szCs w:val="12"/>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2"/>
                <w:szCs w:val="12"/>
                <w:color w:val="auto"/>
              </w:rPr>
              <w:t>3M L+625</w:t>
            </w:r>
          </w:p>
        </w:tc>
        <w:tc>
          <w:tcPr>
            <w:tcW w:w="680" w:type="dxa"/>
            <w:vAlign w:val="bottom"/>
          </w:tcPr>
          <w:p>
            <w:pPr>
              <w:jc w:val="right"/>
              <w:spacing w:after="0"/>
              <w:rPr>
                <w:sz w:val="20"/>
                <w:szCs w:val="20"/>
                <w:color w:val="auto"/>
              </w:rPr>
            </w:pPr>
            <w:r>
              <w:rPr>
                <w:rFonts w:ascii="Arial" w:cs="Arial" w:eastAsia="Arial" w:hAnsi="Arial"/>
                <w:sz w:val="12"/>
                <w:szCs w:val="12"/>
                <w:color w:val="auto"/>
              </w:rPr>
              <w:t>13,783,976</w:t>
            </w:r>
          </w:p>
        </w:tc>
        <w:tc>
          <w:tcPr>
            <w:tcW w:w="24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13,628,111</w:t>
            </w:r>
          </w:p>
        </w:tc>
        <w:tc>
          <w:tcPr>
            <w:tcW w:w="22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13,646,136</w:t>
            </w:r>
          </w:p>
        </w:tc>
        <w:tc>
          <w:tcPr>
            <w:tcW w:w="120" w:type="dxa"/>
            <w:vAlign w:val="bottom"/>
          </w:tcPr>
          <w:p>
            <w:pPr>
              <w:spacing w:after="0"/>
              <w:rPr>
                <w:sz w:val="12"/>
                <w:szCs w:val="12"/>
                <w:color w:val="auto"/>
              </w:rPr>
            </w:pPr>
          </w:p>
        </w:tc>
      </w:tr>
      <w:tr>
        <w:trPr>
          <w:trHeight w:val="149"/>
        </w:trPr>
        <w:tc>
          <w:tcPr>
            <w:tcW w:w="3360" w:type="dxa"/>
            <w:vAlign w:val="bottom"/>
            <w:shd w:val="clear" w:color="auto" w:fill="CCECFF"/>
          </w:tcPr>
          <w:p>
            <w:pPr>
              <w:spacing w:after="0" w:line="149" w:lineRule="exact"/>
              <w:rPr>
                <w:sz w:val="20"/>
                <w:szCs w:val="20"/>
                <w:color w:val="auto"/>
              </w:rPr>
            </w:pPr>
            <w:r>
              <w:rPr>
                <w:rFonts w:ascii="Arial" w:cs="Arial" w:eastAsia="Arial" w:hAnsi="Arial"/>
                <w:sz w:val="11"/>
                <w:szCs w:val="11"/>
                <w:color w:val="auto"/>
              </w:rPr>
              <w:t xml:space="preserve">Lombart Brothers, Inc. (Revolver) </w:t>
            </w:r>
            <w:r>
              <w:rPr>
                <w:rFonts w:ascii="Arial" w:cs="Arial" w:eastAsia="Arial" w:hAnsi="Arial"/>
                <w:sz w:val="17"/>
                <w:szCs w:val="17"/>
                <w:color w:val="auto"/>
                <w:vertAlign w:val="superscript"/>
              </w:rPr>
              <w:t>(7)</w:t>
            </w:r>
          </w:p>
        </w:tc>
        <w:tc>
          <w:tcPr>
            <w:tcW w:w="920" w:type="dxa"/>
            <w:vAlign w:val="bottom"/>
            <w:shd w:val="clear" w:color="auto" w:fill="CCECFF"/>
          </w:tcPr>
          <w:p>
            <w:pPr>
              <w:jc w:val="center"/>
              <w:ind w:right="2"/>
              <w:spacing w:after="0"/>
              <w:rPr>
                <w:sz w:val="20"/>
                <w:szCs w:val="20"/>
                <w:color w:val="auto"/>
              </w:rPr>
            </w:pPr>
            <w:r>
              <w:rPr>
                <w:rFonts w:ascii="Arial" w:cs="Arial" w:eastAsia="Arial" w:hAnsi="Arial"/>
                <w:sz w:val="12"/>
                <w:szCs w:val="12"/>
                <w:color w:val="auto"/>
                <w:w w:val="89"/>
              </w:rPr>
              <w:t>04/13/2022</w:t>
            </w:r>
          </w:p>
        </w:tc>
        <w:tc>
          <w:tcPr>
            <w:tcW w:w="2440" w:type="dxa"/>
            <w:vAlign w:val="bottom"/>
            <w:gridSpan w:val="2"/>
            <w:shd w:val="clear" w:color="auto" w:fill="CCECFF"/>
          </w:tcPr>
          <w:p>
            <w:pPr>
              <w:jc w:val="center"/>
              <w:ind w:right="200"/>
              <w:spacing w:after="0"/>
              <w:rPr>
                <w:sz w:val="20"/>
                <w:szCs w:val="20"/>
                <w:color w:val="auto"/>
              </w:rPr>
            </w:pPr>
            <w:r>
              <w:rPr>
                <w:rFonts w:ascii="Arial" w:cs="Arial" w:eastAsia="Arial" w:hAnsi="Arial"/>
                <w:sz w:val="12"/>
                <w:szCs w:val="12"/>
                <w:color w:val="auto"/>
                <w:w w:val="89"/>
              </w:rPr>
              <w:t>Capital Equipment</w:t>
            </w:r>
          </w:p>
        </w:tc>
        <w:tc>
          <w:tcPr>
            <w:tcW w:w="780" w:type="dxa"/>
            <w:vAlign w:val="bottom"/>
            <w:gridSpan w:val="2"/>
            <w:shd w:val="clear" w:color="auto" w:fill="CCECFF"/>
          </w:tcPr>
          <w:p>
            <w:pPr>
              <w:jc w:val="right"/>
              <w:ind w:right="20"/>
              <w:spacing w:after="0"/>
              <w:rPr>
                <w:sz w:val="20"/>
                <w:szCs w:val="20"/>
                <w:color w:val="auto"/>
              </w:rPr>
            </w:pPr>
            <w:r>
              <w:rPr>
                <w:rFonts w:ascii="Arial" w:cs="Arial" w:eastAsia="Arial" w:hAnsi="Arial"/>
                <w:sz w:val="12"/>
                <w:szCs w:val="12"/>
                <w:color w:val="auto"/>
              </w:rPr>
              <w:t>10.00%</w:t>
            </w:r>
          </w:p>
        </w:tc>
        <w:tc>
          <w:tcPr>
            <w:tcW w:w="140" w:type="dxa"/>
            <w:vAlign w:val="bottom"/>
            <w:shd w:val="clear" w:color="auto" w:fill="CCECFF"/>
          </w:tcPr>
          <w:p>
            <w:pPr>
              <w:spacing w:after="0"/>
              <w:rPr>
                <w:sz w:val="12"/>
                <w:szCs w:val="12"/>
                <w:color w:val="auto"/>
              </w:rPr>
            </w:pPr>
          </w:p>
        </w:tc>
        <w:tc>
          <w:tcPr>
            <w:tcW w:w="960" w:type="dxa"/>
            <w:vAlign w:val="bottom"/>
            <w:gridSpan w:val="2"/>
            <w:shd w:val="clear" w:color="auto" w:fill="CCECFF"/>
          </w:tcPr>
          <w:p>
            <w:pPr>
              <w:jc w:val="right"/>
              <w:ind w:right="280"/>
              <w:spacing w:after="0"/>
              <w:rPr>
                <w:sz w:val="20"/>
                <w:szCs w:val="20"/>
                <w:color w:val="auto"/>
              </w:rPr>
            </w:pPr>
            <w:r>
              <w:rPr>
                <w:rFonts w:ascii="Arial" w:cs="Arial" w:eastAsia="Arial" w:hAnsi="Arial"/>
                <w:sz w:val="12"/>
                <w:szCs w:val="12"/>
                <w:color w:val="auto"/>
              </w:rPr>
              <w:t>P+500</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437,272</w:t>
            </w:r>
          </w:p>
        </w:tc>
        <w:tc>
          <w:tcPr>
            <w:tcW w:w="24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437,272</w:t>
            </w:r>
          </w:p>
        </w:tc>
        <w:tc>
          <w:tcPr>
            <w:tcW w:w="220" w:type="dxa"/>
            <w:vAlign w:val="bottom"/>
            <w:shd w:val="clear" w:color="auto" w:fill="CCECFF"/>
          </w:tcPr>
          <w:p>
            <w:pPr>
              <w:spacing w:after="0"/>
              <w:rPr>
                <w:sz w:val="12"/>
                <w:szCs w:val="12"/>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435,086</w:t>
            </w:r>
          </w:p>
        </w:tc>
        <w:tc>
          <w:tcPr>
            <w:tcW w:w="120" w:type="dxa"/>
            <w:vAlign w:val="bottom"/>
            <w:shd w:val="clear" w:color="auto" w:fill="CCECFF"/>
          </w:tcPr>
          <w:p>
            <w:pPr>
              <w:spacing w:after="0"/>
              <w:rPr>
                <w:sz w:val="12"/>
                <w:szCs w:val="12"/>
                <w:color w:val="auto"/>
              </w:rPr>
            </w:pPr>
          </w:p>
        </w:tc>
      </w:tr>
      <w:tr>
        <w:trPr>
          <w:trHeight w:val="149"/>
        </w:trPr>
        <w:tc>
          <w:tcPr>
            <w:tcW w:w="3360" w:type="dxa"/>
            <w:vAlign w:val="bottom"/>
          </w:tcPr>
          <w:p>
            <w:pPr>
              <w:spacing w:after="0" w:line="149" w:lineRule="exact"/>
              <w:rPr>
                <w:sz w:val="20"/>
                <w:szCs w:val="20"/>
                <w:color w:val="auto"/>
              </w:rPr>
            </w:pPr>
            <w:r>
              <w:rPr>
                <w:rFonts w:ascii="Arial" w:cs="Arial" w:eastAsia="Arial" w:hAnsi="Arial"/>
                <w:sz w:val="11"/>
                <w:szCs w:val="11"/>
                <w:color w:val="auto"/>
              </w:rPr>
              <w:t xml:space="preserve">Lombart Brothers, Inc. (Revolver) </w:t>
            </w:r>
            <w:r>
              <w:rPr>
                <w:rFonts w:ascii="Arial" w:cs="Arial" w:eastAsia="Arial" w:hAnsi="Arial"/>
                <w:sz w:val="17"/>
                <w:szCs w:val="17"/>
                <w:color w:val="auto"/>
                <w:vertAlign w:val="superscript"/>
              </w:rPr>
              <w:t>(7), (9)</w:t>
            </w:r>
          </w:p>
        </w:tc>
        <w:tc>
          <w:tcPr>
            <w:tcW w:w="920" w:type="dxa"/>
            <w:vAlign w:val="bottom"/>
          </w:tcPr>
          <w:p>
            <w:pPr>
              <w:jc w:val="center"/>
              <w:ind w:right="2"/>
              <w:spacing w:after="0"/>
              <w:rPr>
                <w:sz w:val="20"/>
                <w:szCs w:val="20"/>
                <w:color w:val="auto"/>
              </w:rPr>
            </w:pPr>
            <w:r>
              <w:rPr>
                <w:rFonts w:ascii="Arial" w:cs="Arial" w:eastAsia="Arial" w:hAnsi="Arial"/>
                <w:sz w:val="12"/>
                <w:szCs w:val="12"/>
                <w:color w:val="auto"/>
                <w:w w:val="89"/>
              </w:rPr>
              <w:t>04/13/2022</w:t>
            </w:r>
          </w:p>
        </w:tc>
        <w:tc>
          <w:tcPr>
            <w:tcW w:w="2440" w:type="dxa"/>
            <w:vAlign w:val="bottom"/>
            <w:gridSpan w:val="2"/>
          </w:tcPr>
          <w:p>
            <w:pPr>
              <w:jc w:val="center"/>
              <w:ind w:right="200"/>
              <w:spacing w:after="0"/>
              <w:rPr>
                <w:sz w:val="20"/>
                <w:szCs w:val="20"/>
                <w:color w:val="auto"/>
              </w:rPr>
            </w:pPr>
            <w:r>
              <w:rPr>
                <w:rFonts w:ascii="Arial" w:cs="Arial" w:eastAsia="Arial" w:hAnsi="Arial"/>
                <w:sz w:val="12"/>
                <w:szCs w:val="12"/>
                <w:color w:val="auto"/>
                <w:w w:val="89"/>
              </w:rPr>
              <w:t>Capital Equipment</w:t>
            </w:r>
          </w:p>
        </w:tc>
        <w:tc>
          <w:tcPr>
            <w:tcW w:w="78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801,666</w:t>
            </w:r>
          </w:p>
        </w:tc>
        <w:tc>
          <w:tcPr>
            <w:tcW w:w="240" w:type="dxa"/>
            <w:vAlign w:val="bottom"/>
          </w:tcPr>
          <w:p>
            <w:pPr>
              <w:spacing w:after="0"/>
              <w:rPr>
                <w:sz w:val="12"/>
                <w:szCs w:val="12"/>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820" w:type="dxa"/>
            <w:vAlign w:val="bottom"/>
            <w:gridSpan w:val="2"/>
          </w:tcPr>
          <w:p>
            <w:pPr>
              <w:jc w:val="right"/>
              <w:ind w:right="80"/>
              <w:spacing w:after="0"/>
              <w:rPr>
                <w:sz w:val="20"/>
                <w:szCs w:val="20"/>
                <w:color w:val="auto"/>
              </w:rPr>
            </w:pPr>
            <w:r>
              <w:rPr>
                <w:rFonts w:ascii="Arial" w:cs="Arial" w:eastAsia="Arial" w:hAnsi="Arial"/>
                <w:sz w:val="12"/>
                <w:szCs w:val="12"/>
                <w:color w:val="auto"/>
              </w:rPr>
              <w:t>(4,009)</w:t>
            </w:r>
          </w:p>
        </w:tc>
      </w:tr>
      <w:tr>
        <w:trPr>
          <w:trHeight w:val="149"/>
        </w:trPr>
        <w:tc>
          <w:tcPr>
            <w:tcW w:w="3360" w:type="dxa"/>
            <w:vAlign w:val="bottom"/>
            <w:shd w:val="clear" w:color="auto" w:fill="CCECFF"/>
          </w:tcPr>
          <w:p>
            <w:pPr>
              <w:spacing w:after="0"/>
              <w:rPr>
                <w:sz w:val="20"/>
                <w:szCs w:val="20"/>
                <w:color w:val="auto"/>
              </w:rPr>
            </w:pPr>
            <w:r>
              <w:rPr>
                <w:rFonts w:ascii="Arial" w:cs="Arial" w:eastAsia="Arial" w:hAnsi="Arial"/>
                <w:sz w:val="12"/>
                <w:szCs w:val="12"/>
                <w:color w:val="auto"/>
              </w:rPr>
              <w:t>Long Island Vision Management, LLC</w:t>
            </w:r>
          </w:p>
        </w:tc>
        <w:tc>
          <w:tcPr>
            <w:tcW w:w="920" w:type="dxa"/>
            <w:vAlign w:val="bottom"/>
            <w:shd w:val="clear" w:color="auto" w:fill="CCECFF"/>
          </w:tcPr>
          <w:p>
            <w:pPr>
              <w:jc w:val="center"/>
              <w:ind w:right="2"/>
              <w:spacing w:after="0"/>
              <w:rPr>
                <w:sz w:val="20"/>
                <w:szCs w:val="20"/>
                <w:color w:val="auto"/>
              </w:rPr>
            </w:pPr>
            <w:r>
              <w:rPr>
                <w:rFonts w:ascii="Arial" w:cs="Arial" w:eastAsia="Arial" w:hAnsi="Arial"/>
                <w:sz w:val="12"/>
                <w:szCs w:val="12"/>
                <w:color w:val="auto"/>
                <w:w w:val="89"/>
              </w:rPr>
              <w:t>09/11/2023</w:t>
            </w:r>
          </w:p>
        </w:tc>
        <w:tc>
          <w:tcPr>
            <w:tcW w:w="2440" w:type="dxa"/>
            <w:vAlign w:val="bottom"/>
            <w:gridSpan w:val="2"/>
            <w:shd w:val="clear" w:color="auto" w:fill="CCECFF"/>
          </w:tcPr>
          <w:p>
            <w:pPr>
              <w:jc w:val="center"/>
              <w:ind w:right="180"/>
              <w:spacing w:after="0"/>
              <w:rPr>
                <w:sz w:val="20"/>
                <w:szCs w:val="20"/>
                <w:color w:val="auto"/>
              </w:rPr>
            </w:pPr>
            <w:r>
              <w:rPr>
                <w:rFonts w:ascii="Arial" w:cs="Arial" w:eastAsia="Arial" w:hAnsi="Arial"/>
                <w:sz w:val="12"/>
                <w:szCs w:val="12"/>
                <w:color w:val="auto"/>
                <w:w w:val="86"/>
              </w:rPr>
              <w:t>Healthcare and Pharmaceuticals</w:t>
            </w:r>
          </w:p>
        </w:tc>
        <w:tc>
          <w:tcPr>
            <w:tcW w:w="780" w:type="dxa"/>
            <w:vAlign w:val="bottom"/>
            <w:gridSpan w:val="2"/>
            <w:shd w:val="clear" w:color="auto" w:fill="CCECFF"/>
          </w:tcPr>
          <w:p>
            <w:pPr>
              <w:jc w:val="right"/>
              <w:ind w:right="20"/>
              <w:spacing w:after="0"/>
              <w:rPr>
                <w:sz w:val="20"/>
                <w:szCs w:val="20"/>
                <w:color w:val="auto"/>
              </w:rPr>
            </w:pPr>
            <w:r>
              <w:rPr>
                <w:rFonts w:ascii="Arial" w:cs="Arial" w:eastAsia="Arial" w:hAnsi="Arial"/>
                <w:sz w:val="12"/>
                <w:szCs w:val="12"/>
                <w:color w:val="auto"/>
              </w:rPr>
              <w:t>7.05%</w:t>
            </w:r>
          </w:p>
        </w:tc>
        <w:tc>
          <w:tcPr>
            <w:tcW w:w="140" w:type="dxa"/>
            <w:vAlign w:val="bottom"/>
            <w:shd w:val="clear" w:color="auto" w:fill="CCECFF"/>
          </w:tcPr>
          <w:p>
            <w:pPr>
              <w:spacing w:after="0"/>
              <w:rPr>
                <w:sz w:val="12"/>
                <w:szCs w:val="12"/>
                <w:color w:val="auto"/>
              </w:rPr>
            </w:pPr>
          </w:p>
        </w:tc>
        <w:tc>
          <w:tcPr>
            <w:tcW w:w="960" w:type="dxa"/>
            <w:vAlign w:val="bottom"/>
            <w:gridSpan w:val="2"/>
            <w:shd w:val="clear" w:color="auto" w:fill="CCECFF"/>
          </w:tcPr>
          <w:p>
            <w:pPr>
              <w:jc w:val="right"/>
              <w:ind w:right="280"/>
              <w:spacing w:after="0"/>
              <w:rPr>
                <w:sz w:val="20"/>
                <w:szCs w:val="20"/>
                <w:color w:val="auto"/>
              </w:rPr>
            </w:pPr>
            <w:r>
              <w:rPr>
                <w:rFonts w:ascii="Arial" w:cs="Arial" w:eastAsia="Arial" w:hAnsi="Arial"/>
                <w:sz w:val="12"/>
                <w:szCs w:val="12"/>
                <w:color w:val="auto"/>
              </w:rPr>
              <w:t>3M L+475</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8,165,763</w:t>
            </w:r>
          </w:p>
        </w:tc>
        <w:tc>
          <w:tcPr>
            <w:tcW w:w="24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8,114,887</w:t>
            </w:r>
          </w:p>
        </w:tc>
        <w:tc>
          <w:tcPr>
            <w:tcW w:w="220" w:type="dxa"/>
            <w:vAlign w:val="bottom"/>
            <w:shd w:val="clear" w:color="auto" w:fill="CCECFF"/>
          </w:tcPr>
          <w:p>
            <w:pPr>
              <w:spacing w:after="0"/>
              <w:rPr>
                <w:sz w:val="12"/>
                <w:szCs w:val="12"/>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8,124,934</w:t>
            </w:r>
          </w:p>
        </w:tc>
        <w:tc>
          <w:tcPr>
            <w:tcW w:w="120" w:type="dxa"/>
            <w:vAlign w:val="bottom"/>
            <w:shd w:val="clear" w:color="auto" w:fill="CCECFF"/>
          </w:tcPr>
          <w:p>
            <w:pPr>
              <w:spacing w:after="0"/>
              <w:rPr>
                <w:sz w:val="12"/>
                <w:szCs w:val="12"/>
                <w:color w:val="auto"/>
              </w:rPr>
            </w:pPr>
          </w:p>
        </w:tc>
      </w:tr>
      <w:tr>
        <w:trPr>
          <w:trHeight w:val="148"/>
        </w:trPr>
        <w:tc>
          <w:tcPr>
            <w:tcW w:w="3360" w:type="dxa"/>
            <w:vAlign w:val="bottom"/>
          </w:tcPr>
          <w:p>
            <w:pPr>
              <w:spacing w:after="0" w:line="149" w:lineRule="exact"/>
              <w:rPr>
                <w:sz w:val="20"/>
                <w:szCs w:val="20"/>
                <w:color w:val="auto"/>
              </w:rPr>
            </w:pPr>
            <w:r>
              <w:rPr>
                <w:rFonts w:ascii="Arial" w:cs="Arial" w:eastAsia="Arial" w:hAnsi="Arial"/>
                <w:sz w:val="11"/>
                <w:szCs w:val="11"/>
                <w:color w:val="auto"/>
              </w:rPr>
              <w:t xml:space="preserve">Long Island Vision Management, LLC </w:t>
            </w:r>
            <w:r>
              <w:rPr>
                <w:rFonts w:ascii="Arial" w:cs="Arial" w:eastAsia="Arial" w:hAnsi="Arial"/>
                <w:sz w:val="17"/>
                <w:szCs w:val="17"/>
                <w:color w:val="auto"/>
                <w:vertAlign w:val="superscript"/>
              </w:rPr>
              <w:t>(7), (9)</w:t>
            </w:r>
          </w:p>
        </w:tc>
        <w:tc>
          <w:tcPr>
            <w:tcW w:w="920" w:type="dxa"/>
            <w:vAlign w:val="bottom"/>
          </w:tcPr>
          <w:p>
            <w:pPr>
              <w:jc w:val="center"/>
              <w:ind w:right="2"/>
              <w:spacing w:after="0"/>
              <w:rPr>
                <w:sz w:val="20"/>
                <w:szCs w:val="20"/>
                <w:color w:val="auto"/>
              </w:rPr>
            </w:pPr>
            <w:r>
              <w:rPr>
                <w:rFonts w:ascii="Arial" w:cs="Arial" w:eastAsia="Arial" w:hAnsi="Arial"/>
                <w:sz w:val="12"/>
                <w:szCs w:val="12"/>
                <w:color w:val="auto"/>
                <w:w w:val="89"/>
              </w:rPr>
              <w:t>09/11/2023</w:t>
            </w:r>
          </w:p>
        </w:tc>
        <w:tc>
          <w:tcPr>
            <w:tcW w:w="2440" w:type="dxa"/>
            <w:vAlign w:val="bottom"/>
            <w:gridSpan w:val="2"/>
          </w:tcPr>
          <w:p>
            <w:pPr>
              <w:jc w:val="center"/>
              <w:ind w:right="180"/>
              <w:spacing w:after="0"/>
              <w:rPr>
                <w:sz w:val="20"/>
                <w:szCs w:val="20"/>
                <w:color w:val="auto"/>
              </w:rPr>
            </w:pPr>
            <w:r>
              <w:rPr>
                <w:rFonts w:ascii="Arial" w:cs="Arial" w:eastAsia="Arial" w:hAnsi="Arial"/>
                <w:sz w:val="12"/>
                <w:szCs w:val="12"/>
                <w:color w:val="auto"/>
                <w:w w:val="86"/>
              </w:rPr>
              <w:t>Healthcare and Pharmaceuticals</w:t>
            </w:r>
          </w:p>
        </w:tc>
        <w:tc>
          <w:tcPr>
            <w:tcW w:w="78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1,788,843</w:t>
            </w:r>
          </w:p>
        </w:tc>
        <w:tc>
          <w:tcPr>
            <w:tcW w:w="240" w:type="dxa"/>
            <w:vAlign w:val="bottom"/>
          </w:tcPr>
          <w:p>
            <w:pPr>
              <w:spacing w:after="0"/>
              <w:rPr>
                <w:sz w:val="12"/>
                <w:szCs w:val="12"/>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820" w:type="dxa"/>
            <w:vAlign w:val="bottom"/>
            <w:gridSpan w:val="2"/>
          </w:tcPr>
          <w:p>
            <w:pPr>
              <w:jc w:val="right"/>
              <w:ind w:right="80"/>
              <w:spacing w:after="0"/>
              <w:rPr>
                <w:sz w:val="20"/>
                <w:szCs w:val="20"/>
                <w:color w:val="auto"/>
              </w:rPr>
            </w:pPr>
            <w:r>
              <w:rPr>
                <w:rFonts w:ascii="Arial" w:cs="Arial" w:eastAsia="Arial" w:hAnsi="Arial"/>
                <w:sz w:val="12"/>
                <w:szCs w:val="12"/>
                <w:color w:val="auto"/>
              </w:rPr>
              <w:t>(8,944)</w:t>
            </w:r>
          </w:p>
        </w:tc>
      </w:tr>
      <w:tr>
        <w:trPr>
          <w:trHeight w:val="149"/>
        </w:trPr>
        <w:tc>
          <w:tcPr>
            <w:tcW w:w="3360" w:type="dxa"/>
            <w:vAlign w:val="bottom"/>
            <w:shd w:val="clear" w:color="auto" w:fill="CCECFF"/>
          </w:tcPr>
          <w:p>
            <w:pPr>
              <w:spacing w:after="0"/>
              <w:rPr>
                <w:sz w:val="20"/>
                <w:szCs w:val="20"/>
                <w:color w:val="auto"/>
              </w:rPr>
            </w:pPr>
            <w:r>
              <w:rPr>
                <w:rFonts w:ascii="Arial" w:cs="Arial" w:eastAsia="Arial" w:hAnsi="Arial"/>
                <w:sz w:val="12"/>
                <w:szCs w:val="12"/>
                <w:color w:val="auto"/>
              </w:rPr>
              <w:t>Long’s Drugs Incorporated</w:t>
            </w:r>
          </w:p>
        </w:tc>
        <w:tc>
          <w:tcPr>
            <w:tcW w:w="920" w:type="dxa"/>
            <w:vAlign w:val="bottom"/>
            <w:shd w:val="clear" w:color="auto" w:fill="CCECFF"/>
          </w:tcPr>
          <w:p>
            <w:pPr>
              <w:jc w:val="center"/>
              <w:ind w:right="2"/>
              <w:spacing w:after="0"/>
              <w:rPr>
                <w:sz w:val="20"/>
                <w:szCs w:val="20"/>
                <w:color w:val="auto"/>
              </w:rPr>
            </w:pPr>
            <w:r>
              <w:rPr>
                <w:rFonts w:ascii="Arial" w:cs="Arial" w:eastAsia="Arial" w:hAnsi="Arial"/>
                <w:sz w:val="12"/>
                <w:szCs w:val="12"/>
                <w:color w:val="auto"/>
                <w:w w:val="89"/>
              </w:rPr>
              <w:t>08/19/2022</w:t>
            </w:r>
          </w:p>
        </w:tc>
        <w:tc>
          <w:tcPr>
            <w:tcW w:w="2440" w:type="dxa"/>
            <w:vAlign w:val="bottom"/>
            <w:gridSpan w:val="2"/>
            <w:shd w:val="clear" w:color="auto" w:fill="CCECFF"/>
          </w:tcPr>
          <w:p>
            <w:pPr>
              <w:jc w:val="center"/>
              <w:ind w:right="180"/>
              <w:spacing w:after="0"/>
              <w:rPr>
                <w:sz w:val="20"/>
                <w:szCs w:val="20"/>
                <w:color w:val="auto"/>
              </w:rPr>
            </w:pPr>
            <w:r>
              <w:rPr>
                <w:rFonts w:ascii="Arial" w:cs="Arial" w:eastAsia="Arial" w:hAnsi="Arial"/>
                <w:sz w:val="12"/>
                <w:szCs w:val="12"/>
                <w:color w:val="auto"/>
                <w:w w:val="86"/>
              </w:rPr>
              <w:t>Healthcare and Pharmaceuticals</w:t>
            </w:r>
          </w:p>
        </w:tc>
        <w:tc>
          <w:tcPr>
            <w:tcW w:w="780" w:type="dxa"/>
            <w:vAlign w:val="bottom"/>
            <w:gridSpan w:val="2"/>
            <w:shd w:val="clear" w:color="auto" w:fill="CCECFF"/>
          </w:tcPr>
          <w:p>
            <w:pPr>
              <w:jc w:val="right"/>
              <w:ind w:right="20"/>
              <w:spacing w:after="0"/>
              <w:rPr>
                <w:sz w:val="20"/>
                <w:szCs w:val="20"/>
                <w:color w:val="auto"/>
              </w:rPr>
            </w:pPr>
            <w:r>
              <w:rPr>
                <w:rFonts w:ascii="Arial" w:cs="Arial" w:eastAsia="Arial" w:hAnsi="Arial"/>
                <w:sz w:val="12"/>
                <w:szCs w:val="12"/>
                <w:color w:val="auto"/>
              </w:rPr>
              <w:t>7.10%</w:t>
            </w:r>
          </w:p>
        </w:tc>
        <w:tc>
          <w:tcPr>
            <w:tcW w:w="140" w:type="dxa"/>
            <w:vAlign w:val="bottom"/>
            <w:shd w:val="clear" w:color="auto" w:fill="CCECFF"/>
          </w:tcPr>
          <w:p>
            <w:pPr>
              <w:spacing w:after="0"/>
              <w:rPr>
                <w:sz w:val="12"/>
                <w:szCs w:val="12"/>
                <w:color w:val="auto"/>
              </w:rPr>
            </w:pPr>
          </w:p>
        </w:tc>
        <w:tc>
          <w:tcPr>
            <w:tcW w:w="960" w:type="dxa"/>
            <w:vAlign w:val="bottom"/>
            <w:gridSpan w:val="2"/>
            <w:shd w:val="clear" w:color="auto" w:fill="CCECFF"/>
          </w:tcPr>
          <w:p>
            <w:pPr>
              <w:jc w:val="right"/>
              <w:ind w:right="280"/>
              <w:spacing w:after="0"/>
              <w:rPr>
                <w:sz w:val="20"/>
                <w:szCs w:val="20"/>
                <w:color w:val="auto"/>
              </w:rPr>
            </w:pPr>
            <w:r>
              <w:rPr>
                <w:rFonts w:ascii="Arial" w:cs="Arial" w:eastAsia="Arial" w:hAnsi="Arial"/>
                <w:sz w:val="12"/>
                <w:szCs w:val="12"/>
                <w:color w:val="auto"/>
              </w:rPr>
              <w:t>1M L+500</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9,900,000</w:t>
            </w:r>
          </w:p>
        </w:tc>
        <w:tc>
          <w:tcPr>
            <w:tcW w:w="24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9,830,562</w:t>
            </w:r>
          </w:p>
        </w:tc>
        <w:tc>
          <w:tcPr>
            <w:tcW w:w="220" w:type="dxa"/>
            <w:vAlign w:val="bottom"/>
            <w:shd w:val="clear" w:color="auto" w:fill="CCECFF"/>
          </w:tcPr>
          <w:p>
            <w:pPr>
              <w:spacing w:after="0"/>
              <w:rPr>
                <w:sz w:val="12"/>
                <w:szCs w:val="12"/>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9,801,000</w:t>
            </w:r>
          </w:p>
        </w:tc>
        <w:tc>
          <w:tcPr>
            <w:tcW w:w="120" w:type="dxa"/>
            <w:vAlign w:val="bottom"/>
            <w:shd w:val="clear" w:color="auto" w:fill="CCECFF"/>
          </w:tcPr>
          <w:p>
            <w:pPr>
              <w:spacing w:after="0"/>
              <w:rPr>
                <w:sz w:val="12"/>
                <w:szCs w:val="12"/>
                <w:color w:val="auto"/>
              </w:rPr>
            </w:pPr>
          </w:p>
        </w:tc>
      </w:tr>
      <w:tr>
        <w:trPr>
          <w:trHeight w:val="259"/>
        </w:trPr>
        <w:tc>
          <w:tcPr>
            <w:tcW w:w="3360" w:type="dxa"/>
            <w:vAlign w:val="bottom"/>
          </w:tcPr>
          <w:p>
            <w:pPr>
              <w:spacing w:after="0"/>
              <w:rPr>
                <w:sz w:val="20"/>
                <w:szCs w:val="20"/>
                <w:color w:val="auto"/>
              </w:rPr>
            </w:pPr>
            <w:r>
              <w:rPr>
                <w:rFonts w:ascii="Arial" w:cs="Arial" w:eastAsia="Arial" w:hAnsi="Arial"/>
                <w:sz w:val="12"/>
                <w:szCs w:val="12"/>
                <w:color w:val="auto"/>
              </w:rPr>
              <w:t xml:space="preserve">Long’s Drugs Incorporated (Revolver) </w:t>
            </w:r>
            <w:r>
              <w:rPr>
                <w:rFonts w:ascii="Arial" w:cs="Arial" w:eastAsia="Arial" w:hAnsi="Arial"/>
                <w:sz w:val="19"/>
                <w:szCs w:val="19"/>
                <w:color w:val="auto"/>
                <w:vertAlign w:val="superscript"/>
              </w:rPr>
              <w:t>(7), (9)</w:t>
            </w:r>
          </w:p>
        </w:tc>
        <w:tc>
          <w:tcPr>
            <w:tcW w:w="920" w:type="dxa"/>
            <w:vAlign w:val="bottom"/>
          </w:tcPr>
          <w:p>
            <w:pPr>
              <w:jc w:val="center"/>
              <w:ind w:right="2"/>
              <w:spacing w:after="0"/>
              <w:rPr>
                <w:sz w:val="20"/>
                <w:szCs w:val="20"/>
                <w:color w:val="auto"/>
              </w:rPr>
            </w:pPr>
            <w:r>
              <w:rPr>
                <w:rFonts w:ascii="Arial" w:cs="Arial" w:eastAsia="Arial" w:hAnsi="Arial"/>
                <w:sz w:val="12"/>
                <w:szCs w:val="12"/>
                <w:color w:val="auto"/>
                <w:w w:val="89"/>
              </w:rPr>
              <w:t>08/19/2022</w:t>
            </w:r>
          </w:p>
        </w:tc>
        <w:tc>
          <w:tcPr>
            <w:tcW w:w="2440" w:type="dxa"/>
            <w:vAlign w:val="bottom"/>
            <w:gridSpan w:val="2"/>
          </w:tcPr>
          <w:p>
            <w:pPr>
              <w:jc w:val="center"/>
              <w:ind w:right="180"/>
              <w:spacing w:after="0"/>
              <w:rPr>
                <w:sz w:val="20"/>
                <w:szCs w:val="20"/>
                <w:color w:val="auto"/>
              </w:rPr>
            </w:pPr>
            <w:r>
              <w:rPr>
                <w:rFonts w:ascii="Arial" w:cs="Arial" w:eastAsia="Arial" w:hAnsi="Arial"/>
                <w:sz w:val="12"/>
                <w:szCs w:val="12"/>
                <w:color w:val="auto"/>
                <w:w w:val="86"/>
              </w:rPr>
              <w:t>Healthcare and Pharmaceuticals</w:t>
            </w:r>
          </w:p>
        </w:tc>
        <w:tc>
          <w:tcPr>
            <w:tcW w:w="78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22"/>
                <w:szCs w:val="22"/>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3,000,000</w:t>
            </w:r>
          </w:p>
        </w:tc>
        <w:tc>
          <w:tcPr>
            <w:tcW w:w="240" w:type="dxa"/>
            <w:vAlign w:val="bottom"/>
          </w:tcPr>
          <w:p>
            <w:pPr>
              <w:spacing w:after="0"/>
              <w:rPr>
                <w:sz w:val="22"/>
                <w:szCs w:val="22"/>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820" w:type="dxa"/>
            <w:vAlign w:val="bottom"/>
            <w:gridSpan w:val="2"/>
          </w:tcPr>
          <w:p>
            <w:pPr>
              <w:jc w:val="right"/>
              <w:ind w:right="80"/>
              <w:spacing w:after="0"/>
              <w:rPr>
                <w:sz w:val="20"/>
                <w:szCs w:val="20"/>
                <w:color w:val="auto"/>
              </w:rPr>
            </w:pPr>
            <w:r>
              <w:rPr>
                <w:rFonts w:ascii="Arial" w:cs="Arial" w:eastAsia="Arial" w:hAnsi="Arial"/>
                <w:sz w:val="12"/>
                <w:szCs w:val="12"/>
                <w:color w:val="auto"/>
              </w:rPr>
              <w:t>(60,000)</w:t>
            </w:r>
          </w:p>
        </w:tc>
      </w:tr>
    </w:tbl>
    <w:p>
      <w:pPr>
        <w:spacing w:after="0" w:line="21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SEE NOTES TO CONSOLIDATED FINANCIAL STATEMENTS</w:t>
      </w:r>
    </w:p>
    <w:p>
      <w:pPr>
        <w:spacing w:after="0" w:line="5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149465"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2" w:name="page13"/>
    <w:bookmarkEnd w:id="12"/>
    <w:p>
      <w:pPr>
        <w:jc w:val="center"/>
        <w:spacing w:after="0"/>
        <w:rPr>
          <w:sz w:val="20"/>
          <w:szCs w:val="20"/>
          <w:color w:val="auto"/>
        </w:rPr>
      </w:pPr>
      <w:r>
        <w:rPr>
          <w:rFonts w:ascii="Arial" w:cs="Arial" w:eastAsia="Arial" w:hAnsi="Arial"/>
          <w:sz w:val="14"/>
          <w:szCs w:val="14"/>
          <w:b w:val="1"/>
          <w:bCs w:val="1"/>
          <w:color w:val="auto"/>
        </w:rPr>
        <w:t>PENNANTPARK FLOATING RATE CAPITAL LTD. AND SUBSIDIARIES</w:t>
      </w:r>
    </w:p>
    <w:p>
      <w:pPr>
        <w:jc w:val="center"/>
        <w:spacing w:after="0" w:line="225" w:lineRule="auto"/>
        <w:rPr>
          <w:sz w:val="20"/>
          <w:szCs w:val="20"/>
          <w:color w:val="auto"/>
        </w:rPr>
      </w:pPr>
      <w:r>
        <w:rPr>
          <w:rFonts w:ascii="Arial" w:cs="Arial" w:eastAsia="Arial" w:hAnsi="Arial"/>
          <w:sz w:val="14"/>
          <w:szCs w:val="14"/>
          <w:b w:val="1"/>
          <w:bCs w:val="1"/>
          <w:color w:val="auto"/>
        </w:rPr>
        <w:t>CONSOLIDATED SCHEDULE OF INVESTMENTS—(Continued)</w:t>
      </w:r>
    </w:p>
    <w:p>
      <w:pPr>
        <w:jc w:val="center"/>
        <w:spacing w:after="0"/>
        <w:rPr>
          <w:sz w:val="20"/>
          <w:szCs w:val="20"/>
          <w:color w:val="auto"/>
        </w:rPr>
      </w:pPr>
      <w:r>
        <w:rPr>
          <w:rFonts w:ascii="Arial" w:cs="Arial" w:eastAsia="Arial" w:hAnsi="Arial"/>
          <w:sz w:val="14"/>
          <w:szCs w:val="14"/>
          <w:b w:val="1"/>
          <w:bCs w:val="1"/>
          <w:color w:val="auto"/>
        </w:rPr>
        <w:t>SEPTEMBER 30, 2019</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3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jc w:val="center"/>
              <w:spacing w:after="0"/>
              <w:rPr>
                <w:sz w:val="20"/>
                <w:szCs w:val="20"/>
                <w:color w:val="auto"/>
              </w:rPr>
            </w:pPr>
            <w:r>
              <w:rPr>
                <w:rFonts w:ascii="Arial" w:cs="Arial" w:eastAsia="Arial" w:hAnsi="Arial"/>
                <w:sz w:val="12"/>
                <w:szCs w:val="12"/>
                <w:b w:val="1"/>
                <w:bCs w:val="1"/>
                <w:color w:val="auto"/>
                <w:w w:val="85"/>
              </w:rPr>
              <w:t>Basis Point</w:t>
            </w: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35"/>
        </w:trPr>
        <w:tc>
          <w:tcPr>
            <w:tcW w:w="3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88"/>
              </w:rPr>
              <w:t>Spread</w:t>
            </w: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26"/>
        </w:trPr>
        <w:tc>
          <w:tcPr>
            <w:tcW w:w="3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gridSpan w:val="2"/>
          </w:tcPr>
          <w:p>
            <w:pPr>
              <w:jc w:val="right"/>
              <w:ind w:right="380"/>
              <w:spacing w:after="0" w:line="126" w:lineRule="exact"/>
              <w:rPr>
                <w:sz w:val="20"/>
                <w:szCs w:val="20"/>
                <w:color w:val="auto"/>
              </w:rPr>
            </w:pPr>
            <w:r>
              <w:rPr>
                <w:rFonts w:ascii="Arial" w:cs="Arial" w:eastAsia="Arial" w:hAnsi="Arial"/>
                <w:sz w:val="12"/>
                <w:szCs w:val="12"/>
                <w:b w:val="1"/>
                <w:bCs w:val="1"/>
                <w:color w:val="auto"/>
              </w:rPr>
              <w:t>Current</w:t>
            </w:r>
          </w:p>
        </w:tc>
        <w:tc>
          <w:tcPr>
            <w:tcW w:w="680" w:type="dxa"/>
            <w:vAlign w:val="bottom"/>
          </w:tcPr>
          <w:p>
            <w:pPr>
              <w:jc w:val="center"/>
              <w:spacing w:after="0" w:line="126" w:lineRule="exact"/>
              <w:rPr>
                <w:sz w:val="20"/>
                <w:szCs w:val="20"/>
                <w:color w:val="auto"/>
              </w:rPr>
            </w:pPr>
            <w:r>
              <w:rPr>
                <w:rFonts w:ascii="Arial" w:cs="Arial" w:eastAsia="Arial" w:hAnsi="Arial"/>
                <w:sz w:val="12"/>
                <w:szCs w:val="12"/>
                <w:b w:val="1"/>
                <w:bCs w:val="1"/>
                <w:color w:val="auto"/>
                <w:w w:val="87"/>
              </w:rPr>
              <w:t>Above</w:t>
            </w:r>
          </w:p>
        </w:tc>
        <w:tc>
          <w:tcPr>
            <w:tcW w:w="220" w:type="dxa"/>
            <w:vAlign w:val="bottom"/>
          </w:tcPr>
          <w:p>
            <w:pPr>
              <w:spacing w:after="0"/>
              <w:rPr>
                <w:sz w:val="10"/>
                <w:szCs w:val="10"/>
                <w:color w:val="auto"/>
              </w:rPr>
            </w:pPr>
          </w:p>
        </w:tc>
        <w:tc>
          <w:tcPr>
            <w:tcW w:w="680" w:type="dxa"/>
            <w:vAlign w:val="bottom"/>
          </w:tcPr>
          <w:p>
            <w:pPr>
              <w:jc w:val="right"/>
              <w:ind w:right="162"/>
              <w:spacing w:after="0" w:line="126" w:lineRule="exact"/>
              <w:rPr>
                <w:sz w:val="20"/>
                <w:szCs w:val="20"/>
                <w:color w:val="auto"/>
              </w:rPr>
            </w:pPr>
            <w:r>
              <w:rPr>
                <w:rFonts w:ascii="Arial" w:cs="Arial" w:eastAsia="Arial" w:hAnsi="Arial"/>
                <w:sz w:val="12"/>
                <w:szCs w:val="12"/>
                <w:b w:val="1"/>
                <w:bCs w:val="1"/>
                <w:color w:val="auto"/>
              </w:rPr>
              <w:t>Par /</w:t>
            </w:r>
          </w:p>
        </w:tc>
        <w:tc>
          <w:tcPr>
            <w:tcW w:w="2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53"/>
        </w:trPr>
        <w:tc>
          <w:tcPr>
            <w:tcW w:w="336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rPr>
              <w:t>Issuer Name</w:t>
            </w:r>
          </w:p>
        </w:tc>
        <w:tc>
          <w:tcPr>
            <w:tcW w:w="120" w:type="dxa"/>
            <w:vAlign w:val="bottom"/>
            <w:tcBorders>
              <w:bottom w:val="single" w:sz="8" w:color="CCECFF"/>
            </w:tcBorders>
          </w:tcPr>
          <w:p>
            <w:pPr>
              <w:spacing w:after="0"/>
              <w:rPr>
                <w:sz w:val="13"/>
                <w:szCs w:val="13"/>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8"/>
              </w:rPr>
              <w:t>Maturity</w:t>
            </w:r>
          </w:p>
        </w:tc>
        <w:tc>
          <w:tcPr>
            <w:tcW w:w="120" w:type="dxa"/>
            <w:vAlign w:val="bottom"/>
            <w:tcBorders>
              <w:bottom w:val="single" w:sz="8" w:color="CCECFF"/>
            </w:tcBorders>
          </w:tcPr>
          <w:p>
            <w:pPr>
              <w:spacing w:after="0"/>
              <w:rPr>
                <w:sz w:val="13"/>
                <w:szCs w:val="13"/>
                <w:color w:val="auto"/>
              </w:rPr>
            </w:pPr>
          </w:p>
        </w:tc>
        <w:tc>
          <w:tcPr>
            <w:tcW w:w="236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8"/>
              </w:rPr>
              <w:t>Industry</w:t>
            </w:r>
          </w:p>
        </w:tc>
        <w:tc>
          <w:tcPr>
            <w:tcW w:w="120" w:type="dxa"/>
            <w:vAlign w:val="bottom"/>
            <w:tcBorders>
              <w:bottom w:val="single" w:sz="8" w:color="CCECFF"/>
            </w:tcBorders>
          </w:tcPr>
          <w:p>
            <w:pPr>
              <w:spacing w:after="0"/>
              <w:rPr>
                <w:sz w:val="13"/>
                <w:szCs w:val="13"/>
                <w:color w:val="auto"/>
              </w:rPr>
            </w:pPr>
          </w:p>
        </w:tc>
        <w:tc>
          <w:tcPr>
            <w:tcW w:w="680" w:type="dxa"/>
            <w:vAlign w:val="bottom"/>
            <w:tcBorders>
              <w:bottom w:val="single" w:sz="8" w:color="auto"/>
            </w:tcBorders>
          </w:tcPr>
          <w:p>
            <w:pPr>
              <w:jc w:val="right"/>
              <w:ind w:right="102"/>
              <w:spacing w:after="0"/>
              <w:rPr>
                <w:sz w:val="20"/>
                <w:szCs w:val="20"/>
                <w:color w:val="auto"/>
              </w:rPr>
            </w:pPr>
            <w:r>
              <w:rPr>
                <w:rFonts w:ascii="Arial" w:cs="Arial" w:eastAsia="Arial" w:hAnsi="Arial"/>
                <w:sz w:val="12"/>
                <w:szCs w:val="12"/>
                <w:b w:val="1"/>
                <w:bCs w:val="1"/>
                <w:color w:val="auto"/>
              </w:rPr>
              <w:t>Coupon</w:t>
            </w:r>
          </w:p>
        </w:tc>
        <w:tc>
          <w:tcPr>
            <w:tcW w:w="240" w:type="dxa"/>
            <w:vAlign w:val="bottom"/>
            <w:tcBorders>
              <w:bottom w:val="single" w:sz="8" w:color="CCECFF"/>
            </w:tcBorders>
          </w:tcPr>
          <w:p>
            <w:pPr>
              <w:spacing w:after="0"/>
              <w:rPr>
                <w:sz w:val="13"/>
                <w:szCs w:val="13"/>
                <w:color w:val="auto"/>
              </w:rPr>
            </w:pPr>
          </w:p>
        </w:tc>
        <w:tc>
          <w:tcPr>
            <w:tcW w:w="680" w:type="dxa"/>
            <w:vAlign w:val="bottom"/>
            <w:tcBorders>
              <w:bottom w:val="single" w:sz="8" w:color="auto"/>
            </w:tcBorders>
          </w:tcPr>
          <w:p>
            <w:pPr>
              <w:jc w:val="center"/>
              <w:spacing w:after="0" w:line="153" w:lineRule="exact"/>
              <w:rPr>
                <w:sz w:val="20"/>
                <w:szCs w:val="20"/>
                <w:color w:val="auto"/>
              </w:rPr>
            </w:pPr>
            <w:r>
              <w:rPr>
                <w:rFonts w:ascii="Arial" w:cs="Arial" w:eastAsia="Arial" w:hAnsi="Arial"/>
                <w:sz w:val="11"/>
                <w:szCs w:val="11"/>
                <w:b w:val="1"/>
                <w:bCs w:val="1"/>
                <w:color w:val="auto"/>
                <w:w w:val="91"/>
              </w:rPr>
              <w:t xml:space="preserve">Index </w:t>
            </w:r>
            <w:r>
              <w:rPr>
                <w:rFonts w:ascii="Arial" w:cs="Arial" w:eastAsia="Arial" w:hAnsi="Arial"/>
                <w:sz w:val="17"/>
                <w:szCs w:val="17"/>
                <w:b w:val="1"/>
                <w:bCs w:val="1"/>
                <w:color w:val="auto"/>
                <w:w w:val="91"/>
                <w:vertAlign w:val="superscript"/>
              </w:rPr>
              <w:t>(1)</w:t>
            </w:r>
          </w:p>
        </w:tc>
        <w:tc>
          <w:tcPr>
            <w:tcW w:w="220" w:type="dxa"/>
            <w:vAlign w:val="bottom"/>
            <w:tcBorders>
              <w:bottom w:val="single" w:sz="8" w:color="CCECFF"/>
            </w:tcBorders>
          </w:tcPr>
          <w:p>
            <w:pPr>
              <w:spacing w:after="0"/>
              <w:rPr>
                <w:sz w:val="13"/>
                <w:szCs w:val="13"/>
                <w:color w:val="auto"/>
              </w:rPr>
            </w:pPr>
          </w:p>
        </w:tc>
        <w:tc>
          <w:tcPr>
            <w:tcW w:w="680" w:type="dxa"/>
            <w:vAlign w:val="bottom"/>
            <w:tcBorders>
              <w:bottom w:val="single" w:sz="8" w:color="auto"/>
            </w:tcBorders>
          </w:tcPr>
          <w:p>
            <w:pPr>
              <w:jc w:val="right"/>
              <w:ind w:right="122"/>
              <w:spacing w:after="0"/>
              <w:rPr>
                <w:sz w:val="20"/>
                <w:szCs w:val="20"/>
                <w:color w:val="auto"/>
              </w:rPr>
            </w:pPr>
            <w:r>
              <w:rPr>
                <w:rFonts w:ascii="Arial" w:cs="Arial" w:eastAsia="Arial" w:hAnsi="Arial"/>
                <w:sz w:val="12"/>
                <w:szCs w:val="12"/>
                <w:b w:val="1"/>
                <w:bCs w:val="1"/>
                <w:color w:val="auto"/>
              </w:rPr>
              <w:t>Shares</w:t>
            </w:r>
          </w:p>
        </w:tc>
        <w:tc>
          <w:tcPr>
            <w:tcW w:w="220" w:type="dxa"/>
            <w:vAlign w:val="bottom"/>
            <w:tcBorders>
              <w:bottom w:val="single" w:sz="8" w:color="CCECFF"/>
            </w:tcBorders>
          </w:tcPr>
          <w:p>
            <w:pPr>
              <w:spacing w:after="0"/>
              <w:rPr>
                <w:sz w:val="13"/>
                <w:szCs w:val="13"/>
                <w:color w:val="auto"/>
              </w:rPr>
            </w:pPr>
          </w:p>
        </w:tc>
        <w:tc>
          <w:tcPr>
            <w:tcW w:w="720" w:type="dxa"/>
            <w:vAlign w:val="bottom"/>
            <w:tcBorders>
              <w:bottom w:val="single" w:sz="8" w:color="auto"/>
            </w:tcBorders>
          </w:tcPr>
          <w:p>
            <w:pPr>
              <w:jc w:val="right"/>
              <w:ind w:right="202"/>
              <w:spacing w:after="0"/>
              <w:rPr>
                <w:sz w:val="20"/>
                <w:szCs w:val="20"/>
                <w:color w:val="auto"/>
              </w:rPr>
            </w:pPr>
            <w:r>
              <w:rPr>
                <w:rFonts w:ascii="Arial" w:cs="Arial" w:eastAsia="Arial" w:hAnsi="Arial"/>
                <w:sz w:val="12"/>
                <w:szCs w:val="12"/>
                <w:b w:val="1"/>
                <w:bCs w:val="1"/>
                <w:color w:val="auto"/>
              </w:rPr>
              <w:t>Cost</w:t>
            </w:r>
          </w:p>
        </w:tc>
        <w:tc>
          <w:tcPr>
            <w:tcW w:w="220" w:type="dxa"/>
            <w:vAlign w:val="bottom"/>
            <w:tcBorders>
              <w:bottom w:val="single" w:sz="8" w:color="CCECFF"/>
            </w:tcBorders>
          </w:tcPr>
          <w:p>
            <w:pPr>
              <w:spacing w:after="0"/>
              <w:rPr>
                <w:sz w:val="13"/>
                <w:szCs w:val="13"/>
                <w:color w:val="auto"/>
              </w:rPr>
            </w:pPr>
          </w:p>
        </w:tc>
        <w:tc>
          <w:tcPr>
            <w:tcW w:w="740" w:type="dxa"/>
            <w:vAlign w:val="bottom"/>
            <w:tcBorders>
              <w:bottom w:val="single" w:sz="8" w:color="auto"/>
            </w:tcBorders>
          </w:tcPr>
          <w:p>
            <w:pPr>
              <w:jc w:val="right"/>
              <w:spacing w:after="0" w:line="153" w:lineRule="exact"/>
              <w:rPr>
                <w:sz w:val="20"/>
                <w:szCs w:val="20"/>
                <w:color w:val="auto"/>
              </w:rPr>
            </w:pPr>
            <w:r>
              <w:rPr>
                <w:rFonts w:ascii="Arial" w:cs="Arial" w:eastAsia="Arial" w:hAnsi="Arial"/>
                <w:sz w:val="11"/>
                <w:szCs w:val="11"/>
                <w:b w:val="1"/>
                <w:bCs w:val="1"/>
                <w:color w:val="auto"/>
                <w:w w:val="97"/>
              </w:rPr>
              <w:t xml:space="preserve">Fair Value </w:t>
            </w:r>
            <w:r>
              <w:rPr>
                <w:rFonts w:ascii="Arial" w:cs="Arial" w:eastAsia="Arial" w:hAnsi="Arial"/>
                <w:sz w:val="17"/>
                <w:szCs w:val="17"/>
                <w:b w:val="1"/>
                <w:bCs w:val="1"/>
                <w:color w:val="auto"/>
                <w:w w:val="97"/>
                <w:vertAlign w:val="superscript"/>
              </w:rPr>
              <w:t>(2)</w:t>
            </w:r>
          </w:p>
        </w:tc>
        <w:tc>
          <w:tcPr>
            <w:tcW w:w="120" w:type="dxa"/>
            <w:vAlign w:val="bottom"/>
            <w:tcBorders>
              <w:bottom w:val="single" w:sz="8" w:color="CCECFF"/>
            </w:tcBorders>
          </w:tcPr>
          <w:p>
            <w:pPr>
              <w:spacing w:after="0"/>
              <w:rPr>
                <w:sz w:val="13"/>
                <w:szCs w:val="13"/>
                <w:color w:val="auto"/>
              </w:rPr>
            </w:pPr>
          </w:p>
        </w:tc>
      </w:tr>
      <w:tr>
        <w:trPr>
          <w:trHeight w:val="142"/>
        </w:trPr>
        <w:tc>
          <w:tcPr>
            <w:tcW w:w="3480" w:type="dxa"/>
            <w:vAlign w:val="bottom"/>
            <w:gridSpan w:val="2"/>
            <w:shd w:val="clear" w:color="auto" w:fill="CCECFF"/>
          </w:tcPr>
          <w:p>
            <w:pPr>
              <w:spacing w:after="0"/>
              <w:rPr>
                <w:sz w:val="20"/>
                <w:szCs w:val="20"/>
                <w:color w:val="auto"/>
              </w:rPr>
            </w:pPr>
            <w:r>
              <w:rPr>
                <w:rFonts w:ascii="Arial" w:cs="Arial" w:eastAsia="Arial" w:hAnsi="Arial"/>
                <w:sz w:val="12"/>
                <w:szCs w:val="12"/>
                <w:color w:val="auto"/>
              </w:rPr>
              <w:t>LSF9 Atlantis Holdings, LLC</w:t>
            </w:r>
          </w:p>
        </w:tc>
        <w:tc>
          <w:tcPr>
            <w:tcW w:w="640" w:type="dxa"/>
            <w:vAlign w:val="bottom"/>
            <w:shd w:val="clear" w:color="auto" w:fill="CCECFF"/>
          </w:tcPr>
          <w:p>
            <w:pPr>
              <w:jc w:val="center"/>
              <w:spacing w:after="0"/>
              <w:rPr>
                <w:sz w:val="20"/>
                <w:szCs w:val="20"/>
                <w:color w:val="auto"/>
              </w:rPr>
            </w:pPr>
            <w:r>
              <w:rPr>
                <w:rFonts w:ascii="Arial" w:cs="Arial" w:eastAsia="Arial" w:hAnsi="Arial"/>
                <w:sz w:val="12"/>
                <w:szCs w:val="12"/>
                <w:color w:val="auto"/>
                <w:w w:val="89"/>
              </w:rPr>
              <w:t>05/01/2023</w:t>
            </w:r>
          </w:p>
        </w:tc>
        <w:tc>
          <w:tcPr>
            <w:tcW w:w="120" w:type="dxa"/>
            <w:vAlign w:val="bottom"/>
            <w:shd w:val="clear" w:color="auto" w:fill="CCECFF"/>
          </w:tcPr>
          <w:p>
            <w:pPr>
              <w:spacing w:after="0"/>
              <w:rPr>
                <w:sz w:val="12"/>
                <w:szCs w:val="12"/>
                <w:color w:val="auto"/>
              </w:rPr>
            </w:pPr>
          </w:p>
        </w:tc>
        <w:tc>
          <w:tcPr>
            <w:tcW w:w="2480" w:type="dxa"/>
            <w:vAlign w:val="bottom"/>
            <w:gridSpan w:val="2"/>
            <w:shd w:val="clear" w:color="auto" w:fill="CCECFF"/>
          </w:tcPr>
          <w:p>
            <w:pPr>
              <w:jc w:val="center"/>
              <w:ind w:right="160"/>
              <w:spacing w:after="0"/>
              <w:rPr>
                <w:sz w:val="20"/>
                <w:szCs w:val="20"/>
                <w:color w:val="auto"/>
              </w:rPr>
            </w:pPr>
            <w:r>
              <w:rPr>
                <w:rFonts w:ascii="Arial" w:cs="Arial" w:eastAsia="Arial" w:hAnsi="Arial"/>
                <w:sz w:val="12"/>
                <w:szCs w:val="12"/>
                <w:color w:val="auto"/>
                <w:w w:val="91"/>
              </w:rPr>
              <w:t>Retail</w:t>
            </w:r>
          </w:p>
        </w:tc>
        <w:tc>
          <w:tcPr>
            <w:tcW w:w="920" w:type="dxa"/>
            <w:vAlign w:val="bottom"/>
            <w:gridSpan w:val="2"/>
            <w:shd w:val="clear" w:color="auto" w:fill="CCECFF"/>
          </w:tcPr>
          <w:p>
            <w:pPr>
              <w:jc w:val="right"/>
              <w:ind w:right="160"/>
              <w:spacing w:after="0"/>
              <w:rPr>
                <w:sz w:val="20"/>
                <w:szCs w:val="20"/>
                <w:color w:val="auto"/>
              </w:rPr>
            </w:pPr>
            <w:r>
              <w:rPr>
                <w:rFonts w:ascii="Arial" w:cs="Arial" w:eastAsia="Arial" w:hAnsi="Arial"/>
                <w:sz w:val="12"/>
                <w:szCs w:val="12"/>
                <w:color w:val="auto"/>
              </w:rPr>
              <w:t>8.04%</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1M L+600</w:t>
            </w:r>
          </w:p>
        </w:tc>
        <w:tc>
          <w:tcPr>
            <w:tcW w:w="90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13,684,375</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  13,590,322</w:t>
            </w:r>
          </w:p>
        </w:tc>
        <w:tc>
          <w:tcPr>
            <w:tcW w:w="96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  12,711,826</w:t>
            </w:r>
          </w:p>
        </w:tc>
        <w:tc>
          <w:tcPr>
            <w:tcW w:w="120" w:type="dxa"/>
            <w:vAlign w:val="bottom"/>
            <w:shd w:val="clear" w:color="auto" w:fill="CCECFF"/>
          </w:tcPr>
          <w:p>
            <w:pPr>
              <w:spacing w:after="0"/>
              <w:rPr>
                <w:sz w:val="12"/>
                <w:szCs w:val="12"/>
                <w:color w:val="auto"/>
              </w:rPr>
            </w:pPr>
          </w:p>
        </w:tc>
      </w:tr>
      <w:tr>
        <w:trPr>
          <w:trHeight w:val="148"/>
        </w:trPr>
        <w:tc>
          <w:tcPr>
            <w:tcW w:w="3480" w:type="dxa"/>
            <w:vAlign w:val="bottom"/>
            <w:gridSpan w:val="2"/>
          </w:tcPr>
          <w:p>
            <w:pPr>
              <w:spacing w:after="0"/>
              <w:rPr>
                <w:sz w:val="20"/>
                <w:szCs w:val="20"/>
                <w:color w:val="auto"/>
              </w:rPr>
            </w:pPr>
            <w:r>
              <w:rPr>
                <w:rFonts w:ascii="Arial" w:cs="Arial" w:eastAsia="Arial" w:hAnsi="Arial"/>
                <w:sz w:val="12"/>
                <w:szCs w:val="12"/>
                <w:color w:val="auto"/>
              </w:rPr>
              <w:t>Manna Pro Products, LLC</w:t>
            </w:r>
          </w:p>
        </w:tc>
        <w:tc>
          <w:tcPr>
            <w:tcW w:w="640" w:type="dxa"/>
            <w:vAlign w:val="bottom"/>
          </w:tcPr>
          <w:p>
            <w:pPr>
              <w:jc w:val="center"/>
              <w:spacing w:after="0"/>
              <w:rPr>
                <w:sz w:val="20"/>
                <w:szCs w:val="20"/>
                <w:color w:val="auto"/>
              </w:rPr>
            </w:pPr>
            <w:r>
              <w:rPr>
                <w:rFonts w:ascii="Arial" w:cs="Arial" w:eastAsia="Arial" w:hAnsi="Arial"/>
                <w:sz w:val="12"/>
                <w:szCs w:val="12"/>
                <w:color w:val="auto"/>
                <w:w w:val="89"/>
              </w:rPr>
              <w:t>12/08/2023</w:t>
            </w:r>
          </w:p>
        </w:tc>
        <w:tc>
          <w:tcPr>
            <w:tcW w:w="120" w:type="dxa"/>
            <w:vAlign w:val="bottom"/>
          </w:tcPr>
          <w:p>
            <w:pPr>
              <w:spacing w:after="0"/>
              <w:rPr>
                <w:sz w:val="12"/>
                <w:szCs w:val="12"/>
                <w:color w:val="auto"/>
              </w:rPr>
            </w:pPr>
          </w:p>
        </w:tc>
        <w:tc>
          <w:tcPr>
            <w:tcW w:w="2480" w:type="dxa"/>
            <w:vAlign w:val="bottom"/>
            <w:gridSpan w:val="2"/>
          </w:tcPr>
          <w:p>
            <w:pPr>
              <w:jc w:val="center"/>
              <w:ind w:right="140"/>
              <w:spacing w:after="0"/>
              <w:rPr>
                <w:sz w:val="20"/>
                <w:szCs w:val="20"/>
                <w:color w:val="auto"/>
              </w:rPr>
            </w:pPr>
            <w:r>
              <w:rPr>
                <w:rFonts w:ascii="Arial" w:cs="Arial" w:eastAsia="Arial" w:hAnsi="Arial"/>
                <w:sz w:val="12"/>
                <w:szCs w:val="12"/>
                <w:color w:val="auto"/>
                <w:w w:val="88"/>
              </w:rPr>
              <w:t>Consumer Goods: Non-Durable</w:t>
            </w:r>
          </w:p>
        </w:tc>
        <w:tc>
          <w:tcPr>
            <w:tcW w:w="920" w:type="dxa"/>
            <w:vAlign w:val="bottom"/>
            <w:gridSpan w:val="2"/>
          </w:tcPr>
          <w:p>
            <w:pPr>
              <w:jc w:val="right"/>
              <w:ind w:right="160"/>
              <w:spacing w:after="0"/>
              <w:rPr>
                <w:sz w:val="20"/>
                <w:szCs w:val="20"/>
                <w:color w:val="auto"/>
              </w:rPr>
            </w:pPr>
            <w:r>
              <w:rPr>
                <w:rFonts w:ascii="Arial" w:cs="Arial" w:eastAsia="Arial" w:hAnsi="Arial"/>
                <w:sz w:val="12"/>
                <w:szCs w:val="12"/>
                <w:color w:val="auto"/>
              </w:rPr>
              <w:t>8.11%</w:t>
            </w:r>
          </w:p>
        </w:tc>
        <w:tc>
          <w:tcPr>
            <w:tcW w:w="680" w:type="dxa"/>
            <w:vAlign w:val="bottom"/>
          </w:tcPr>
          <w:p>
            <w:pPr>
              <w:jc w:val="right"/>
              <w:spacing w:after="0"/>
              <w:rPr>
                <w:sz w:val="20"/>
                <w:szCs w:val="20"/>
                <w:color w:val="auto"/>
              </w:rPr>
            </w:pPr>
            <w:r>
              <w:rPr>
                <w:rFonts w:ascii="Arial" w:cs="Arial" w:eastAsia="Arial" w:hAnsi="Arial"/>
                <w:sz w:val="12"/>
                <w:szCs w:val="12"/>
                <w:color w:val="auto"/>
              </w:rPr>
              <w:t>1M L+600</w:t>
            </w:r>
          </w:p>
        </w:tc>
        <w:tc>
          <w:tcPr>
            <w:tcW w:w="900" w:type="dxa"/>
            <w:vAlign w:val="bottom"/>
            <w:gridSpan w:val="2"/>
          </w:tcPr>
          <w:p>
            <w:pPr>
              <w:jc w:val="right"/>
              <w:spacing w:after="0"/>
              <w:rPr>
                <w:sz w:val="20"/>
                <w:szCs w:val="20"/>
                <w:color w:val="auto"/>
              </w:rPr>
            </w:pPr>
            <w:r>
              <w:rPr>
                <w:rFonts w:ascii="Arial" w:cs="Arial" w:eastAsia="Arial" w:hAnsi="Arial"/>
                <w:sz w:val="12"/>
                <w:szCs w:val="12"/>
                <w:color w:val="auto"/>
              </w:rPr>
              <w:t>8,390,000</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8,327,947</w:t>
            </w:r>
          </w:p>
        </w:tc>
        <w:tc>
          <w:tcPr>
            <w:tcW w:w="960" w:type="dxa"/>
            <w:vAlign w:val="bottom"/>
            <w:gridSpan w:val="2"/>
          </w:tcPr>
          <w:p>
            <w:pPr>
              <w:jc w:val="right"/>
              <w:spacing w:after="0"/>
              <w:rPr>
                <w:sz w:val="20"/>
                <w:szCs w:val="20"/>
                <w:color w:val="auto"/>
              </w:rPr>
            </w:pPr>
            <w:r>
              <w:rPr>
                <w:rFonts w:ascii="Arial" w:cs="Arial" w:eastAsia="Arial" w:hAnsi="Arial"/>
                <w:sz w:val="12"/>
                <w:szCs w:val="12"/>
                <w:color w:val="auto"/>
              </w:rPr>
              <w:t>8,159,275</w:t>
            </w:r>
          </w:p>
        </w:tc>
        <w:tc>
          <w:tcPr>
            <w:tcW w:w="120" w:type="dxa"/>
            <w:vAlign w:val="bottom"/>
          </w:tcPr>
          <w:p>
            <w:pPr>
              <w:spacing w:after="0"/>
              <w:rPr>
                <w:sz w:val="12"/>
                <w:szCs w:val="12"/>
                <w:color w:val="auto"/>
              </w:rPr>
            </w:pPr>
          </w:p>
        </w:tc>
      </w:tr>
      <w:tr>
        <w:trPr>
          <w:trHeight w:val="148"/>
        </w:trPr>
        <w:tc>
          <w:tcPr>
            <w:tcW w:w="3480" w:type="dxa"/>
            <w:vAlign w:val="bottom"/>
            <w:gridSpan w:val="2"/>
            <w:shd w:val="clear" w:color="auto" w:fill="CCECFF"/>
          </w:tcPr>
          <w:p>
            <w:pPr>
              <w:spacing w:after="0"/>
              <w:rPr>
                <w:sz w:val="20"/>
                <w:szCs w:val="20"/>
                <w:color w:val="auto"/>
              </w:rPr>
            </w:pPr>
            <w:r>
              <w:rPr>
                <w:rFonts w:ascii="Arial" w:cs="Arial" w:eastAsia="Arial" w:hAnsi="Arial"/>
                <w:sz w:val="12"/>
                <w:szCs w:val="12"/>
                <w:color w:val="auto"/>
              </w:rPr>
              <w:t>Marketplace Events LLC</w:t>
            </w:r>
          </w:p>
        </w:tc>
        <w:tc>
          <w:tcPr>
            <w:tcW w:w="640" w:type="dxa"/>
            <w:vAlign w:val="bottom"/>
            <w:shd w:val="clear" w:color="auto" w:fill="CCECFF"/>
          </w:tcPr>
          <w:p>
            <w:pPr>
              <w:jc w:val="center"/>
              <w:spacing w:after="0"/>
              <w:rPr>
                <w:sz w:val="20"/>
                <w:szCs w:val="20"/>
                <w:color w:val="auto"/>
              </w:rPr>
            </w:pPr>
            <w:r>
              <w:rPr>
                <w:rFonts w:ascii="Arial" w:cs="Arial" w:eastAsia="Arial" w:hAnsi="Arial"/>
                <w:sz w:val="12"/>
                <w:szCs w:val="12"/>
                <w:color w:val="auto"/>
                <w:w w:val="89"/>
              </w:rPr>
              <w:t>01/27/2023</w:t>
            </w:r>
          </w:p>
        </w:tc>
        <w:tc>
          <w:tcPr>
            <w:tcW w:w="120" w:type="dxa"/>
            <w:vAlign w:val="bottom"/>
            <w:shd w:val="clear" w:color="auto" w:fill="CCECFF"/>
          </w:tcPr>
          <w:p>
            <w:pPr>
              <w:spacing w:after="0"/>
              <w:rPr>
                <w:sz w:val="12"/>
                <w:szCs w:val="12"/>
                <w:color w:val="auto"/>
              </w:rPr>
            </w:pPr>
          </w:p>
        </w:tc>
        <w:tc>
          <w:tcPr>
            <w:tcW w:w="248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90"/>
              </w:rPr>
              <w:t>Media: Diversified and Production</w:t>
            </w:r>
          </w:p>
        </w:tc>
        <w:tc>
          <w:tcPr>
            <w:tcW w:w="920" w:type="dxa"/>
            <w:vAlign w:val="bottom"/>
            <w:gridSpan w:val="2"/>
            <w:shd w:val="clear" w:color="auto" w:fill="CCECFF"/>
          </w:tcPr>
          <w:p>
            <w:pPr>
              <w:jc w:val="right"/>
              <w:ind w:right="160"/>
              <w:spacing w:after="0"/>
              <w:rPr>
                <w:sz w:val="20"/>
                <w:szCs w:val="20"/>
                <w:color w:val="auto"/>
              </w:rPr>
            </w:pPr>
            <w:r>
              <w:rPr>
                <w:rFonts w:ascii="Arial" w:cs="Arial" w:eastAsia="Arial" w:hAnsi="Arial"/>
                <w:sz w:val="12"/>
                <w:szCs w:val="12"/>
                <w:color w:val="auto"/>
              </w:rPr>
              <w:t>7.35%</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3M L+525</w:t>
            </w:r>
          </w:p>
        </w:tc>
        <w:tc>
          <w:tcPr>
            <w:tcW w:w="90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5,312,015</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5,243,388</w:t>
            </w:r>
          </w:p>
        </w:tc>
        <w:tc>
          <w:tcPr>
            <w:tcW w:w="96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5,245,616</w:t>
            </w:r>
          </w:p>
        </w:tc>
        <w:tc>
          <w:tcPr>
            <w:tcW w:w="120" w:type="dxa"/>
            <w:vAlign w:val="bottom"/>
            <w:shd w:val="clear" w:color="auto" w:fill="CCECFF"/>
          </w:tcPr>
          <w:p>
            <w:pPr>
              <w:spacing w:after="0"/>
              <w:rPr>
                <w:sz w:val="12"/>
                <w:szCs w:val="12"/>
                <w:color w:val="auto"/>
              </w:rPr>
            </w:pPr>
          </w:p>
        </w:tc>
      </w:tr>
      <w:tr>
        <w:trPr>
          <w:trHeight w:val="148"/>
        </w:trPr>
        <w:tc>
          <w:tcPr>
            <w:tcW w:w="3480" w:type="dxa"/>
            <w:vAlign w:val="bottom"/>
            <w:gridSpan w:val="2"/>
          </w:tcPr>
          <w:p>
            <w:pPr>
              <w:spacing w:after="0" w:line="149" w:lineRule="exact"/>
              <w:rPr>
                <w:sz w:val="20"/>
                <w:szCs w:val="20"/>
                <w:color w:val="auto"/>
              </w:rPr>
            </w:pPr>
            <w:r>
              <w:rPr>
                <w:rFonts w:ascii="Arial" w:cs="Arial" w:eastAsia="Arial" w:hAnsi="Arial"/>
                <w:sz w:val="11"/>
                <w:szCs w:val="11"/>
                <w:color w:val="auto"/>
              </w:rPr>
              <w:t xml:space="preserve">Marketplace Events LLC </w:t>
            </w:r>
            <w:r>
              <w:rPr>
                <w:rFonts w:ascii="Arial" w:cs="Arial" w:eastAsia="Arial" w:hAnsi="Arial"/>
                <w:sz w:val="17"/>
                <w:szCs w:val="17"/>
                <w:color w:val="auto"/>
                <w:vertAlign w:val="superscript"/>
              </w:rPr>
              <w:t>(11)</w:t>
            </w:r>
          </w:p>
        </w:tc>
        <w:tc>
          <w:tcPr>
            <w:tcW w:w="640" w:type="dxa"/>
            <w:vAlign w:val="bottom"/>
          </w:tcPr>
          <w:p>
            <w:pPr>
              <w:jc w:val="center"/>
              <w:spacing w:after="0"/>
              <w:rPr>
                <w:sz w:val="20"/>
                <w:szCs w:val="20"/>
                <w:color w:val="auto"/>
              </w:rPr>
            </w:pPr>
            <w:r>
              <w:rPr>
                <w:rFonts w:ascii="Arial" w:cs="Arial" w:eastAsia="Arial" w:hAnsi="Arial"/>
                <w:sz w:val="12"/>
                <w:szCs w:val="12"/>
                <w:color w:val="auto"/>
                <w:w w:val="89"/>
              </w:rPr>
              <w:t>01/27/2023</w:t>
            </w:r>
          </w:p>
        </w:tc>
        <w:tc>
          <w:tcPr>
            <w:tcW w:w="120" w:type="dxa"/>
            <w:vAlign w:val="bottom"/>
          </w:tcPr>
          <w:p>
            <w:pPr>
              <w:spacing w:after="0"/>
              <w:rPr>
                <w:sz w:val="12"/>
                <w:szCs w:val="12"/>
                <w:color w:val="auto"/>
              </w:rPr>
            </w:pPr>
          </w:p>
        </w:tc>
        <w:tc>
          <w:tcPr>
            <w:tcW w:w="2480" w:type="dxa"/>
            <w:vAlign w:val="bottom"/>
            <w:gridSpan w:val="2"/>
          </w:tcPr>
          <w:p>
            <w:pPr>
              <w:jc w:val="center"/>
              <w:ind w:right="140"/>
              <w:spacing w:after="0"/>
              <w:rPr>
                <w:sz w:val="20"/>
                <w:szCs w:val="20"/>
                <w:color w:val="auto"/>
              </w:rPr>
            </w:pPr>
            <w:r>
              <w:rPr>
                <w:rFonts w:ascii="Arial" w:cs="Arial" w:eastAsia="Arial" w:hAnsi="Arial"/>
                <w:sz w:val="12"/>
                <w:szCs w:val="12"/>
                <w:color w:val="auto"/>
                <w:w w:val="90"/>
              </w:rPr>
              <w:t>Media: Diversified and Production</w:t>
            </w:r>
          </w:p>
        </w:tc>
        <w:tc>
          <w:tcPr>
            <w:tcW w:w="920" w:type="dxa"/>
            <w:vAlign w:val="bottom"/>
            <w:gridSpan w:val="2"/>
          </w:tcPr>
          <w:p>
            <w:pPr>
              <w:jc w:val="right"/>
              <w:ind w:right="160"/>
              <w:spacing w:after="0"/>
              <w:rPr>
                <w:sz w:val="20"/>
                <w:szCs w:val="20"/>
                <w:color w:val="auto"/>
              </w:rPr>
            </w:pPr>
            <w:r>
              <w:rPr>
                <w:rFonts w:ascii="Arial" w:cs="Arial" w:eastAsia="Arial" w:hAnsi="Arial"/>
                <w:sz w:val="12"/>
                <w:szCs w:val="12"/>
                <w:color w:val="auto"/>
              </w:rPr>
              <w:t>7.20%</w:t>
            </w:r>
          </w:p>
        </w:tc>
        <w:tc>
          <w:tcPr>
            <w:tcW w:w="680" w:type="dxa"/>
            <w:vAlign w:val="bottom"/>
          </w:tcPr>
          <w:p>
            <w:pPr>
              <w:jc w:val="right"/>
              <w:spacing w:after="0"/>
              <w:rPr>
                <w:sz w:val="20"/>
                <w:szCs w:val="20"/>
                <w:color w:val="auto"/>
              </w:rPr>
            </w:pPr>
            <w:r>
              <w:rPr>
                <w:rFonts w:ascii="Arial" w:cs="Arial" w:eastAsia="Arial" w:hAnsi="Arial"/>
                <w:sz w:val="12"/>
                <w:szCs w:val="12"/>
                <w:color w:val="auto"/>
              </w:rPr>
              <w:t>P+275</w:t>
            </w:r>
          </w:p>
        </w:tc>
        <w:tc>
          <w:tcPr>
            <w:tcW w:w="900" w:type="dxa"/>
            <w:vAlign w:val="bottom"/>
            <w:gridSpan w:val="2"/>
          </w:tcPr>
          <w:p>
            <w:pPr>
              <w:jc w:val="right"/>
              <w:spacing w:after="0"/>
              <w:rPr>
                <w:sz w:val="20"/>
                <w:szCs w:val="20"/>
                <w:color w:val="auto"/>
              </w:rPr>
            </w:pPr>
            <w:r>
              <w:rPr>
                <w:rFonts w:ascii="Arial" w:cs="Arial" w:eastAsia="Arial" w:hAnsi="Arial"/>
                <w:sz w:val="12"/>
                <w:szCs w:val="12"/>
                <w:color w:val="auto"/>
              </w:rPr>
              <w:t>C$  16,299,990</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11,428,057</w:t>
            </w:r>
          </w:p>
        </w:tc>
        <w:tc>
          <w:tcPr>
            <w:tcW w:w="960" w:type="dxa"/>
            <w:vAlign w:val="bottom"/>
            <w:gridSpan w:val="2"/>
          </w:tcPr>
          <w:p>
            <w:pPr>
              <w:jc w:val="right"/>
              <w:spacing w:after="0"/>
              <w:rPr>
                <w:sz w:val="20"/>
                <w:szCs w:val="20"/>
                <w:color w:val="auto"/>
              </w:rPr>
            </w:pPr>
            <w:r>
              <w:rPr>
                <w:rFonts w:ascii="Arial" w:cs="Arial" w:eastAsia="Arial" w:hAnsi="Arial"/>
                <w:sz w:val="12"/>
                <w:szCs w:val="12"/>
                <w:color w:val="auto"/>
              </w:rPr>
              <w:t>12,311,171</w:t>
            </w:r>
          </w:p>
        </w:tc>
        <w:tc>
          <w:tcPr>
            <w:tcW w:w="120" w:type="dxa"/>
            <w:vAlign w:val="bottom"/>
          </w:tcPr>
          <w:p>
            <w:pPr>
              <w:spacing w:after="0"/>
              <w:rPr>
                <w:sz w:val="12"/>
                <w:szCs w:val="12"/>
                <w:color w:val="auto"/>
              </w:rPr>
            </w:pPr>
          </w:p>
        </w:tc>
      </w:tr>
      <w:tr>
        <w:trPr>
          <w:trHeight w:val="148"/>
        </w:trPr>
        <w:tc>
          <w:tcPr>
            <w:tcW w:w="3480" w:type="dxa"/>
            <w:vAlign w:val="bottom"/>
            <w:gridSpan w:val="2"/>
            <w:shd w:val="clear" w:color="auto" w:fill="CCECFF"/>
          </w:tcPr>
          <w:p>
            <w:pPr>
              <w:spacing w:after="0" w:line="149" w:lineRule="exact"/>
              <w:rPr>
                <w:sz w:val="20"/>
                <w:szCs w:val="20"/>
                <w:color w:val="auto"/>
              </w:rPr>
            </w:pPr>
            <w:r>
              <w:rPr>
                <w:rFonts w:ascii="Arial" w:cs="Arial" w:eastAsia="Arial" w:hAnsi="Arial"/>
                <w:sz w:val="11"/>
                <w:szCs w:val="11"/>
                <w:color w:val="auto"/>
              </w:rPr>
              <w:t xml:space="preserve">Marketplace Events LLC (Revolver) </w:t>
            </w:r>
            <w:r>
              <w:rPr>
                <w:rFonts w:ascii="Arial" w:cs="Arial" w:eastAsia="Arial" w:hAnsi="Arial"/>
                <w:sz w:val="17"/>
                <w:szCs w:val="17"/>
                <w:color w:val="auto"/>
                <w:vertAlign w:val="superscript"/>
              </w:rPr>
              <w:t>(7)</w:t>
            </w:r>
          </w:p>
        </w:tc>
        <w:tc>
          <w:tcPr>
            <w:tcW w:w="640" w:type="dxa"/>
            <w:vAlign w:val="bottom"/>
            <w:shd w:val="clear" w:color="auto" w:fill="CCECFF"/>
          </w:tcPr>
          <w:p>
            <w:pPr>
              <w:jc w:val="center"/>
              <w:spacing w:after="0"/>
              <w:rPr>
                <w:sz w:val="20"/>
                <w:szCs w:val="20"/>
                <w:color w:val="auto"/>
              </w:rPr>
            </w:pPr>
            <w:r>
              <w:rPr>
                <w:rFonts w:ascii="Arial" w:cs="Arial" w:eastAsia="Arial" w:hAnsi="Arial"/>
                <w:sz w:val="12"/>
                <w:szCs w:val="12"/>
                <w:color w:val="auto"/>
                <w:w w:val="89"/>
              </w:rPr>
              <w:t>01/27/2023</w:t>
            </w:r>
          </w:p>
        </w:tc>
        <w:tc>
          <w:tcPr>
            <w:tcW w:w="120" w:type="dxa"/>
            <w:vAlign w:val="bottom"/>
            <w:shd w:val="clear" w:color="auto" w:fill="CCECFF"/>
          </w:tcPr>
          <w:p>
            <w:pPr>
              <w:spacing w:after="0"/>
              <w:rPr>
                <w:sz w:val="12"/>
                <w:szCs w:val="12"/>
                <w:color w:val="auto"/>
              </w:rPr>
            </w:pPr>
          </w:p>
        </w:tc>
        <w:tc>
          <w:tcPr>
            <w:tcW w:w="248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90"/>
              </w:rPr>
              <w:t>Media: Diversified and Production</w:t>
            </w:r>
          </w:p>
        </w:tc>
        <w:tc>
          <w:tcPr>
            <w:tcW w:w="920" w:type="dxa"/>
            <w:vAlign w:val="bottom"/>
            <w:gridSpan w:val="2"/>
            <w:shd w:val="clear" w:color="auto" w:fill="CCECFF"/>
          </w:tcPr>
          <w:p>
            <w:pPr>
              <w:jc w:val="right"/>
              <w:ind w:right="160"/>
              <w:spacing w:after="0"/>
              <w:rPr>
                <w:sz w:val="20"/>
                <w:szCs w:val="20"/>
                <w:color w:val="auto"/>
              </w:rPr>
            </w:pPr>
            <w:r>
              <w:rPr>
                <w:rFonts w:ascii="Arial" w:cs="Arial" w:eastAsia="Arial" w:hAnsi="Arial"/>
                <w:sz w:val="12"/>
                <w:szCs w:val="12"/>
                <w:color w:val="auto"/>
              </w:rPr>
              <w:t>7.75%</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P+275</w:t>
            </w:r>
          </w:p>
        </w:tc>
        <w:tc>
          <w:tcPr>
            <w:tcW w:w="90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476,886</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476,886</w:t>
            </w:r>
          </w:p>
        </w:tc>
        <w:tc>
          <w:tcPr>
            <w:tcW w:w="96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476,886</w:t>
            </w:r>
          </w:p>
        </w:tc>
        <w:tc>
          <w:tcPr>
            <w:tcW w:w="120" w:type="dxa"/>
            <w:vAlign w:val="bottom"/>
            <w:shd w:val="clear" w:color="auto" w:fill="CCECFF"/>
          </w:tcPr>
          <w:p>
            <w:pPr>
              <w:spacing w:after="0"/>
              <w:rPr>
                <w:sz w:val="12"/>
                <w:szCs w:val="12"/>
                <w:color w:val="auto"/>
              </w:rPr>
            </w:pPr>
          </w:p>
        </w:tc>
      </w:tr>
      <w:tr>
        <w:trPr>
          <w:trHeight w:val="149"/>
        </w:trPr>
        <w:tc>
          <w:tcPr>
            <w:tcW w:w="3480" w:type="dxa"/>
            <w:vAlign w:val="bottom"/>
            <w:gridSpan w:val="2"/>
          </w:tcPr>
          <w:p>
            <w:pPr>
              <w:spacing w:after="0" w:line="149" w:lineRule="exact"/>
              <w:rPr>
                <w:sz w:val="20"/>
                <w:szCs w:val="20"/>
                <w:color w:val="auto"/>
              </w:rPr>
            </w:pPr>
            <w:r>
              <w:rPr>
                <w:rFonts w:ascii="Arial" w:cs="Arial" w:eastAsia="Arial" w:hAnsi="Arial"/>
                <w:sz w:val="11"/>
                <w:szCs w:val="11"/>
                <w:color w:val="auto"/>
              </w:rPr>
              <w:t xml:space="preserve">Marketplace Events LLC (Revolver) </w:t>
            </w:r>
            <w:r>
              <w:rPr>
                <w:rFonts w:ascii="Arial" w:cs="Arial" w:eastAsia="Arial" w:hAnsi="Arial"/>
                <w:sz w:val="17"/>
                <w:szCs w:val="17"/>
                <w:color w:val="auto"/>
                <w:vertAlign w:val="superscript"/>
              </w:rPr>
              <w:t>(7), (9)</w:t>
            </w:r>
          </w:p>
        </w:tc>
        <w:tc>
          <w:tcPr>
            <w:tcW w:w="640" w:type="dxa"/>
            <w:vAlign w:val="bottom"/>
          </w:tcPr>
          <w:p>
            <w:pPr>
              <w:jc w:val="center"/>
              <w:spacing w:after="0"/>
              <w:rPr>
                <w:sz w:val="20"/>
                <w:szCs w:val="20"/>
                <w:color w:val="auto"/>
              </w:rPr>
            </w:pPr>
            <w:r>
              <w:rPr>
                <w:rFonts w:ascii="Arial" w:cs="Arial" w:eastAsia="Arial" w:hAnsi="Arial"/>
                <w:sz w:val="12"/>
                <w:szCs w:val="12"/>
                <w:color w:val="auto"/>
                <w:w w:val="89"/>
              </w:rPr>
              <w:t>01/27/2023</w:t>
            </w:r>
          </w:p>
        </w:tc>
        <w:tc>
          <w:tcPr>
            <w:tcW w:w="120" w:type="dxa"/>
            <w:vAlign w:val="bottom"/>
          </w:tcPr>
          <w:p>
            <w:pPr>
              <w:spacing w:after="0"/>
              <w:rPr>
                <w:sz w:val="12"/>
                <w:szCs w:val="12"/>
                <w:color w:val="auto"/>
              </w:rPr>
            </w:pPr>
          </w:p>
        </w:tc>
        <w:tc>
          <w:tcPr>
            <w:tcW w:w="2480" w:type="dxa"/>
            <w:vAlign w:val="bottom"/>
            <w:gridSpan w:val="2"/>
          </w:tcPr>
          <w:p>
            <w:pPr>
              <w:jc w:val="center"/>
              <w:ind w:right="140"/>
              <w:spacing w:after="0"/>
              <w:rPr>
                <w:sz w:val="20"/>
                <w:szCs w:val="20"/>
                <w:color w:val="auto"/>
              </w:rPr>
            </w:pPr>
            <w:r>
              <w:rPr>
                <w:rFonts w:ascii="Arial" w:cs="Arial" w:eastAsia="Arial" w:hAnsi="Arial"/>
                <w:sz w:val="12"/>
                <w:szCs w:val="12"/>
                <w:color w:val="auto"/>
                <w:w w:val="90"/>
              </w:rPr>
              <w:t>Media: Diversified and Production</w:t>
            </w:r>
          </w:p>
        </w:tc>
        <w:tc>
          <w:tcPr>
            <w:tcW w:w="92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w:t>
            </w:r>
          </w:p>
        </w:tc>
        <w:tc>
          <w:tcPr>
            <w:tcW w:w="900" w:type="dxa"/>
            <w:vAlign w:val="bottom"/>
            <w:gridSpan w:val="2"/>
          </w:tcPr>
          <w:p>
            <w:pPr>
              <w:jc w:val="right"/>
              <w:spacing w:after="0"/>
              <w:rPr>
                <w:sz w:val="20"/>
                <w:szCs w:val="20"/>
                <w:color w:val="auto"/>
              </w:rPr>
            </w:pPr>
            <w:r>
              <w:rPr>
                <w:rFonts w:ascii="Arial" w:cs="Arial" w:eastAsia="Arial" w:hAnsi="Arial"/>
                <w:sz w:val="12"/>
                <w:szCs w:val="12"/>
                <w:color w:val="auto"/>
              </w:rPr>
              <w:t>1,226,277</w:t>
            </w:r>
          </w:p>
        </w:tc>
        <w:tc>
          <w:tcPr>
            <w:tcW w:w="22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2"/>
                <w:szCs w:val="12"/>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r>
      <w:tr>
        <w:trPr>
          <w:trHeight w:val="148"/>
        </w:trPr>
        <w:tc>
          <w:tcPr>
            <w:tcW w:w="3480" w:type="dxa"/>
            <w:vAlign w:val="bottom"/>
            <w:gridSpan w:val="2"/>
            <w:shd w:val="clear" w:color="auto" w:fill="CCECFF"/>
          </w:tcPr>
          <w:p>
            <w:pPr>
              <w:spacing w:after="0"/>
              <w:rPr>
                <w:sz w:val="20"/>
                <w:szCs w:val="20"/>
                <w:color w:val="auto"/>
              </w:rPr>
            </w:pPr>
            <w:r>
              <w:rPr>
                <w:rFonts w:ascii="Arial" w:cs="Arial" w:eastAsia="Arial" w:hAnsi="Arial"/>
                <w:sz w:val="12"/>
                <w:szCs w:val="12"/>
                <w:color w:val="auto"/>
              </w:rPr>
              <w:t>MeritDirect, LLC</w:t>
            </w:r>
          </w:p>
        </w:tc>
        <w:tc>
          <w:tcPr>
            <w:tcW w:w="640" w:type="dxa"/>
            <w:vAlign w:val="bottom"/>
            <w:shd w:val="clear" w:color="auto" w:fill="CCECFF"/>
          </w:tcPr>
          <w:p>
            <w:pPr>
              <w:jc w:val="center"/>
              <w:spacing w:after="0"/>
              <w:rPr>
                <w:sz w:val="20"/>
                <w:szCs w:val="20"/>
                <w:color w:val="auto"/>
              </w:rPr>
            </w:pPr>
            <w:r>
              <w:rPr>
                <w:rFonts w:ascii="Arial" w:cs="Arial" w:eastAsia="Arial" w:hAnsi="Arial"/>
                <w:sz w:val="12"/>
                <w:szCs w:val="12"/>
                <w:color w:val="auto"/>
                <w:w w:val="89"/>
              </w:rPr>
              <w:t>05/23/2024</w:t>
            </w:r>
          </w:p>
        </w:tc>
        <w:tc>
          <w:tcPr>
            <w:tcW w:w="120" w:type="dxa"/>
            <w:vAlign w:val="bottom"/>
            <w:shd w:val="clear" w:color="auto" w:fill="CCECFF"/>
          </w:tcPr>
          <w:p>
            <w:pPr>
              <w:spacing w:after="0"/>
              <w:rPr>
                <w:sz w:val="12"/>
                <w:szCs w:val="12"/>
                <w:color w:val="auto"/>
              </w:rPr>
            </w:pPr>
          </w:p>
        </w:tc>
        <w:tc>
          <w:tcPr>
            <w:tcW w:w="248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91"/>
              </w:rPr>
              <w:t>Media</w:t>
            </w:r>
          </w:p>
        </w:tc>
        <w:tc>
          <w:tcPr>
            <w:tcW w:w="920" w:type="dxa"/>
            <w:vAlign w:val="bottom"/>
            <w:gridSpan w:val="2"/>
            <w:shd w:val="clear" w:color="auto" w:fill="CCECFF"/>
          </w:tcPr>
          <w:p>
            <w:pPr>
              <w:jc w:val="right"/>
              <w:ind w:right="160"/>
              <w:spacing w:after="0"/>
              <w:rPr>
                <w:sz w:val="20"/>
                <w:szCs w:val="20"/>
                <w:color w:val="auto"/>
              </w:rPr>
            </w:pPr>
            <w:r>
              <w:rPr>
                <w:rFonts w:ascii="Arial" w:cs="Arial" w:eastAsia="Arial" w:hAnsi="Arial"/>
                <w:sz w:val="12"/>
                <w:szCs w:val="12"/>
                <w:color w:val="auto"/>
              </w:rPr>
              <w:t>8.06%</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3M L+550</w:t>
            </w:r>
          </w:p>
        </w:tc>
        <w:tc>
          <w:tcPr>
            <w:tcW w:w="90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34,772,838</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34,280,848</w:t>
            </w:r>
          </w:p>
        </w:tc>
        <w:tc>
          <w:tcPr>
            <w:tcW w:w="96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34,251,245</w:t>
            </w:r>
          </w:p>
        </w:tc>
        <w:tc>
          <w:tcPr>
            <w:tcW w:w="120" w:type="dxa"/>
            <w:vAlign w:val="bottom"/>
            <w:shd w:val="clear" w:color="auto" w:fill="CCECFF"/>
          </w:tcPr>
          <w:p>
            <w:pPr>
              <w:spacing w:after="0"/>
              <w:rPr>
                <w:sz w:val="12"/>
                <w:szCs w:val="12"/>
                <w:color w:val="auto"/>
              </w:rPr>
            </w:pPr>
          </w:p>
        </w:tc>
      </w:tr>
      <w:tr>
        <w:trPr>
          <w:trHeight w:val="148"/>
        </w:trPr>
        <w:tc>
          <w:tcPr>
            <w:tcW w:w="3480" w:type="dxa"/>
            <w:vAlign w:val="bottom"/>
            <w:gridSpan w:val="2"/>
          </w:tcPr>
          <w:p>
            <w:pPr>
              <w:spacing w:after="0" w:line="149" w:lineRule="exact"/>
              <w:rPr>
                <w:sz w:val="20"/>
                <w:szCs w:val="20"/>
                <w:color w:val="auto"/>
              </w:rPr>
            </w:pPr>
            <w:r>
              <w:rPr>
                <w:rFonts w:ascii="Arial" w:cs="Arial" w:eastAsia="Arial" w:hAnsi="Arial"/>
                <w:sz w:val="11"/>
                <w:szCs w:val="11"/>
                <w:color w:val="auto"/>
              </w:rPr>
              <w:t xml:space="preserve">MeritDirect, LLC (Revolver) </w:t>
            </w:r>
            <w:r>
              <w:rPr>
                <w:rFonts w:ascii="Arial" w:cs="Arial" w:eastAsia="Arial" w:hAnsi="Arial"/>
                <w:sz w:val="17"/>
                <w:szCs w:val="17"/>
                <w:color w:val="auto"/>
                <w:vertAlign w:val="superscript"/>
              </w:rPr>
              <w:t>(7), (9)</w:t>
            </w:r>
          </w:p>
        </w:tc>
        <w:tc>
          <w:tcPr>
            <w:tcW w:w="640" w:type="dxa"/>
            <w:vAlign w:val="bottom"/>
          </w:tcPr>
          <w:p>
            <w:pPr>
              <w:jc w:val="center"/>
              <w:spacing w:after="0"/>
              <w:rPr>
                <w:sz w:val="20"/>
                <w:szCs w:val="20"/>
                <w:color w:val="auto"/>
              </w:rPr>
            </w:pPr>
            <w:r>
              <w:rPr>
                <w:rFonts w:ascii="Arial" w:cs="Arial" w:eastAsia="Arial" w:hAnsi="Arial"/>
                <w:sz w:val="12"/>
                <w:szCs w:val="12"/>
                <w:color w:val="auto"/>
                <w:w w:val="89"/>
              </w:rPr>
              <w:t>05/23/2024</w:t>
            </w:r>
          </w:p>
        </w:tc>
        <w:tc>
          <w:tcPr>
            <w:tcW w:w="120" w:type="dxa"/>
            <w:vAlign w:val="bottom"/>
          </w:tcPr>
          <w:p>
            <w:pPr>
              <w:spacing w:after="0"/>
              <w:rPr>
                <w:sz w:val="12"/>
                <w:szCs w:val="12"/>
                <w:color w:val="auto"/>
              </w:rPr>
            </w:pPr>
          </w:p>
        </w:tc>
        <w:tc>
          <w:tcPr>
            <w:tcW w:w="2480" w:type="dxa"/>
            <w:vAlign w:val="bottom"/>
            <w:gridSpan w:val="2"/>
          </w:tcPr>
          <w:p>
            <w:pPr>
              <w:jc w:val="center"/>
              <w:ind w:right="140"/>
              <w:spacing w:after="0"/>
              <w:rPr>
                <w:sz w:val="20"/>
                <w:szCs w:val="20"/>
                <w:color w:val="auto"/>
              </w:rPr>
            </w:pPr>
            <w:r>
              <w:rPr>
                <w:rFonts w:ascii="Arial" w:cs="Arial" w:eastAsia="Arial" w:hAnsi="Arial"/>
                <w:sz w:val="12"/>
                <w:szCs w:val="12"/>
                <w:color w:val="auto"/>
                <w:w w:val="91"/>
              </w:rPr>
              <w:t>Media</w:t>
            </w:r>
          </w:p>
        </w:tc>
        <w:tc>
          <w:tcPr>
            <w:tcW w:w="92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w:t>
            </w:r>
          </w:p>
        </w:tc>
        <w:tc>
          <w:tcPr>
            <w:tcW w:w="900" w:type="dxa"/>
            <w:vAlign w:val="bottom"/>
            <w:gridSpan w:val="2"/>
          </w:tcPr>
          <w:p>
            <w:pPr>
              <w:jc w:val="right"/>
              <w:spacing w:after="0"/>
              <w:rPr>
                <w:sz w:val="20"/>
                <w:szCs w:val="20"/>
                <w:color w:val="auto"/>
              </w:rPr>
            </w:pPr>
            <w:r>
              <w:rPr>
                <w:rFonts w:ascii="Arial" w:cs="Arial" w:eastAsia="Arial" w:hAnsi="Arial"/>
                <w:sz w:val="12"/>
                <w:szCs w:val="12"/>
                <w:color w:val="auto"/>
              </w:rPr>
              <w:t>4,481,655</w:t>
            </w:r>
          </w:p>
        </w:tc>
        <w:tc>
          <w:tcPr>
            <w:tcW w:w="22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w:t>
            </w:r>
          </w:p>
        </w:tc>
        <w:tc>
          <w:tcPr>
            <w:tcW w:w="1080" w:type="dxa"/>
            <w:vAlign w:val="bottom"/>
            <w:gridSpan w:val="3"/>
          </w:tcPr>
          <w:p>
            <w:pPr>
              <w:jc w:val="right"/>
              <w:ind w:right="80"/>
              <w:spacing w:after="0"/>
              <w:rPr>
                <w:sz w:val="20"/>
                <w:szCs w:val="20"/>
                <w:color w:val="auto"/>
              </w:rPr>
            </w:pPr>
            <w:r>
              <w:rPr>
                <w:rFonts w:ascii="Arial" w:cs="Arial" w:eastAsia="Arial" w:hAnsi="Arial"/>
                <w:sz w:val="12"/>
                <w:szCs w:val="12"/>
                <w:color w:val="auto"/>
              </w:rPr>
              <w:t>(67,225)</w:t>
            </w:r>
          </w:p>
        </w:tc>
      </w:tr>
      <w:tr>
        <w:trPr>
          <w:trHeight w:val="148"/>
        </w:trPr>
        <w:tc>
          <w:tcPr>
            <w:tcW w:w="3480" w:type="dxa"/>
            <w:vAlign w:val="bottom"/>
            <w:gridSpan w:val="2"/>
            <w:shd w:val="clear" w:color="auto" w:fill="CCECFF"/>
          </w:tcPr>
          <w:p>
            <w:pPr>
              <w:spacing w:after="0" w:line="149" w:lineRule="exact"/>
              <w:rPr>
                <w:sz w:val="20"/>
                <w:szCs w:val="20"/>
                <w:color w:val="auto"/>
              </w:rPr>
            </w:pPr>
            <w:r>
              <w:rPr>
                <w:rFonts w:ascii="Arial" w:cs="Arial" w:eastAsia="Arial" w:hAnsi="Arial"/>
                <w:sz w:val="11"/>
                <w:szCs w:val="11"/>
                <w:color w:val="auto"/>
              </w:rPr>
              <w:t xml:space="preserve">Mission Critical Electronics, Inc. (Revolver) </w:t>
            </w:r>
            <w:r>
              <w:rPr>
                <w:rFonts w:ascii="Arial" w:cs="Arial" w:eastAsia="Arial" w:hAnsi="Arial"/>
                <w:sz w:val="17"/>
                <w:szCs w:val="17"/>
                <w:color w:val="auto"/>
                <w:vertAlign w:val="superscript"/>
              </w:rPr>
              <w:t>(7)</w:t>
            </w:r>
          </w:p>
        </w:tc>
        <w:tc>
          <w:tcPr>
            <w:tcW w:w="640" w:type="dxa"/>
            <w:vAlign w:val="bottom"/>
            <w:shd w:val="clear" w:color="auto" w:fill="CCECFF"/>
          </w:tcPr>
          <w:p>
            <w:pPr>
              <w:jc w:val="center"/>
              <w:spacing w:after="0"/>
              <w:rPr>
                <w:sz w:val="20"/>
                <w:szCs w:val="20"/>
                <w:color w:val="auto"/>
              </w:rPr>
            </w:pPr>
            <w:r>
              <w:rPr>
                <w:rFonts w:ascii="Arial" w:cs="Arial" w:eastAsia="Arial" w:hAnsi="Arial"/>
                <w:sz w:val="12"/>
                <w:szCs w:val="12"/>
                <w:color w:val="auto"/>
                <w:w w:val="89"/>
              </w:rPr>
              <w:t>09/28/2021</w:t>
            </w:r>
          </w:p>
        </w:tc>
        <w:tc>
          <w:tcPr>
            <w:tcW w:w="120" w:type="dxa"/>
            <w:vAlign w:val="bottom"/>
            <w:shd w:val="clear" w:color="auto" w:fill="CCECFF"/>
          </w:tcPr>
          <w:p>
            <w:pPr>
              <w:spacing w:after="0"/>
              <w:rPr>
                <w:sz w:val="12"/>
                <w:szCs w:val="12"/>
                <w:color w:val="auto"/>
              </w:rPr>
            </w:pPr>
          </w:p>
        </w:tc>
        <w:tc>
          <w:tcPr>
            <w:tcW w:w="2480" w:type="dxa"/>
            <w:vAlign w:val="bottom"/>
            <w:gridSpan w:val="2"/>
            <w:shd w:val="clear" w:color="auto" w:fill="CCECFF"/>
          </w:tcPr>
          <w:p>
            <w:pPr>
              <w:jc w:val="center"/>
              <w:ind w:right="160"/>
              <w:spacing w:after="0"/>
              <w:rPr>
                <w:sz w:val="20"/>
                <w:szCs w:val="20"/>
                <w:color w:val="auto"/>
              </w:rPr>
            </w:pPr>
            <w:r>
              <w:rPr>
                <w:rFonts w:ascii="Arial" w:cs="Arial" w:eastAsia="Arial" w:hAnsi="Arial"/>
                <w:sz w:val="12"/>
                <w:szCs w:val="12"/>
                <w:color w:val="auto"/>
                <w:w w:val="89"/>
              </w:rPr>
              <w:t>Capital Equipment</w:t>
            </w:r>
          </w:p>
        </w:tc>
        <w:tc>
          <w:tcPr>
            <w:tcW w:w="920" w:type="dxa"/>
            <w:vAlign w:val="bottom"/>
            <w:gridSpan w:val="2"/>
            <w:shd w:val="clear" w:color="auto" w:fill="CCECFF"/>
          </w:tcPr>
          <w:p>
            <w:pPr>
              <w:jc w:val="right"/>
              <w:ind w:right="160"/>
              <w:spacing w:after="0"/>
              <w:rPr>
                <w:sz w:val="20"/>
                <w:szCs w:val="20"/>
                <w:color w:val="auto"/>
              </w:rPr>
            </w:pPr>
            <w:r>
              <w:rPr>
                <w:rFonts w:ascii="Arial" w:cs="Arial" w:eastAsia="Arial" w:hAnsi="Arial"/>
                <w:sz w:val="12"/>
                <w:szCs w:val="12"/>
                <w:color w:val="auto"/>
              </w:rPr>
              <w:t>7.18%</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1M L+500</w:t>
            </w:r>
          </w:p>
        </w:tc>
        <w:tc>
          <w:tcPr>
            <w:tcW w:w="90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212,014</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212,014</w:t>
            </w:r>
          </w:p>
        </w:tc>
        <w:tc>
          <w:tcPr>
            <w:tcW w:w="96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212,014</w:t>
            </w:r>
          </w:p>
        </w:tc>
        <w:tc>
          <w:tcPr>
            <w:tcW w:w="120" w:type="dxa"/>
            <w:vAlign w:val="bottom"/>
            <w:shd w:val="clear" w:color="auto" w:fill="CCECFF"/>
          </w:tcPr>
          <w:p>
            <w:pPr>
              <w:spacing w:after="0"/>
              <w:rPr>
                <w:sz w:val="12"/>
                <w:szCs w:val="12"/>
                <w:color w:val="auto"/>
              </w:rPr>
            </w:pPr>
          </w:p>
        </w:tc>
      </w:tr>
      <w:tr>
        <w:trPr>
          <w:trHeight w:val="148"/>
        </w:trPr>
        <w:tc>
          <w:tcPr>
            <w:tcW w:w="3480" w:type="dxa"/>
            <w:vAlign w:val="bottom"/>
            <w:gridSpan w:val="2"/>
          </w:tcPr>
          <w:p>
            <w:pPr>
              <w:spacing w:after="0" w:line="149" w:lineRule="exact"/>
              <w:rPr>
                <w:sz w:val="20"/>
                <w:szCs w:val="20"/>
                <w:color w:val="auto"/>
              </w:rPr>
            </w:pPr>
            <w:r>
              <w:rPr>
                <w:rFonts w:ascii="Arial" w:cs="Arial" w:eastAsia="Arial" w:hAnsi="Arial"/>
                <w:sz w:val="11"/>
                <w:szCs w:val="11"/>
                <w:color w:val="auto"/>
              </w:rPr>
              <w:t xml:space="preserve">Mission Critical Electronics, Inc. (Revolver) </w:t>
            </w:r>
            <w:r>
              <w:rPr>
                <w:rFonts w:ascii="Arial" w:cs="Arial" w:eastAsia="Arial" w:hAnsi="Arial"/>
                <w:sz w:val="17"/>
                <w:szCs w:val="17"/>
                <w:color w:val="auto"/>
                <w:vertAlign w:val="superscript"/>
              </w:rPr>
              <w:t>(7), (9)</w:t>
            </w:r>
          </w:p>
        </w:tc>
        <w:tc>
          <w:tcPr>
            <w:tcW w:w="640" w:type="dxa"/>
            <w:vAlign w:val="bottom"/>
          </w:tcPr>
          <w:p>
            <w:pPr>
              <w:jc w:val="center"/>
              <w:spacing w:after="0"/>
              <w:rPr>
                <w:sz w:val="20"/>
                <w:szCs w:val="20"/>
                <w:color w:val="auto"/>
              </w:rPr>
            </w:pPr>
            <w:r>
              <w:rPr>
                <w:rFonts w:ascii="Arial" w:cs="Arial" w:eastAsia="Arial" w:hAnsi="Arial"/>
                <w:sz w:val="12"/>
                <w:szCs w:val="12"/>
                <w:color w:val="auto"/>
                <w:w w:val="89"/>
              </w:rPr>
              <w:t>09/28/2021</w:t>
            </w:r>
          </w:p>
        </w:tc>
        <w:tc>
          <w:tcPr>
            <w:tcW w:w="120" w:type="dxa"/>
            <w:vAlign w:val="bottom"/>
          </w:tcPr>
          <w:p>
            <w:pPr>
              <w:spacing w:after="0"/>
              <w:rPr>
                <w:sz w:val="12"/>
                <w:szCs w:val="12"/>
                <w:color w:val="auto"/>
              </w:rPr>
            </w:pPr>
          </w:p>
        </w:tc>
        <w:tc>
          <w:tcPr>
            <w:tcW w:w="2480" w:type="dxa"/>
            <w:vAlign w:val="bottom"/>
            <w:gridSpan w:val="2"/>
          </w:tcPr>
          <w:p>
            <w:pPr>
              <w:jc w:val="center"/>
              <w:ind w:right="160"/>
              <w:spacing w:after="0"/>
              <w:rPr>
                <w:sz w:val="20"/>
                <w:szCs w:val="20"/>
                <w:color w:val="auto"/>
              </w:rPr>
            </w:pPr>
            <w:r>
              <w:rPr>
                <w:rFonts w:ascii="Arial" w:cs="Arial" w:eastAsia="Arial" w:hAnsi="Arial"/>
                <w:sz w:val="12"/>
                <w:szCs w:val="12"/>
                <w:color w:val="auto"/>
                <w:w w:val="89"/>
              </w:rPr>
              <w:t>Capital Equipment</w:t>
            </w:r>
          </w:p>
        </w:tc>
        <w:tc>
          <w:tcPr>
            <w:tcW w:w="92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w:t>
            </w:r>
          </w:p>
        </w:tc>
        <w:tc>
          <w:tcPr>
            <w:tcW w:w="900" w:type="dxa"/>
            <w:vAlign w:val="bottom"/>
            <w:gridSpan w:val="2"/>
          </w:tcPr>
          <w:p>
            <w:pPr>
              <w:jc w:val="right"/>
              <w:spacing w:after="0"/>
              <w:rPr>
                <w:sz w:val="20"/>
                <w:szCs w:val="20"/>
                <w:color w:val="auto"/>
              </w:rPr>
            </w:pPr>
            <w:r>
              <w:rPr>
                <w:rFonts w:ascii="Arial" w:cs="Arial" w:eastAsia="Arial" w:hAnsi="Arial"/>
                <w:sz w:val="12"/>
                <w:szCs w:val="12"/>
                <w:color w:val="auto"/>
              </w:rPr>
              <w:t>1,113,074</w:t>
            </w:r>
          </w:p>
        </w:tc>
        <w:tc>
          <w:tcPr>
            <w:tcW w:w="22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2"/>
                <w:szCs w:val="12"/>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r>
      <w:tr>
        <w:trPr>
          <w:trHeight w:val="149"/>
        </w:trPr>
        <w:tc>
          <w:tcPr>
            <w:tcW w:w="3480" w:type="dxa"/>
            <w:vAlign w:val="bottom"/>
            <w:gridSpan w:val="2"/>
            <w:shd w:val="clear" w:color="auto" w:fill="CCECFF"/>
          </w:tcPr>
          <w:p>
            <w:pPr>
              <w:spacing w:after="0"/>
              <w:rPr>
                <w:sz w:val="20"/>
                <w:szCs w:val="20"/>
                <w:color w:val="auto"/>
              </w:rPr>
            </w:pPr>
            <w:r>
              <w:rPr>
                <w:rFonts w:ascii="Arial" w:cs="Arial" w:eastAsia="Arial" w:hAnsi="Arial"/>
                <w:sz w:val="12"/>
                <w:szCs w:val="12"/>
                <w:color w:val="auto"/>
              </w:rPr>
              <w:t>Montreign Operating Company, LLC</w:t>
            </w:r>
          </w:p>
        </w:tc>
        <w:tc>
          <w:tcPr>
            <w:tcW w:w="640" w:type="dxa"/>
            <w:vAlign w:val="bottom"/>
            <w:shd w:val="clear" w:color="auto" w:fill="CCECFF"/>
          </w:tcPr>
          <w:p>
            <w:pPr>
              <w:jc w:val="center"/>
              <w:spacing w:after="0"/>
              <w:rPr>
                <w:sz w:val="20"/>
                <w:szCs w:val="20"/>
                <w:color w:val="auto"/>
              </w:rPr>
            </w:pPr>
            <w:r>
              <w:rPr>
                <w:rFonts w:ascii="Arial" w:cs="Arial" w:eastAsia="Arial" w:hAnsi="Arial"/>
                <w:sz w:val="12"/>
                <w:szCs w:val="12"/>
                <w:color w:val="auto"/>
                <w:w w:val="89"/>
              </w:rPr>
              <w:t>01/24/2023</w:t>
            </w:r>
          </w:p>
        </w:tc>
        <w:tc>
          <w:tcPr>
            <w:tcW w:w="120" w:type="dxa"/>
            <w:vAlign w:val="bottom"/>
            <w:shd w:val="clear" w:color="auto" w:fill="CCECFF"/>
          </w:tcPr>
          <w:p>
            <w:pPr>
              <w:spacing w:after="0"/>
              <w:rPr>
                <w:sz w:val="12"/>
                <w:szCs w:val="12"/>
                <w:color w:val="auto"/>
              </w:rPr>
            </w:pPr>
          </w:p>
        </w:tc>
        <w:tc>
          <w:tcPr>
            <w:tcW w:w="248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88"/>
              </w:rPr>
              <w:t>Hotel, Gaming and Leisure</w:t>
            </w:r>
          </w:p>
        </w:tc>
        <w:tc>
          <w:tcPr>
            <w:tcW w:w="920" w:type="dxa"/>
            <w:vAlign w:val="bottom"/>
            <w:gridSpan w:val="2"/>
            <w:shd w:val="clear" w:color="auto" w:fill="CCECFF"/>
          </w:tcPr>
          <w:p>
            <w:pPr>
              <w:jc w:val="right"/>
              <w:ind w:right="160"/>
              <w:spacing w:after="0"/>
              <w:rPr>
                <w:sz w:val="20"/>
                <w:szCs w:val="20"/>
                <w:color w:val="auto"/>
              </w:rPr>
            </w:pPr>
            <w:r>
              <w:rPr>
                <w:rFonts w:ascii="Arial" w:cs="Arial" w:eastAsia="Arial" w:hAnsi="Arial"/>
                <w:sz w:val="12"/>
                <w:szCs w:val="12"/>
                <w:color w:val="auto"/>
              </w:rPr>
              <w:t>10.37%</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3M L+825</w:t>
            </w:r>
          </w:p>
        </w:tc>
        <w:tc>
          <w:tcPr>
            <w:tcW w:w="90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27,189,858</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27,394,375</w:t>
            </w:r>
          </w:p>
        </w:tc>
        <w:tc>
          <w:tcPr>
            <w:tcW w:w="96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24,344,712</w:t>
            </w:r>
          </w:p>
        </w:tc>
        <w:tc>
          <w:tcPr>
            <w:tcW w:w="120" w:type="dxa"/>
            <w:vAlign w:val="bottom"/>
            <w:shd w:val="clear" w:color="auto" w:fill="CCECFF"/>
          </w:tcPr>
          <w:p>
            <w:pPr>
              <w:spacing w:after="0"/>
              <w:rPr>
                <w:sz w:val="12"/>
                <w:szCs w:val="12"/>
                <w:color w:val="auto"/>
              </w:rPr>
            </w:pPr>
          </w:p>
        </w:tc>
      </w:tr>
      <w:tr>
        <w:trPr>
          <w:trHeight w:val="148"/>
        </w:trPr>
        <w:tc>
          <w:tcPr>
            <w:tcW w:w="3480" w:type="dxa"/>
            <w:vAlign w:val="bottom"/>
            <w:gridSpan w:val="2"/>
          </w:tcPr>
          <w:p>
            <w:pPr>
              <w:spacing w:after="0" w:line="149" w:lineRule="exact"/>
              <w:rPr>
                <w:sz w:val="20"/>
                <w:szCs w:val="20"/>
                <w:color w:val="auto"/>
              </w:rPr>
            </w:pPr>
            <w:r>
              <w:rPr>
                <w:rFonts w:ascii="Arial" w:cs="Arial" w:eastAsia="Arial" w:hAnsi="Arial"/>
                <w:sz w:val="11"/>
                <w:szCs w:val="11"/>
                <w:color w:val="auto"/>
              </w:rPr>
              <w:t xml:space="preserve">Nuvei Technologies Corp. </w:t>
            </w:r>
            <w:r>
              <w:rPr>
                <w:rFonts w:ascii="Arial" w:cs="Arial" w:eastAsia="Arial" w:hAnsi="Arial"/>
                <w:sz w:val="17"/>
                <w:szCs w:val="17"/>
                <w:color w:val="auto"/>
                <w:vertAlign w:val="superscript"/>
              </w:rPr>
              <w:t>(5), (10)</w:t>
            </w:r>
          </w:p>
        </w:tc>
        <w:tc>
          <w:tcPr>
            <w:tcW w:w="640" w:type="dxa"/>
            <w:vAlign w:val="bottom"/>
          </w:tcPr>
          <w:p>
            <w:pPr>
              <w:jc w:val="center"/>
              <w:spacing w:after="0"/>
              <w:rPr>
                <w:sz w:val="20"/>
                <w:szCs w:val="20"/>
                <w:color w:val="auto"/>
              </w:rPr>
            </w:pPr>
            <w:r>
              <w:rPr>
                <w:rFonts w:ascii="Arial" w:cs="Arial" w:eastAsia="Arial" w:hAnsi="Arial"/>
                <w:sz w:val="12"/>
                <w:szCs w:val="12"/>
                <w:color w:val="auto"/>
                <w:w w:val="89"/>
              </w:rPr>
              <w:t>09/28/2025</w:t>
            </w:r>
          </w:p>
        </w:tc>
        <w:tc>
          <w:tcPr>
            <w:tcW w:w="120" w:type="dxa"/>
            <w:vAlign w:val="bottom"/>
          </w:tcPr>
          <w:p>
            <w:pPr>
              <w:spacing w:after="0"/>
              <w:rPr>
                <w:sz w:val="12"/>
                <w:szCs w:val="12"/>
                <w:color w:val="auto"/>
              </w:rPr>
            </w:pPr>
          </w:p>
        </w:tc>
        <w:tc>
          <w:tcPr>
            <w:tcW w:w="2480" w:type="dxa"/>
            <w:vAlign w:val="bottom"/>
            <w:gridSpan w:val="2"/>
          </w:tcPr>
          <w:p>
            <w:pPr>
              <w:jc w:val="center"/>
              <w:ind w:right="140"/>
              <w:spacing w:after="0"/>
              <w:rPr>
                <w:sz w:val="20"/>
                <w:szCs w:val="20"/>
                <w:color w:val="auto"/>
              </w:rPr>
            </w:pPr>
            <w:r>
              <w:rPr>
                <w:rFonts w:ascii="Arial" w:cs="Arial" w:eastAsia="Arial" w:hAnsi="Arial"/>
                <w:sz w:val="12"/>
                <w:szCs w:val="12"/>
                <w:color w:val="auto"/>
                <w:w w:val="90"/>
              </w:rPr>
              <w:t>Diversified Financial Services</w:t>
            </w:r>
          </w:p>
        </w:tc>
        <w:tc>
          <w:tcPr>
            <w:tcW w:w="920" w:type="dxa"/>
            <w:vAlign w:val="bottom"/>
            <w:gridSpan w:val="2"/>
          </w:tcPr>
          <w:p>
            <w:pPr>
              <w:jc w:val="right"/>
              <w:ind w:right="160"/>
              <w:spacing w:after="0"/>
              <w:rPr>
                <w:sz w:val="20"/>
                <w:szCs w:val="20"/>
                <w:color w:val="auto"/>
              </w:rPr>
            </w:pPr>
            <w:r>
              <w:rPr>
                <w:rFonts w:ascii="Arial" w:cs="Arial" w:eastAsia="Arial" w:hAnsi="Arial"/>
                <w:sz w:val="12"/>
                <w:szCs w:val="12"/>
                <w:color w:val="auto"/>
              </w:rPr>
              <w:t>8.43%</w:t>
            </w:r>
          </w:p>
        </w:tc>
        <w:tc>
          <w:tcPr>
            <w:tcW w:w="680" w:type="dxa"/>
            <w:vAlign w:val="bottom"/>
          </w:tcPr>
          <w:p>
            <w:pPr>
              <w:jc w:val="right"/>
              <w:spacing w:after="0"/>
              <w:rPr>
                <w:sz w:val="20"/>
                <w:szCs w:val="20"/>
                <w:color w:val="auto"/>
              </w:rPr>
            </w:pPr>
            <w:r>
              <w:rPr>
                <w:rFonts w:ascii="Arial" w:cs="Arial" w:eastAsia="Arial" w:hAnsi="Arial"/>
                <w:sz w:val="12"/>
                <w:szCs w:val="12"/>
                <w:color w:val="auto"/>
              </w:rPr>
              <w:t>P+400</w:t>
            </w:r>
          </w:p>
        </w:tc>
        <w:tc>
          <w:tcPr>
            <w:tcW w:w="900" w:type="dxa"/>
            <w:vAlign w:val="bottom"/>
            <w:gridSpan w:val="2"/>
          </w:tcPr>
          <w:p>
            <w:pPr>
              <w:jc w:val="right"/>
              <w:spacing w:after="0"/>
              <w:rPr>
                <w:sz w:val="20"/>
                <w:szCs w:val="20"/>
                <w:color w:val="auto"/>
              </w:rPr>
            </w:pPr>
            <w:r>
              <w:rPr>
                <w:rFonts w:ascii="Arial" w:cs="Arial" w:eastAsia="Arial" w:hAnsi="Arial"/>
                <w:sz w:val="12"/>
                <w:szCs w:val="12"/>
                <w:color w:val="auto"/>
              </w:rPr>
              <w:t>19,949,780</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19,652,494</w:t>
            </w:r>
          </w:p>
        </w:tc>
        <w:tc>
          <w:tcPr>
            <w:tcW w:w="960" w:type="dxa"/>
            <w:vAlign w:val="bottom"/>
            <w:gridSpan w:val="2"/>
          </w:tcPr>
          <w:p>
            <w:pPr>
              <w:jc w:val="right"/>
              <w:spacing w:after="0"/>
              <w:rPr>
                <w:sz w:val="20"/>
                <w:szCs w:val="20"/>
                <w:color w:val="auto"/>
              </w:rPr>
            </w:pPr>
            <w:r>
              <w:rPr>
                <w:rFonts w:ascii="Arial" w:cs="Arial" w:eastAsia="Arial" w:hAnsi="Arial"/>
                <w:sz w:val="12"/>
                <w:szCs w:val="12"/>
                <w:color w:val="auto"/>
              </w:rPr>
              <w:t>19,650,534</w:t>
            </w:r>
          </w:p>
        </w:tc>
        <w:tc>
          <w:tcPr>
            <w:tcW w:w="120" w:type="dxa"/>
            <w:vAlign w:val="bottom"/>
          </w:tcPr>
          <w:p>
            <w:pPr>
              <w:spacing w:after="0"/>
              <w:rPr>
                <w:sz w:val="12"/>
                <w:szCs w:val="12"/>
                <w:color w:val="auto"/>
              </w:rPr>
            </w:pPr>
          </w:p>
        </w:tc>
      </w:tr>
      <w:tr>
        <w:trPr>
          <w:trHeight w:val="148"/>
        </w:trPr>
        <w:tc>
          <w:tcPr>
            <w:tcW w:w="3480" w:type="dxa"/>
            <w:vAlign w:val="bottom"/>
            <w:gridSpan w:val="2"/>
            <w:shd w:val="clear" w:color="auto" w:fill="CCECFF"/>
          </w:tcPr>
          <w:p>
            <w:pPr>
              <w:spacing w:after="0"/>
              <w:rPr>
                <w:sz w:val="20"/>
                <w:szCs w:val="20"/>
                <w:color w:val="auto"/>
              </w:rPr>
            </w:pPr>
            <w:r>
              <w:rPr>
                <w:rFonts w:ascii="Arial" w:cs="Arial" w:eastAsia="Arial" w:hAnsi="Arial"/>
                <w:sz w:val="12"/>
                <w:szCs w:val="12"/>
                <w:color w:val="auto"/>
              </w:rPr>
              <w:t>Olde Thompson, LLC</w:t>
            </w:r>
          </w:p>
        </w:tc>
        <w:tc>
          <w:tcPr>
            <w:tcW w:w="640" w:type="dxa"/>
            <w:vAlign w:val="bottom"/>
            <w:shd w:val="clear" w:color="auto" w:fill="CCECFF"/>
          </w:tcPr>
          <w:p>
            <w:pPr>
              <w:jc w:val="center"/>
              <w:spacing w:after="0"/>
              <w:rPr>
                <w:sz w:val="20"/>
                <w:szCs w:val="20"/>
                <w:color w:val="auto"/>
              </w:rPr>
            </w:pPr>
            <w:r>
              <w:rPr>
                <w:rFonts w:ascii="Arial" w:cs="Arial" w:eastAsia="Arial" w:hAnsi="Arial"/>
                <w:sz w:val="12"/>
                <w:szCs w:val="12"/>
                <w:color w:val="auto"/>
                <w:w w:val="89"/>
              </w:rPr>
              <w:t>05/14/2024</w:t>
            </w:r>
          </w:p>
        </w:tc>
        <w:tc>
          <w:tcPr>
            <w:tcW w:w="120" w:type="dxa"/>
            <w:vAlign w:val="bottom"/>
            <w:shd w:val="clear" w:color="auto" w:fill="CCECFF"/>
          </w:tcPr>
          <w:p>
            <w:pPr>
              <w:spacing w:after="0"/>
              <w:rPr>
                <w:sz w:val="12"/>
                <w:szCs w:val="12"/>
                <w:color w:val="auto"/>
              </w:rPr>
            </w:pPr>
          </w:p>
        </w:tc>
        <w:tc>
          <w:tcPr>
            <w:tcW w:w="2480" w:type="dxa"/>
            <w:vAlign w:val="bottom"/>
            <w:gridSpan w:val="2"/>
            <w:shd w:val="clear" w:color="auto" w:fill="CCECFF"/>
          </w:tcPr>
          <w:p>
            <w:pPr>
              <w:jc w:val="center"/>
              <w:ind w:right="160"/>
              <w:spacing w:after="0"/>
              <w:rPr>
                <w:sz w:val="20"/>
                <w:szCs w:val="20"/>
                <w:color w:val="auto"/>
              </w:rPr>
            </w:pPr>
            <w:r>
              <w:rPr>
                <w:rFonts w:ascii="Arial" w:cs="Arial" w:eastAsia="Arial" w:hAnsi="Arial"/>
                <w:sz w:val="12"/>
                <w:szCs w:val="12"/>
                <w:color w:val="auto"/>
                <w:w w:val="85"/>
              </w:rPr>
              <w:t>Beverage, Food and Tobacco</w:t>
            </w:r>
          </w:p>
        </w:tc>
        <w:tc>
          <w:tcPr>
            <w:tcW w:w="920" w:type="dxa"/>
            <w:vAlign w:val="bottom"/>
            <w:gridSpan w:val="2"/>
            <w:shd w:val="clear" w:color="auto" w:fill="CCECFF"/>
          </w:tcPr>
          <w:p>
            <w:pPr>
              <w:jc w:val="right"/>
              <w:ind w:right="160"/>
              <w:spacing w:after="0"/>
              <w:rPr>
                <w:sz w:val="20"/>
                <w:szCs w:val="20"/>
                <w:color w:val="auto"/>
              </w:rPr>
            </w:pPr>
            <w:r>
              <w:rPr>
                <w:rFonts w:ascii="Arial" w:cs="Arial" w:eastAsia="Arial" w:hAnsi="Arial"/>
                <w:sz w:val="12"/>
                <w:szCs w:val="12"/>
                <w:color w:val="auto"/>
              </w:rPr>
              <w:t>6.54%</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1M L+450</w:t>
            </w:r>
          </w:p>
        </w:tc>
        <w:tc>
          <w:tcPr>
            <w:tcW w:w="90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1,575,476</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1,559,721</w:t>
            </w:r>
          </w:p>
        </w:tc>
        <w:tc>
          <w:tcPr>
            <w:tcW w:w="96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1,575,476</w:t>
            </w:r>
          </w:p>
        </w:tc>
        <w:tc>
          <w:tcPr>
            <w:tcW w:w="120" w:type="dxa"/>
            <w:vAlign w:val="bottom"/>
            <w:shd w:val="clear" w:color="auto" w:fill="CCECFF"/>
          </w:tcPr>
          <w:p>
            <w:pPr>
              <w:spacing w:after="0"/>
              <w:rPr>
                <w:sz w:val="12"/>
                <w:szCs w:val="12"/>
                <w:color w:val="auto"/>
              </w:rPr>
            </w:pPr>
          </w:p>
        </w:tc>
      </w:tr>
      <w:tr>
        <w:trPr>
          <w:trHeight w:val="148"/>
        </w:trPr>
        <w:tc>
          <w:tcPr>
            <w:tcW w:w="3480" w:type="dxa"/>
            <w:vAlign w:val="bottom"/>
            <w:gridSpan w:val="2"/>
          </w:tcPr>
          <w:p>
            <w:pPr>
              <w:spacing w:after="0" w:line="149" w:lineRule="exact"/>
              <w:rPr>
                <w:sz w:val="20"/>
                <w:szCs w:val="20"/>
                <w:color w:val="auto"/>
              </w:rPr>
            </w:pPr>
            <w:r>
              <w:rPr>
                <w:rFonts w:ascii="Arial" w:cs="Arial" w:eastAsia="Arial" w:hAnsi="Arial"/>
                <w:sz w:val="11"/>
                <w:szCs w:val="11"/>
                <w:color w:val="auto"/>
              </w:rPr>
              <w:t xml:space="preserve">Olde Thompson, LLC - Revolver </w:t>
            </w:r>
            <w:r>
              <w:rPr>
                <w:rFonts w:ascii="Arial" w:cs="Arial" w:eastAsia="Arial" w:hAnsi="Arial"/>
                <w:sz w:val="17"/>
                <w:szCs w:val="17"/>
                <w:color w:val="auto"/>
                <w:vertAlign w:val="superscript"/>
              </w:rPr>
              <w:t>(7), (9)</w:t>
            </w:r>
          </w:p>
        </w:tc>
        <w:tc>
          <w:tcPr>
            <w:tcW w:w="640" w:type="dxa"/>
            <w:vAlign w:val="bottom"/>
          </w:tcPr>
          <w:p>
            <w:pPr>
              <w:jc w:val="center"/>
              <w:spacing w:after="0"/>
              <w:rPr>
                <w:sz w:val="20"/>
                <w:szCs w:val="20"/>
                <w:color w:val="auto"/>
              </w:rPr>
            </w:pPr>
            <w:r>
              <w:rPr>
                <w:rFonts w:ascii="Arial" w:cs="Arial" w:eastAsia="Arial" w:hAnsi="Arial"/>
                <w:sz w:val="12"/>
                <w:szCs w:val="12"/>
                <w:color w:val="auto"/>
                <w:w w:val="89"/>
              </w:rPr>
              <w:t>05/14/2024</w:t>
            </w:r>
          </w:p>
        </w:tc>
        <w:tc>
          <w:tcPr>
            <w:tcW w:w="120" w:type="dxa"/>
            <w:vAlign w:val="bottom"/>
          </w:tcPr>
          <w:p>
            <w:pPr>
              <w:spacing w:after="0"/>
              <w:rPr>
                <w:sz w:val="12"/>
                <w:szCs w:val="12"/>
                <w:color w:val="auto"/>
              </w:rPr>
            </w:pPr>
          </w:p>
        </w:tc>
        <w:tc>
          <w:tcPr>
            <w:tcW w:w="2480" w:type="dxa"/>
            <w:vAlign w:val="bottom"/>
            <w:gridSpan w:val="2"/>
          </w:tcPr>
          <w:p>
            <w:pPr>
              <w:jc w:val="center"/>
              <w:ind w:right="160"/>
              <w:spacing w:after="0"/>
              <w:rPr>
                <w:sz w:val="20"/>
                <w:szCs w:val="20"/>
                <w:color w:val="auto"/>
              </w:rPr>
            </w:pPr>
            <w:r>
              <w:rPr>
                <w:rFonts w:ascii="Arial" w:cs="Arial" w:eastAsia="Arial" w:hAnsi="Arial"/>
                <w:sz w:val="12"/>
                <w:szCs w:val="12"/>
                <w:color w:val="auto"/>
                <w:w w:val="85"/>
              </w:rPr>
              <w:t>Beverage, Food and Tobacco</w:t>
            </w:r>
          </w:p>
        </w:tc>
        <w:tc>
          <w:tcPr>
            <w:tcW w:w="92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w:t>
            </w:r>
          </w:p>
        </w:tc>
        <w:tc>
          <w:tcPr>
            <w:tcW w:w="900" w:type="dxa"/>
            <w:vAlign w:val="bottom"/>
            <w:gridSpan w:val="2"/>
          </w:tcPr>
          <w:p>
            <w:pPr>
              <w:jc w:val="right"/>
              <w:spacing w:after="0"/>
              <w:rPr>
                <w:sz w:val="20"/>
                <w:szCs w:val="20"/>
                <w:color w:val="auto"/>
              </w:rPr>
            </w:pPr>
            <w:r>
              <w:rPr>
                <w:rFonts w:ascii="Arial" w:cs="Arial" w:eastAsia="Arial" w:hAnsi="Arial"/>
                <w:sz w:val="12"/>
                <w:szCs w:val="12"/>
                <w:color w:val="auto"/>
              </w:rPr>
              <w:t>2,642,857</w:t>
            </w:r>
          </w:p>
        </w:tc>
        <w:tc>
          <w:tcPr>
            <w:tcW w:w="22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2"/>
                <w:szCs w:val="12"/>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r>
      <w:tr>
        <w:trPr>
          <w:trHeight w:val="148"/>
        </w:trPr>
        <w:tc>
          <w:tcPr>
            <w:tcW w:w="3480" w:type="dxa"/>
            <w:vAlign w:val="bottom"/>
            <w:gridSpan w:val="2"/>
            <w:shd w:val="clear" w:color="auto" w:fill="CCECFF"/>
          </w:tcPr>
          <w:p>
            <w:pPr>
              <w:spacing w:after="0"/>
              <w:rPr>
                <w:sz w:val="20"/>
                <w:szCs w:val="20"/>
                <w:color w:val="auto"/>
              </w:rPr>
            </w:pPr>
            <w:r>
              <w:rPr>
                <w:rFonts w:ascii="Arial" w:cs="Arial" w:eastAsia="Arial" w:hAnsi="Arial"/>
                <w:sz w:val="12"/>
                <w:szCs w:val="12"/>
                <w:color w:val="auto"/>
              </w:rPr>
              <w:t>Output Services Group, Inc.</w:t>
            </w:r>
          </w:p>
        </w:tc>
        <w:tc>
          <w:tcPr>
            <w:tcW w:w="640" w:type="dxa"/>
            <w:vAlign w:val="bottom"/>
            <w:shd w:val="clear" w:color="auto" w:fill="CCECFF"/>
          </w:tcPr>
          <w:p>
            <w:pPr>
              <w:jc w:val="center"/>
              <w:spacing w:after="0"/>
              <w:rPr>
                <w:sz w:val="20"/>
                <w:szCs w:val="20"/>
                <w:color w:val="auto"/>
              </w:rPr>
            </w:pPr>
            <w:r>
              <w:rPr>
                <w:rFonts w:ascii="Arial" w:cs="Arial" w:eastAsia="Arial" w:hAnsi="Arial"/>
                <w:sz w:val="12"/>
                <w:szCs w:val="12"/>
                <w:color w:val="auto"/>
                <w:w w:val="89"/>
              </w:rPr>
              <w:t>03/27/2024</w:t>
            </w:r>
          </w:p>
        </w:tc>
        <w:tc>
          <w:tcPr>
            <w:tcW w:w="120" w:type="dxa"/>
            <w:vAlign w:val="bottom"/>
            <w:shd w:val="clear" w:color="auto" w:fill="CCECFF"/>
          </w:tcPr>
          <w:p>
            <w:pPr>
              <w:spacing w:after="0"/>
              <w:rPr>
                <w:sz w:val="12"/>
                <w:szCs w:val="12"/>
                <w:color w:val="auto"/>
              </w:rPr>
            </w:pPr>
          </w:p>
        </w:tc>
        <w:tc>
          <w:tcPr>
            <w:tcW w:w="2480" w:type="dxa"/>
            <w:vAlign w:val="bottom"/>
            <w:gridSpan w:val="2"/>
            <w:shd w:val="clear" w:color="auto" w:fill="CCECFF"/>
          </w:tcPr>
          <w:p>
            <w:pPr>
              <w:jc w:val="center"/>
              <w:ind w:right="160"/>
              <w:spacing w:after="0"/>
              <w:rPr>
                <w:sz w:val="20"/>
                <w:szCs w:val="20"/>
                <w:color w:val="auto"/>
              </w:rPr>
            </w:pPr>
            <w:r>
              <w:rPr>
                <w:rFonts w:ascii="Arial" w:cs="Arial" w:eastAsia="Arial" w:hAnsi="Arial"/>
                <w:sz w:val="12"/>
                <w:szCs w:val="12"/>
                <w:color w:val="auto"/>
                <w:w w:val="85"/>
              </w:rPr>
              <w:t>Business Services</w:t>
            </w:r>
          </w:p>
        </w:tc>
        <w:tc>
          <w:tcPr>
            <w:tcW w:w="920" w:type="dxa"/>
            <w:vAlign w:val="bottom"/>
            <w:gridSpan w:val="2"/>
            <w:shd w:val="clear" w:color="auto" w:fill="CCECFF"/>
          </w:tcPr>
          <w:p>
            <w:pPr>
              <w:jc w:val="right"/>
              <w:ind w:right="160"/>
              <w:spacing w:after="0"/>
              <w:rPr>
                <w:sz w:val="20"/>
                <w:szCs w:val="20"/>
                <w:color w:val="auto"/>
              </w:rPr>
            </w:pPr>
            <w:r>
              <w:rPr>
                <w:rFonts w:ascii="Arial" w:cs="Arial" w:eastAsia="Arial" w:hAnsi="Arial"/>
                <w:sz w:val="12"/>
                <w:szCs w:val="12"/>
                <w:color w:val="auto"/>
              </w:rPr>
              <w:t>6.54%</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1M L+450</w:t>
            </w:r>
          </w:p>
        </w:tc>
        <w:tc>
          <w:tcPr>
            <w:tcW w:w="90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2,962,422</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2,684,289</w:t>
            </w:r>
          </w:p>
        </w:tc>
        <w:tc>
          <w:tcPr>
            <w:tcW w:w="96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2,547,683</w:t>
            </w:r>
          </w:p>
        </w:tc>
        <w:tc>
          <w:tcPr>
            <w:tcW w:w="120" w:type="dxa"/>
            <w:vAlign w:val="bottom"/>
            <w:shd w:val="clear" w:color="auto" w:fill="CCECFF"/>
          </w:tcPr>
          <w:p>
            <w:pPr>
              <w:spacing w:after="0"/>
              <w:rPr>
                <w:sz w:val="12"/>
                <w:szCs w:val="12"/>
                <w:color w:val="auto"/>
              </w:rPr>
            </w:pPr>
          </w:p>
        </w:tc>
      </w:tr>
      <w:tr>
        <w:trPr>
          <w:trHeight w:val="148"/>
        </w:trPr>
        <w:tc>
          <w:tcPr>
            <w:tcW w:w="3480" w:type="dxa"/>
            <w:vAlign w:val="bottom"/>
            <w:gridSpan w:val="2"/>
          </w:tcPr>
          <w:p>
            <w:pPr>
              <w:spacing w:after="0"/>
              <w:rPr>
                <w:sz w:val="20"/>
                <w:szCs w:val="20"/>
                <w:color w:val="auto"/>
              </w:rPr>
            </w:pPr>
            <w:r>
              <w:rPr>
                <w:rFonts w:ascii="Arial" w:cs="Arial" w:eastAsia="Arial" w:hAnsi="Arial"/>
                <w:sz w:val="12"/>
                <w:szCs w:val="12"/>
                <w:color w:val="auto"/>
              </w:rPr>
              <w:t>Ox Two, LLC</w:t>
            </w:r>
          </w:p>
        </w:tc>
        <w:tc>
          <w:tcPr>
            <w:tcW w:w="640" w:type="dxa"/>
            <w:vAlign w:val="bottom"/>
          </w:tcPr>
          <w:p>
            <w:pPr>
              <w:jc w:val="center"/>
              <w:spacing w:after="0"/>
              <w:rPr>
                <w:sz w:val="20"/>
                <w:szCs w:val="20"/>
                <w:color w:val="auto"/>
              </w:rPr>
            </w:pPr>
            <w:r>
              <w:rPr>
                <w:rFonts w:ascii="Arial" w:cs="Arial" w:eastAsia="Arial" w:hAnsi="Arial"/>
                <w:sz w:val="12"/>
                <w:szCs w:val="12"/>
                <w:color w:val="auto"/>
                <w:w w:val="89"/>
              </w:rPr>
              <w:t>02/27/2023</w:t>
            </w:r>
          </w:p>
        </w:tc>
        <w:tc>
          <w:tcPr>
            <w:tcW w:w="120" w:type="dxa"/>
            <w:vAlign w:val="bottom"/>
          </w:tcPr>
          <w:p>
            <w:pPr>
              <w:spacing w:after="0"/>
              <w:rPr>
                <w:sz w:val="12"/>
                <w:szCs w:val="12"/>
                <w:color w:val="auto"/>
              </w:rPr>
            </w:pPr>
          </w:p>
        </w:tc>
        <w:tc>
          <w:tcPr>
            <w:tcW w:w="2480" w:type="dxa"/>
            <w:vAlign w:val="bottom"/>
            <w:gridSpan w:val="2"/>
          </w:tcPr>
          <w:p>
            <w:pPr>
              <w:jc w:val="center"/>
              <w:ind w:right="160"/>
              <w:spacing w:after="0"/>
              <w:rPr>
                <w:sz w:val="20"/>
                <w:szCs w:val="20"/>
                <w:color w:val="auto"/>
              </w:rPr>
            </w:pPr>
            <w:r>
              <w:rPr>
                <w:rFonts w:ascii="Arial" w:cs="Arial" w:eastAsia="Arial" w:hAnsi="Arial"/>
                <w:sz w:val="12"/>
                <w:szCs w:val="12"/>
                <w:color w:val="auto"/>
                <w:w w:val="90"/>
              </w:rPr>
              <w:t>Construction and Building</w:t>
            </w:r>
          </w:p>
        </w:tc>
        <w:tc>
          <w:tcPr>
            <w:tcW w:w="920" w:type="dxa"/>
            <w:vAlign w:val="bottom"/>
            <w:gridSpan w:val="2"/>
          </w:tcPr>
          <w:p>
            <w:pPr>
              <w:jc w:val="right"/>
              <w:ind w:right="160"/>
              <w:spacing w:after="0"/>
              <w:rPr>
                <w:sz w:val="20"/>
                <w:szCs w:val="20"/>
                <w:color w:val="auto"/>
              </w:rPr>
            </w:pPr>
            <w:r>
              <w:rPr>
                <w:rFonts w:ascii="Arial" w:cs="Arial" w:eastAsia="Arial" w:hAnsi="Arial"/>
                <w:sz w:val="12"/>
                <w:szCs w:val="12"/>
                <w:color w:val="auto"/>
              </w:rPr>
              <w:t>8.29%</w:t>
            </w:r>
          </w:p>
        </w:tc>
        <w:tc>
          <w:tcPr>
            <w:tcW w:w="680" w:type="dxa"/>
            <w:vAlign w:val="bottom"/>
          </w:tcPr>
          <w:p>
            <w:pPr>
              <w:jc w:val="right"/>
              <w:spacing w:after="0"/>
              <w:rPr>
                <w:sz w:val="20"/>
                <w:szCs w:val="20"/>
                <w:color w:val="auto"/>
              </w:rPr>
            </w:pPr>
            <w:r>
              <w:rPr>
                <w:rFonts w:ascii="Arial" w:cs="Arial" w:eastAsia="Arial" w:hAnsi="Arial"/>
                <w:sz w:val="12"/>
                <w:szCs w:val="12"/>
                <w:color w:val="auto"/>
              </w:rPr>
              <w:t>1M L+625</w:t>
            </w:r>
          </w:p>
        </w:tc>
        <w:tc>
          <w:tcPr>
            <w:tcW w:w="900" w:type="dxa"/>
            <w:vAlign w:val="bottom"/>
            <w:gridSpan w:val="2"/>
          </w:tcPr>
          <w:p>
            <w:pPr>
              <w:jc w:val="right"/>
              <w:spacing w:after="0"/>
              <w:rPr>
                <w:sz w:val="20"/>
                <w:szCs w:val="20"/>
                <w:color w:val="auto"/>
              </w:rPr>
            </w:pPr>
            <w:r>
              <w:rPr>
                <w:rFonts w:ascii="Arial" w:cs="Arial" w:eastAsia="Arial" w:hAnsi="Arial"/>
                <w:sz w:val="12"/>
                <w:szCs w:val="12"/>
                <w:color w:val="auto"/>
              </w:rPr>
              <w:t>12,780,524</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12,708,453</w:t>
            </w:r>
          </w:p>
        </w:tc>
        <w:tc>
          <w:tcPr>
            <w:tcW w:w="960" w:type="dxa"/>
            <w:vAlign w:val="bottom"/>
            <w:gridSpan w:val="2"/>
          </w:tcPr>
          <w:p>
            <w:pPr>
              <w:jc w:val="right"/>
              <w:spacing w:after="0"/>
              <w:rPr>
                <w:sz w:val="20"/>
                <w:szCs w:val="20"/>
                <w:color w:val="auto"/>
              </w:rPr>
            </w:pPr>
            <w:r>
              <w:rPr>
                <w:rFonts w:ascii="Arial" w:cs="Arial" w:eastAsia="Arial" w:hAnsi="Arial"/>
                <w:sz w:val="12"/>
                <w:szCs w:val="12"/>
                <w:color w:val="auto"/>
              </w:rPr>
              <w:t>12,780,524</w:t>
            </w:r>
          </w:p>
        </w:tc>
        <w:tc>
          <w:tcPr>
            <w:tcW w:w="120" w:type="dxa"/>
            <w:vAlign w:val="bottom"/>
          </w:tcPr>
          <w:p>
            <w:pPr>
              <w:spacing w:after="0"/>
              <w:rPr>
                <w:sz w:val="12"/>
                <w:szCs w:val="12"/>
                <w:color w:val="auto"/>
              </w:rPr>
            </w:pPr>
          </w:p>
        </w:tc>
      </w:tr>
      <w:tr>
        <w:trPr>
          <w:trHeight w:val="149"/>
        </w:trPr>
        <w:tc>
          <w:tcPr>
            <w:tcW w:w="3480" w:type="dxa"/>
            <w:vAlign w:val="bottom"/>
            <w:gridSpan w:val="2"/>
            <w:shd w:val="clear" w:color="auto" w:fill="CCECFF"/>
          </w:tcPr>
          <w:p>
            <w:pPr>
              <w:spacing w:after="0" w:line="149" w:lineRule="exact"/>
              <w:rPr>
                <w:sz w:val="20"/>
                <w:szCs w:val="20"/>
                <w:color w:val="auto"/>
              </w:rPr>
            </w:pPr>
            <w:r>
              <w:rPr>
                <w:rFonts w:ascii="Arial" w:cs="Arial" w:eastAsia="Arial" w:hAnsi="Arial"/>
                <w:sz w:val="11"/>
                <w:szCs w:val="11"/>
                <w:color w:val="auto"/>
              </w:rPr>
              <w:t xml:space="preserve">Ox Two, LLC (Revolver) </w:t>
            </w:r>
            <w:r>
              <w:rPr>
                <w:rFonts w:ascii="Arial" w:cs="Arial" w:eastAsia="Arial" w:hAnsi="Arial"/>
                <w:sz w:val="17"/>
                <w:szCs w:val="17"/>
                <w:color w:val="auto"/>
                <w:vertAlign w:val="superscript"/>
              </w:rPr>
              <w:t>(7)</w:t>
            </w:r>
          </w:p>
        </w:tc>
        <w:tc>
          <w:tcPr>
            <w:tcW w:w="640" w:type="dxa"/>
            <w:vAlign w:val="bottom"/>
            <w:shd w:val="clear" w:color="auto" w:fill="CCECFF"/>
          </w:tcPr>
          <w:p>
            <w:pPr>
              <w:jc w:val="center"/>
              <w:spacing w:after="0"/>
              <w:rPr>
                <w:sz w:val="20"/>
                <w:szCs w:val="20"/>
                <w:color w:val="auto"/>
              </w:rPr>
            </w:pPr>
            <w:r>
              <w:rPr>
                <w:rFonts w:ascii="Arial" w:cs="Arial" w:eastAsia="Arial" w:hAnsi="Arial"/>
                <w:sz w:val="12"/>
                <w:szCs w:val="12"/>
                <w:color w:val="auto"/>
                <w:w w:val="89"/>
              </w:rPr>
              <w:t>02/27/2023</w:t>
            </w:r>
          </w:p>
        </w:tc>
        <w:tc>
          <w:tcPr>
            <w:tcW w:w="120" w:type="dxa"/>
            <w:vAlign w:val="bottom"/>
            <w:shd w:val="clear" w:color="auto" w:fill="CCECFF"/>
          </w:tcPr>
          <w:p>
            <w:pPr>
              <w:spacing w:after="0"/>
              <w:rPr>
                <w:sz w:val="12"/>
                <w:szCs w:val="12"/>
                <w:color w:val="auto"/>
              </w:rPr>
            </w:pPr>
          </w:p>
        </w:tc>
        <w:tc>
          <w:tcPr>
            <w:tcW w:w="2480" w:type="dxa"/>
            <w:vAlign w:val="bottom"/>
            <w:gridSpan w:val="2"/>
            <w:shd w:val="clear" w:color="auto" w:fill="CCECFF"/>
          </w:tcPr>
          <w:p>
            <w:pPr>
              <w:jc w:val="center"/>
              <w:ind w:right="160"/>
              <w:spacing w:after="0"/>
              <w:rPr>
                <w:sz w:val="20"/>
                <w:szCs w:val="20"/>
                <w:color w:val="auto"/>
              </w:rPr>
            </w:pPr>
            <w:r>
              <w:rPr>
                <w:rFonts w:ascii="Arial" w:cs="Arial" w:eastAsia="Arial" w:hAnsi="Arial"/>
                <w:sz w:val="12"/>
                <w:szCs w:val="12"/>
                <w:color w:val="auto"/>
                <w:w w:val="90"/>
              </w:rPr>
              <w:t>Construction and Building</w:t>
            </w:r>
          </w:p>
        </w:tc>
        <w:tc>
          <w:tcPr>
            <w:tcW w:w="920" w:type="dxa"/>
            <w:vAlign w:val="bottom"/>
            <w:gridSpan w:val="2"/>
            <w:shd w:val="clear" w:color="auto" w:fill="CCECFF"/>
          </w:tcPr>
          <w:p>
            <w:pPr>
              <w:jc w:val="right"/>
              <w:ind w:right="160"/>
              <w:spacing w:after="0"/>
              <w:rPr>
                <w:sz w:val="20"/>
                <w:szCs w:val="20"/>
                <w:color w:val="auto"/>
              </w:rPr>
            </w:pPr>
            <w:r>
              <w:rPr>
                <w:rFonts w:ascii="Arial" w:cs="Arial" w:eastAsia="Arial" w:hAnsi="Arial"/>
                <w:sz w:val="12"/>
                <w:szCs w:val="12"/>
                <w:color w:val="auto"/>
              </w:rPr>
              <w:t>12.25%</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P+725</w:t>
            </w:r>
          </w:p>
        </w:tc>
        <w:tc>
          <w:tcPr>
            <w:tcW w:w="90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508,444</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508,444</w:t>
            </w:r>
          </w:p>
        </w:tc>
        <w:tc>
          <w:tcPr>
            <w:tcW w:w="96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508,444</w:t>
            </w:r>
          </w:p>
        </w:tc>
        <w:tc>
          <w:tcPr>
            <w:tcW w:w="120" w:type="dxa"/>
            <w:vAlign w:val="bottom"/>
            <w:shd w:val="clear" w:color="auto" w:fill="CCECFF"/>
          </w:tcPr>
          <w:p>
            <w:pPr>
              <w:spacing w:after="0"/>
              <w:rPr>
                <w:sz w:val="12"/>
                <w:szCs w:val="12"/>
                <w:color w:val="auto"/>
              </w:rPr>
            </w:pPr>
          </w:p>
        </w:tc>
      </w:tr>
      <w:tr>
        <w:trPr>
          <w:trHeight w:val="148"/>
        </w:trPr>
        <w:tc>
          <w:tcPr>
            <w:tcW w:w="3480" w:type="dxa"/>
            <w:vAlign w:val="bottom"/>
            <w:gridSpan w:val="2"/>
          </w:tcPr>
          <w:p>
            <w:pPr>
              <w:spacing w:after="0" w:line="149" w:lineRule="exact"/>
              <w:rPr>
                <w:sz w:val="20"/>
                <w:szCs w:val="20"/>
                <w:color w:val="auto"/>
              </w:rPr>
            </w:pPr>
            <w:r>
              <w:rPr>
                <w:rFonts w:ascii="Arial" w:cs="Arial" w:eastAsia="Arial" w:hAnsi="Arial"/>
                <w:sz w:val="11"/>
                <w:szCs w:val="11"/>
                <w:color w:val="auto"/>
              </w:rPr>
              <w:t xml:space="preserve">Ox Two, LLC (Revolver) </w:t>
            </w:r>
            <w:r>
              <w:rPr>
                <w:rFonts w:ascii="Arial" w:cs="Arial" w:eastAsia="Arial" w:hAnsi="Arial"/>
                <w:sz w:val="17"/>
                <w:szCs w:val="17"/>
                <w:color w:val="auto"/>
                <w:vertAlign w:val="superscript"/>
              </w:rPr>
              <w:t>(7), (9)</w:t>
            </w:r>
          </w:p>
        </w:tc>
        <w:tc>
          <w:tcPr>
            <w:tcW w:w="640" w:type="dxa"/>
            <w:vAlign w:val="bottom"/>
          </w:tcPr>
          <w:p>
            <w:pPr>
              <w:jc w:val="center"/>
              <w:spacing w:after="0"/>
              <w:rPr>
                <w:sz w:val="20"/>
                <w:szCs w:val="20"/>
                <w:color w:val="auto"/>
              </w:rPr>
            </w:pPr>
            <w:r>
              <w:rPr>
                <w:rFonts w:ascii="Arial" w:cs="Arial" w:eastAsia="Arial" w:hAnsi="Arial"/>
                <w:sz w:val="12"/>
                <w:szCs w:val="12"/>
                <w:color w:val="auto"/>
                <w:w w:val="89"/>
              </w:rPr>
              <w:t>02/27/2023</w:t>
            </w:r>
          </w:p>
        </w:tc>
        <w:tc>
          <w:tcPr>
            <w:tcW w:w="120" w:type="dxa"/>
            <w:vAlign w:val="bottom"/>
          </w:tcPr>
          <w:p>
            <w:pPr>
              <w:spacing w:after="0"/>
              <w:rPr>
                <w:sz w:val="12"/>
                <w:szCs w:val="12"/>
                <w:color w:val="auto"/>
              </w:rPr>
            </w:pPr>
          </w:p>
        </w:tc>
        <w:tc>
          <w:tcPr>
            <w:tcW w:w="2480" w:type="dxa"/>
            <w:vAlign w:val="bottom"/>
            <w:gridSpan w:val="2"/>
          </w:tcPr>
          <w:p>
            <w:pPr>
              <w:jc w:val="center"/>
              <w:ind w:right="160"/>
              <w:spacing w:after="0"/>
              <w:rPr>
                <w:sz w:val="20"/>
                <w:szCs w:val="20"/>
                <w:color w:val="auto"/>
              </w:rPr>
            </w:pPr>
            <w:r>
              <w:rPr>
                <w:rFonts w:ascii="Arial" w:cs="Arial" w:eastAsia="Arial" w:hAnsi="Arial"/>
                <w:sz w:val="12"/>
                <w:szCs w:val="12"/>
                <w:color w:val="auto"/>
                <w:w w:val="90"/>
              </w:rPr>
              <w:t>Construction and Building</w:t>
            </w:r>
          </w:p>
        </w:tc>
        <w:tc>
          <w:tcPr>
            <w:tcW w:w="92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w:t>
            </w:r>
          </w:p>
        </w:tc>
        <w:tc>
          <w:tcPr>
            <w:tcW w:w="900" w:type="dxa"/>
            <w:vAlign w:val="bottom"/>
            <w:gridSpan w:val="2"/>
          </w:tcPr>
          <w:p>
            <w:pPr>
              <w:jc w:val="right"/>
              <w:spacing w:after="0"/>
              <w:rPr>
                <w:sz w:val="20"/>
                <w:szCs w:val="20"/>
                <w:color w:val="auto"/>
              </w:rPr>
            </w:pPr>
            <w:r>
              <w:rPr>
                <w:rFonts w:ascii="Arial" w:cs="Arial" w:eastAsia="Arial" w:hAnsi="Arial"/>
                <w:sz w:val="12"/>
                <w:szCs w:val="12"/>
                <w:color w:val="auto"/>
              </w:rPr>
              <w:t>47,111</w:t>
            </w:r>
          </w:p>
        </w:tc>
        <w:tc>
          <w:tcPr>
            <w:tcW w:w="22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2"/>
                <w:szCs w:val="12"/>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r>
      <w:tr>
        <w:trPr>
          <w:trHeight w:val="148"/>
        </w:trPr>
        <w:tc>
          <w:tcPr>
            <w:tcW w:w="3480" w:type="dxa"/>
            <w:vAlign w:val="bottom"/>
            <w:gridSpan w:val="2"/>
            <w:shd w:val="clear" w:color="auto" w:fill="CCECFF"/>
          </w:tcPr>
          <w:p>
            <w:pPr>
              <w:spacing w:after="0" w:line="149" w:lineRule="exact"/>
              <w:rPr>
                <w:sz w:val="20"/>
                <w:szCs w:val="20"/>
                <w:color w:val="auto"/>
              </w:rPr>
            </w:pPr>
            <w:r>
              <w:rPr>
                <w:rFonts w:ascii="Arial" w:cs="Arial" w:eastAsia="Arial" w:hAnsi="Arial"/>
                <w:sz w:val="11"/>
                <w:szCs w:val="11"/>
                <w:color w:val="auto"/>
              </w:rPr>
              <w:t xml:space="preserve">Peninsula Pacific Entertainment LLC </w:t>
            </w:r>
            <w:r>
              <w:rPr>
                <w:rFonts w:ascii="Arial" w:cs="Arial" w:eastAsia="Arial" w:hAnsi="Arial"/>
                <w:sz w:val="17"/>
                <w:szCs w:val="17"/>
                <w:color w:val="auto"/>
                <w:vertAlign w:val="superscript"/>
              </w:rPr>
              <w:t>(7)</w:t>
            </w:r>
          </w:p>
        </w:tc>
        <w:tc>
          <w:tcPr>
            <w:tcW w:w="640" w:type="dxa"/>
            <w:vAlign w:val="bottom"/>
            <w:shd w:val="clear" w:color="auto" w:fill="CCECFF"/>
          </w:tcPr>
          <w:p>
            <w:pPr>
              <w:jc w:val="center"/>
              <w:spacing w:after="0"/>
              <w:rPr>
                <w:sz w:val="20"/>
                <w:szCs w:val="20"/>
                <w:color w:val="auto"/>
              </w:rPr>
            </w:pPr>
            <w:r>
              <w:rPr>
                <w:rFonts w:ascii="Arial" w:cs="Arial" w:eastAsia="Arial" w:hAnsi="Arial"/>
                <w:sz w:val="12"/>
                <w:szCs w:val="12"/>
                <w:color w:val="auto"/>
                <w:w w:val="89"/>
              </w:rPr>
              <w:t>11/13/2024</w:t>
            </w:r>
          </w:p>
        </w:tc>
        <w:tc>
          <w:tcPr>
            <w:tcW w:w="120" w:type="dxa"/>
            <w:vAlign w:val="bottom"/>
            <w:shd w:val="clear" w:color="auto" w:fill="CCECFF"/>
          </w:tcPr>
          <w:p>
            <w:pPr>
              <w:spacing w:after="0"/>
              <w:rPr>
                <w:sz w:val="12"/>
                <w:szCs w:val="12"/>
                <w:color w:val="auto"/>
              </w:rPr>
            </w:pPr>
          </w:p>
        </w:tc>
        <w:tc>
          <w:tcPr>
            <w:tcW w:w="248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88"/>
              </w:rPr>
              <w:t>Hotel, Gaming and Leisure</w:t>
            </w:r>
          </w:p>
        </w:tc>
        <w:tc>
          <w:tcPr>
            <w:tcW w:w="920" w:type="dxa"/>
            <w:vAlign w:val="bottom"/>
            <w:gridSpan w:val="2"/>
            <w:shd w:val="clear" w:color="auto" w:fill="CCECFF"/>
          </w:tcPr>
          <w:p>
            <w:pPr>
              <w:jc w:val="right"/>
              <w:ind w:right="160"/>
              <w:spacing w:after="0"/>
              <w:rPr>
                <w:sz w:val="20"/>
                <w:szCs w:val="20"/>
                <w:color w:val="auto"/>
              </w:rPr>
            </w:pPr>
            <w:r>
              <w:rPr>
                <w:rFonts w:ascii="Arial" w:cs="Arial" w:eastAsia="Arial" w:hAnsi="Arial"/>
                <w:sz w:val="12"/>
                <w:szCs w:val="12"/>
                <w:color w:val="auto"/>
              </w:rPr>
              <w:t>9.35%</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1M L+725</w:t>
            </w:r>
          </w:p>
        </w:tc>
        <w:tc>
          <w:tcPr>
            <w:tcW w:w="90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13,275,810</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13,225,232</w:t>
            </w:r>
          </w:p>
        </w:tc>
        <w:tc>
          <w:tcPr>
            <w:tcW w:w="96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13,275,810</w:t>
            </w:r>
          </w:p>
        </w:tc>
        <w:tc>
          <w:tcPr>
            <w:tcW w:w="120" w:type="dxa"/>
            <w:vAlign w:val="bottom"/>
            <w:shd w:val="clear" w:color="auto" w:fill="CCECFF"/>
          </w:tcPr>
          <w:p>
            <w:pPr>
              <w:spacing w:after="0"/>
              <w:rPr>
                <w:sz w:val="12"/>
                <w:szCs w:val="12"/>
                <w:color w:val="auto"/>
              </w:rPr>
            </w:pPr>
          </w:p>
        </w:tc>
      </w:tr>
      <w:tr>
        <w:trPr>
          <w:trHeight w:val="148"/>
        </w:trPr>
        <w:tc>
          <w:tcPr>
            <w:tcW w:w="3480" w:type="dxa"/>
            <w:vAlign w:val="bottom"/>
            <w:gridSpan w:val="2"/>
          </w:tcPr>
          <w:p>
            <w:pPr>
              <w:spacing w:after="0" w:line="149" w:lineRule="exact"/>
              <w:rPr>
                <w:sz w:val="20"/>
                <w:szCs w:val="20"/>
                <w:color w:val="auto"/>
              </w:rPr>
            </w:pPr>
            <w:r>
              <w:rPr>
                <w:rFonts w:ascii="Arial" w:cs="Arial" w:eastAsia="Arial" w:hAnsi="Arial"/>
                <w:sz w:val="11"/>
                <w:szCs w:val="11"/>
                <w:color w:val="auto"/>
              </w:rPr>
              <w:t xml:space="preserve">Pestell Minerals and Ingredients Inc. </w:t>
            </w:r>
            <w:r>
              <w:rPr>
                <w:rFonts w:ascii="Arial" w:cs="Arial" w:eastAsia="Arial" w:hAnsi="Arial"/>
                <w:sz w:val="17"/>
                <w:szCs w:val="17"/>
                <w:color w:val="auto"/>
                <w:vertAlign w:val="superscript"/>
              </w:rPr>
              <w:t>(5), (10)</w:t>
            </w:r>
          </w:p>
        </w:tc>
        <w:tc>
          <w:tcPr>
            <w:tcW w:w="640" w:type="dxa"/>
            <w:vAlign w:val="bottom"/>
          </w:tcPr>
          <w:p>
            <w:pPr>
              <w:jc w:val="center"/>
              <w:spacing w:after="0"/>
              <w:rPr>
                <w:sz w:val="20"/>
                <w:szCs w:val="20"/>
                <w:color w:val="auto"/>
              </w:rPr>
            </w:pPr>
            <w:r>
              <w:rPr>
                <w:rFonts w:ascii="Arial" w:cs="Arial" w:eastAsia="Arial" w:hAnsi="Arial"/>
                <w:sz w:val="12"/>
                <w:szCs w:val="12"/>
                <w:color w:val="auto"/>
                <w:w w:val="89"/>
              </w:rPr>
              <w:t>06/01/2023</w:t>
            </w:r>
          </w:p>
        </w:tc>
        <w:tc>
          <w:tcPr>
            <w:tcW w:w="120" w:type="dxa"/>
            <w:vAlign w:val="bottom"/>
          </w:tcPr>
          <w:p>
            <w:pPr>
              <w:spacing w:after="0"/>
              <w:rPr>
                <w:sz w:val="12"/>
                <w:szCs w:val="12"/>
                <w:color w:val="auto"/>
              </w:rPr>
            </w:pPr>
          </w:p>
        </w:tc>
        <w:tc>
          <w:tcPr>
            <w:tcW w:w="2480" w:type="dxa"/>
            <w:vAlign w:val="bottom"/>
            <w:gridSpan w:val="2"/>
          </w:tcPr>
          <w:p>
            <w:pPr>
              <w:jc w:val="center"/>
              <w:ind w:right="160"/>
              <w:spacing w:after="0"/>
              <w:rPr>
                <w:sz w:val="20"/>
                <w:szCs w:val="20"/>
                <w:color w:val="auto"/>
              </w:rPr>
            </w:pPr>
            <w:r>
              <w:rPr>
                <w:rFonts w:ascii="Arial" w:cs="Arial" w:eastAsia="Arial" w:hAnsi="Arial"/>
                <w:sz w:val="12"/>
                <w:szCs w:val="12"/>
                <w:color w:val="auto"/>
                <w:w w:val="85"/>
              </w:rPr>
              <w:t>Beverage, Food and Tobacco</w:t>
            </w:r>
          </w:p>
        </w:tc>
        <w:tc>
          <w:tcPr>
            <w:tcW w:w="920" w:type="dxa"/>
            <w:vAlign w:val="bottom"/>
            <w:gridSpan w:val="2"/>
          </w:tcPr>
          <w:p>
            <w:pPr>
              <w:jc w:val="right"/>
              <w:ind w:right="160"/>
              <w:spacing w:after="0"/>
              <w:rPr>
                <w:sz w:val="20"/>
                <w:szCs w:val="20"/>
                <w:color w:val="auto"/>
              </w:rPr>
            </w:pPr>
            <w:r>
              <w:rPr>
                <w:rFonts w:ascii="Arial" w:cs="Arial" w:eastAsia="Arial" w:hAnsi="Arial"/>
                <w:sz w:val="12"/>
                <w:szCs w:val="12"/>
                <w:color w:val="auto"/>
              </w:rPr>
              <w:t>7.57%</w:t>
            </w:r>
          </w:p>
        </w:tc>
        <w:tc>
          <w:tcPr>
            <w:tcW w:w="680" w:type="dxa"/>
            <w:vAlign w:val="bottom"/>
          </w:tcPr>
          <w:p>
            <w:pPr>
              <w:jc w:val="right"/>
              <w:spacing w:after="0"/>
              <w:rPr>
                <w:sz w:val="20"/>
                <w:szCs w:val="20"/>
                <w:color w:val="auto"/>
              </w:rPr>
            </w:pPr>
            <w:r>
              <w:rPr>
                <w:rFonts w:ascii="Arial" w:cs="Arial" w:eastAsia="Arial" w:hAnsi="Arial"/>
                <w:sz w:val="12"/>
                <w:szCs w:val="12"/>
                <w:color w:val="auto"/>
              </w:rPr>
              <w:t>3M L+525</w:t>
            </w:r>
          </w:p>
        </w:tc>
        <w:tc>
          <w:tcPr>
            <w:tcW w:w="900" w:type="dxa"/>
            <w:vAlign w:val="bottom"/>
            <w:gridSpan w:val="2"/>
          </w:tcPr>
          <w:p>
            <w:pPr>
              <w:jc w:val="right"/>
              <w:spacing w:after="0"/>
              <w:rPr>
                <w:sz w:val="20"/>
                <w:szCs w:val="20"/>
                <w:color w:val="auto"/>
              </w:rPr>
            </w:pPr>
            <w:r>
              <w:rPr>
                <w:rFonts w:ascii="Arial" w:cs="Arial" w:eastAsia="Arial" w:hAnsi="Arial"/>
                <w:sz w:val="12"/>
                <w:szCs w:val="12"/>
                <w:color w:val="auto"/>
              </w:rPr>
              <w:t>14,887,500</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14,769,736</w:t>
            </w:r>
          </w:p>
        </w:tc>
        <w:tc>
          <w:tcPr>
            <w:tcW w:w="960" w:type="dxa"/>
            <w:vAlign w:val="bottom"/>
            <w:gridSpan w:val="2"/>
          </w:tcPr>
          <w:p>
            <w:pPr>
              <w:jc w:val="right"/>
              <w:spacing w:after="0"/>
              <w:rPr>
                <w:sz w:val="20"/>
                <w:szCs w:val="20"/>
                <w:color w:val="auto"/>
              </w:rPr>
            </w:pPr>
            <w:r>
              <w:rPr>
                <w:rFonts w:ascii="Arial" w:cs="Arial" w:eastAsia="Arial" w:hAnsi="Arial"/>
                <w:sz w:val="12"/>
                <w:szCs w:val="12"/>
                <w:color w:val="auto"/>
              </w:rPr>
              <w:t>14,738,625</w:t>
            </w:r>
          </w:p>
        </w:tc>
        <w:tc>
          <w:tcPr>
            <w:tcW w:w="120" w:type="dxa"/>
            <w:vAlign w:val="bottom"/>
          </w:tcPr>
          <w:p>
            <w:pPr>
              <w:spacing w:after="0"/>
              <w:rPr>
                <w:sz w:val="12"/>
                <w:szCs w:val="12"/>
                <w:color w:val="auto"/>
              </w:rPr>
            </w:pPr>
          </w:p>
        </w:tc>
      </w:tr>
      <w:tr>
        <w:trPr>
          <w:trHeight w:val="148"/>
        </w:trPr>
        <w:tc>
          <w:tcPr>
            <w:tcW w:w="3480" w:type="dxa"/>
            <w:vAlign w:val="bottom"/>
            <w:gridSpan w:val="2"/>
            <w:shd w:val="clear" w:color="auto" w:fill="CCECFF"/>
          </w:tcPr>
          <w:p>
            <w:pPr>
              <w:spacing w:after="0" w:line="149" w:lineRule="exact"/>
              <w:rPr>
                <w:sz w:val="20"/>
                <w:szCs w:val="20"/>
                <w:color w:val="auto"/>
              </w:rPr>
            </w:pPr>
            <w:r>
              <w:rPr>
                <w:rFonts w:ascii="Arial" w:cs="Arial" w:eastAsia="Arial" w:hAnsi="Arial"/>
                <w:sz w:val="11"/>
                <w:szCs w:val="11"/>
                <w:color w:val="auto"/>
              </w:rPr>
              <w:t xml:space="preserve">Plant Health Intermediate, Inc. </w:t>
            </w:r>
            <w:r>
              <w:rPr>
                <w:rFonts w:ascii="Arial" w:cs="Arial" w:eastAsia="Arial" w:hAnsi="Arial"/>
                <w:sz w:val="17"/>
                <w:szCs w:val="17"/>
                <w:color w:val="auto"/>
                <w:vertAlign w:val="superscript"/>
              </w:rPr>
              <w:t>(7)</w:t>
            </w:r>
          </w:p>
        </w:tc>
        <w:tc>
          <w:tcPr>
            <w:tcW w:w="640" w:type="dxa"/>
            <w:vAlign w:val="bottom"/>
            <w:shd w:val="clear" w:color="auto" w:fill="CCECFF"/>
          </w:tcPr>
          <w:p>
            <w:pPr>
              <w:jc w:val="center"/>
              <w:spacing w:after="0"/>
              <w:rPr>
                <w:sz w:val="20"/>
                <w:szCs w:val="20"/>
                <w:color w:val="auto"/>
              </w:rPr>
            </w:pPr>
            <w:r>
              <w:rPr>
                <w:rFonts w:ascii="Arial" w:cs="Arial" w:eastAsia="Arial" w:hAnsi="Arial"/>
                <w:sz w:val="12"/>
                <w:szCs w:val="12"/>
                <w:color w:val="auto"/>
                <w:w w:val="89"/>
              </w:rPr>
              <w:t>10/19/2022</w:t>
            </w:r>
          </w:p>
        </w:tc>
        <w:tc>
          <w:tcPr>
            <w:tcW w:w="120" w:type="dxa"/>
            <w:vAlign w:val="bottom"/>
            <w:shd w:val="clear" w:color="auto" w:fill="CCECFF"/>
          </w:tcPr>
          <w:p>
            <w:pPr>
              <w:spacing w:after="0"/>
              <w:rPr>
                <w:sz w:val="12"/>
                <w:szCs w:val="12"/>
                <w:color w:val="auto"/>
              </w:rPr>
            </w:pPr>
          </w:p>
        </w:tc>
        <w:tc>
          <w:tcPr>
            <w:tcW w:w="2480" w:type="dxa"/>
            <w:vAlign w:val="bottom"/>
            <w:gridSpan w:val="2"/>
            <w:shd w:val="clear" w:color="auto" w:fill="CCECFF"/>
          </w:tcPr>
          <w:p>
            <w:pPr>
              <w:jc w:val="center"/>
              <w:ind w:right="160"/>
              <w:spacing w:after="0"/>
              <w:rPr>
                <w:sz w:val="20"/>
                <w:szCs w:val="20"/>
                <w:color w:val="auto"/>
              </w:rPr>
            </w:pPr>
            <w:r>
              <w:rPr>
                <w:rFonts w:ascii="Arial" w:cs="Arial" w:eastAsia="Arial" w:hAnsi="Arial"/>
                <w:sz w:val="12"/>
                <w:szCs w:val="12"/>
                <w:color w:val="auto"/>
                <w:w w:val="87"/>
              </w:rPr>
              <w:t>Chemicals, Plastics and Rubber</w:t>
            </w:r>
          </w:p>
        </w:tc>
        <w:tc>
          <w:tcPr>
            <w:tcW w:w="920" w:type="dxa"/>
            <w:vAlign w:val="bottom"/>
            <w:gridSpan w:val="2"/>
            <w:shd w:val="clear" w:color="auto" w:fill="CCECFF"/>
          </w:tcPr>
          <w:p>
            <w:pPr>
              <w:jc w:val="right"/>
              <w:ind w:right="160"/>
              <w:spacing w:after="0"/>
              <w:rPr>
                <w:sz w:val="20"/>
                <w:szCs w:val="20"/>
                <w:color w:val="auto"/>
              </w:rPr>
            </w:pPr>
            <w:r>
              <w:rPr>
                <w:rFonts w:ascii="Arial" w:cs="Arial" w:eastAsia="Arial" w:hAnsi="Arial"/>
                <w:sz w:val="12"/>
                <w:szCs w:val="12"/>
                <w:color w:val="auto"/>
              </w:rPr>
              <w:t>8.00%</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3M L+575</w:t>
            </w:r>
          </w:p>
        </w:tc>
        <w:tc>
          <w:tcPr>
            <w:tcW w:w="90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2,113,704</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2,087,235</w:t>
            </w:r>
          </w:p>
        </w:tc>
        <w:tc>
          <w:tcPr>
            <w:tcW w:w="96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2,092,567</w:t>
            </w:r>
          </w:p>
        </w:tc>
        <w:tc>
          <w:tcPr>
            <w:tcW w:w="120" w:type="dxa"/>
            <w:vAlign w:val="bottom"/>
            <w:shd w:val="clear" w:color="auto" w:fill="CCECFF"/>
          </w:tcPr>
          <w:p>
            <w:pPr>
              <w:spacing w:after="0"/>
              <w:rPr>
                <w:sz w:val="12"/>
                <w:szCs w:val="12"/>
                <w:color w:val="auto"/>
              </w:rPr>
            </w:pPr>
          </w:p>
        </w:tc>
      </w:tr>
      <w:tr>
        <w:trPr>
          <w:trHeight w:val="149"/>
        </w:trPr>
        <w:tc>
          <w:tcPr>
            <w:tcW w:w="3480" w:type="dxa"/>
            <w:vAlign w:val="bottom"/>
            <w:gridSpan w:val="2"/>
          </w:tcPr>
          <w:p>
            <w:pPr>
              <w:spacing w:after="0"/>
              <w:rPr>
                <w:sz w:val="20"/>
                <w:szCs w:val="20"/>
                <w:color w:val="auto"/>
              </w:rPr>
            </w:pPr>
            <w:r>
              <w:rPr>
                <w:rFonts w:ascii="Arial" w:cs="Arial" w:eastAsia="Arial" w:hAnsi="Arial"/>
                <w:sz w:val="12"/>
                <w:szCs w:val="12"/>
                <w:color w:val="auto"/>
              </w:rPr>
              <w:t>PlayPower, Inc.</w:t>
            </w:r>
          </w:p>
        </w:tc>
        <w:tc>
          <w:tcPr>
            <w:tcW w:w="640" w:type="dxa"/>
            <w:vAlign w:val="bottom"/>
          </w:tcPr>
          <w:p>
            <w:pPr>
              <w:jc w:val="center"/>
              <w:spacing w:after="0"/>
              <w:rPr>
                <w:sz w:val="20"/>
                <w:szCs w:val="20"/>
                <w:color w:val="auto"/>
              </w:rPr>
            </w:pPr>
            <w:r>
              <w:rPr>
                <w:rFonts w:ascii="Arial" w:cs="Arial" w:eastAsia="Arial" w:hAnsi="Arial"/>
                <w:sz w:val="12"/>
                <w:szCs w:val="12"/>
                <w:color w:val="auto"/>
                <w:w w:val="89"/>
              </w:rPr>
              <w:t>05/08/2026</w:t>
            </w:r>
          </w:p>
        </w:tc>
        <w:tc>
          <w:tcPr>
            <w:tcW w:w="120" w:type="dxa"/>
            <w:vAlign w:val="bottom"/>
          </w:tcPr>
          <w:p>
            <w:pPr>
              <w:spacing w:after="0"/>
              <w:rPr>
                <w:sz w:val="12"/>
                <w:szCs w:val="12"/>
                <w:color w:val="auto"/>
              </w:rPr>
            </w:pPr>
          </w:p>
        </w:tc>
        <w:tc>
          <w:tcPr>
            <w:tcW w:w="2480" w:type="dxa"/>
            <w:vAlign w:val="bottom"/>
            <w:gridSpan w:val="2"/>
          </w:tcPr>
          <w:p>
            <w:pPr>
              <w:jc w:val="center"/>
              <w:ind w:right="140"/>
              <w:spacing w:after="0"/>
              <w:rPr>
                <w:sz w:val="20"/>
                <w:szCs w:val="20"/>
                <w:color w:val="auto"/>
              </w:rPr>
            </w:pPr>
            <w:r>
              <w:rPr>
                <w:rFonts w:ascii="Arial" w:cs="Arial" w:eastAsia="Arial" w:hAnsi="Arial"/>
                <w:sz w:val="12"/>
                <w:szCs w:val="12"/>
                <w:color w:val="auto"/>
                <w:w w:val="86"/>
              </w:rPr>
              <w:t>Leisure Products</w:t>
            </w:r>
          </w:p>
        </w:tc>
        <w:tc>
          <w:tcPr>
            <w:tcW w:w="920" w:type="dxa"/>
            <w:vAlign w:val="bottom"/>
            <w:gridSpan w:val="2"/>
          </w:tcPr>
          <w:p>
            <w:pPr>
              <w:jc w:val="right"/>
              <w:ind w:right="160"/>
              <w:spacing w:after="0"/>
              <w:rPr>
                <w:sz w:val="20"/>
                <w:szCs w:val="20"/>
                <w:color w:val="auto"/>
              </w:rPr>
            </w:pPr>
            <w:r>
              <w:rPr>
                <w:rFonts w:ascii="Arial" w:cs="Arial" w:eastAsia="Arial" w:hAnsi="Arial"/>
                <w:sz w:val="12"/>
                <w:szCs w:val="12"/>
                <w:color w:val="auto"/>
              </w:rPr>
              <w:t>7.60%</w:t>
            </w:r>
          </w:p>
        </w:tc>
        <w:tc>
          <w:tcPr>
            <w:tcW w:w="680" w:type="dxa"/>
            <w:vAlign w:val="bottom"/>
          </w:tcPr>
          <w:p>
            <w:pPr>
              <w:jc w:val="right"/>
              <w:spacing w:after="0"/>
              <w:rPr>
                <w:sz w:val="20"/>
                <w:szCs w:val="20"/>
                <w:color w:val="auto"/>
              </w:rPr>
            </w:pPr>
            <w:r>
              <w:rPr>
                <w:rFonts w:ascii="Arial" w:cs="Arial" w:eastAsia="Arial" w:hAnsi="Arial"/>
                <w:sz w:val="12"/>
                <w:szCs w:val="12"/>
                <w:color w:val="auto"/>
              </w:rPr>
              <w:t>1M L+550</w:t>
            </w:r>
          </w:p>
        </w:tc>
        <w:tc>
          <w:tcPr>
            <w:tcW w:w="900" w:type="dxa"/>
            <w:vAlign w:val="bottom"/>
            <w:gridSpan w:val="2"/>
          </w:tcPr>
          <w:p>
            <w:pPr>
              <w:jc w:val="right"/>
              <w:spacing w:after="0"/>
              <w:rPr>
                <w:sz w:val="20"/>
                <w:szCs w:val="20"/>
                <w:color w:val="auto"/>
              </w:rPr>
            </w:pPr>
            <w:r>
              <w:rPr>
                <w:rFonts w:ascii="Arial" w:cs="Arial" w:eastAsia="Arial" w:hAnsi="Arial"/>
                <w:sz w:val="12"/>
                <w:szCs w:val="12"/>
                <w:color w:val="auto"/>
              </w:rPr>
              <w:t>5,586,000</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5,531,151</w:t>
            </w:r>
          </w:p>
        </w:tc>
        <w:tc>
          <w:tcPr>
            <w:tcW w:w="960" w:type="dxa"/>
            <w:vAlign w:val="bottom"/>
            <w:gridSpan w:val="2"/>
          </w:tcPr>
          <w:p>
            <w:pPr>
              <w:jc w:val="right"/>
              <w:spacing w:after="0"/>
              <w:rPr>
                <w:sz w:val="20"/>
                <w:szCs w:val="20"/>
                <w:color w:val="auto"/>
              </w:rPr>
            </w:pPr>
            <w:r>
              <w:rPr>
                <w:rFonts w:ascii="Arial" w:cs="Arial" w:eastAsia="Arial" w:hAnsi="Arial"/>
                <w:sz w:val="12"/>
                <w:szCs w:val="12"/>
                <w:color w:val="auto"/>
              </w:rPr>
              <w:t>5,579,018</w:t>
            </w:r>
          </w:p>
        </w:tc>
        <w:tc>
          <w:tcPr>
            <w:tcW w:w="120" w:type="dxa"/>
            <w:vAlign w:val="bottom"/>
          </w:tcPr>
          <w:p>
            <w:pPr>
              <w:spacing w:after="0"/>
              <w:rPr>
                <w:sz w:val="12"/>
                <w:szCs w:val="12"/>
                <w:color w:val="auto"/>
              </w:rPr>
            </w:pPr>
          </w:p>
        </w:tc>
      </w:tr>
      <w:tr>
        <w:trPr>
          <w:trHeight w:val="148"/>
        </w:trPr>
        <w:tc>
          <w:tcPr>
            <w:tcW w:w="3480" w:type="dxa"/>
            <w:vAlign w:val="bottom"/>
            <w:gridSpan w:val="2"/>
            <w:shd w:val="clear" w:color="auto" w:fill="CCECFF"/>
          </w:tcPr>
          <w:p>
            <w:pPr>
              <w:spacing w:after="0"/>
              <w:rPr>
                <w:sz w:val="20"/>
                <w:szCs w:val="20"/>
                <w:color w:val="auto"/>
              </w:rPr>
            </w:pPr>
            <w:r>
              <w:rPr>
                <w:rFonts w:ascii="Arial" w:cs="Arial" w:eastAsia="Arial" w:hAnsi="Arial"/>
                <w:sz w:val="12"/>
                <w:szCs w:val="12"/>
                <w:color w:val="auto"/>
              </w:rPr>
              <w:t>PRA Events, Inc.</w:t>
            </w:r>
          </w:p>
        </w:tc>
        <w:tc>
          <w:tcPr>
            <w:tcW w:w="640" w:type="dxa"/>
            <w:vAlign w:val="bottom"/>
            <w:shd w:val="clear" w:color="auto" w:fill="CCECFF"/>
          </w:tcPr>
          <w:p>
            <w:pPr>
              <w:jc w:val="center"/>
              <w:spacing w:after="0"/>
              <w:rPr>
                <w:sz w:val="20"/>
                <w:szCs w:val="20"/>
                <w:color w:val="auto"/>
              </w:rPr>
            </w:pPr>
            <w:r>
              <w:rPr>
                <w:rFonts w:ascii="Arial" w:cs="Arial" w:eastAsia="Arial" w:hAnsi="Arial"/>
                <w:sz w:val="12"/>
                <w:szCs w:val="12"/>
                <w:color w:val="auto"/>
                <w:w w:val="89"/>
              </w:rPr>
              <w:t>08/08/2022</w:t>
            </w:r>
          </w:p>
        </w:tc>
        <w:tc>
          <w:tcPr>
            <w:tcW w:w="120" w:type="dxa"/>
            <w:vAlign w:val="bottom"/>
            <w:shd w:val="clear" w:color="auto" w:fill="CCECFF"/>
          </w:tcPr>
          <w:p>
            <w:pPr>
              <w:spacing w:after="0"/>
              <w:rPr>
                <w:sz w:val="12"/>
                <w:szCs w:val="12"/>
                <w:color w:val="auto"/>
              </w:rPr>
            </w:pPr>
          </w:p>
        </w:tc>
        <w:tc>
          <w:tcPr>
            <w:tcW w:w="2480" w:type="dxa"/>
            <w:vAlign w:val="bottom"/>
            <w:gridSpan w:val="2"/>
            <w:shd w:val="clear" w:color="auto" w:fill="CCECFF"/>
          </w:tcPr>
          <w:p>
            <w:pPr>
              <w:jc w:val="center"/>
              <w:ind w:right="160"/>
              <w:spacing w:after="0"/>
              <w:rPr>
                <w:sz w:val="20"/>
                <w:szCs w:val="20"/>
                <w:color w:val="auto"/>
              </w:rPr>
            </w:pPr>
            <w:r>
              <w:rPr>
                <w:rFonts w:ascii="Arial" w:cs="Arial" w:eastAsia="Arial" w:hAnsi="Arial"/>
                <w:sz w:val="12"/>
                <w:szCs w:val="12"/>
                <w:color w:val="auto"/>
                <w:w w:val="85"/>
              </w:rPr>
              <w:t>Business Services</w:t>
            </w:r>
          </w:p>
        </w:tc>
        <w:tc>
          <w:tcPr>
            <w:tcW w:w="920" w:type="dxa"/>
            <w:vAlign w:val="bottom"/>
            <w:gridSpan w:val="2"/>
            <w:shd w:val="clear" w:color="auto" w:fill="CCECFF"/>
          </w:tcPr>
          <w:p>
            <w:pPr>
              <w:jc w:val="right"/>
              <w:ind w:right="160"/>
              <w:spacing w:after="0"/>
              <w:rPr>
                <w:sz w:val="20"/>
                <w:szCs w:val="20"/>
                <w:color w:val="auto"/>
              </w:rPr>
            </w:pPr>
            <w:r>
              <w:rPr>
                <w:rFonts w:ascii="Arial" w:cs="Arial" w:eastAsia="Arial" w:hAnsi="Arial"/>
                <w:sz w:val="12"/>
                <w:szCs w:val="12"/>
                <w:color w:val="auto"/>
              </w:rPr>
              <w:t>9.11%</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1M L+700</w:t>
            </w:r>
          </w:p>
        </w:tc>
        <w:tc>
          <w:tcPr>
            <w:tcW w:w="90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2,585,319</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2,543,697</w:t>
            </w:r>
          </w:p>
        </w:tc>
        <w:tc>
          <w:tcPr>
            <w:tcW w:w="96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2,585,319</w:t>
            </w:r>
          </w:p>
        </w:tc>
        <w:tc>
          <w:tcPr>
            <w:tcW w:w="120" w:type="dxa"/>
            <w:vAlign w:val="bottom"/>
            <w:shd w:val="clear" w:color="auto" w:fill="CCECFF"/>
          </w:tcPr>
          <w:p>
            <w:pPr>
              <w:spacing w:after="0"/>
              <w:rPr>
                <w:sz w:val="12"/>
                <w:szCs w:val="12"/>
                <w:color w:val="auto"/>
              </w:rPr>
            </w:pPr>
          </w:p>
        </w:tc>
      </w:tr>
      <w:tr>
        <w:trPr>
          <w:trHeight w:val="148"/>
        </w:trPr>
        <w:tc>
          <w:tcPr>
            <w:tcW w:w="3480" w:type="dxa"/>
            <w:vAlign w:val="bottom"/>
            <w:gridSpan w:val="2"/>
          </w:tcPr>
          <w:p>
            <w:pPr>
              <w:spacing w:after="0"/>
              <w:rPr>
                <w:sz w:val="20"/>
                <w:szCs w:val="20"/>
                <w:color w:val="auto"/>
              </w:rPr>
            </w:pPr>
            <w:r>
              <w:rPr>
                <w:rFonts w:ascii="Arial" w:cs="Arial" w:eastAsia="Arial" w:hAnsi="Arial"/>
                <w:sz w:val="12"/>
                <w:szCs w:val="12"/>
                <w:color w:val="auto"/>
              </w:rPr>
              <w:t>Quantum Spatial, Inc.</w:t>
            </w:r>
          </w:p>
        </w:tc>
        <w:tc>
          <w:tcPr>
            <w:tcW w:w="640" w:type="dxa"/>
            <w:vAlign w:val="bottom"/>
          </w:tcPr>
          <w:p>
            <w:pPr>
              <w:jc w:val="center"/>
              <w:spacing w:after="0"/>
              <w:rPr>
                <w:sz w:val="20"/>
                <w:szCs w:val="20"/>
                <w:color w:val="auto"/>
              </w:rPr>
            </w:pPr>
            <w:r>
              <w:rPr>
                <w:rFonts w:ascii="Arial" w:cs="Arial" w:eastAsia="Arial" w:hAnsi="Arial"/>
                <w:sz w:val="12"/>
                <w:szCs w:val="12"/>
                <w:color w:val="auto"/>
                <w:w w:val="89"/>
              </w:rPr>
              <w:t>09/04/2024</w:t>
            </w:r>
          </w:p>
        </w:tc>
        <w:tc>
          <w:tcPr>
            <w:tcW w:w="120" w:type="dxa"/>
            <w:vAlign w:val="bottom"/>
          </w:tcPr>
          <w:p>
            <w:pPr>
              <w:spacing w:after="0"/>
              <w:rPr>
                <w:sz w:val="12"/>
                <w:szCs w:val="12"/>
                <w:color w:val="auto"/>
              </w:rPr>
            </w:pPr>
          </w:p>
        </w:tc>
        <w:tc>
          <w:tcPr>
            <w:tcW w:w="2480" w:type="dxa"/>
            <w:vAlign w:val="bottom"/>
            <w:gridSpan w:val="2"/>
          </w:tcPr>
          <w:p>
            <w:pPr>
              <w:jc w:val="center"/>
              <w:ind w:right="140"/>
              <w:spacing w:after="0"/>
              <w:rPr>
                <w:sz w:val="20"/>
                <w:szCs w:val="20"/>
                <w:color w:val="auto"/>
              </w:rPr>
            </w:pPr>
            <w:r>
              <w:rPr>
                <w:rFonts w:ascii="Arial" w:cs="Arial" w:eastAsia="Arial" w:hAnsi="Arial"/>
                <w:sz w:val="12"/>
                <w:szCs w:val="12"/>
                <w:color w:val="auto"/>
                <w:w w:val="85"/>
              </w:rPr>
              <w:t>Aerospace and Defense</w:t>
            </w:r>
          </w:p>
        </w:tc>
        <w:tc>
          <w:tcPr>
            <w:tcW w:w="920" w:type="dxa"/>
            <w:vAlign w:val="bottom"/>
            <w:gridSpan w:val="2"/>
          </w:tcPr>
          <w:p>
            <w:pPr>
              <w:jc w:val="right"/>
              <w:ind w:right="160"/>
              <w:spacing w:after="0"/>
              <w:rPr>
                <w:sz w:val="20"/>
                <w:szCs w:val="20"/>
                <w:color w:val="auto"/>
              </w:rPr>
            </w:pPr>
            <w:r>
              <w:rPr>
                <w:rFonts w:ascii="Arial" w:cs="Arial" w:eastAsia="Arial" w:hAnsi="Arial"/>
                <w:sz w:val="12"/>
                <w:szCs w:val="12"/>
                <w:color w:val="auto"/>
              </w:rPr>
              <w:t>7.32%</w:t>
            </w:r>
          </w:p>
        </w:tc>
        <w:tc>
          <w:tcPr>
            <w:tcW w:w="680" w:type="dxa"/>
            <w:vAlign w:val="bottom"/>
          </w:tcPr>
          <w:p>
            <w:pPr>
              <w:jc w:val="right"/>
              <w:spacing w:after="0"/>
              <w:rPr>
                <w:sz w:val="20"/>
                <w:szCs w:val="20"/>
                <w:color w:val="auto"/>
              </w:rPr>
            </w:pPr>
            <w:r>
              <w:rPr>
                <w:rFonts w:ascii="Arial" w:cs="Arial" w:eastAsia="Arial" w:hAnsi="Arial"/>
                <w:sz w:val="12"/>
                <w:szCs w:val="12"/>
                <w:color w:val="auto"/>
              </w:rPr>
              <w:t>1M L+525</w:t>
            </w:r>
          </w:p>
        </w:tc>
        <w:tc>
          <w:tcPr>
            <w:tcW w:w="900" w:type="dxa"/>
            <w:vAlign w:val="bottom"/>
            <w:gridSpan w:val="2"/>
          </w:tcPr>
          <w:p>
            <w:pPr>
              <w:jc w:val="right"/>
              <w:spacing w:after="0"/>
              <w:rPr>
                <w:sz w:val="20"/>
                <w:szCs w:val="20"/>
                <w:color w:val="auto"/>
              </w:rPr>
            </w:pPr>
            <w:r>
              <w:rPr>
                <w:rFonts w:ascii="Arial" w:cs="Arial" w:eastAsia="Arial" w:hAnsi="Arial"/>
                <w:sz w:val="12"/>
                <w:szCs w:val="12"/>
                <w:color w:val="auto"/>
              </w:rPr>
              <w:t>19,000,000</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18,717,745</w:t>
            </w:r>
          </w:p>
        </w:tc>
        <w:tc>
          <w:tcPr>
            <w:tcW w:w="960" w:type="dxa"/>
            <w:vAlign w:val="bottom"/>
            <w:gridSpan w:val="2"/>
          </w:tcPr>
          <w:p>
            <w:pPr>
              <w:jc w:val="right"/>
              <w:spacing w:after="0"/>
              <w:rPr>
                <w:sz w:val="20"/>
                <w:szCs w:val="20"/>
                <w:color w:val="auto"/>
              </w:rPr>
            </w:pPr>
            <w:r>
              <w:rPr>
                <w:rFonts w:ascii="Arial" w:cs="Arial" w:eastAsia="Arial" w:hAnsi="Arial"/>
                <w:sz w:val="12"/>
                <w:szCs w:val="12"/>
                <w:color w:val="auto"/>
              </w:rPr>
              <w:t>18,715,000</w:t>
            </w:r>
          </w:p>
        </w:tc>
        <w:tc>
          <w:tcPr>
            <w:tcW w:w="120" w:type="dxa"/>
            <w:vAlign w:val="bottom"/>
          </w:tcPr>
          <w:p>
            <w:pPr>
              <w:spacing w:after="0"/>
              <w:rPr>
                <w:sz w:val="12"/>
                <w:szCs w:val="12"/>
                <w:color w:val="auto"/>
              </w:rPr>
            </w:pPr>
          </w:p>
        </w:tc>
      </w:tr>
      <w:tr>
        <w:trPr>
          <w:trHeight w:val="148"/>
        </w:trPr>
        <w:tc>
          <w:tcPr>
            <w:tcW w:w="3480" w:type="dxa"/>
            <w:vAlign w:val="bottom"/>
            <w:gridSpan w:val="2"/>
            <w:shd w:val="clear" w:color="auto" w:fill="CCECFF"/>
          </w:tcPr>
          <w:p>
            <w:pPr>
              <w:spacing w:after="0"/>
              <w:rPr>
                <w:sz w:val="20"/>
                <w:szCs w:val="20"/>
                <w:color w:val="auto"/>
              </w:rPr>
            </w:pPr>
            <w:r>
              <w:rPr>
                <w:rFonts w:ascii="Arial" w:cs="Arial" w:eastAsia="Arial" w:hAnsi="Arial"/>
                <w:sz w:val="12"/>
                <w:szCs w:val="12"/>
                <w:color w:val="auto"/>
              </w:rPr>
              <w:t>Questex, LLC</w:t>
            </w:r>
          </w:p>
        </w:tc>
        <w:tc>
          <w:tcPr>
            <w:tcW w:w="640" w:type="dxa"/>
            <w:vAlign w:val="bottom"/>
            <w:shd w:val="clear" w:color="auto" w:fill="CCECFF"/>
          </w:tcPr>
          <w:p>
            <w:pPr>
              <w:jc w:val="center"/>
              <w:spacing w:after="0"/>
              <w:rPr>
                <w:sz w:val="20"/>
                <w:szCs w:val="20"/>
                <w:color w:val="auto"/>
              </w:rPr>
            </w:pPr>
            <w:r>
              <w:rPr>
                <w:rFonts w:ascii="Arial" w:cs="Arial" w:eastAsia="Arial" w:hAnsi="Arial"/>
                <w:sz w:val="12"/>
                <w:szCs w:val="12"/>
                <w:color w:val="auto"/>
                <w:w w:val="89"/>
              </w:rPr>
              <w:t>09/09/2024</w:t>
            </w:r>
          </w:p>
        </w:tc>
        <w:tc>
          <w:tcPr>
            <w:tcW w:w="120" w:type="dxa"/>
            <w:vAlign w:val="bottom"/>
            <w:shd w:val="clear" w:color="auto" w:fill="CCECFF"/>
          </w:tcPr>
          <w:p>
            <w:pPr>
              <w:spacing w:after="0"/>
              <w:rPr>
                <w:sz w:val="12"/>
                <w:szCs w:val="12"/>
                <w:color w:val="auto"/>
              </w:rPr>
            </w:pPr>
          </w:p>
        </w:tc>
        <w:tc>
          <w:tcPr>
            <w:tcW w:w="248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90"/>
              </w:rPr>
              <w:t>Media: Diversified and Production</w:t>
            </w:r>
          </w:p>
        </w:tc>
        <w:tc>
          <w:tcPr>
            <w:tcW w:w="920" w:type="dxa"/>
            <w:vAlign w:val="bottom"/>
            <w:gridSpan w:val="2"/>
            <w:shd w:val="clear" w:color="auto" w:fill="CCECFF"/>
          </w:tcPr>
          <w:p>
            <w:pPr>
              <w:jc w:val="right"/>
              <w:ind w:right="160"/>
              <w:spacing w:after="0"/>
              <w:rPr>
                <w:sz w:val="20"/>
                <w:szCs w:val="20"/>
                <w:color w:val="auto"/>
              </w:rPr>
            </w:pPr>
            <w:r>
              <w:rPr>
                <w:rFonts w:ascii="Arial" w:cs="Arial" w:eastAsia="Arial" w:hAnsi="Arial"/>
                <w:sz w:val="12"/>
                <w:szCs w:val="12"/>
                <w:color w:val="auto"/>
              </w:rPr>
              <w:t>7.11%</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3M L+500</w:t>
            </w:r>
          </w:p>
        </w:tc>
        <w:tc>
          <w:tcPr>
            <w:tcW w:w="90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7,425,000</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7,297,539</w:t>
            </w:r>
          </w:p>
        </w:tc>
        <w:tc>
          <w:tcPr>
            <w:tcW w:w="96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7,350,750</w:t>
            </w:r>
          </w:p>
        </w:tc>
        <w:tc>
          <w:tcPr>
            <w:tcW w:w="120" w:type="dxa"/>
            <w:vAlign w:val="bottom"/>
            <w:shd w:val="clear" w:color="auto" w:fill="CCECFF"/>
          </w:tcPr>
          <w:p>
            <w:pPr>
              <w:spacing w:after="0"/>
              <w:rPr>
                <w:sz w:val="12"/>
                <w:szCs w:val="12"/>
                <w:color w:val="auto"/>
              </w:rPr>
            </w:pPr>
          </w:p>
        </w:tc>
      </w:tr>
      <w:tr>
        <w:trPr>
          <w:trHeight w:val="148"/>
        </w:trPr>
        <w:tc>
          <w:tcPr>
            <w:tcW w:w="3480" w:type="dxa"/>
            <w:vAlign w:val="bottom"/>
            <w:gridSpan w:val="2"/>
          </w:tcPr>
          <w:p>
            <w:pPr>
              <w:spacing w:after="0" w:line="149" w:lineRule="exact"/>
              <w:rPr>
                <w:sz w:val="20"/>
                <w:szCs w:val="20"/>
                <w:color w:val="auto"/>
              </w:rPr>
            </w:pPr>
            <w:r>
              <w:rPr>
                <w:rFonts w:ascii="Arial" w:cs="Arial" w:eastAsia="Arial" w:hAnsi="Arial"/>
                <w:sz w:val="11"/>
                <w:szCs w:val="11"/>
                <w:color w:val="auto"/>
              </w:rPr>
              <w:t xml:space="preserve">Questex, LLC (Revolver) </w:t>
            </w:r>
            <w:r>
              <w:rPr>
                <w:rFonts w:ascii="Arial" w:cs="Arial" w:eastAsia="Arial" w:hAnsi="Arial"/>
                <w:sz w:val="17"/>
                <w:szCs w:val="17"/>
                <w:color w:val="auto"/>
                <w:vertAlign w:val="superscript"/>
              </w:rPr>
              <w:t>(7), (9)</w:t>
            </w:r>
          </w:p>
        </w:tc>
        <w:tc>
          <w:tcPr>
            <w:tcW w:w="640" w:type="dxa"/>
            <w:vAlign w:val="bottom"/>
          </w:tcPr>
          <w:p>
            <w:pPr>
              <w:jc w:val="center"/>
              <w:spacing w:after="0"/>
              <w:rPr>
                <w:sz w:val="20"/>
                <w:szCs w:val="20"/>
                <w:color w:val="auto"/>
              </w:rPr>
            </w:pPr>
            <w:r>
              <w:rPr>
                <w:rFonts w:ascii="Arial" w:cs="Arial" w:eastAsia="Arial" w:hAnsi="Arial"/>
                <w:sz w:val="12"/>
                <w:szCs w:val="12"/>
                <w:color w:val="auto"/>
                <w:w w:val="89"/>
              </w:rPr>
              <w:t>09/09/2024</w:t>
            </w:r>
          </w:p>
        </w:tc>
        <w:tc>
          <w:tcPr>
            <w:tcW w:w="120" w:type="dxa"/>
            <w:vAlign w:val="bottom"/>
          </w:tcPr>
          <w:p>
            <w:pPr>
              <w:spacing w:after="0"/>
              <w:rPr>
                <w:sz w:val="12"/>
                <w:szCs w:val="12"/>
                <w:color w:val="auto"/>
              </w:rPr>
            </w:pPr>
          </w:p>
        </w:tc>
        <w:tc>
          <w:tcPr>
            <w:tcW w:w="2480" w:type="dxa"/>
            <w:vAlign w:val="bottom"/>
            <w:gridSpan w:val="2"/>
          </w:tcPr>
          <w:p>
            <w:pPr>
              <w:jc w:val="center"/>
              <w:ind w:right="140"/>
              <w:spacing w:after="0"/>
              <w:rPr>
                <w:sz w:val="20"/>
                <w:szCs w:val="20"/>
                <w:color w:val="auto"/>
              </w:rPr>
            </w:pPr>
            <w:r>
              <w:rPr>
                <w:rFonts w:ascii="Arial" w:cs="Arial" w:eastAsia="Arial" w:hAnsi="Arial"/>
                <w:sz w:val="12"/>
                <w:szCs w:val="12"/>
                <w:color w:val="auto"/>
                <w:w w:val="90"/>
              </w:rPr>
              <w:t>Media: Diversified and Production</w:t>
            </w:r>
          </w:p>
        </w:tc>
        <w:tc>
          <w:tcPr>
            <w:tcW w:w="92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w:t>
            </w:r>
          </w:p>
        </w:tc>
        <w:tc>
          <w:tcPr>
            <w:tcW w:w="900" w:type="dxa"/>
            <w:vAlign w:val="bottom"/>
            <w:gridSpan w:val="2"/>
          </w:tcPr>
          <w:p>
            <w:pPr>
              <w:jc w:val="right"/>
              <w:spacing w:after="0"/>
              <w:rPr>
                <w:sz w:val="20"/>
                <w:szCs w:val="20"/>
                <w:color w:val="auto"/>
              </w:rPr>
            </w:pPr>
            <w:r>
              <w:rPr>
                <w:rFonts w:ascii="Arial" w:cs="Arial" w:eastAsia="Arial" w:hAnsi="Arial"/>
                <w:sz w:val="12"/>
                <w:szCs w:val="12"/>
                <w:color w:val="auto"/>
              </w:rPr>
              <w:t>1,196,809</w:t>
            </w:r>
          </w:p>
        </w:tc>
        <w:tc>
          <w:tcPr>
            <w:tcW w:w="22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w:t>
            </w:r>
          </w:p>
        </w:tc>
        <w:tc>
          <w:tcPr>
            <w:tcW w:w="1080" w:type="dxa"/>
            <w:vAlign w:val="bottom"/>
            <w:gridSpan w:val="3"/>
          </w:tcPr>
          <w:p>
            <w:pPr>
              <w:jc w:val="right"/>
              <w:ind w:right="80"/>
              <w:spacing w:after="0"/>
              <w:rPr>
                <w:sz w:val="20"/>
                <w:szCs w:val="20"/>
                <w:color w:val="auto"/>
              </w:rPr>
            </w:pPr>
            <w:r>
              <w:rPr>
                <w:rFonts w:ascii="Arial" w:cs="Arial" w:eastAsia="Arial" w:hAnsi="Arial"/>
                <w:sz w:val="12"/>
                <w:szCs w:val="12"/>
                <w:color w:val="auto"/>
              </w:rPr>
              <w:t>(11,968)</w:t>
            </w:r>
          </w:p>
        </w:tc>
      </w:tr>
      <w:tr>
        <w:trPr>
          <w:trHeight w:val="149"/>
        </w:trPr>
        <w:tc>
          <w:tcPr>
            <w:tcW w:w="3480" w:type="dxa"/>
            <w:vAlign w:val="bottom"/>
            <w:gridSpan w:val="2"/>
            <w:shd w:val="clear" w:color="auto" w:fill="CCECFF"/>
          </w:tcPr>
          <w:p>
            <w:pPr>
              <w:spacing w:after="0"/>
              <w:rPr>
                <w:sz w:val="20"/>
                <w:szCs w:val="20"/>
                <w:color w:val="auto"/>
              </w:rPr>
            </w:pPr>
            <w:r>
              <w:rPr>
                <w:rFonts w:ascii="Arial" w:cs="Arial" w:eastAsia="Arial" w:hAnsi="Arial"/>
                <w:sz w:val="12"/>
                <w:szCs w:val="12"/>
                <w:color w:val="auto"/>
              </w:rPr>
              <w:t>Research Horizons, LLC</w:t>
            </w:r>
          </w:p>
        </w:tc>
        <w:tc>
          <w:tcPr>
            <w:tcW w:w="640" w:type="dxa"/>
            <w:vAlign w:val="bottom"/>
            <w:shd w:val="clear" w:color="auto" w:fill="CCECFF"/>
          </w:tcPr>
          <w:p>
            <w:pPr>
              <w:jc w:val="center"/>
              <w:spacing w:after="0"/>
              <w:rPr>
                <w:sz w:val="20"/>
                <w:szCs w:val="20"/>
                <w:color w:val="auto"/>
              </w:rPr>
            </w:pPr>
            <w:r>
              <w:rPr>
                <w:rFonts w:ascii="Arial" w:cs="Arial" w:eastAsia="Arial" w:hAnsi="Arial"/>
                <w:sz w:val="12"/>
                <w:szCs w:val="12"/>
                <w:color w:val="auto"/>
                <w:w w:val="89"/>
              </w:rPr>
              <w:t>06/28/2022</w:t>
            </w:r>
          </w:p>
        </w:tc>
        <w:tc>
          <w:tcPr>
            <w:tcW w:w="120" w:type="dxa"/>
            <w:vAlign w:val="bottom"/>
            <w:shd w:val="clear" w:color="auto" w:fill="CCECFF"/>
          </w:tcPr>
          <w:p>
            <w:pPr>
              <w:spacing w:after="0"/>
              <w:rPr>
                <w:sz w:val="12"/>
                <w:szCs w:val="12"/>
                <w:color w:val="auto"/>
              </w:rPr>
            </w:pPr>
          </w:p>
        </w:tc>
        <w:tc>
          <w:tcPr>
            <w:tcW w:w="248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90"/>
              </w:rPr>
              <w:t>Media: Advertising, Printing and Publishing</w:t>
            </w:r>
          </w:p>
        </w:tc>
        <w:tc>
          <w:tcPr>
            <w:tcW w:w="920" w:type="dxa"/>
            <w:vAlign w:val="bottom"/>
            <w:gridSpan w:val="2"/>
            <w:shd w:val="clear" w:color="auto" w:fill="CCECFF"/>
          </w:tcPr>
          <w:p>
            <w:pPr>
              <w:jc w:val="right"/>
              <w:ind w:right="160"/>
              <w:spacing w:after="0"/>
              <w:rPr>
                <w:sz w:val="20"/>
                <w:szCs w:val="20"/>
                <w:color w:val="auto"/>
              </w:rPr>
            </w:pPr>
            <w:r>
              <w:rPr>
                <w:rFonts w:ascii="Arial" w:cs="Arial" w:eastAsia="Arial" w:hAnsi="Arial"/>
                <w:sz w:val="12"/>
                <w:szCs w:val="12"/>
                <w:color w:val="auto"/>
              </w:rPr>
              <w:t>8.36%</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3M L+625</w:t>
            </w:r>
          </w:p>
        </w:tc>
        <w:tc>
          <w:tcPr>
            <w:tcW w:w="90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7,241,807</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7,167,727</w:t>
            </w:r>
          </w:p>
        </w:tc>
        <w:tc>
          <w:tcPr>
            <w:tcW w:w="96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7,096,971</w:t>
            </w:r>
          </w:p>
        </w:tc>
        <w:tc>
          <w:tcPr>
            <w:tcW w:w="120" w:type="dxa"/>
            <w:vAlign w:val="bottom"/>
            <w:shd w:val="clear" w:color="auto" w:fill="CCECFF"/>
          </w:tcPr>
          <w:p>
            <w:pPr>
              <w:spacing w:after="0"/>
              <w:rPr>
                <w:sz w:val="12"/>
                <w:szCs w:val="12"/>
                <w:color w:val="auto"/>
              </w:rPr>
            </w:pPr>
          </w:p>
        </w:tc>
      </w:tr>
      <w:tr>
        <w:trPr>
          <w:trHeight w:val="155"/>
        </w:trPr>
        <w:tc>
          <w:tcPr>
            <w:tcW w:w="3480" w:type="dxa"/>
            <w:vAlign w:val="bottom"/>
            <w:gridSpan w:val="2"/>
          </w:tcPr>
          <w:p>
            <w:pPr>
              <w:spacing w:after="0"/>
              <w:rPr>
                <w:sz w:val="20"/>
                <w:szCs w:val="20"/>
                <w:color w:val="auto"/>
              </w:rPr>
            </w:pPr>
            <w:r>
              <w:rPr>
                <w:rFonts w:ascii="Arial" w:cs="Arial" w:eastAsia="Arial" w:hAnsi="Arial"/>
                <w:sz w:val="12"/>
                <w:szCs w:val="12"/>
                <w:color w:val="auto"/>
              </w:rPr>
              <w:t>Research Now Group, Inc. and Survey Sampling</w:t>
            </w:r>
          </w:p>
        </w:tc>
        <w:tc>
          <w:tcPr>
            <w:tcW w:w="640" w:type="dxa"/>
            <w:vAlign w:val="bottom"/>
          </w:tcPr>
          <w:p>
            <w:pPr>
              <w:jc w:val="center"/>
              <w:spacing w:after="0"/>
              <w:rPr>
                <w:sz w:val="20"/>
                <w:szCs w:val="20"/>
                <w:color w:val="auto"/>
              </w:rPr>
            </w:pPr>
            <w:r>
              <w:rPr>
                <w:rFonts w:ascii="Arial" w:cs="Arial" w:eastAsia="Arial" w:hAnsi="Arial"/>
                <w:sz w:val="12"/>
                <w:szCs w:val="12"/>
                <w:color w:val="auto"/>
                <w:w w:val="89"/>
              </w:rPr>
              <w:t>12/20/2024</w:t>
            </w:r>
          </w:p>
        </w:tc>
        <w:tc>
          <w:tcPr>
            <w:tcW w:w="120" w:type="dxa"/>
            <w:vAlign w:val="bottom"/>
          </w:tcPr>
          <w:p>
            <w:pPr>
              <w:spacing w:after="0"/>
              <w:rPr>
                <w:sz w:val="13"/>
                <w:szCs w:val="13"/>
                <w:color w:val="auto"/>
              </w:rPr>
            </w:pPr>
          </w:p>
        </w:tc>
        <w:tc>
          <w:tcPr>
            <w:tcW w:w="2480" w:type="dxa"/>
            <w:vAlign w:val="bottom"/>
            <w:gridSpan w:val="2"/>
          </w:tcPr>
          <w:p>
            <w:pPr>
              <w:jc w:val="center"/>
              <w:ind w:right="160"/>
              <w:spacing w:after="0"/>
              <w:rPr>
                <w:sz w:val="20"/>
                <w:szCs w:val="20"/>
                <w:color w:val="auto"/>
              </w:rPr>
            </w:pPr>
            <w:r>
              <w:rPr>
                <w:rFonts w:ascii="Arial" w:cs="Arial" w:eastAsia="Arial" w:hAnsi="Arial"/>
                <w:sz w:val="12"/>
                <w:szCs w:val="12"/>
                <w:color w:val="auto"/>
                <w:w w:val="85"/>
              </w:rPr>
              <w:t>Business Services</w:t>
            </w:r>
          </w:p>
        </w:tc>
        <w:tc>
          <w:tcPr>
            <w:tcW w:w="920" w:type="dxa"/>
            <w:vAlign w:val="bottom"/>
            <w:gridSpan w:val="2"/>
          </w:tcPr>
          <w:p>
            <w:pPr>
              <w:jc w:val="right"/>
              <w:ind w:right="160"/>
              <w:spacing w:after="0"/>
              <w:rPr>
                <w:sz w:val="20"/>
                <w:szCs w:val="20"/>
                <w:color w:val="auto"/>
              </w:rPr>
            </w:pPr>
            <w:r>
              <w:rPr>
                <w:rFonts w:ascii="Arial" w:cs="Arial" w:eastAsia="Arial" w:hAnsi="Arial"/>
                <w:sz w:val="12"/>
                <w:szCs w:val="12"/>
                <w:color w:val="auto"/>
              </w:rPr>
              <w:t>7.84%</w:t>
            </w:r>
          </w:p>
        </w:tc>
        <w:tc>
          <w:tcPr>
            <w:tcW w:w="680" w:type="dxa"/>
            <w:vAlign w:val="bottom"/>
          </w:tcPr>
          <w:p>
            <w:pPr>
              <w:jc w:val="right"/>
              <w:spacing w:after="0"/>
              <w:rPr>
                <w:sz w:val="20"/>
                <w:szCs w:val="20"/>
                <w:color w:val="auto"/>
              </w:rPr>
            </w:pPr>
            <w:r>
              <w:rPr>
                <w:rFonts w:ascii="Arial" w:cs="Arial" w:eastAsia="Arial" w:hAnsi="Arial"/>
                <w:sz w:val="12"/>
                <w:szCs w:val="12"/>
                <w:color w:val="auto"/>
              </w:rPr>
              <w:t>3M L+550</w:t>
            </w:r>
          </w:p>
        </w:tc>
        <w:tc>
          <w:tcPr>
            <w:tcW w:w="900" w:type="dxa"/>
            <w:vAlign w:val="bottom"/>
            <w:gridSpan w:val="2"/>
          </w:tcPr>
          <w:p>
            <w:pPr>
              <w:jc w:val="right"/>
              <w:spacing w:after="0"/>
              <w:rPr>
                <w:sz w:val="20"/>
                <w:szCs w:val="20"/>
                <w:color w:val="auto"/>
              </w:rPr>
            </w:pPr>
            <w:r>
              <w:rPr>
                <w:rFonts w:ascii="Arial" w:cs="Arial" w:eastAsia="Arial" w:hAnsi="Arial"/>
                <w:sz w:val="12"/>
                <w:szCs w:val="12"/>
                <w:color w:val="auto"/>
              </w:rPr>
              <w:t>24,562,500</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23,577,849</w:t>
            </w:r>
          </w:p>
        </w:tc>
        <w:tc>
          <w:tcPr>
            <w:tcW w:w="960" w:type="dxa"/>
            <w:vAlign w:val="bottom"/>
            <w:gridSpan w:val="2"/>
          </w:tcPr>
          <w:p>
            <w:pPr>
              <w:jc w:val="right"/>
              <w:spacing w:after="0"/>
              <w:rPr>
                <w:sz w:val="20"/>
                <w:szCs w:val="20"/>
                <w:color w:val="auto"/>
              </w:rPr>
            </w:pPr>
            <w:r>
              <w:rPr>
                <w:rFonts w:ascii="Arial" w:cs="Arial" w:eastAsia="Arial" w:hAnsi="Arial"/>
                <w:sz w:val="12"/>
                <w:szCs w:val="12"/>
                <w:color w:val="auto"/>
              </w:rPr>
              <w:t>24,600,818</w:t>
            </w:r>
          </w:p>
        </w:tc>
        <w:tc>
          <w:tcPr>
            <w:tcW w:w="120" w:type="dxa"/>
            <w:vAlign w:val="bottom"/>
          </w:tcPr>
          <w:p>
            <w:pPr>
              <w:spacing w:after="0"/>
              <w:rPr>
                <w:sz w:val="13"/>
                <w:szCs w:val="13"/>
                <w:color w:val="auto"/>
              </w:rPr>
            </w:pPr>
          </w:p>
        </w:tc>
      </w:tr>
      <w:tr>
        <w:trPr>
          <w:trHeight w:val="142"/>
        </w:trPr>
        <w:tc>
          <w:tcPr>
            <w:tcW w:w="3480" w:type="dxa"/>
            <w:vAlign w:val="bottom"/>
            <w:gridSpan w:val="2"/>
          </w:tcPr>
          <w:p>
            <w:pPr>
              <w:ind w:left="140"/>
              <w:spacing w:after="0"/>
              <w:rPr>
                <w:sz w:val="20"/>
                <w:szCs w:val="20"/>
                <w:color w:val="auto"/>
              </w:rPr>
            </w:pPr>
            <w:r>
              <w:rPr>
                <w:rFonts w:ascii="Arial" w:cs="Arial" w:eastAsia="Arial" w:hAnsi="Arial"/>
                <w:sz w:val="12"/>
                <w:szCs w:val="12"/>
                <w:color w:val="auto"/>
              </w:rPr>
              <w:t>International LLC</w:t>
            </w: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8"/>
        </w:trPr>
        <w:tc>
          <w:tcPr>
            <w:tcW w:w="3480" w:type="dxa"/>
            <w:vAlign w:val="bottom"/>
            <w:gridSpan w:val="2"/>
            <w:shd w:val="clear" w:color="auto" w:fill="CCECFF"/>
          </w:tcPr>
          <w:p>
            <w:pPr>
              <w:spacing w:after="0"/>
              <w:rPr>
                <w:sz w:val="20"/>
                <w:szCs w:val="20"/>
                <w:color w:val="auto"/>
              </w:rPr>
            </w:pPr>
            <w:r>
              <w:rPr>
                <w:rFonts w:ascii="Arial" w:cs="Arial" w:eastAsia="Arial" w:hAnsi="Arial"/>
                <w:sz w:val="12"/>
                <w:szCs w:val="12"/>
                <w:color w:val="auto"/>
              </w:rPr>
              <w:t>Riverpoint Medical, LLC</w:t>
            </w:r>
          </w:p>
        </w:tc>
        <w:tc>
          <w:tcPr>
            <w:tcW w:w="640" w:type="dxa"/>
            <w:vAlign w:val="bottom"/>
            <w:shd w:val="clear" w:color="auto" w:fill="CCECFF"/>
          </w:tcPr>
          <w:p>
            <w:pPr>
              <w:jc w:val="center"/>
              <w:spacing w:after="0"/>
              <w:rPr>
                <w:sz w:val="20"/>
                <w:szCs w:val="20"/>
                <w:color w:val="auto"/>
              </w:rPr>
            </w:pPr>
            <w:r>
              <w:rPr>
                <w:rFonts w:ascii="Arial" w:cs="Arial" w:eastAsia="Arial" w:hAnsi="Arial"/>
                <w:sz w:val="12"/>
                <w:szCs w:val="12"/>
                <w:color w:val="auto"/>
                <w:w w:val="89"/>
              </w:rPr>
              <w:t>06/20/2025</w:t>
            </w:r>
          </w:p>
        </w:tc>
        <w:tc>
          <w:tcPr>
            <w:tcW w:w="120" w:type="dxa"/>
            <w:vAlign w:val="bottom"/>
            <w:shd w:val="clear" w:color="auto" w:fill="CCECFF"/>
          </w:tcPr>
          <w:p>
            <w:pPr>
              <w:spacing w:after="0"/>
              <w:rPr>
                <w:sz w:val="12"/>
                <w:szCs w:val="12"/>
                <w:color w:val="auto"/>
              </w:rPr>
            </w:pPr>
          </w:p>
        </w:tc>
        <w:tc>
          <w:tcPr>
            <w:tcW w:w="2480" w:type="dxa"/>
            <w:vAlign w:val="bottom"/>
            <w:gridSpan w:val="2"/>
            <w:shd w:val="clear" w:color="auto" w:fill="CCECFF"/>
          </w:tcPr>
          <w:p>
            <w:pPr>
              <w:jc w:val="center"/>
              <w:ind w:right="160"/>
              <w:spacing w:after="0"/>
              <w:rPr>
                <w:sz w:val="20"/>
                <w:szCs w:val="20"/>
                <w:color w:val="auto"/>
              </w:rPr>
            </w:pPr>
            <w:r>
              <w:rPr>
                <w:rFonts w:ascii="Arial" w:cs="Arial" w:eastAsia="Arial" w:hAnsi="Arial"/>
                <w:sz w:val="12"/>
                <w:szCs w:val="12"/>
                <w:color w:val="auto"/>
                <w:w w:val="87"/>
              </w:rPr>
              <w:t>Healthcare Equipment and Supplies</w:t>
            </w:r>
          </w:p>
        </w:tc>
        <w:tc>
          <w:tcPr>
            <w:tcW w:w="920" w:type="dxa"/>
            <w:vAlign w:val="bottom"/>
            <w:gridSpan w:val="2"/>
            <w:shd w:val="clear" w:color="auto" w:fill="CCECFF"/>
          </w:tcPr>
          <w:p>
            <w:pPr>
              <w:jc w:val="right"/>
              <w:ind w:right="160"/>
              <w:spacing w:after="0"/>
              <w:rPr>
                <w:sz w:val="20"/>
                <w:szCs w:val="20"/>
                <w:color w:val="auto"/>
              </w:rPr>
            </w:pPr>
            <w:r>
              <w:rPr>
                <w:rFonts w:ascii="Arial" w:cs="Arial" w:eastAsia="Arial" w:hAnsi="Arial"/>
                <w:sz w:val="12"/>
                <w:szCs w:val="12"/>
                <w:color w:val="auto"/>
              </w:rPr>
              <w:t>7.39%</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3M L+500</w:t>
            </w:r>
          </w:p>
        </w:tc>
        <w:tc>
          <w:tcPr>
            <w:tcW w:w="90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4,987,500</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4,938,821</w:t>
            </w:r>
          </w:p>
        </w:tc>
        <w:tc>
          <w:tcPr>
            <w:tcW w:w="96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4,961,565</w:t>
            </w:r>
          </w:p>
        </w:tc>
        <w:tc>
          <w:tcPr>
            <w:tcW w:w="120" w:type="dxa"/>
            <w:vAlign w:val="bottom"/>
            <w:shd w:val="clear" w:color="auto" w:fill="CCECFF"/>
          </w:tcPr>
          <w:p>
            <w:pPr>
              <w:spacing w:after="0"/>
              <w:rPr>
                <w:sz w:val="12"/>
                <w:szCs w:val="12"/>
                <w:color w:val="auto"/>
              </w:rPr>
            </w:pPr>
          </w:p>
        </w:tc>
      </w:tr>
      <w:tr>
        <w:trPr>
          <w:trHeight w:val="148"/>
        </w:trPr>
        <w:tc>
          <w:tcPr>
            <w:tcW w:w="3480" w:type="dxa"/>
            <w:vAlign w:val="bottom"/>
            <w:gridSpan w:val="2"/>
          </w:tcPr>
          <w:p>
            <w:pPr>
              <w:spacing w:after="0" w:line="149" w:lineRule="exact"/>
              <w:rPr>
                <w:sz w:val="20"/>
                <w:szCs w:val="20"/>
                <w:color w:val="auto"/>
              </w:rPr>
            </w:pPr>
            <w:r>
              <w:rPr>
                <w:rFonts w:ascii="Arial" w:cs="Arial" w:eastAsia="Arial" w:hAnsi="Arial"/>
                <w:sz w:val="11"/>
                <w:szCs w:val="11"/>
                <w:color w:val="auto"/>
              </w:rPr>
              <w:t xml:space="preserve">Riverpoint Medical, LLC (Revolver) </w:t>
            </w:r>
            <w:r>
              <w:rPr>
                <w:rFonts w:ascii="Arial" w:cs="Arial" w:eastAsia="Arial" w:hAnsi="Arial"/>
                <w:sz w:val="17"/>
                <w:szCs w:val="17"/>
                <w:color w:val="auto"/>
                <w:vertAlign w:val="superscript"/>
              </w:rPr>
              <w:t>(7), (9)</w:t>
            </w:r>
          </w:p>
        </w:tc>
        <w:tc>
          <w:tcPr>
            <w:tcW w:w="640" w:type="dxa"/>
            <w:vAlign w:val="bottom"/>
          </w:tcPr>
          <w:p>
            <w:pPr>
              <w:jc w:val="center"/>
              <w:spacing w:after="0"/>
              <w:rPr>
                <w:sz w:val="20"/>
                <w:szCs w:val="20"/>
                <w:color w:val="auto"/>
              </w:rPr>
            </w:pPr>
            <w:r>
              <w:rPr>
                <w:rFonts w:ascii="Arial" w:cs="Arial" w:eastAsia="Arial" w:hAnsi="Arial"/>
                <w:sz w:val="12"/>
                <w:szCs w:val="12"/>
                <w:color w:val="auto"/>
                <w:w w:val="89"/>
              </w:rPr>
              <w:t>06/20/2025</w:t>
            </w:r>
          </w:p>
        </w:tc>
        <w:tc>
          <w:tcPr>
            <w:tcW w:w="120" w:type="dxa"/>
            <w:vAlign w:val="bottom"/>
          </w:tcPr>
          <w:p>
            <w:pPr>
              <w:spacing w:after="0"/>
              <w:rPr>
                <w:sz w:val="12"/>
                <w:szCs w:val="12"/>
                <w:color w:val="auto"/>
              </w:rPr>
            </w:pPr>
          </w:p>
        </w:tc>
        <w:tc>
          <w:tcPr>
            <w:tcW w:w="2480" w:type="dxa"/>
            <w:vAlign w:val="bottom"/>
            <w:gridSpan w:val="2"/>
          </w:tcPr>
          <w:p>
            <w:pPr>
              <w:jc w:val="center"/>
              <w:ind w:right="160"/>
              <w:spacing w:after="0"/>
              <w:rPr>
                <w:sz w:val="20"/>
                <w:szCs w:val="20"/>
                <w:color w:val="auto"/>
              </w:rPr>
            </w:pPr>
            <w:r>
              <w:rPr>
                <w:rFonts w:ascii="Arial" w:cs="Arial" w:eastAsia="Arial" w:hAnsi="Arial"/>
                <w:sz w:val="12"/>
                <w:szCs w:val="12"/>
                <w:color w:val="auto"/>
                <w:w w:val="87"/>
              </w:rPr>
              <w:t>Healthcare Equipment and Supplies</w:t>
            </w:r>
          </w:p>
        </w:tc>
        <w:tc>
          <w:tcPr>
            <w:tcW w:w="92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w:t>
            </w:r>
          </w:p>
        </w:tc>
        <w:tc>
          <w:tcPr>
            <w:tcW w:w="900" w:type="dxa"/>
            <w:vAlign w:val="bottom"/>
            <w:gridSpan w:val="2"/>
          </w:tcPr>
          <w:p>
            <w:pPr>
              <w:jc w:val="right"/>
              <w:spacing w:after="0"/>
              <w:rPr>
                <w:sz w:val="20"/>
                <w:szCs w:val="20"/>
                <w:color w:val="auto"/>
              </w:rPr>
            </w:pPr>
            <w:r>
              <w:rPr>
                <w:rFonts w:ascii="Arial" w:cs="Arial" w:eastAsia="Arial" w:hAnsi="Arial"/>
                <w:sz w:val="12"/>
                <w:szCs w:val="12"/>
                <w:color w:val="auto"/>
              </w:rPr>
              <w:t>909,091</w:t>
            </w:r>
          </w:p>
        </w:tc>
        <w:tc>
          <w:tcPr>
            <w:tcW w:w="22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w:t>
            </w:r>
          </w:p>
        </w:tc>
        <w:tc>
          <w:tcPr>
            <w:tcW w:w="1080" w:type="dxa"/>
            <w:vAlign w:val="bottom"/>
            <w:gridSpan w:val="3"/>
          </w:tcPr>
          <w:p>
            <w:pPr>
              <w:jc w:val="right"/>
              <w:ind w:right="80"/>
              <w:spacing w:after="0"/>
              <w:rPr>
                <w:sz w:val="20"/>
                <w:szCs w:val="20"/>
                <w:color w:val="auto"/>
              </w:rPr>
            </w:pPr>
            <w:r>
              <w:rPr>
                <w:rFonts w:ascii="Arial" w:cs="Arial" w:eastAsia="Arial" w:hAnsi="Arial"/>
                <w:sz w:val="12"/>
                <w:szCs w:val="12"/>
                <w:color w:val="auto"/>
              </w:rPr>
              <w:t>(4,727)</w:t>
            </w:r>
          </w:p>
        </w:tc>
      </w:tr>
      <w:tr>
        <w:trPr>
          <w:trHeight w:val="148"/>
        </w:trPr>
        <w:tc>
          <w:tcPr>
            <w:tcW w:w="3480" w:type="dxa"/>
            <w:vAlign w:val="bottom"/>
            <w:gridSpan w:val="2"/>
            <w:shd w:val="clear" w:color="auto" w:fill="CCECFF"/>
          </w:tcPr>
          <w:p>
            <w:pPr>
              <w:spacing w:after="0"/>
              <w:rPr>
                <w:sz w:val="20"/>
                <w:szCs w:val="20"/>
                <w:color w:val="auto"/>
              </w:rPr>
            </w:pPr>
            <w:r>
              <w:rPr>
                <w:rFonts w:ascii="Arial" w:cs="Arial" w:eastAsia="Arial" w:hAnsi="Arial"/>
                <w:sz w:val="12"/>
                <w:szCs w:val="12"/>
                <w:color w:val="auto"/>
              </w:rPr>
              <w:t>Salient CRGT Inc.</w:t>
            </w:r>
          </w:p>
        </w:tc>
        <w:tc>
          <w:tcPr>
            <w:tcW w:w="640" w:type="dxa"/>
            <w:vAlign w:val="bottom"/>
            <w:shd w:val="clear" w:color="auto" w:fill="CCECFF"/>
          </w:tcPr>
          <w:p>
            <w:pPr>
              <w:jc w:val="center"/>
              <w:spacing w:after="0"/>
              <w:rPr>
                <w:sz w:val="20"/>
                <w:szCs w:val="20"/>
                <w:color w:val="auto"/>
              </w:rPr>
            </w:pPr>
            <w:r>
              <w:rPr>
                <w:rFonts w:ascii="Arial" w:cs="Arial" w:eastAsia="Arial" w:hAnsi="Arial"/>
                <w:sz w:val="12"/>
                <w:szCs w:val="12"/>
                <w:color w:val="auto"/>
                <w:w w:val="89"/>
              </w:rPr>
              <w:t>02/28/2022</w:t>
            </w:r>
          </w:p>
        </w:tc>
        <w:tc>
          <w:tcPr>
            <w:tcW w:w="120" w:type="dxa"/>
            <w:vAlign w:val="bottom"/>
            <w:shd w:val="clear" w:color="auto" w:fill="CCECFF"/>
          </w:tcPr>
          <w:p>
            <w:pPr>
              <w:spacing w:after="0"/>
              <w:rPr>
                <w:sz w:val="12"/>
                <w:szCs w:val="12"/>
                <w:color w:val="auto"/>
              </w:rPr>
            </w:pPr>
          </w:p>
        </w:tc>
        <w:tc>
          <w:tcPr>
            <w:tcW w:w="248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89"/>
              </w:rPr>
              <w:t>High Tech Industries</w:t>
            </w:r>
          </w:p>
        </w:tc>
        <w:tc>
          <w:tcPr>
            <w:tcW w:w="920" w:type="dxa"/>
            <w:vAlign w:val="bottom"/>
            <w:gridSpan w:val="2"/>
            <w:shd w:val="clear" w:color="auto" w:fill="CCECFF"/>
          </w:tcPr>
          <w:p>
            <w:pPr>
              <w:jc w:val="right"/>
              <w:ind w:right="160"/>
              <w:spacing w:after="0"/>
              <w:rPr>
                <w:sz w:val="20"/>
                <w:szCs w:val="20"/>
                <w:color w:val="auto"/>
              </w:rPr>
            </w:pPr>
            <w:r>
              <w:rPr>
                <w:rFonts w:ascii="Arial" w:cs="Arial" w:eastAsia="Arial" w:hAnsi="Arial"/>
                <w:sz w:val="12"/>
                <w:szCs w:val="12"/>
                <w:color w:val="auto"/>
              </w:rPr>
              <w:t>8.05%</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1M L+600</w:t>
            </w:r>
          </w:p>
        </w:tc>
        <w:tc>
          <w:tcPr>
            <w:tcW w:w="90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1,771,740</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1,752,209</w:t>
            </w:r>
          </w:p>
        </w:tc>
        <w:tc>
          <w:tcPr>
            <w:tcW w:w="96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1,674,294</w:t>
            </w:r>
          </w:p>
        </w:tc>
        <w:tc>
          <w:tcPr>
            <w:tcW w:w="120" w:type="dxa"/>
            <w:vAlign w:val="bottom"/>
            <w:shd w:val="clear" w:color="auto" w:fill="CCECFF"/>
          </w:tcPr>
          <w:p>
            <w:pPr>
              <w:spacing w:after="0"/>
              <w:rPr>
                <w:sz w:val="12"/>
                <w:szCs w:val="12"/>
                <w:color w:val="auto"/>
              </w:rPr>
            </w:pPr>
          </w:p>
        </w:tc>
      </w:tr>
      <w:tr>
        <w:trPr>
          <w:trHeight w:val="149"/>
        </w:trPr>
        <w:tc>
          <w:tcPr>
            <w:tcW w:w="3480" w:type="dxa"/>
            <w:vAlign w:val="bottom"/>
            <w:gridSpan w:val="2"/>
          </w:tcPr>
          <w:p>
            <w:pPr>
              <w:spacing w:after="0"/>
              <w:rPr>
                <w:sz w:val="20"/>
                <w:szCs w:val="20"/>
                <w:color w:val="auto"/>
              </w:rPr>
            </w:pPr>
            <w:r>
              <w:rPr>
                <w:rFonts w:ascii="Arial" w:cs="Arial" w:eastAsia="Arial" w:hAnsi="Arial"/>
                <w:sz w:val="12"/>
                <w:szCs w:val="12"/>
                <w:color w:val="auto"/>
              </w:rPr>
              <w:t>Schlesinger Global, Inc.</w:t>
            </w:r>
          </w:p>
        </w:tc>
        <w:tc>
          <w:tcPr>
            <w:tcW w:w="640" w:type="dxa"/>
            <w:vAlign w:val="bottom"/>
          </w:tcPr>
          <w:p>
            <w:pPr>
              <w:jc w:val="center"/>
              <w:spacing w:after="0"/>
              <w:rPr>
                <w:sz w:val="20"/>
                <w:szCs w:val="20"/>
                <w:color w:val="auto"/>
              </w:rPr>
            </w:pPr>
            <w:r>
              <w:rPr>
                <w:rFonts w:ascii="Arial" w:cs="Arial" w:eastAsia="Arial" w:hAnsi="Arial"/>
                <w:sz w:val="12"/>
                <w:szCs w:val="12"/>
                <w:color w:val="auto"/>
                <w:w w:val="89"/>
              </w:rPr>
              <w:t>07/14/2025</w:t>
            </w:r>
          </w:p>
        </w:tc>
        <w:tc>
          <w:tcPr>
            <w:tcW w:w="120" w:type="dxa"/>
            <w:vAlign w:val="bottom"/>
          </w:tcPr>
          <w:p>
            <w:pPr>
              <w:spacing w:after="0"/>
              <w:rPr>
                <w:sz w:val="12"/>
                <w:szCs w:val="12"/>
                <w:color w:val="auto"/>
              </w:rPr>
            </w:pPr>
          </w:p>
        </w:tc>
        <w:tc>
          <w:tcPr>
            <w:tcW w:w="2480" w:type="dxa"/>
            <w:vAlign w:val="bottom"/>
            <w:gridSpan w:val="2"/>
          </w:tcPr>
          <w:p>
            <w:pPr>
              <w:jc w:val="center"/>
              <w:ind w:right="160"/>
              <w:spacing w:after="0"/>
              <w:rPr>
                <w:sz w:val="20"/>
                <w:szCs w:val="20"/>
                <w:color w:val="auto"/>
              </w:rPr>
            </w:pPr>
            <w:r>
              <w:rPr>
                <w:rFonts w:ascii="Arial" w:cs="Arial" w:eastAsia="Arial" w:hAnsi="Arial"/>
                <w:sz w:val="12"/>
                <w:szCs w:val="12"/>
                <w:color w:val="auto"/>
                <w:w w:val="86"/>
              </w:rPr>
              <w:t>Professional Services</w:t>
            </w:r>
          </w:p>
        </w:tc>
        <w:tc>
          <w:tcPr>
            <w:tcW w:w="920" w:type="dxa"/>
            <w:vAlign w:val="bottom"/>
            <w:gridSpan w:val="2"/>
          </w:tcPr>
          <w:p>
            <w:pPr>
              <w:jc w:val="right"/>
              <w:ind w:right="160"/>
              <w:spacing w:after="0"/>
              <w:rPr>
                <w:sz w:val="20"/>
                <w:szCs w:val="20"/>
                <w:color w:val="auto"/>
              </w:rPr>
            </w:pPr>
            <w:r>
              <w:rPr>
                <w:rFonts w:ascii="Arial" w:cs="Arial" w:eastAsia="Arial" w:hAnsi="Arial"/>
                <w:sz w:val="12"/>
                <w:szCs w:val="12"/>
                <w:color w:val="auto"/>
              </w:rPr>
              <w:t>7.14%</w:t>
            </w:r>
          </w:p>
        </w:tc>
        <w:tc>
          <w:tcPr>
            <w:tcW w:w="680" w:type="dxa"/>
            <w:vAlign w:val="bottom"/>
          </w:tcPr>
          <w:p>
            <w:pPr>
              <w:jc w:val="right"/>
              <w:spacing w:after="0"/>
              <w:rPr>
                <w:sz w:val="20"/>
                <w:szCs w:val="20"/>
                <w:color w:val="auto"/>
              </w:rPr>
            </w:pPr>
            <w:r>
              <w:rPr>
                <w:rFonts w:ascii="Arial" w:cs="Arial" w:eastAsia="Arial" w:hAnsi="Arial"/>
                <w:sz w:val="12"/>
                <w:szCs w:val="12"/>
                <w:color w:val="auto"/>
              </w:rPr>
              <w:t>1M L+500</w:t>
            </w:r>
          </w:p>
        </w:tc>
        <w:tc>
          <w:tcPr>
            <w:tcW w:w="900" w:type="dxa"/>
            <w:vAlign w:val="bottom"/>
            <w:gridSpan w:val="2"/>
          </w:tcPr>
          <w:p>
            <w:pPr>
              <w:jc w:val="right"/>
              <w:spacing w:after="0"/>
              <w:rPr>
                <w:sz w:val="20"/>
                <w:szCs w:val="20"/>
                <w:color w:val="auto"/>
              </w:rPr>
            </w:pPr>
            <w:r>
              <w:rPr>
                <w:rFonts w:ascii="Arial" w:cs="Arial" w:eastAsia="Arial" w:hAnsi="Arial"/>
                <w:sz w:val="12"/>
                <w:szCs w:val="12"/>
                <w:color w:val="auto"/>
              </w:rPr>
              <w:t>18,256,482</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17,988,515</w:t>
            </w:r>
          </w:p>
        </w:tc>
        <w:tc>
          <w:tcPr>
            <w:tcW w:w="960" w:type="dxa"/>
            <w:vAlign w:val="bottom"/>
            <w:gridSpan w:val="2"/>
          </w:tcPr>
          <w:p>
            <w:pPr>
              <w:jc w:val="right"/>
              <w:spacing w:after="0"/>
              <w:rPr>
                <w:sz w:val="20"/>
                <w:szCs w:val="20"/>
                <w:color w:val="auto"/>
              </w:rPr>
            </w:pPr>
            <w:r>
              <w:rPr>
                <w:rFonts w:ascii="Arial" w:cs="Arial" w:eastAsia="Arial" w:hAnsi="Arial"/>
                <w:sz w:val="12"/>
                <w:szCs w:val="12"/>
                <w:color w:val="auto"/>
              </w:rPr>
              <w:t>18,256,482</w:t>
            </w:r>
          </w:p>
        </w:tc>
        <w:tc>
          <w:tcPr>
            <w:tcW w:w="120" w:type="dxa"/>
            <w:vAlign w:val="bottom"/>
          </w:tcPr>
          <w:p>
            <w:pPr>
              <w:spacing w:after="0"/>
              <w:rPr>
                <w:sz w:val="12"/>
                <w:szCs w:val="12"/>
                <w:color w:val="auto"/>
              </w:rPr>
            </w:pPr>
          </w:p>
        </w:tc>
      </w:tr>
      <w:tr>
        <w:trPr>
          <w:trHeight w:val="148"/>
        </w:trPr>
        <w:tc>
          <w:tcPr>
            <w:tcW w:w="3480" w:type="dxa"/>
            <w:vAlign w:val="bottom"/>
            <w:gridSpan w:val="2"/>
            <w:shd w:val="clear" w:color="auto" w:fill="CCECFF"/>
          </w:tcPr>
          <w:p>
            <w:pPr>
              <w:spacing w:after="0" w:line="149" w:lineRule="exact"/>
              <w:rPr>
                <w:sz w:val="20"/>
                <w:szCs w:val="20"/>
                <w:color w:val="auto"/>
              </w:rPr>
            </w:pPr>
            <w:r>
              <w:rPr>
                <w:rFonts w:ascii="Arial" w:cs="Arial" w:eastAsia="Arial" w:hAnsi="Arial"/>
                <w:sz w:val="11"/>
                <w:szCs w:val="11"/>
                <w:color w:val="auto"/>
              </w:rPr>
              <w:t xml:space="preserve">Schlesinger Global, Inc. </w:t>
            </w:r>
            <w:r>
              <w:rPr>
                <w:rFonts w:ascii="Arial" w:cs="Arial" w:eastAsia="Arial" w:hAnsi="Arial"/>
                <w:sz w:val="17"/>
                <w:szCs w:val="17"/>
                <w:color w:val="auto"/>
                <w:vertAlign w:val="superscript"/>
              </w:rPr>
              <w:t>(7), (9)</w:t>
            </w:r>
          </w:p>
        </w:tc>
        <w:tc>
          <w:tcPr>
            <w:tcW w:w="640" w:type="dxa"/>
            <w:vAlign w:val="bottom"/>
            <w:shd w:val="clear" w:color="auto" w:fill="CCECFF"/>
          </w:tcPr>
          <w:p>
            <w:pPr>
              <w:jc w:val="center"/>
              <w:spacing w:after="0"/>
              <w:rPr>
                <w:sz w:val="20"/>
                <w:szCs w:val="20"/>
                <w:color w:val="auto"/>
              </w:rPr>
            </w:pPr>
            <w:r>
              <w:rPr>
                <w:rFonts w:ascii="Arial" w:cs="Arial" w:eastAsia="Arial" w:hAnsi="Arial"/>
                <w:sz w:val="12"/>
                <w:szCs w:val="12"/>
                <w:color w:val="auto"/>
                <w:w w:val="89"/>
              </w:rPr>
              <w:t>07/14/2025</w:t>
            </w:r>
          </w:p>
        </w:tc>
        <w:tc>
          <w:tcPr>
            <w:tcW w:w="120" w:type="dxa"/>
            <w:vAlign w:val="bottom"/>
            <w:shd w:val="clear" w:color="auto" w:fill="CCECFF"/>
          </w:tcPr>
          <w:p>
            <w:pPr>
              <w:spacing w:after="0"/>
              <w:rPr>
                <w:sz w:val="12"/>
                <w:szCs w:val="12"/>
                <w:color w:val="auto"/>
              </w:rPr>
            </w:pPr>
          </w:p>
        </w:tc>
        <w:tc>
          <w:tcPr>
            <w:tcW w:w="2480" w:type="dxa"/>
            <w:vAlign w:val="bottom"/>
            <w:gridSpan w:val="2"/>
            <w:shd w:val="clear" w:color="auto" w:fill="CCECFF"/>
          </w:tcPr>
          <w:p>
            <w:pPr>
              <w:jc w:val="center"/>
              <w:ind w:right="160"/>
              <w:spacing w:after="0"/>
              <w:rPr>
                <w:sz w:val="20"/>
                <w:szCs w:val="20"/>
                <w:color w:val="auto"/>
              </w:rPr>
            </w:pPr>
            <w:r>
              <w:rPr>
                <w:rFonts w:ascii="Arial" w:cs="Arial" w:eastAsia="Arial" w:hAnsi="Arial"/>
                <w:sz w:val="12"/>
                <w:szCs w:val="12"/>
                <w:color w:val="auto"/>
                <w:w w:val="86"/>
              </w:rPr>
              <w:t>Professional Services</w:t>
            </w:r>
          </w:p>
        </w:tc>
        <w:tc>
          <w:tcPr>
            <w:tcW w:w="920" w:type="dxa"/>
            <w:vAlign w:val="bottom"/>
            <w:gridSpan w:val="2"/>
            <w:shd w:val="clear" w:color="auto" w:fill="CCECFF"/>
          </w:tcPr>
          <w:p>
            <w:pPr>
              <w:jc w:val="right"/>
              <w:ind w:right="260"/>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90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4,007,789</w:t>
            </w:r>
          </w:p>
        </w:tc>
        <w:tc>
          <w:tcPr>
            <w:tcW w:w="220" w:type="dxa"/>
            <w:vAlign w:val="bottom"/>
            <w:shd w:val="clear" w:color="auto" w:fill="CCECFF"/>
          </w:tcPr>
          <w:p>
            <w:pPr>
              <w:spacing w:after="0"/>
              <w:rPr>
                <w:sz w:val="12"/>
                <w:szCs w:val="12"/>
                <w:color w:val="auto"/>
              </w:rPr>
            </w:pPr>
          </w:p>
        </w:tc>
        <w:tc>
          <w:tcPr>
            <w:tcW w:w="7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CFF"/>
          </w:tcPr>
          <w:p>
            <w:pPr>
              <w:spacing w:after="0"/>
              <w:rPr>
                <w:sz w:val="12"/>
                <w:szCs w:val="12"/>
                <w:color w:val="auto"/>
              </w:rPr>
            </w:pPr>
          </w:p>
        </w:tc>
        <w:tc>
          <w:tcPr>
            <w:tcW w:w="86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w:t>
            </w:r>
          </w:p>
        </w:tc>
      </w:tr>
      <w:tr>
        <w:trPr>
          <w:trHeight w:val="148"/>
        </w:trPr>
        <w:tc>
          <w:tcPr>
            <w:tcW w:w="3480" w:type="dxa"/>
            <w:vAlign w:val="bottom"/>
            <w:gridSpan w:val="2"/>
          </w:tcPr>
          <w:p>
            <w:pPr>
              <w:spacing w:after="0" w:line="149" w:lineRule="exact"/>
              <w:rPr>
                <w:sz w:val="20"/>
                <w:szCs w:val="20"/>
                <w:color w:val="auto"/>
              </w:rPr>
            </w:pPr>
            <w:r>
              <w:rPr>
                <w:rFonts w:ascii="Arial" w:cs="Arial" w:eastAsia="Arial" w:hAnsi="Arial"/>
                <w:sz w:val="11"/>
                <w:szCs w:val="11"/>
                <w:color w:val="auto"/>
              </w:rPr>
              <w:t xml:space="preserve">Schlesinger Global, Inc. (Revolver) </w:t>
            </w:r>
            <w:r>
              <w:rPr>
                <w:rFonts w:ascii="Arial" w:cs="Arial" w:eastAsia="Arial" w:hAnsi="Arial"/>
                <w:sz w:val="17"/>
                <w:szCs w:val="17"/>
                <w:color w:val="auto"/>
                <w:vertAlign w:val="superscript"/>
              </w:rPr>
              <w:t>(7)</w:t>
            </w:r>
          </w:p>
        </w:tc>
        <w:tc>
          <w:tcPr>
            <w:tcW w:w="640" w:type="dxa"/>
            <w:vAlign w:val="bottom"/>
          </w:tcPr>
          <w:p>
            <w:pPr>
              <w:jc w:val="center"/>
              <w:spacing w:after="0"/>
              <w:rPr>
                <w:sz w:val="20"/>
                <w:szCs w:val="20"/>
                <w:color w:val="auto"/>
              </w:rPr>
            </w:pPr>
            <w:r>
              <w:rPr>
                <w:rFonts w:ascii="Arial" w:cs="Arial" w:eastAsia="Arial" w:hAnsi="Arial"/>
                <w:sz w:val="12"/>
                <w:szCs w:val="12"/>
                <w:color w:val="auto"/>
                <w:w w:val="89"/>
              </w:rPr>
              <w:t>07/14/2025</w:t>
            </w:r>
          </w:p>
        </w:tc>
        <w:tc>
          <w:tcPr>
            <w:tcW w:w="120" w:type="dxa"/>
            <w:vAlign w:val="bottom"/>
          </w:tcPr>
          <w:p>
            <w:pPr>
              <w:spacing w:after="0"/>
              <w:rPr>
                <w:sz w:val="12"/>
                <w:szCs w:val="12"/>
                <w:color w:val="auto"/>
              </w:rPr>
            </w:pPr>
          </w:p>
        </w:tc>
        <w:tc>
          <w:tcPr>
            <w:tcW w:w="2480" w:type="dxa"/>
            <w:vAlign w:val="bottom"/>
            <w:gridSpan w:val="2"/>
          </w:tcPr>
          <w:p>
            <w:pPr>
              <w:jc w:val="center"/>
              <w:ind w:right="160"/>
              <w:spacing w:after="0"/>
              <w:rPr>
                <w:sz w:val="20"/>
                <w:szCs w:val="20"/>
                <w:color w:val="auto"/>
              </w:rPr>
            </w:pPr>
            <w:r>
              <w:rPr>
                <w:rFonts w:ascii="Arial" w:cs="Arial" w:eastAsia="Arial" w:hAnsi="Arial"/>
                <w:sz w:val="12"/>
                <w:szCs w:val="12"/>
                <w:color w:val="auto"/>
                <w:w w:val="86"/>
              </w:rPr>
              <w:t>Professional Services</w:t>
            </w:r>
          </w:p>
        </w:tc>
        <w:tc>
          <w:tcPr>
            <w:tcW w:w="920" w:type="dxa"/>
            <w:vAlign w:val="bottom"/>
            <w:gridSpan w:val="2"/>
          </w:tcPr>
          <w:p>
            <w:pPr>
              <w:jc w:val="right"/>
              <w:ind w:right="160"/>
              <w:spacing w:after="0"/>
              <w:rPr>
                <w:sz w:val="20"/>
                <w:szCs w:val="20"/>
                <w:color w:val="auto"/>
              </w:rPr>
            </w:pPr>
            <w:r>
              <w:rPr>
                <w:rFonts w:ascii="Arial" w:cs="Arial" w:eastAsia="Arial" w:hAnsi="Arial"/>
                <w:sz w:val="12"/>
                <w:szCs w:val="12"/>
                <w:color w:val="auto"/>
              </w:rPr>
              <w:t>7.82%</w:t>
            </w:r>
          </w:p>
        </w:tc>
        <w:tc>
          <w:tcPr>
            <w:tcW w:w="680" w:type="dxa"/>
            <w:vAlign w:val="bottom"/>
          </w:tcPr>
          <w:p>
            <w:pPr>
              <w:jc w:val="right"/>
              <w:spacing w:after="0"/>
              <w:rPr>
                <w:sz w:val="20"/>
                <w:szCs w:val="20"/>
                <w:color w:val="auto"/>
              </w:rPr>
            </w:pPr>
            <w:r>
              <w:rPr>
                <w:rFonts w:ascii="Arial" w:cs="Arial" w:eastAsia="Arial" w:hAnsi="Arial"/>
                <w:sz w:val="12"/>
                <w:szCs w:val="12"/>
                <w:color w:val="auto"/>
              </w:rPr>
              <w:t>3M L+500</w:t>
            </w:r>
          </w:p>
        </w:tc>
        <w:tc>
          <w:tcPr>
            <w:tcW w:w="900" w:type="dxa"/>
            <w:vAlign w:val="bottom"/>
            <w:gridSpan w:val="2"/>
          </w:tcPr>
          <w:p>
            <w:pPr>
              <w:jc w:val="right"/>
              <w:spacing w:after="0"/>
              <w:rPr>
                <w:sz w:val="20"/>
                <w:szCs w:val="20"/>
                <w:color w:val="auto"/>
              </w:rPr>
            </w:pPr>
            <w:r>
              <w:rPr>
                <w:rFonts w:ascii="Arial" w:cs="Arial" w:eastAsia="Arial" w:hAnsi="Arial"/>
                <w:sz w:val="12"/>
                <w:szCs w:val="12"/>
                <w:color w:val="auto"/>
              </w:rPr>
              <w:t>667,965</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667,965</w:t>
            </w:r>
          </w:p>
        </w:tc>
        <w:tc>
          <w:tcPr>
            <w:tcW w:w="960" w:type="dxa"/>
            <w:vAlign w:val="bottom"/>
            <w:gridSpan w:val="2"/>
          </w:tcPr>
          <w:p>
            <w:pPr>
              <w:jc w:val="right"/>
              <w:spacing w:after="0"/>
              <w:rPr>
                <w:sz w:val="20"/>
                <w:szCs w:val="20"/>
                <w:color w:val="auto"/>
              </w:rPr>
            </w:pPr>
            <w:r>
              <w:rPr>
                <w:rFonts w:ascii="Arial" w:cs="Arial" w:eastAsia="Arial" w:hAnsi="Arial"/>
                <w:sz w:val="12"/>
                <w:szCs w:val="12"/>
                <w:color w:val="auto"/>
              </w:rPr>
              <w:t>667,965</w:t>
            </w:r>
          </w:p>
        </w:tc>
        <w:tc>
          <w:tcPr>
            <w:tcW w:w="120" w:type="dxa"/>
            <w:vAlign w:val="bottom"/>
          </w:tcPr>
          <w:p>
            <w:pPr>
              <w:spacing w:after="0"/>
              <w:rPr>
                <w:sz w:val="12"/>
                <w:szCs w:val="12"/>
                <w:color w:val="auto"/>
              </w:rPr>
            </w:pPr>
          </w:p>
        </w:tc>
      </w:tr>
      <w:tr>
        <w:trPr>
          <w:trHeight w:val="148"/>
        </w:trPr>
        <w:tc>
          <w:tcPr>
            <w:tcW w:w="3480" w:type="dxa"/>
            <w:vAlign w:val="bottom"/>
            <w:gridSpan w:val="2"/>
            <w:shd w:val="clear" w:color="auto" w:fill="CCECFF"/>
          </w:tcPr>
          <w:p>
            <w:pPr>
              <w:spacing w:after="0" w:line="149" w:lineRule="exact"/>
              <w:rPr>
                <w:sz w:val="20"/>
                <w:szCs w:val="20"/>
                <w:color w:val="auto"/>
              </w:rPr>
            </w:pPr>
            <w:r>
              <w:rPr>
                <w:rFonts w:ascii="Arial" w:cs="Arial" w:eastAsia="Arial" w:hAnsi="Arial"/>
                <w:sz w:val="11"/>
                <w:szCs w:val="11"/>
                <w:color w:val="auto"/>
              </w:rPr>
              <w:t xml:space="preserve">Schlesinger Global, Inc. (Revolver) </w:t>
            </w:r>
            <w:r>
              <w:rPr>
                <w:rFonts w:ascii="Arial" w:cs="Arial" w:eastAsia="Arial" w:hAnsi="Arial"/>
                <w:sz w:val="17"/>
                <w:szCs w:val="17"/>
                <w:color w:val="auto"/>
                <w:vertAlign w:val="superscript"/>
              </w:rPr>
              <w:t>(7), (9)</w:t>
            </w:r>
          </w:p>
        </w:tc>
        <w:tc>
          <w:tcPr>
            <w:tcW w:w="640" w:type="dxa"/>
            <w:vAlign w:val="bottom"/>
            <w:shd w:val="clear" w:color="auto" w:fill="CCECFF"/>
          </w:tcPr>
          <w:p>
            <w:pPr>
              <w:jc w:val="center"/>
              <w:spacing w:after="0"/>
              <w:rPr>
                <w:sz w:val="20"/>
                <w:szCs w:val="20"/>
                <w:color w:val="auto"/>
              </w:rPr>
            </w:pPr>
            <w:r>
              <w:rPr>
                <w:rFonts w:ascii="Arial" w:cs="Arial" w:eastAsia="Arial" w:hAnsi="Arial"/>
                <w:sz w:val="12"/>
                <w:szCs w:val="12"/>
                <w:color w:val="auto"/>
                <w:w w:val="89"/>
              </w:rPr>
              <w:t>07/14/2025</w:t>
            </w:r>
          </w:p>
        </w:tc>
        <w:tc>
          <w:tcPr>
            <w:tcW w:w="120" w:type="dxa"/>
            <w:vAlign w:val="bottom"/>
            <w:shd w:val="clear" w:color="auto" w:fill="CCECFF"/>
          </w:tcPr>
          <w:p>
            <w:pPr>
              <w:spacing w:after="0"/>
              <w:rPr>
                <w:sz w:val="12"/>
                <w:szCs w:val="12"/>
                <w:color w:val="auto"/>
              </w:rPr>
            </w:pPr>
          </w:p>
        </w:tc>
        <w:tc>
          <w:tcPr>
            <w:tcW w:w="2480" w:type="dxa"/>
            <w:vAlign w:val="bottom"/>
            <w:gridSpan w:val="2"/>
            <w:shd w:val="clear" w:color="auto" w:fill="CCECFF"/>
          </w:tcPr>
          <w:p>
            <w:pPr>
              <w:jc w:val="center"/>
              <w:ind w:right="160"/>
              <w:spacing w:after="0"/>
              <w:rPr>
                <w:sz w:val="20"/>
                <w:szCs w:val="20"/>
                <w:color w:val="auto"/>
              </w:rPr>
            </w:pPr>
            <w:r>
              <w:rPr>
                <w:rFonts w:ascii="Arial" w:cs="Arial" w:eastAsia="Arial" w:hAnsi="Arial"/>
                <w:sz w:val="12"/>
                <w:szCs w:val="12"/>
                <w:color w:val="auto"/>
                <w:w w:val="86"/>
              </w:rPr>
              <w:t>Professional Services</w:t>
            </w:r>
          </w:p>
        </w:tc>
        <w:tc>
          <w:tcPr>
            <w:tcW w:w="920" w:type="dxa"/>
            <w:vAlign w:val="bottom"/>
            <w:gridSpan w:val="2"/>
            <w:shd w:val="clear" w:color="auto" w:fill="CCECFF"/>
          </w:tcPr>
          <w:p>
            <w:pPr>
              <w:jc w:val="right"/>
              <w:ind w:right="260"/>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90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1,202,337</w:t>
            </w:r>
          </w:p>
        </w:tc>
        <w:tc>
          <w:tcPr>
            <w:tcW w:w="220" w:type="dxa"/>
            <w:vAlign w:val="bottom"/>
            <w:shd w:val="clear" w:color="auto" w:fill="CCECFF"/>
          </w:tcPr>
          <w:p>
            <w:pPr>
              <w:spacing w:after="0"/>
              <w:rPr>
                <w:sz w:val="12"/>
                <w:szCs w:val="12"/>
                <w:color w:val="auto"/>
              </w:rPr>
            </w:pPr>
          </w:p>
        </w:tc>
        <w:tc>
          <w:tcPr>
            <w:tcW w:w="7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CFF"/>
          </w:tcPr>
          <w:p>
            <w:pPr>
              <w:spacing w:after="0"/>
              <w:rPr>
                <w:sz w:val="12"/>
                <w:szCs w:val="12"/>
                <w:color w:val="auto"/>
              </w:rPr>
            </w:pPr>
          </w:p>
        </w:tc>
        <w:tc>
          <w:tcPr>
            <w:tcW w:w="86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w:t>
            </w:r>
          </w:p>
        </w:tc>
      </w:tr>
      <w:tr>
        <w:trPr>
          <w:trHeight w:val="149"/>
        </w:trPr>
        <w:tc>
          <w:tcPr>
            <w:tcW w:w="3480" w:type="dxa"/>
            <w:vAlign w:val="bottom"/>
            <w:gridSpan w:val="2"/>
          </w:tcPr>
          <w:p>
            <w:pPr>
              <w:spacing w:after="0"/>
              <w:rPr>
                <w:sz w:val="20"/>
                <w:szCs w:val="20"/>
                <w:color w:val="auto"/>
              </w:rPr>
            </w:pPr>
            <w:r>
              <w:rPr>
                <w:rFonts w:ascii="Arial" w:cs="Arial" w:eastAsia="Arial" w:hAnsi="Arial"/>
                <w:sz w:val="12"/>
                <w:szCs w:val="12"/>
                <w:color w:val="auto"/>
              </w:rPr>
              <w:t>Signature Systems Holding Company</w:t>
            </w:r>
          </w:p>
        </w:tc>
        <w:tc>
          <w:tcPr>
            <w:tcW w:w="640" w:type="dxa"/>
            <w:vAlign w:val="bottom"/>
          </w:tcPr>
          <w:p>
            <w:pPr>
              <w:jc w:val="center"/>
              <w:spacing w:after="0"/>
              <w:rPr>
                <w:sz w:val="20"/>
                <w:szCs w:val="20"/>
                <w:color w:val="auto"/>
              </w:rPr>
            </w:pPr>
            <w:r>
              <w:rPr>
                <w:rFonts w:ascii="Arial" w:cs="Arial" w:eastAsia="Arial" w:hAnsi="Arial"/>
                <w:sz w:val="12"/>
                <w:szCs w:val="12"/>
                <w:color w:val="auto"/>
                <w:w w:val="89"/>
              </w:rPr>
              <w:t>05/03/2024</w:t>
            </w:r>
          </w:p>
        </w:tc>
        <w:tc>
          <w:tcPr>
            <w:tcW w:w="120" w:type="dxa"/>
            <w:vAlign w:val="bottom"/>
          </w:tcPr>
          <w:p>
            <w:pPr>
              <w:spacing w:after="0"/>
              <w:rPr>
                <w:sz w:val="12"/>
                <w:szCs w:val="12"/>
                <w:color w:val="auto"/>
              </w:rPr>
            </w:pPr>
          </w:p>
        </w:tc>
        <w:tc>
          <w:tcPr>
            <w:tcW w:w="2480" w:type="dxa"/>
            <w:vAlign w:val="bottom"/>
            <w:gridSpan w:val="2"/>
          </w:tcPr>
          <w:p>
            <w:pPr>
              <w:jc w:val="center"/>
              <w:ind w:right="140"/>
              <w:spacing w:after="0"/>
              <w:rPr>
                <w:sz w:val="20"/>
                <w:szCs w:val="20"/>
                <w:color w:val="auto"/>
              </w:rPr>
            </w:pPr>
            <w:r>
              <w:rPr>
                <w:rFonts w:ascii="Arial" w:cs="Arial" w:eastAsia="Arial" w:hAnsi="Arial"/>
                <w:sz w:val="12"/>
                <w:szCs w:val="12"/>
                <w:color w:val="auto"/>
                <w:w w:val="88"/>
              </w:rPr>
              <w:t>Commercial Services &amp; Supplies</w:t>
            </w:r>
          </w:p>
        </w:tc>
        <w:tc>
          <w:tcPr>
            <w:tcW w:w="920" w:type="dxa"/>
            <w:vAlign w:val="bottom"/>
            <w:gridSpan w:val="2"/>
          </w:tcPr>
          <w:p>
            <w:pPr>
              <w:jc w:val="right"/>
              <w:ind w:right="160"/>
              <w:spacing w:after="0"/>
              <w:rPr>
                <w:sz w:val="20"/>
                <w:szCs w:val="20"/>
                <w:color w:val="auto"/>
              </w:rPr>
            </w:pPr>
            <w:r>
              <w:rPr>
                <w:rFonts w:ascii="Arial" w:cs="Arial" w:eastAsia="Arial" w:hAnsi="Arial"/>
                <w:sz w:val="12"/>
                <w:szCs w:val="12"/>
                <w:color w:val="auto"/>
              </w:rPr>
              <w:t>8.60%</w:t>
            </w:r>
          </w:p>
        </w:tc>
        <w:tc>
          <w:tcPr>
            <w:tcW w:w="680" w:type="dxa"/>
            <w:vAlign w:val="bottom"/>
          </w:tcPr>
          <w:p>
            <w:pPr>
              <w:jc w:val="right"/>
              <w:spacing w:after="0"/>
              <w:rPr>
                <w:sz w:val="20"/>
                <w:szCs w:val="20"/>
                <w:color w:val="auto"/>
              </w:rPr>
            </w:pPr>
            <w:r>
              <w:rPr>
                <w:rFonts w:ascii="Arial" w:cs="Arial" w:eastAsia="Arial" w:hAnsi="Arial"/>
                <w:sz w:val="12"/>
                <w:szCs w:val="12"/>
                <w:color w:val="auto"/>
              </w:rPr>
              <w:t>1M L+650</w:t>
            </w:r>
          </w:p>
        </w:tc>
        <w:tc>
          <w:tcPr>
            <w:tcW w:w="900" w:type="dxa"/>
            <w:vAlign w:val="bottom"/>
            <w:gridSpan w:val="2"/>
          </w:tcPr>
          <w:p>
            <w:pPr>
              <w:jc w:val="right"/>
              <w:spacing w:after="0"/>
              <w:rPr>
                <w:sz w:val="20"/>
                <w:szCs w:val="20"/>
                <w:color w:val="auto"/>
              </w:rPr>
            </w:pPr>
            <w:r>
              <w:rPr>
                <w:rFonts w:ascii="Arial" w:cs="Arial" w:eastAsia="Arial" w:hAnsi="Arial"/>
                <w:sz w:val="12"/>
                <w:szCs w:val="12"/>
                <w:color w:val="auto"/>
              </w:rPr>
              <w:t>12,918,768</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12,735,120</w:t>
            </w:r>
          </w:p>
        </w:tc>
        <w:tc>
          <w:tcPr>
            <w:tcW w:w="960" w:type="dxa"/>
            <w:vAlign w:val="bottom"/>
            <w:gridSpan w:val="2"/>
          </w:tcPr>
          <w:p>
            <w:pPr>
              <w:jc w:val="right"/>
              <w:spacing w:after="0"/>
              <w:rPr>
                <w:sz w:val="20"/>
                <w:szCs w:val="20"/>
                <w:color w:val="auto"/>
              </w:rPr>
            </w:pPr>
            <w:r>
              <w:rPr>
                <w:rFonts w:ascii="Arial" w:cs="Arial" w:eastAsia="Arial" w:hAnsi="Arial"/>
                <w:sz w:val="12"/>
                <w:szCs w:val="12"/>
                <w:color w:val="auto"/>
              </w:rPr>
              <w:t>12,918,768</w:t>
            </w:r>
          </w:p>
        </w:tc>
        <w:tc>
          <w:tcPr>
            <w:tcW w:w="120" w:type="dxa"/>
            <w:vAlign w:val="bottom"/>
          </w:tcPr>
          <w:p>
            <w:pPr>
              <w:spacing w:after="0"/>
              <w:rPr>
                <w:sz w:val="12"/>
                <w:szCs w:val="12"/>
                <w:color w:val="auto"/>
              </w:rPr>
            </w:pPr>
          </w:p>
        </w:tc>
      </w:tr>
      <w:tr>
        <w:trPr>
          <w:trHeight w:val="148"/>
        </w:trPr>
        <w:tc>
          <w:tcPr>
            <w:tcW w:w="3480" w:type="dxa"/>
            <w:vAlign w:val="bottom"/>
            <w:gridSpan w:val="2"/>
            <w:shd w:val="clear" w:color="auto" w:fill="CCECFF"/>
          </w:tcPr>
          <w:p>
            <w:pPr>
              <w:spacing w:after="0" w:line="149" w:lineRule="exact"/>
              <w:rPr>
                <w:sz w:val="20"/>
                <w:szCs w:val="20"/>
                <w:color w:val="auto"/>
              </w:rPr>
            </w:pPr>
            <w:r>
              <w:rPr>
                <w:rFonts w:ascii="Arial" w:cs="Arial" w:eastAsia="Arial" w:hAnsi="Arial"/>
                <w:sz w:val="11"/>
                <w:szCs w:val="11"/>
                <w:color w:val="auto"/>
              </w:rPr>
              <w:t xml:space="preserve">Signature Systems Holding Company (Revolver) </w:t>
            </w:r>
            <w:r>
              <w:rPr>
                <w:rFonts w:ascii="Arial" w:cs="Arial" w:eastAsia="Arial" w:hAnsi="Arial"/>
                <w:sz w:val="17"/>
                <w:szCs w:val="17"/>
                <w:color w:val="auto"/>
                <w:vertAlign w:val="superscript"/>
              </w:rPr>
              <w:t>(7), (9)</w:t>
            </w:r>
          </w:p>
        </w:tc>
        <w:tc>
          <w:tcPr>
            <w:tcW w:w="640" w:type="dxa"/>
            <w:vAlign w:val="bottom"/>
            <w:shd w:val="clear" w:color="auto" w:fill="CCECFF"/>
          </w:tcPr>
          <w:p>
            <w:pPr>
              <w:jc w:val="center"/>
              <w:spacing w:after="0"/>
              <w:rPr>
                <w:sz w:val="20"/>
                <w:szCs w:val="20"/>
                <w:color w:val="auto"/>
              </w:rPr>
            </w:pPr>
            <w:r>
              <w:rPr>
                <w:rFonts w:ascii="Arial" w:cs="Arial" w:eastAsia="Arial" w:hAnsi="Arial"/>
                <w:sz w:val="12"/>
                <w:szCs w:val="12"/>
                <w:color w:val="auto"/>
                <w:w w:val="89"/>
              </w:rPr>
              <w:t>05/03/2024</w:t>
            </w:r>
          </w:p>
        </w:tc>
        <w:tc>
          <w:tcPr>
            <w:tcW w:w="120" w:type="dxa"/>
            <w:vAlign w:val="bottom"/>
            <w:shd w:val="clear" w:color="auto" w:fill="CCECFF"/>
          </w:tcPr>
          <w:p>
            <w:pPr>
              <w:spacing w:after="0"/>
              <w:rPr>
                <w:sz w:val="12"/>
                <w:szCs w:val="12"/>
                <w:color w:val="auto"/>
              </w:rPr>
            </w:pPr>
          </w:p>
        </w:tc>
        <w:tc>
          <w:tcPr>
            <w:tcW w:w="248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88"/>
              </w:rPr>
              <w:t>Commercial Services &amp; Supplies</w:t>
            </w:r>
          </w:p>
        </w:tc>
        <w:tc>
          <w:tcPr>
            <w:tcW w:w="920" w:type="dxa"/>
            <w:vAlign w:val="bottom"/>
            <w:gridSpan w:val="2"/>
            <w:shd w:val="clear" w:color="auto" w:fill="CCECFF"/>
          </w:tcPr>
          <w:p>
            <w:pPr>
              <w:jc w:val="right"/>
              <w:ind w:right="260"/>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90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1,747,312</w:t>
            </w:r>
          </w:p>
        </w:tc>
        <w:tc>
          <w:tcPr>
            <w:tcW w:w="220" w:type="dxa"/>
            <w:vAlign w:val="bottom"/>
            <w:shd w:val="clear" w:color="auto" w:fill="CCECFF"/>
          </w:tcPr>
          <w:p>
            <w:pPr>
              <w:spacing w:after="0"/>
              <w:rPr>
                <w:sz w:val="12"/>
                <w:szCs w:val="12"/>
                <w:color w:val="auto"/>
              </w:rPr>
            </w:pPr>
          </w:p>
        </w:tc>
        <w:tc>
          <w:tcPr>
            <w:tcW w:w="7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CFF"/>
          </w:tcPr>
          <w:p>
            <w:pPr>
              <w:spacing w:after="0"/>
              <w:rPr>
                <w:sz w:val="12"/>
                <w:szCs w:val="12"/>
                <w:color w:val="auto"/>
              </w:rPr>
            </w:pPr>
          </w:p>
        </w:tc>
        <w:tc>
          <w:tcPr>
            <w:tcW w:w="86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w:t>
            </w:r>
          </w:p>
        </w:tc>
      </w:tr>
      <w:tr>
        <w:trPr>
          <w:trHeight w:val="149"/>
        </w:trPr>
        <w:tc>
          <w:tcPr>
            <w:tcW w:w="3480" w:type="dxa"/>
            <w:vAlign w:val="bottom"/>
            <w:gridSpan w:val="2"/>
          </w:tcPr>
          <w:p>
            <w:pPr>
              <w:spacing w:after="0" w:line="149" w:lineRule="exact"/>
              <w:rPr>
                <w:sz w:val="20"/>
                <w:szCs w:val="20"/>
                <w:color w:val="auto"/>
              </w:rPr>
            </w:pPr>
            <w:r>
              <w:rPr>
                <w:rFonts w:ascii="Arial" w:cs="Arial" w:eastAsia="Arial" w:hAnsi="Arial"/>
                <w:sz w:val="11"/>
                <w:szCs w:val="11"/>
                <w:color w:val="auto"/>
              </w:rPr>
              <w:t xml:space="preserve">Smile Brands Inc. </w:t>
            </w:r>
            <w:r>
              <w:rPr>
                <w:rFonts w:ascii="Arial" w:cs="Arial" w:eastAsia="Arial" w:hAnsi="Arial"/>
                <w:sz w:val="17"/>
                <w:szCs w:val="17"/>
                <w:color w:val="auto"/>
                <w:vertAlign w:val="superscript"/>
              </w:rPr>
              <w:t>(7)</w:t>
            </w:r>
          </w:p>
        </w:tc>
        <w:tc>
          <w:tcPr>
            <w:tcW w:w="640" w:type="dxa"/>
            <w:vAlign w:val="bottom"/>
          </w:tcPr>
          <w:p>
            <w:pPr>
              <w:jc w:val="center"/>
              <w:spacing w:after="0"/>
              <w:rPr>
                <w:sz w:val="20"/>
                <w:szCs w:val="20"/>
                <w:color w:val="auto"/>
              </w:rPr>
            </w:pPr>
            <w:r>
              <w:rPr>
                <w:rFonts w:ascii="Arial" w:cs="Arial" w:eastAsia="Arial" w:hAnsi="Arial"/>
                <w:sz w:val="12"/>
                <w:szCs w:val="12"/>
                <w:color w:val="auto"/>
                <w:w w:val="89"/>
              </w:rPr>
              <w:t>10/14/2024</w:t>
            </w:r>
          </w:p>
        </w:tc>
        <w:tc>
          <w:tcPr>
            <w:tcW w:w="120" w:type="dxa"/>
            <w:vAlign w:val="bottom"/>
          </w:tcPr>
          <w:p>
            <w:pPr>
              <w:spacing w:after="0"/>
              <w:rPr>
                <w:sz w:val="12"/>
                <w:szCs w:val="12"/>
                <w:color w:val="auto"/>
              </w:rPr>
            </w:pPr>
          </w:p>
        </w:tc>
        <w:tc>
          <w:tcPr>
            <w:tcW w:w="2480" w:type="dxa"/>
            <w:vAlign w:val="bottom"/>
            <w:gridSpan w:val="2"/>
          </w:tcPr>
          <w:p>
            <w:pPr>
              <w:jc w:val="center"/>
              <w:ind w:right="140"/>
              <w:spacing w:after="0"/>
              <w:rPr>
                <w:sz w:val="20"/>
                <w:szCs w:val="20"/>
                <w:color w:val="auto"/>
              </w:rPr>
            </w:pPr>
            <w:r>
              <w:rPr>
                <w:rFonts w:ascii="Arial" w:cs="Arial" w:eastAsia="Arial" w:hAnsi="Arial"/>
                <w:sz w:val="12"/>
                <w:szCs w:val="12"/>
                <w:color w:val="auto"/>
                <w:w w:val="86"/>
              </w:rPr>
              <w:t>Healthcare and Pharmaceuticals</w:t>
            </w:r>
          </w:p>
        </w:tc>
        <w:tc>
          <w:tcPr>
            <w:tcW w:w="920" w:type="dxa"/>
            <w:vAlign w:val="bottom"/>
            <w:gridSpan w:val="2"/>
          </w:tcPr>
          <w:p>
            <w:pPr>
              <w:jc w:val="right"/>
              <w:ind w:right="160"/>
              <w:spacing w:after="0"/>
              <w:rPr>
                <w:sz w:val="20"/>
                <w:szCs w:val="20"/>
                <w:color w:val="auto"/>
              </w:rPr>
            </w:pPr>
            <w:r>
              <w:rPr>
                <w:rFonts w:ascii="Arial" w:cs="Arial" w:eastAsia="Arial" w:hAnsi="Arial"/>
                <w:sz w:val="12"/>
                <w:szCs w:val="12"/>
                <w:color w:val="auto"/>
              </w:rPr>
              <w:t>6.64%</w:t>
            </w:r>
          </w:p>
        </w:tc>
        <w:tc>
          <w:tcPr>
            <w:tcW w:w="680" w:type="dxa"/>
            <w:vAlign w:val="bottom"/>
          </w:tcPr>
          <w:p>
            <w:pPr>
              <w:jc w:val="right"/>
              <w:spacing w:after="0"/>
              <w:rPr>
                <w:sz w:val="20"/>
                <w:szCs w:val="20"/>
                <w:color w:val="auto"/>
              </w:rPr>
            </w:pPr>
            <w:r>
              <w:rPr>
                <w:rFonts w:ascii="Arial" w:cs="Arial" w:eastAsia="Arial" w:hAnsi="Arial"/>
                <w:sz w:val="12"/>
                <w:szCs w:val="12"/>
                <w:color w:val="auto"/>
              </w:rPr>
              <w:t>1M L+450</w:t>
            </w:r>
          </w:p>
        </w:tc>
        <w:tc>
          <w:tcPr>
            <w:tcW w:w="900" w:type="dxa"/>
            <w:vAlign w:val="bottom"/>
            <w:gridSpan w:val="2"/>
          </w:tcPr>
          <w:p>
            <w:pPr>
              <w:jc w:val="right"/>
              <w:spacing w:after="0"/>
              <w:rPr>
                <w:sz w:val="20"/>
                <w:szCs w:val="20"/>
                <w:color w:val="auto"/>
              </w:rPr>
            </w:pPr>
            <w:r>
              <w:rPr>
                <w:rFonts w:ascii="Arial" w:cs="Arial" w:eastAsia="Arial" w:hAnsi="Arial"/>
                <w:sz w:val="12"/>
                <w:szCs w:val="12"/>
                <w:color w:val="auto"/>
              </w:rPr>
              <w:t>2,136,667</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2,136,667</w:t>
            </w:r>
          </w:p>
        </w:tc>
        <w:tc>
          <w:tcPr>
            <w:tcW w:w="960" w:type="dxa"/>
            <w:vAlign w:val="bottom"/>
            <w:gridSpan w:val="2"/>
          </w:tcPr>
          <w:p>
            <w:pPr>
              <w:jc w:val="right"/>
              <w:spacing w:after="0"/>
              <w:rPr>
                <w:sz w:val="20"/>
                <w:szCs w:val="20"/>
                <w:color w:val="auto"/>
              </w:rPr>
            </w:pPr>
            <w:r>
              <w:rPr>
                <w:rFonts w:ascii="Arial" w:cs="Arial" w:eastAsia="Arial" w:hAnsi="Arial"/>
                <w:sz w:val="12"/>
                <w:szCs w:val="12"/>
                <w:color w:val="auto"/>
              </w:rPr>
              <w:t>2,115,300</w:t>
            </w:r>
          </w:p>
        </w:tc>
        <w:tc>
          <w:tcPr>
            <w:tcW w:w="120" w:type="dxa"/>
            <w:vAlign w:val="bottom"/>
          </w:tcPr>
          <w:p>
            <w:pPr>
              <w:spacing w:after="0"/>
              <w:rPr>
                <w:sz w:val="12"/>
                <w:szCs w:val="12"/>
                <w:color w:val="auto"/>
              </w:rPr>
            </w:pPr>
          </w:p>
        </w:tc>
      </w:tr>
      <w:tr>
        <w:trPr>
          <w:trHeight w:val="148"/>
        </w:trPr>
        <w:tc>
          <w:tcPr>
            <w:tcW w:w="3480" w:type="dxa"/>
            <w:vAlign w:val="bottom"/>
            <w:gridSpan w:val="2"/>
            <w:shd w:val="clear" w:color="auto" w:fill="CCECFF"/>
          </w:tcPr>
          <w:p>
            <w:pPr>
              <w:spacing w:after="0" w:line="149" w:lineRule="exact"/>
              <w:rPr>
                <w:sz w:val="20"/>
                <w:szCs w:val="20"/>
                <w:color w:val="auto"/>
              </w:rPr>
            </w:pPr>
            <w:r>
              <w:rPr>
                <w:rFonts w:ascii="Arial" w:cs="Arial" w:eastAsia="Arial" w:hAnsi="Arial"/>
                <w:sz w:val="11"/>
                <w:szCs w:val="11"/>
                <w:color w:val="auto"/>
              </w:rPr>
              <w:t xml:space="preserve">Smile Brands Inc. </w:t>
            </w:r>
            <w:r>
              <w:rPr>
                <w:rFonts w:ascii="Arial" w:cs="Arial" w:eastAsia="Arial" w:hAnsi="Arial"/>
                <w:sz w:val="17"/>
                <w:szCs w:val="17"/>
                <w:color w:val="auto"/>
                <w:vertAlign w:val="superscript"/>
              </w:rPr>
              <w:t>(7), (9)</w:t>
            </w:r>
          </w:p>
        </w:tc>
        <w:tc>
          <w:tcPr>
            <w:tcW w:w="640" w:type="dxa"/>
            <w:vAlign w:val="bottom"/>
            <w:shd w:val="clear" w:color="auto" w:fill="CCECFF"/>
          </w:tcPr>
          <w:p>
            <w:pPr>
              <w:jc w:val="center"/>
              <w:spacing w:after="0"/>
              <w:rPr>
                <w:sz w:val="20"/>
                <w:szCs w:val="20"/>
                <w:color w:val="auto"/>
              </w:rPr>
            </w:pPr>
            <w:r>
              <w:rPr>
                <w:rFonts w:ascii="Arial" w:cs="Arial" w:eastAsia="Arial" w:hAnsi="Arial"/>
                <w:sz w:val="12"/>
                <w:szCs w:val="12"/>
                <w:color w:val="auto"/>
                <w:w w:val="89"/>
              </w:rPr>
              <w:t>10/14/2024</w:t>
            </w:r>
          </w:p>
        </w:tc>
        <w:tc>
          <w:tcPr>
            <w:tcW w:w="120" w:type="dxa"/>
            <w:vAlign w:val="bottom"/>
            <w:shd w:val="clear" w:color="auto" w:fill="CCECFF"/>
          </w:tcPr>
          <w:p>
            <w:pPr>
              <w:spacing w:after="0"/>
              <w:rPr>
                <w:sz w:val="12"/>
                <w:szCs w:val="12"/>
                <w:color w:val="auto"/>
              </w:rPr>
            </w:pPr>
          </w:p>
        </w:tc>
        <w:tc>
          <w:tcPr>
            <w:tcW w:w="248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86"/>
              </w:rPr>
              <w:t>Healthcare and Pharmaceuticals</w:t>
            </w:r>
          </w:p>
        </w:tc>
        <w:tc>
          <w:tcPr>
            <w:tcW w:w="920" w:type="dxa"/>
            <w:vAlign w:val="bottom"/>
            <w:gridSpan w:val="2"/>
            <w:shd w:val="clear" w:color="auto" w:fill="CCECFF"/>
          </w:tcPr>
          <w:p>
            <w:pPr>
              <w:jc w:val="right"/>
              <w:ind w:right="260"/>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90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2,362,585</w:t>
            </w:r>
          </w:p>
        </w:tc>
        <w:tc>
          <w:tcPr>
            <w:tcW w:w="220" w:type="dxa"/>
            <w:vAlign w:val="bottom"/>
            <w:shd w:val="clear" w:color="auto" w:fill="CCECFF"/>
          </w:tcPr>
          <w:p>
            <w:pPr>
              <w:spacing w:after="0"/>
              <w:rPr>
                <w:sz w:val="12"/>
                <w:szCs w:val="12"/>
                <w:color w:val="auto"/>
              </w:rPr>
            </w:pPr>
          </w:p>
        </w:tc>
        <w:tc>
          <w:tcPr>
            <w:tcW w:w="7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1080" w:type="dxa"/>
            <w:vAlign w:val="bottom"/>
            <w:gridSpan w:val="3"/>
            <w:shd w:val="clear" w:color="auto" w:fill="CCECFF"/>
          </w:tcPr>
          <w:p>
            <w:pPr>
              <w:jc w:val="right"/>
              <w:ind w:right="80"/>
              <w:spacing w:after="0"/>
              <w:rPr>
                <w:sz w:val="20"/>
                <w:szCs w:val="20"/>
                <w:color w:val="auto"/>
              </w:rPr>
            </w:pPr>
            <w:r>
              <w:rPr>
                <w:rFonts w:ascii="Arial" w:cs="Arial" w:eastAsia="Arial" w:hAnsi="Arial"/>
                <w:sz w:val="12"/>
                <w:szCs w:val="12"/>
                <w:color w:val="auto"/>
              </w:rPr>
              <w:t>(23,626)</w:t>
            </w:r>
          </w:p>
        </w:tc>
      </w:tr>
      <w:tr>
        <w:trPr>
          <w:trHeight w:val="148"/>
        </w:trPr>
        <w:tc>
          <w:tcPr>
            <w:tcW w:w="3480" w:type="dxa"/>
            <w:vAlign w:val="bottom"/>
            <w:gridSpan w:val="2"/>
          </w:tcPr>
          <w:p>
            <w:pPr>
              <w:spacing w:after="0" w:line="149" w:lineRule="exact"/>
              <w:rPr>
                <w:sz w:val="20"/>
                <w:szCs w:val="20"/>
                <w:color w:val="auto"/>
              </w:rPr>
            </w:pPr>
            <w:r>
              <w:rPr>
                <w:rFonts w:ascii="Arial" w:cs="Arial" w:eastAsia="Arial" w:hAnsi="Arial"/>
                <w:sz w:val="11"/>
                <w:szCs w:val="11"/>
                <w:color w:val="auto"/>
              </w:rPr>
              <w:t xml:space="preserve">Smile Brands Inc. (Revolver) </w:t>
            </w:r>
            <w:r>
              <w:rPr>
                <w:rFonts w:ascii="Arial" w:cs="Arial" w:eastAsia="Arial" w:hAnsi="Arial"/>
                <w:sz w:val="17"/>
                <w:szCs w:val="17"/>
                <w:color w:val="auto"/>
                <w:vertAlign w:val="superscript"/>
              </w:rPr>
              <w:t>(7)</w:t>
            </w:r>
          </w:p>
        </w:tc>
        <w:tc>
          <w:tcPr>
            <w:tcW w:w="640" w:type="dxa"/>
            <w:vAlign w:val="bottom"/>
          </w:tcPr>
          <w:p>
            <w:pPr>
              <w:jc w:val="center"/>
              <w:spacing w:after="0"/>
              <w:rPr>
                <w:sz w:val="20"/>
                <w:szCs w:val="20"/>
                <w:color w:val="auto"/>
              </w:rPr>
            </w:pPr>
            <w:r>
              <w:rPr>
                <w:rFonts w:ascii="Arial" w:cs="Arial" w:eastAsia="Arial" w:hAnsi="Arial"/>
                <w:sz w:val="12"/>
                <w:szCs w:val="12"/>
                <w:color w:val="auto"/>
                <w:w w:val="89"/>
              </w:rPr>
              <w:t>10/14/2024</w:t>
            </w:r>
          </w:p>
        </w:tc>
        <w:tc>
          <w:tcPr>
            <w:tcW w:w="120" w:type="dxa"/>
            <w:vAlign w:val="bottom"/>
          </w:tcPr>
          <w:p>
            <w:pPr>
              <w:spacing w:after="0"/>
              <w:rPr>
                <w:sz w:val="12"/>
                <w:szCs w:val="12"/>
                <w:color w:val="auto"/>
              </w:rPr>
            </w:pPr>
          </w:p>
        </w:tc>
        <w:tc>
          <w:tcPr>
            <w:tcW w:w="2480" w:type="dxa"/>
            <w:vAlign w:val="bottom"/>
            <w:gridSpan w:val="2"/>
          </w:tcPr>
          <w:p>
            <w:pPr>
              <w:jc w:val="center"/>
              <w:ind w:right="140"/>
              <w:spacing w:after="0"/>
              <w:rPr>
                <w:sz w:val="20"/>
                <w:szCs w:val="20"/>
                <w:color w:val="auto"/>
              </w:rPr>
            </w:pPr>
            <w:r>
              <w:rPr>
                <w:rFonts w:ascii="Arial" w:cs="Arial" w:eastAsia="Arial" w:hAnsi="Arial"/>
                <w:sz w:val="12"/>
                <w:szCs w:val="12"/>
                <w:color w:val="auto"/>
                <w:w w:val="86"/>
              </w:rPr>
              <w:t>Healthcare and Pharmaceuticals</w:t>
            </w:r>
          </w:p>
        </w:tc>
        <w:tc>
          <w:tcPr>
            <w:tcW w:w="920" w:type="dxa"/>
            <w:vAlign w:val="bottom"/>
            <w:gridSpan w:val="2"/>
          </w:tcPr>
          <w:p>
            <w:pPr>
              <w:jc w:val="right"/>
              <w:ind w:right="160"/>
              <w:spacing w:after="0"/>
              <w:rPr>
                <w:sz w:val="20"/>
                <w:szCs w:val="20"/>
                <w:color w:val="auto"/>
              </w:rPr>
            </w:pPr>
            <w:r>
              <w:rPr>
                <w:rFonts w:ascii="Arial" w:cs="Arial" w:eastAsia="Arial" w:hAnsi="Arial"/>
                <w:sz w:val="12"/>
                <w:szCs w:val="12"/>
                <w:color w:val="auto"/>
              </w:rPr>
              <w:t>8.61%</w:t>
            </w:r>
          </w:p>
        </w:tc>
        <w:tc>
          <w:tcPr>
            <w:tcW w:w="680" w:type="dxa"/>
            <w:vAlign w:val="bottom"/>
          </w:tcPr>
          <w:p>
            <w:pPr>
              <w:jc w:val="right"/>
              <w:spacing w:after="0"/>
              <w:rPr>
                <w:sz w:val="20"/>
                <w:szCs w:val="20"/>
                <w:color w:val="auto"/>
              </w:rPr>
            </w:pPr>
            <w:r>
              <w:rPr>
                <w:rFonts w:ascii="Arial" w:cs="Arial" w:eastAsia="Arial" w:hAnsi="Arial"/>
                <w:sz w:val="12"/>
                <w:szCs w:val="12"/>
                <w:color w:val="auto"/>
              </w:rPr>
              <w:t>P+350</w:t>
            </w:r>
          </w:p>
        </w:tc>
        <w:tc>
          <w:tcPr>
            <w:tcW w:w="900" w:type="dxa"/>
            <w:vAlign w:val="bottom"/>
            <w:gridSpan w:val="2"/>
          </w:tcPr>
          <w:p>
            <w:pPr>
              <w:jc w:val="right"/>
              <w:spacing w:after="0"/>
              <w:rPr>
                <w:sz w:val="20"/>
                <w:szCs w:val="20"/>
                <w:color w:val="auto"/>
              </w:rPr>
            </w:pPr>
            <w:r>
              <w:rPr>
                <w:rFonts w:ascii="Arial" w:cs="Arial" w:eastAsia="Arial" w:hAnsi="Arial"/>
                <w:sz w:val="12"/>
                <w:szCs w:val="12"/>
                <w:color w:val="auto"/>
              </w:rPr>
              <w:t>242,438</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242,438</w:t>
            </w:r>
          </w:p>
        </w:tc>
        <w:tc>
          <w:tcPr>
            <w:tcW w:w="960" w:type="dxa"/>
            <w:vAlign w:val="bottom"/>
            <w:gridSpan w:val="2"/>
          </w:tcPr>
          <w:p>
            <w:pPr>
              <w:jc w:val="right"/>
              <w:spacing w:after="0"/>
              <w:rPr>
                <w:sz w:val="20"/>
                <w:szCs w:val="20"/>
                <w:color w:val="auto"/>
              </w:rPr>
            </w:pPr>
            <w:r>
              <w:rPr>
                <w:rFonts w:ascii="Arial" w:cs="Arial" w:eastAsia="Arial" w:hAnsi="Arial"/>
                <w:sz w:val="12"/>
                <w:szCs w:val="12"/>
                <w:color w:val="auto"/>
              </w:rPr>
              <w:t>238,025</w:t>
            </w:r>
          </w:p>
        </w:tc>
        <w:tc>
          <w:tcPr>
            <w:tcW w:w="120" w:type="dxa"/>
            <w:vAlign w:val="bottom"/>
          </w:tcPr>
          <w:p>
            <w:pPr>
              <w:spacing w:after="0"/>
              <w:rPr>
                <w:sz w:val="12"/>
                <w:szCs w:val="12"/>
                <w:color w:val="auto"/>
              </w:rPr>
            </w:pPr>
          </w:p>
        </w:tc>
      </w:tr>
      <w:tr>
        <w:trPr>
          <w:trHeight w:val="149"/>
        </w:trPr>
        <w:tc>
          <w:tcPr>
            <w:tcW w:w="3480" w:type="dxa"/>
            <w:vAlign w:val="bottom"/>
            <w:gridSpan w:val="2"/>
            <w:shd w:val="clear" w:color="auto" w:fill="CCECFF"/>
          </w:tcPr>
          <w:p>
            <w:pPr>
              <w:spacing w:after="0" w:line="149" w:lineRule="exact"/>
              <w:rPr>
                <w:sz w:val="20"/>
                <w:szCs w:val="20"/>
                <w:color w:val="auto"/>
              </w:rPr>
            </w:pPr>
            <w:r>
              <w:rPr>
                <w:rFonts w:ascii="Arial" w:cs="Arial" w:eastAsia="Arial" w:hAnsi="Arial"/>
                <w:sz w:val="11"/>
                <w:szCs w:val="11"/>
                <w:color w:val="auto"/>
              </w:rPr>
              <w:t xml:space="preserve">Smile Brands Inc. (Revolver) </w:t>
            </w:r>
            <w:r>
              <w:rPr>
                <w:rFonts w:ascii="Arial" w:cs="Arial" w:eastAsia="Arial" w:hAnsi="Arial"/>
                <w:sz w:val="17"/>
                <w:szCs w:val="17"/>
                <w:color w:val="auto"/>
                <w:vertAlign w:val="superscript"/>
              </w:rPr>
              <w:t>(7), (9)</w:t>
            </w:r>
          </w:p>
        </w:tc>
        <w:tc>
          <w:tcPr>
            <w:tcW w:w="640" w:type="dxa"/>
            <w:vAlign w:val="bottom"/>
            <w:shd w:val="clear" w:color="auto" w:fill="CCECFF"/>
          </w:tcPr>
          <w:p>
            <w:pPr>
              <w:jc w:val="center"/>
              <w:spacing w:after="0"/>
              <w:rPr>
                <w:sz w:val="20"/>
                <w:szCs w:val="20"/>
                <w:color w:val="auto"/>
              </w:rPr>
            </w:pPr>
            <w:r>
              <w:rPr>
                <w:rFonts w:ascii="Arial" w:cs="Arial" w:eastAsia="Arial" w:hAnsi="Arial"/>
                <w:sz w:val="12"/>
                <w:szCs w:val="12"/>
                <w:color w:val="auto"/>
                <w:w w:val="89"/>
              </w:rPr>
              <w:t>10/14/2024</w:t>
            </w:r>
          </w:p>
        </w:tc>
        <w:tc>
          <w:tcPr>
            <w:tcW w:w="120" w:type="dxa"/>
            <w:vAlign w:val="bottom"/>
            <w:shd w:val="clear" w:color="auto" w:fill="CCECFF"/>
          </w:tcPr>
          <w:p>
            <w:pPr>
              <w:spacing w:after="0"/>
              <w:rPr>
                <w:sz w:val="12"/>
                <w:szCs w:val="12"/>
                <w:color w:val="auto"/>
              </w:rPr>
            </w:pPr>
          </w:p>
        </w:tc>
        <w:tc>
          <w:tcPr>
            <w:tcW w:w="248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86"/>
              </w:rPr>
              <w:t>Healthcare and Pharmaceuticals</w:t>
            </w:r>
          </w:p>
        </w:tc>
        <w:tc>
          <w:tcPr>
            <w:tcW w:w="920" w:type="dxa"/>
            <w:vAlign w:val="bottom"/>
            <w:gridSpan w:val="2"/>
            <w:shd w:val="clear" w:color="auto" w:fill="CCECFF"/>
          </w:tcPr>
          <w:p>
            <w:pPr>
              <w:jc w:val="right"/>
              <w:ind w:right="260"/>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90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1,373,813</w:t>
            </w:r>
          </w:p>
        </w:tc>
        <w:tc>
          <w:tcPr>
            <w:tcW w:w="220" w:type="dxa"/>
            <w:vAlign w:val="bottom"/>
            <w:shd w:val="clear" w:color="auto" w:fill="CCECFF"/>
          </w:tcPr>
          <w:p>
            <w:pPr>
              <w:spacing w:after="0"/>
              <w:rPr>
                <w:sz w:val="12"/>
                <w:szCs w:val="12"/>
                <w:color w:val="auto"/>
              </w:rPr>
            </w:pPr>
          </w:p>
        </w:tc>
        <w:tc>
          <w:tcPr>
            <w:tcW w:w="7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1080" w:type="dxa"/>
            <w:vAlign w:val="bottom"/>
            <w:gridSpan w:val="3"/>
            <w:shd w:val="clear" w:color="auto" w:fill="CCECFF"/>
          </w:tcPr>
          <w:p>
            <w:pPr>
              <w:jc w:val="right"/>
              <w:ind w:right="80"/>
              <w:spacing w:after="0"/>
              <w:rPr>
                <w:sz w:val="20"/>
                <w:szCs w:val="20"/>
                <w:color w:val="auto"/>
              </w:rPr>
            </w:pPr>
            <w:r>
              <w:rPr>
                <w:rFonts w:ascii="Arial" w:cs="Arial" w:eastAsia="Arial" w:hAnsi="Arial"/>
                <w:sz w:val="12"/>
                <w:szCs w:val="12"/>
                <w:color w:val="auto"/>
              </w:rPr>
              <w:t>(25,003)</w:t>
            </w:r>
          </w:p>
        </w:tc>
      </w:tr>
      <w:tr>
        <w:trPr>
          <w:trHeight w:val="148"/>
        </w:trPr>
        <w:tc>
          <w:tcPr>
            <w:tcW w:w="3480" w:type="dxa"/>
            <w:vAlign w:val="bottom"/>
            <w:gridSpan w:val="2"/>
          </w:tcPr>
          <w:p>
            <w:pPr>
              <w:spacing w:after="0" w:line="149" w:lineRule="exact"/>
              <w:rPr>
                <w:sz w:val="20"/>
                <w:szCs w:val="20"/>
                <w:color w:val="auto"/>
              </w:rPr>
            </w:pPr>
            <w:r>
              <w:rPr>
                <w:rFonts w:ascii="Arial" w:cs="Arial" w:eastAsia="Arial" w:hAnsi="Arial"/>
                <w:sz w:val="11"/>
                <w:szCs w:val="11"/>
                <w:color w:val="auto"/>
              </w:rPr>
              <w:t xml:space="preserve">Snak Club, LLC (Revolver) </w:t>
            </w:r>
            <w:r>
              <w:rPr>
                <w:rFonts w:ascii="Arial" w:cs="Arial" w:eastAsia="Arial" w:hAnsi="Arial"/>
                <w:sz w:val="17"/>
                <w:szCs w:val="17"/>
                <w:color w:val="auto"/>
                <w:vertAlign w:val="superscript"/>
              </w:rPr>
              <w:t>(7)</w:t>
            </w:r>
          </w:p>
        </w:tc>
        <w:tc>
          <w:tcPr>
            <w:tcW w:w="640" w:type="dxa"/>
            <w:vAlign w:val="bottom"/>
          </w:tcPr>
          <w:p>
            <w:pPr>
              <w:jc w:val="center"/>
              <w:spacing w:after="0"/>
              <w:rPr>
                <w:sz w:val="20"/>
                <w:szCs w:val="20"/>
                <w:color w:val="auto"/>
              </w:rPr>
            </w:pPr>
            <w:r>
              <w:rPr>
                <w:rFonts w:ascii="Arial" w:cs="Arial" w:eastAsia="Arial" w:hAnsi="Arial"/>
                <w:sz w:val="12"/>
                <w:szCs w:val="12"/>
                <w:color w:val="auto"/>
                <w:w w:val="89"/>
              </w:rPr>
              <w:t>07/19/2021</w:t>
            </w:r>
          </w:p>
        </w:tc>
        <w:tc>
          <w:tcPr>
            <w:tcW w:w="120" w:type="dxa"/>
            <w:vAlign w:val="bottom"/>
          </w:tcPr>
          <w:p>
            <w:pPr>
              <w:spacing w:after="0"/>
              <w:rPr>
                <w:sz w:val="12"/>
                <w:szCs w:val="12"/>
                <w:color w:val="auto"/>
              </w:rPr>
            </w:pPr>
          </w:p>
        </w:tc>
        <w:tc>
          <w:tcPr>
            <w:tcW w:w="2480" w:type="dxa"/>
            <w:vAlign w:val="bottom"/>
            <w:gridSpan w:val="2"/>
          </w:tcPr>
          <w:p>
            <w:pPr>
              <w:jc w:val="center"/>
              <w:ind w:right="160"/>
              <w:spacing w:after="0"/>
              <w:rPr>
                <w:sz w:val="20"/>
                <w:szCs w:val="20"/>
                <w:color w:val="auto"/>
              </w:rPr>
            </w:pPr>
            <w:r>
              <w:rPr>
                <w:rFonts w:ascii="Arial" w:cs="Arial" w:eastAsia="Arial" w:hAnsi="Arial"/>
                <w:sz w:val="12"/>
                <w:szCs w:val="12"/>
                <w:color w:val="auto"/>
                <w:w w:val="85"/>
              </w:rPr>
              <w:t>Beverage, Food and Tobacco</w:t>
            </w:r>
          </w:p>
        </w:tc>
        <w:tc>
          <w:tcPr>
            <w:tcW w:w="920" w:type="dxa"/>
            <w:vAlign w:val="bottom"/>
            <w:gridSpan w:val="2"/>
          </w:tcPr>
          <w:p>
            <w:pPr>
              <w:jc w:val="right"/>
              <w:ind w:right="160"/>
              <w:spacing w:after="0"/>
              <w:rPr>
                <w:sz w:val="20"/>
                <w:szCs w:val="20"/>
                <w:color w:val="auto"/>
              </w:rPr>
            </w:pPr>
            <w:r>
              <w:rPr>
                <w:rFonts w:ascii="Arial" w:cs="Arial" w:eastAsia="Arial" w:hAnsi="Arial"/>
                <w:sz w:val="12"/>
                <w:szCs w:val="12"/>
                <w:color w:val="auto"/>
              </w:rPr>
              <w:t>8.23%</w:t>
            </w:r>
          </w:p>
        </w:tc>
        <w:tc>
          <w:tcPr>
            <w:tcW w:w="680" w:type="dxa"/>
            <w:vAlign w:val="bottom"/>
          </w:tcPr>
          <w:p>
            <w:pPr>
              <w:jc w:val="right"/>
              <w:spacing w:after="0"/>
              <w:rPr>
                <w:sz w:val="20"/>
                <w:szCs w:val="20"/>
                <w:color w:val="auto"/>
              </w:rPr>
            </w:pPr>
            <w:r>
              <w:rPr>
                <w:rFonts w:ascii="Arial" w:cs="Arial" w:eastAsia="Arial" w:hAnsi="Arial"/>
                <w:sz w:val="12"/>
                <w:szCs w:val="12"/>
                <w:color w:val="auto"/>
              </w:rPr>
              <w:t>3M L+600</w:t>
            </w:r>
          </w:p>
        </w:tc>
        <w:tc>
          <w:tcPr>
            <w:tcW w:w="900" w:type="dxa"/>
            <w:vAlign w:val="bottom"/>
            <w:gridSpan w:val="2"/>
          </w:tcPr>
          <w:p>
            <w:pPr>
              <w:jc w:val="right"/>
              <w:spacing w:after="0"/>
              <w:rPr>
                <w:sz w:val="20"/>
                <w:szCs w:val="20"/>
                <w:color w:val="auto"/>
              </w:rPr>
            </w:pPr>
            <w:r>
              <w:rPr>
                <w:rFonts w:ascii="Arial" w:cs="Arial" w:eastAsia="Arial" w:hAnsi="Arial"/>
                <w:sz w:val="12"/>
                <w:szCs w:val="12"/>
                <w:color w:val="auto"/>
              </w:rPr>
              <w:t>50,000</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50,000</w:t>
            </w:r>
          </w:p>
        </w:tc>
        <w:tc>
          <w:tcPr>
            <w:tcW w:w="960" w:type="dxa"/>
            <w:vAlign w:val="bottom"/>
            <w:gridSpan w:val="2"/>
          </w:tcPr>
          <w:p>
            <w:pPr>
              <w:jc w:val="right"/>
              <w:spacing w:after="0"/>
              <w:rPr>
                <w:sz w:val="20"/>
                <w:szCs w:val="20"/>
                <w:color w:val="auto"/>
              </w:rPr>
            </w:pPr>
            <w:r>
              <w:rPr>
                <w:rFonts w:ascii="Arial" w:cs="Arial" w:eastAsia="Arial" w:hAnsi="Arial"/>
                <w:sz w:val="12"/>
                <w:szCs w:val="12"/>
                <w:color w:val="auto"/>
              </w:rPr>
              <w:t>46,500</w:t>
            </w:r>
          </w:p>
        </w:tc>
        <w:tc>
          <w:tcPr>
            <w:tcW w:w="120" w:type="dxa"/>
            <w:vAlign w:val="bottom"/>
          </w:tcPr>
          <w:p>
            <w:pPr>
              <w:spacing w:after="0"/>
              <w:rPr>
                <w:sz w:val="12"/>
                <w:szCs w:val="12"/>
                <w:color w:val="auto"/>
              </w:rPr>
            </w:pPr>
          </w:p>
        </w:tc>
      </w:tr>
      <w:tr>
        <w:trPr>
          <w:trHeight w:val="148"/>
        </w:trPr>
        <w:tc>
          <w:tcPr>
            <w:tcW w:w="3480" w:type="dxa"/>
            <w:vAlign w:val="bottom"/>
            <w:gridSpan w:val="2"/>
            <w:shd w:val="clear" w:color="auto" w:fill="CCECFF"/>
          </w:tcPr>
          <w:p>
            <w:pPr>
              <w:spacing w:after="0" w:line="149" w:lineRule="exact"/>
              <w:rPr>
                <w:sz w:val="20"/>
                <w:szCs w:val="20"/>
                <w:color w:val="auto"/>
              </w:rPr>
            </w:pPr>
            <w:r>
              <w:rPr>
                <w:rFonts w:ascii="Arial" w:cs="Arial" w:eastAsia="Arial" w:hAnsi="Arial"/>
                <w:sz w:val="11"/>
                <w:szCs w:val="11"/>
                <w:color w:val="auto"/>
              </w:rPr>
              <w:t xml:space="preserve">Snak Club, LLC (Revolver) </w:t>
            </w:r>
            <w:r>
              <w:rPr>
                <w:rFonts w:ascii="Arial" w:cs="Arial" w:eastAsia="Arial" w:hAnsi="Arial"/>
                <w:sz w:val="17"/>
                <w:szCs w:val="17"/>
                <w:color w:val="auto"/>
                <w:vertAlign w:val="superscript"/>
              </w:rPr>
              <w:t>(7), (9)</w:t>
            </w:r>
          </w:p>
        </w:tc>
        <w:tc>
          <w:tcPr>
            <w:tcW w:w="640" w:type="dxa"/>
            <w:vAlign w:val="bottom"/>
            <w:shd w:val="clear" w:color="auto" w:fill="CCECFF"/>
          </w:tcPr>
          <w:p>
            <w:pPr>
              <w:jc w:val="center"/>
              <w:spacing w:after="0"/>
              <w:rPr>
                <w:sz w:val="20"/>
                <w:szCs w:val="20"/>
                <w:color w:val="auto"/>
              </w:rPr>
            </w:pPr>
            <w:r>
              <w:rPr>
                <w:rFonts w:ascii="Arial" w:cs="Arial" w:eastAsia="Arial" w:hAnsi="Arial"/>
                <w:sz w:val="12"/>
                <w:szCs w:val="12"/>
                <w:color w:val="auto"/>
                <w:w w:val="89"/>
              </w:rPr>
              <w:t>07/19/2021</w:t>
            </w:r>
          </w:p>
        </w:tc>
        <w:tc>
          <w:tcPr>
            <w:tcW w:w="120" w:type="dxa"/>
            <w:vAlign w:val="bottom"/>
            <w:shd w:val="clear" w:color="auto" w:fill="CCECFF"/>
          </w:tcPr>
          <w:p>
            <w:pPr>
              <w:spacing w:after="0"/>
              <w:rPr>
                <w:sz w:val="12"/>
                <w:szCs w:val="12"/>
                <w:color w:val="auto"/>
              </w:rPr>
            </w:pPr>
          </w:p>
        </w:tc>
        <w:tc>
          <w:tcPr>
            <w:tcW w:w="2480" w:type="dxa"/>
            <w:vAlign w:val="bottom"/>
            <w:gridSpan w:val="2"/>
            <w:shd w:val="clear" w:color="auto" w:fill="CCECFF"/>
          </w:tcPr>
          <w:p>
            <w:pPr>
              <w:jc w:val="center"/>
              <w:ind w:right="160"/>
              <w:spacing w:after="0"/>
              <w:rPr>
                <w:sz w:val="20"/>
                <w:szCs w:val="20"/>
                <w:color w:val="auto"/>
              </w:rPr>
            </w:pPr>
            <w:r>
              <w:rPr>
                <w:rFonts w:ascii="Arial" w:cs="Arial" w:eastAsia="Arial" w:hAnsi="Arial"/>
                <w:sz w:val="12"/>
                <w:szCs w:val="12"/>
                <w:color w:val="auto"/>
                <w:w w:val="85"/>
              </w:rPr>
              <w:t>Beverage, Food and Tobacco</w:t>
            </w:r>
          </w:p>
        </w:tc>
        <w:tc>
          <w:tcPr>
            <w:tcW w:w="920" w:type="dxa"/>
            <w:vAlign w:val="bottom"/>
            <w:gridSpan w:val="2"/>
            <w:shd w:val="clear" w:color="auto" w:fill="CCECFF"/>
          </w:tcPr>
          <w:p>
            <w:pPr>
              <w:jc w:val="right"/>
              <w:ind w:right="260"/>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90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445,136</w:t>
            </w:r>
          </w:p>
        </w:tc>
        <w:tc>
          <w:tcPr>
            <w:tcW w:w="220" w:type="dxa"/>
            <w:vAlign w:val="bottom"/>
            <w:shd w:val="clear" w:color="auto" w:fill="CCECFF"/>
          </w:tcPr>
          <w:p>
            <w:pPr>
              <w:spacing w:after="0"/>
              <w:rPr>
                <w:sz w:val="12"/>
                <w:szCs w:val="12"/>
                <w:color w:val="auto"/>
              </w:rPr>
            </w:pPr>
          </w:p>
        </w:tc>
        <w:tc>
          <w:tcPr>
            <w:tcW w:w="7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1080" w:type="dxa"/>
            <w:vAlign w:val="bottom"/>
            <w:gridSpan w:val="3"/>
            <w:shd w:val="clear" w:color="auto" w:fill="CCECFF"/>
          </w:tcPr>
          <w:p>
            <w:pPr>
              <w:jc w:val="right"/>
              <w:ind w:right="80"/>
              <w:spacing w:after="0"/>
              <w:rPr>
                <w:sz w:val="20"/>
                <w:szCs w:val="20"/>
                <w:color w:val="auto"/>
              </w:rPr>
            </w:pPr>
            <w:r>
              <w:rPr>
                <w:rFonts w:ascii="Arial" w:cs="Arial" w:eastAsia="Arial" w:hAnsi="Arial"/>
                <w:sz w:val="12"/>
                <w:szCs w:val="12"/>
                <w:color w:val="auto"/>
              </w:rPr>
              <w:t>(31,160)</w:t>
            </w:r>
          </w:p>
        </w:tc>
      </w:tr>
      <w:tr>
        <w:trPr>
          <w:trHeight w:val="149"/>
        </w:trPr>
        <w:tc>
          <w:tcPr>
            <w:tcW w:w="3480" w:type="dxa"/>
            <w:vAlign w:val="bottom"/>
            <w:gridSpan w:val="2"/>
          </w:tcPr>
          <w:p>
            <w:pPr>
              <w:spacing w:after="0"/>
              <w:rPr>
                <w:sz w:val="20"/>
                <w:szCs w:val="20"/>
                <w:color w:val="auto"/>
              </w:rPr>
            </w:pPr>
            <w:r>
              <w:rPr>
                <w:rFonts w:ascii="Arial" w:cs="Arial" w:eastAsia="Arial" w:hAnsi="Arial"/>
                <w:sz w:val="12"/>
                <w:szCs w:val="12"/>
                <w:color w:val="auto"/>
              </w:rPr>
              <w:t>Solutionreach, Inc.</w:t>
            </w:r>
          </w:p>
        </w:tc>
        <w:tc>
          <w:tcPr>
            <w:tcW w:w="640" w:type="dxa"/>
            <w:vAlign w:val="bottom"/>
          </w:tcPr>
          <w:p>
            <w:pPr>
              <w:jc w:val="center"/>
              <w:spacing w:after="0"/>
              <w:rPr>
                <w:sz w:val="20"/>
                <w:szCs w:val="20"/>
                <w:color w:val="auto"/>
              </w:rPr>
            </w:pPr>
            <w:r>
              <w:rPr>
                <w:rFonts w:ascii="Arial" w:cs="Arial" w:eastAsia="Arial" w:hAnsi="Arial"/>
                <w:sz w:val="12"/>
                <w:szCs w:val="12"/>
                <w:color w:val="auto"/>
                <w:w w:val="89"/>
              </w:rPr>
              <w:t>01/17/2024</w:t>
            </w:r>
          </w:p>
        </w:tc>
        <w:tc>
          <w:tcPr>
            <w:tcW w:w="120" w:type="dxa"/>
            <w:vAlign w:val="bottom"/>
          </w:tcPr>
          <w:p>
            <w:pPr>
              <w:spacing w:after="0"/>
              <w:rPr>
                <w:sz w:val="12"/>
                <w:szCs w:val="12"/>
                <w:color w:val="auto"/>
              </w:rPr>
            </w:pPr>
          </w:p>
        </w:tc>
        <w:tc>
          <w:tcPr>
            <w:tcW w:w="2480" w:type="dxa"/>
            <w:vAlign w:val="bottom"/>
            <w:gridSpan w:val="2"/>
          </w:tcPr>
          <w:p>
            <w:pPr>
              <w:jc w:val="center"/>
              <w:ind w:right="140"/>
              <w:spacing w:after="0"/>
              <w:rPr>
                <w:sz w:val="20"/>
                <w:szCs w:val="20"/>
                <w:color w:val="auto"/>
              </w:rPr>
            </w:pPr>
            <w:r>
              <w:rPr>
                <w:rFonts w:ascii="Arial" w:cs="Arial" w:eastAsia="Arial" w:hAnsi="Arial"/>
                <w:sz w:val="12"/>
                <w:szCs w:val="12"/>
                <w:color w:val="auto"/>
                <w:w w:val="89"/>
              </w:rPr>
              <w:t>Healthcare Technology</w:t>
            </w:r>
          </w:p>
        </w:tc>
        <w:tc>
          <w:tcPr>
            <w:tcW w:w="920" w:type="dxa"/>
            <w:vAlign w:val="bottom"/>
            <w:gridSpan w:val="2"/>
          </w:tcPr>
          <w:p>
            <w:pPr>
              <w:jc w:val="right"/>
              <w:ind w:right="160"/>
              <w:spacing w:after="0"/>
              <w:rPr>
                <w:sz w:val="20"/>
                <w:szCs w:val="20"/>
                <w:color w:val="auto"/>
              </w:rPr>
            </w:pPr>
            <w:r>
              <w:rPr>
                <w:rFonts w:ascii="Arial" w:cs="Arial" w:eastAsia="Arial" w:hAnsi="Arial"/>
                <w:sz w:val="12"/>
                <w:szCs w:val="12"/>
                <w:color w:val="auto"/>
              </w:rPr>
              <w:t>7.83%</w:t>
            </w:r>
          </w:p>
        </w:tc>
        <w:tc>
          <w:tcPr>
            <w:tcW w:w="680" w:type="dxa"/>
            <w:vAlign w:val="bottom"/>
          </w:tcPr>
          <w:p>
            <w:pPr>
              <w:jc w:val="right"/>
              <w:spacing w:after="0"/>
              <w:rPr>
                <w:sz w:val="20"/>
                <w:szCs w:val="20"/>
                <w:color w:val="auto"/>
              </w:rPr>
            </w:pPr>
            <w:r>
              <w:rPr>
                <w:rFonts w:ascii="Arial" w:cs="Arial" w:eastAsia="Arial" w:hAnsi="Arial"/>
                <w:sz w:val="12"/>
                <w:szCs w:val="12"/>
                <w:color w:val="auto"/>
              </w:rPr>
              <w:t>3M L+575</w:t>
            </w:r>
          </w:p>
        </w:tc>
        <w:tc>
          <w:tcPr>
            <w:tcW w:w="900" w:type="dxa"/>
            <w:vAlign w:val="bottom"/>
            <w:gridSpan w:val="2"/>
          </w:tcPr>
          <w:p>
            <w:pPr>
              <w:jc w:val="right"/>
              <w:spacing w:after="0"/>
              <w:rPr>
                <w:sz w:val="20"/>
                <w:szCs w:val="20"/>
                <w:color w:val="auto"/>
              </w:rPr>
            </w:pPr>
            <w:r>
              <w:rPr>
                <w:rFonts w:ascii="Arial" w:cs="Arial" w:eastAsia="Arial" w:hAnsi="Arial"/>
                <w:sz w:val="12"/>
                <w:szCs w:val="12"/>
                <w:color w:val="auto"/>
              </w:rPr>
              <w:t>13,253,400</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13,019,272</w:t>
            </w:r>
          </w:p>
        </w:tc>
        <w:tc>
          <w:tcPr>
            <w:tcW w:w="960" w:type="dxa"/>
            <w:vAlign w:val="bottom"/>
            <w:gridSpan w:val="2"/>
          </w:tcPr>
          <w:p>
            <w:pPr>
              <w:jc w:val="right"/>
              <w:spacing w:after="0"/>
              <w:rPr>
                <w:sz w:val="20"/>
                <w:szCs w:val="20"/>
                <w:color w:val="auto"/>
              </w:rPr>
            </w:pPr>
            <w:r>
              <w:rPr>
                <w:rFonts w:ascii="Arial" w:cs="Arial" w:eastAsia="Arial" w:hAnsi="Arial"/>
                <w:sz w:val="12"/>
                <w:szCs w:val="12"/>
                <w:color w:val="auto"/>
              </w:rPr>
              <w:t>13,082,432</w:t>
            </w:r>
          </w:p>
        </w:tc>
        <w:tc>
          <w:tcPr>
            <w:tcW w:w="120" w:type="dxa"/>
            <w:vAlign w:val="bottom"/>
          </w:tcPr>
          <w:p>
            <w:pPr>
              <w:spacing w:after="0"/>
              <w:rPr>
                <w:sz w:val="12"/>
                <w:szCs w:val="12"/>
                <w:color w:val="auto"/>
              </w:rPr>
            </w:pPr>
          </w:p>
        </w:tc>
      </w:tr>
      <w:tr>
        <w:trPr>
          <w:trHeight w:val="148"/>
        </w:trPr>
        <w:tc>
          <w:tcPr>
            <w:tcW w:w="3480" w:type="dxa"/>
            <w:vAlign w:val="bottom"/>
            <w:gridSpan w:val="2"/>
            <w:shd w:val="clear" w:color="auto" w:fill="CCECFF"/>
          </w:tcPr>
          <w:p>
            <w:pPr>
              <w:spacing w:after="0" w:line="149" w:lineRule="exact"/>
              <w:rPr>
                <w:sz w:val="20"/>
                <w:szCs w:val="20"/>
                <w:color w:val="auto"/>
              </w:rPr>
            </w:pPr>
            <w:r>
              <w:rPr>
                <w:rFonts w:ascii="Arial" w:cs="Arial" w:eastAsia="Arial" w:hAnsi="Arial"/>
                <w:sz w:val="11"/>
                <w:szCs w:val="11"/>
                <w:color w:val="auto"/>
              </w:rPr>
              <w:t xml:space="preserve">Solutionreach, Inc. </w:t>
            </w:r>
            <w:r>
              <w:rPr>
                <w:rFonts w:ascii="Arial" w:cs="Arial" w:eastAsia="Arial" w:hAnsi="Arial"/>
                <w:sz w:val="17"/>
                <w:szCs w:val="17"/>
                <w:color w:val="auto"/>
                <w:vertAlign w:val="superscript"/>
              </w:rPr>
              <w:t>(7), (9)</w:t>
            </w:r>
          </w:p>
        </w:tc>
        <w:tc>
          <w:tcPr>
            <w:tcW w:w="640" w:type="dxa"/>
            <w:vAlign w:val="bottom"/>
            <w:shd w:val="clear" w:color="auto" w:fill="CCECFF"/>
          </w:tcPr>
          <w:p>
            <w:pPr>
              <w:jc w:val="center"/>
              <w:spacing w:after="0"/>
              <w:rPr>
                <w:sz w:val="20"/>
                <w:szCs w:val="20"/>
                <w:color w:val="auto"/>
              </w:rPr>
            </w:pPr>
            <w:r>
              <w:rPr>
                <w:rFonts w:ascii="Arial" w:cs="Arial" w:eastAsia="Arial" w:hAnsi="Arial"/>
                <w:sz w:val="12"/>
                <w:szCs w:val="12"/>
                <w:color w:val="auto"/>
                <w:w w:val="89"/>
              </w:rPr>
              <w:t>01/17/2024</w:t>
            </w:r>
          </w:p>
        </w:tc>
        <w:tc>
          <w:tcPr>
            <w:tcW w:w="120" w:type="dxa"/>
            <w:vAlign w:val="bottom"/>
            <w:shd w:val="clear" w:color="auto" w:fill="CCECFF"/>
          </w:tcPr>
          <w:p>
            <w:pPr>
              <w:spacing w:after="0"/>
              <w:rPr>
                <w:sz w:val="12"/>
                <w:szCs w:val="12"/>
                <w:color w:val="auto"/>
              </w:rPr>
            </w:pPr>
          </w:p>
        </w:tc>
        <w:tc>
          <w:tcPr>
            <w:tcW w:w="248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89"/>
              </w:rPr>
              <w:t>Healthcare Technology</w:t>
            </w:r>
          </w:p>
        </w:tc>
        <w:tc>
          <w:tcPr>
            <w:tcW w:w="920" w:type="dxa"/>
            <w:vAlign w:val="bottom"/>
            <w:gridSpan w:val="2"/>
            <w:shd w:val="clear" w:color="auto" w:fill="CCECFF"/>
          </w:tcPr>
          <w:p>
            <w:pPr>
              <w:jc w:val="right"/>
              <w:ind w:right="260"/>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90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1,665,000</w:t>
            </w:r>
          </w:p>
        </w:tc>
        <w:tc>
          <w:tcPr>
            <w:tcW w:w="220" w:type="dxa"/>
            <w:vAlign w:val="bottom"/>
            <w:shd w:val="clear" w:color="auto" w:fill="CCECFF"/>
          </w:tcPr>
          <w:p>
            <w:pPr>
              <w:spacing w:after="0"/>
              <w:rPr>
                <w:sz w:val="12"/>
                <w:szCs w:val="12"/>
                <w:color w:val="auto"/>
              </w:rPr>
            </w:pPr>
          </w:p>
        </w:tc>
        <w:tc>
          <w:tcPr>
            <w:tcW w:w="7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1080" w:type="dxa"/>
            <w:vAlign w:val="bottom"/>
            <w:gridSpan w:val="3"/>
            <w:shd w:val="clear" w:color="auto" w:fill="CCECFF"/>
          </w:tcPr>
          <w:p>
            <w:pPr>
              <w:jc w:val="right"/>
              <w:ind w:right="80"/>
              <w:spacing w:after="0"/>
              <w:rPr>
                <w:sz w:val="20"/>
                <w:szCs w:val="20"/>
                <w:color w:val="auto"/>
              </w:rPr>
            </w:pPr>
            <w:r>
              <w:rPr>
                <w:rFonts w:ascii="Arial" w:cs="Arial" w:eastAsia="Arial" w:hAnsi="Arial"/>
                <w:sz w:val="12"/>
                <w:szCs w:val="12"/>
                <w:color w:val="auto"/>
              </w:rPr>
              <w:t>(21,478)</w:t>
            </w:r>
          </w:p>
        </w:tc>
      </w:tr>
      <w:tr>
        <w:trPr>
          <w:trHeight w:val="149"/>
        </w:trPr>
        <w:tc>
          <w:tcPr>
            <w:tcW w:w="3480" w:type="dxa"/>
            <w:vAlign w:val="bottom"/>
            <w:gridSpan w:val="2"/>
          </w:tcPr>
          <w:p>
            <w:pPr>
              <w:spacing w:after="0"/>
              <w:rPr>
                <w:sz w:val="20"/>
                <w:szCs w:val="20"/>
                <w:color w:val="auto"/>
              </w:rPr>
            </w:pPr>
            <w:r>
              <w:rPr>
                <w:rFonts w:ascii="Arial" w:cs="Arial" w:eastAsia="Arial" w:hAnsi="Arial"/>
                <w:sz w:val="12"/>
                <w:szCs w:val="12"/>
                <w:color w:val="auto"/>
              </w:rPr>
              <w:t>TeleGuam Holdings, LLC</w:t>
            </w:r>
          </w:p>
        </w:tc>
        <w:tc>
          <w:tcPr>
            <w:tcW w:w="640" w:type="dxa"/>
            <w:vAlign w:val="bottom"/>
          </w:tcPr>
          <w:p>
            <w:pPr>
              <w:jc w:val="center"/>
              <w:spacing w:after="0"/>
              <w:rPr>
                <w:sz w:val="20"/>
                <w:szCs w:val="20"/>
                <w:color w:val="auto"/>
              </w:rPr>
            </w:pPr>
            <w:r>
              <w:rPr>
                <w:rFonts w:ascii="Arial" w:cs="Arial" w:eastAsia="Arial" w:hAnsi="Arial"/>
                <w:sz w:val="12"/>
                <w:szCs w:val="12"/>
                <w:color w:val="auto"/>
                <w:w w:val="89"/>
              </w:rPr>
              <w:t>07/25/2023</w:t>
            </w:r>
          </w:p>
        </w:tc>
        <w:tc>
          <w:tcPr>
            <w:tcW w:w="120" w:type="dxa"/>
            <w:vAlign w:val="bottom"/>
          </w:tcPr>
          <w:p>
            <w:pPr>
              <w:spacing w:after="0"/>
              <w:rPr>
                <w:sz w:val="12"/>
                <w:szCs w:val="12"/>
                <w:color w:val="auto"/>
              </w:rPr>
            </w:pPr>
          </w:p>
        </w:tc>
        <w:tc>
          <w:tcPr>
            <w:tcW w:w="2480" w:type="dxa"/>
            <w:vAlign w:val="bottom"/>
            <w:gridSpan w:val="2"/>
          </w:tcPr>
          <w:p>
            <w:pPr>
              <w:jc w:val="center"/>
              <w:ind w:right="140"/>
              <w:spacing w:after="0"/>
              <w:rPr>
                <w:sz w:val="20"/>
                <w:szCs w:val="20"/>
                <w:color w:val="auto"/>
              </w:rPr>
            </w:pPr>
            <w:r>
              <w:rPr>
                <w:rFonts w:ascii="Arial" w:cs="Arial" w:eastAsia="Arial" w:hAnsi="Arial"/>
                <w:sz w:val="12"/>
                <w:szCs w:val="12"/>
                <w:color w:val="auto"/>
                <w:w w:val="89"/>
              </w:rPr>
              <w:t>Telecommunications</w:t>
            </w:r>
          </w:p>
        </w:tc>
        <w:tc>
          <w:tcPr>
            <w:tcW w:w="920" w:type="dxa"/>
            <w:vAlign w:val="bottom"/>
            <w:gridSpan w:val="2"/>
          </w:tcPr>
          <w:p>
            <w:pPr>
              <w:jc w:val="right"/>
              <w:ind w:right="160"/>
              <w:spacing w:after="0"/>
              <w:rPr>
                <w:sz w:val="20"/>
                <w:szCs w:val="20"/>
                <w:color w:val="auto"/>
              </w:rPr>
            </w:pPr>
            <w:r>
              <w:rPr>
                <w:rFonts w:ascii="Arial" w:cs="Arial" w:eastAsia="Arial" w:hAnsi="Arial"/>
                <w:sz w:val="12"/>
                <w:szCs w:val="12"/>
                <w:color w:val="auto"/>
              </w:rPr>
              <w:t>7.10%</w:t>
            </w:r>
          </w:p>
        </w:tc>
        <w:tc>
          <w:tcPr>
            <w:tcW w:w="680" w:type="dxa"/>
            <w:vAlign w:val="bottom"/>
          </w:tcPr>
          <w:p>
            <w:pPr>
              <w:jc w:val="right"/>
              <w:spacing w:after="0"/>
              <w:rPr>
                <w:sz w:val="20"/>
                <w:szCs w:val="20"/>
                <w:color w:val="auto"/>
              </w:rPr>
            </w:pPr>
            <w:r>
              <w:rPr>
                <w:rFonts w:ascii="Arial" w:cs="Arial" w:eastAsia="Arial" w:hAnsi="Arial"/>
                <w:sz w:val="12"/>
                <w:szCs w:val="12"/>
                <w:color w:val="auto"/>
              </w:rPr>
              <w:t>1M L+500</w:t>
            </w:r>
          </w:p>
        </w:tc>
        <w:tc>
          <w:tcPr>
            <w:tcW w:w="900" w:type="dxa"/>
            <w:vAlign w:val="bottom"/>
            <w:gridSpan w:val="2"/>
          </w:tcPr>
          <w:p>
            <w:pPr>
              <w:jc w:val="right"/>
              <w:spacing w:after="0"/>
              <w:rPr>
                <w:sz w:val="20"/>
                <w:szCs w:val="20"/>
                <w:color w:val="auto"/>
              </w:rPr>
            </w:pPr>
            <w:r>
              <w:rPr>
                <w:rFonts w:ascii="Arial" w:cs="Arial" w:eastAsia="Arial" w:hAnsi="Arial"/>
                <w:sz w:val="12"/>
                <w:szCs w:val="12"/>
                <w:color w:val="auto"/>
              </w:rPr>
              <w:t>7,473,846</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7,393,786</w:t>
            </w:r>
          </w:p>
        </w:tc>
        <w:tc>
          <w:tcPr>
            <w:tcW w:w="960" w:type="dxa"/>
            <w:vAlign w:val="bottom"/>
            <w:gridSpan w:val="2"/>
          </w:tcPr>
          <w:p>
            <w:pPr>
              <w:jc w:val="right"/>
              <w:spacing w:after="0"/>
              <w:rPr>
                <w:sz w:val="20"/>
                <w:szCs w:val="20"/>
                <w:color w:val="auto"/>
              </w:rPr>
            </w:pPr>
            <w:r>
              <w:rPr>
                <w:rFonts w:ascii="Arial" w:cs="Arial" w:eastAsia="Arial" w:hAnsi="Arial"/>
                <w:sz w:val="12"/>
                <w:szCs w:val="12"/>
                <w:color w:val="auto"/>
              </w:rPr>
              <w:t>7,399,108</w:t>
            </w:r>
          </w:p>
        </w:tc>
        <w:tc>
          <w:tcPr>
            <w:tcW w:w="120" w:type="dxa"/>
            <w:vAlign w:val="bottom"/>
          </w:tcPr>
          <w:p>
            <w:pPr>
              <w:spacing w:after="0"/>
              <w:rPr>
                <w:sz w:val="12"/>
                <w:szCs w:val="12"/>
                <w:color w:val="auto"/>
              </w:rPr>
            </w:pPr>
          </w:p>
        </w:tc>
      </w:tr>
      <w:tr>
        <w:trPr>
          <w:trHeight w:val="148"/>
        </w:trPr>
        <w:tc>
          <w:tcPr>
            <w:tcW w:w="3480" w:type="dxa"/>
            <w:vAlign w:val="bottom"/>
            <w:gridSpan w:val="2"/>
            <w:shd w:val="clear" w:color="auto" w:fill="CCECFF"/>
          </w:tcPr>
          <w:p>
            <w:pPr>
              <w:spacing w:after="0"/>
              <w:rPr>
                <w:sz w:val="20"/>
                <w:szCs w:val="20"/>
                <w:color w:val="auto"/>
              </w:rPr>
            </w:pPr>
            <w:r>
              <w:rPr>
                <w:rFonts w:ascii="Arial" w:cs="Arial" w:eastAsia="Arial" w:hAnsi="Arial"/>
                <w:sz w:val="12"/>
                <w:szCs w:val="12"/>
                <w:color w:val="auto"/>
              </w:rPr>
              <w:t>Teneo Holdings LLC</w:t>
            </w:r>
          </w:p>
        </w:tc>
        <w:tc>
          <w:tcPr>
            <w:tcW w:w="640" w:type="dxa"/>
            <w:vAlign w:val="bottom"/>
            <w:shd w:val="clear" w:color="auto" w:fill="CCECFF"/>
          </w:tcPr>
          <w:p>
            <w:pPr>
              <w:jc w:val="center"/>
              <w:spacing w:after="0"/>
              <w:rPr>
                <w:sz w:val="20"/>
                <w:szCs w:val="20"/>
                <w:color w:val="auto"/>
              </w:rPr>
            </w:pPr>
            <w:r>
              <w:rPr>
                <w:rFonts w:ascii="Arial" w:cs="Arial" w:eastAsia="Arial" w:hAnsi="Arial"/>
                <w:sz w:val="12"/>
                <w:szCs w:val="12"/>
                <w:color w:val="auto"/>
                <w:w w:val="89"/>
              </w:rPr>
              <w:t>07/18/2025</w:t>
            </w:r>
          </w:p>
        </w:tc>
        <w:tc>
          <w:tcPr>
            <w:tcW w:w="120" w:type="dxa"/>
            <w:vAlign w:val="bottom"/>
            <w:shd w:val="clear" w:color="auto" w:fill="CCECFF"/>
          </w:tcPr>
          <w:p>
            <w:pPr>
              <w:spacing w:after="0"/>
              <w:rPr>
                <w:sz w:val="12"/>
                <w:szCs w:val="12"/>
                <w:color w:val="auto"/>
              </w:rPr>
            </w:pPr>
          </w:p>
        </w:tc>
        <w:tc>
          <w:tcPr>
            <w:tcW w:w="248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90"/>
              </w:rPr>
              <w:t>Diversified Financial Services</w:t>
            </w:r>
          </w:p>
        </w:tc>
        <w:tc>
          <w:tcPr>
            <w:tcW w:w="920" w:type="dxa"/>
            <w:vAlign w:val="bottom"/>
            <w:gridSpan w:val="2"/>
            <w:shd w:val="clear" w:color="auto" w:fill="CCECFF"/>
          </w:tcPr>
          <w:p>
            <w:pPr>
              <w:jc w:val="right"/>
              <w:ind w:right="160"/>
              <w:spacing w:after="0"/>
              <w:rPr>
                <w:sz w:val="20"/>
                <w:szCs w:val="20"/>
                <w:color w:val="auto"/>
              </w:rPr>
            </w:pPr>
            <w:r>
              <w:rPr>
                <w:rFonts w:ascii="Arial" w:cs="Arial" w:eastAsia="Arial" w:hAnsi="Arial"/>
                <w:sz w:val="12"/>
                <w:szCs w:val="12"/>
                <w:color w:val="auto"/>
              </w:rPr>
              <w:t>7.45%</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1M L+525</w:t>
            </w:r>
          </w:p>
        </w:tc>
        <w:tc>
          <w:tcPr>
            <w:tcW w:w="90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10,000,000</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9,600,726</w:t>
            </w:r>
          </w:p>
        </w:tc>
        <w:tc>
          <w:tcPr>
            <w:tcW w:w="96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9,525,000</w:t>
            </w:r>
          </w:p>
        </w:tc>
        <w:tc>
          <w:tcPr>
            <w:tcW w:w="120" w:type="dxa"/>
            <w:vAlign w:val="bottom"/>
            <w:shd w:val="clear" w:color="auto" w:fill="CCECFF"/>
          </w:tcPr>
          <w:p>
            <w:pPr>
              <w:spacing w:after="0"/>
              <w:rPr>
                <w:sz w:val="12"/>
                <w:szCs w:val="12"/>
                <w:color w:val="auto"/>
              </w:rPr>
            </w:pPr>
          </w:p>
        </w:tc>
      </w:tr>
      <w:tr>
        <w:trPr>
          <w:trHeight w:val="148"/>
        </w:trPr>
        <w:tc>
          <w:tcPr>
            <w:tcW w:w="3480" w:type="dxa"/>
            <w:vAlign w:val="bottom"/>
            <w:gridSpan w:val="2"/>
          </w:tcPr>
          <w:p>
            <w:pPr>
              <w:spacing w:after="0"/>
              <w:rPr>
                <w:sz w:val="20"/>
                <w:szCs w:val="20"/>
                <w:color w:val="auto"/>
              </w:rPr>
            </w:pPr>
            <w:r>
              <w:rPr>
                <w:rFonts w:ascii="Arial" w:cs="Arial" w:eastAsia="Arial" w:hAnsi="Arial"/>
                <w:sz w:val="12"/>
                <w:szCs w:val="12"/>
                <w:color w:val="auto"/>
              </w:rPr>
              <w:t>Tensar Corporation</w:t>
            </w:r>
          </w:p>
        </w:tc>
        <w:tc>
          <w:tcPr>
            <w:tcW w:w="640" w:type="dxa"/>
            <w:vAlign w:val="bottom"/>
          </w:tcPr>
          <w:p>
            <w:pPr>
              <w:jc w:val="center"/>
              <w:spacing w:after="0"/>
              <w:rPr>
                <w:sz w:val="20"/>
                <w:szCs w:val="20"/>
                <w:color w:val="auto"/>
              </w:rPr>
            </w:pPr>
            <w:r>
              <w:rPr>
                <w:rFonts w:ascii="Arial" w:cs="Arial" w:eastAsia="Arial" w:hAnsi="Arial"/>
                <w:sz w:val="12"/>
                <w:szCs w:val="12"/>
                <w:color w:val="auto"/>
                <w:w w:val="89"/>
              </w:rPr>
              <w:t>07/09/2021</w:t>
            </w:r>
          </w:p>
        </w:tc>
        <w:tc>
          <w:tcPr>
            <w:tcW w:w="120" w:type="dxa"/>
            <w:vAlign w:val="bottom"/>
          </w:tcPr>
          <w:p>
            <w:pPr>
              <w:spacing w:after="0"/>
              <w:rPr>
                <w:sz w:val="12"/>
                <w:szCs w:val="12"/>
                <w:color w:val="auto"/>
              </w:rPr>
            </w:pPr>
          </w:p>
        </w:tc>
        <w:tc>
          <w:tcPr>
            <w:tcW w:w="2480" w:type="dxa"/>
            <w:vAlign w:val="bottom"/>
            <w:gridSpan w:val="2"/>
          </w:tcPr>
          <w:p>
            <w:pPr>
              <w:jc w:val="center"/>
              <w:ind w:right="160"/>
              <w:spacing w:after="0"/>
              <w:rPr>
                <w:sz w:val="20"/>
                <w:szCs w:val="20"/>
                <w:color w:val="auto"/>
              </w:rPr>
            </w:pPr>
            <w:r>
              <w:rPr>
                <w:rFonts w:ascii="Arial" w:cs="Arial" w:eastAsia="Arial" w:hAnsi="Arial"/>
                <w:sz w:val="12"/>
                <w:szCs w:val="12"/>
                <w:color w:val="auto"/>
                <w:w w:val="90"/>
              </w:rPr>
              <w:t>Construction and Building</w:t>
            </w:r>
          </w:p>
        </w:tc>
        <w:tc>
          <w:tcPr>
            <w:tcW w:w="920" w:type="dxa"/>
            <w:vAlign w:val="bottom"/>
            <w:gridSpan w:val="2"/>
          </w:tcPr>
          <w:p>
            <w:pPr>
              <w:jc w:val="right"/>
              <w:ind w:right="160"/>
              <w:spacing w:after="0"/>
              <w:rPr>
                <w:sz w:val="20"/>
                <w:szCs w:val="20"/>
                <w:color w:val="auto"/>
              </w:rPr>
            </w:pPr>
            <w:r>
              <w:rPr>
                <w:rFonts w:ascii="Arial" w:cs="Arial" w:eastAsia="Arial" w:hAnsi="Arial"/>
                <w:sz w:val="12"/>
                <w:szCs w:val="12"/>
                <w:color w:val="auto"/>
              </w:rPr>
              <w:t>6.85%</w:t>
            </w:r>
          </w:p>
        </w:tc>
        <w:tc>
          <w:tcPr>
            <w:tcW w:w="680" w:type="dxa"/>
            <w:vAlign w:val="bottom"/>
          </w:tcPr>
          <w:p>
            <w:pPr>
              <w:jc w:val="right"/>
              <w:spacing w:after="0"/>
              <w:rPr>
                <w:sz w:val="20"/>
                <w:szCs w:val="20"/>
                <w:color w:val="auto"/>
              </w:rPr>
            </w:pPr>
            <w:r>
              <w:rPr>
                <w:rFonts w:ascii="Arial" w:cs="Arial" w:eastAsia="Arial" w:hAnsi="Arial"/>
                <w:sz w:val="12"/>
                <w:szCs w:val="12"/>
                <w:color w:val="auto"/>
              </w:rPr>
              <w:t>3M L+475</w:t>
            </w:r>
          </w:p>
        </w:tc>
        <w:tc>
          <w:tcPr>
            <w:tcW w:w="900" w:type="dxa"/>
            <w:vAlign w:val="bottom"/>
            <w:gridSpan w:val="2"/>
          </w:tcPr>
          <w:p>
            <w:pPr>
              <w:jc w:val="right"/>
              <w:spacing w:after="0"/>
              <w:rPr>
                <w:sz w:val="20"/>
                <w:szCs w:val="20"/>
                <w:color w:val="auto"/>
              </w:rPr>
            </w:pPr>
            <w:r>
              <w:rPr>
                <w:rFonts w:ascii="Arial" w:cs="Arial" w:eastAsia="Arial" w:hAnsi="Arial"/>
                <w:sz w:val="12"/>
                <w:szCs w:val="12"/>
                <w:color w:val="auto"/>
              </w:rPr>
              <w:t>22,620,696</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22,523,390</w:t>
            </w:r>
          </w:p>
        </w:tc>
        <w:tc>
          <w:tcPr>
            <w:tcW w:w="960" w:type="dxa"/>
            <w:vAlign w:val="bottom"/>
            <w:gridSpan w:val="2"/>
          </w:tcPr>
          <w:p>
            <w:pPr>
              <w:jc w:val="right"/>
              <w:spacing w:after="0"/>
              <w:rPr>
                <w:sz w:val="20"/>
                <w:szCs w:val="20"/>
                <w:color w:val="auto"/>
              </w:rPr>
            </w:pPr>
            <w:r>
              <w:rPr>
                <w:rFonts w:ascii="Arial" w:cs="Arial" w:eastAsia="Arial" w:hAnsi="Arial"/>
                <w:sz w:val="12"/>
                <w:szCs w:val="12"/>
                <w:color w:val="auto"/>
              </w:rPr>
              <w:t>21,715,869</w:t>
            </w:r>
          </w:p>
        </w:tc>
        <w:tc>
          <w:tcPr>
            <w:tcW w:w="120" w:type="dxa"/>
            <w:vAlign w:val="bottom"/>
          </w:tcPr>
          <w:p>
            <w:pPr>
              <w:spacing w:after="0"/>
              <w:rPr>
                <w:sz w:val="12"/>
                <w:szCs w:val="12"/>
                <w:color w:val="auto"/>
              </w:rPr>
            </w:pPr>
          </w:p>
        </w:tc>
      </w:tr>
      <w:tr>
        <w:trPr>
          <w:trHeight w:val="149"/>
        </w:trPr>
        <w:tc>
          <w:tcPr>
            <w:tcW w:w="3480" w:type="dxa"/>
            <w:vAlign w:val="bottom"/>
            <w:gridSpan w:val="2"/>
            <w:shd w:val="clear" w:color="auto" w:fill="CCECFF"/>
          </w:tcPr>
          <w:p>
            <w:pPr>
              <w:spacing w:after="0"/>
              <w:rPr>
                <w:sz w:val="20"/>
                <w:szCs w:val="20"/>
                <w:color w:val="auto"/>
              </w:rPr>
            </w:pPr>
            <w:r>
              <w:rPr>
                <w:rFonts w:ascii="Arial" w:cs="Arial" w:eastAsia="Arial" w:hAnsi="Arial"/>
                <w:sz w:val="12"/>
                <w:szCs w:val="12"/>
                <w:color w:val="auto"/>
              </w:rPr>
              <w:t>The Infosoft Group, LLC</w:t>
            </w:r>
          </w:p>
        </w:tc>
        <w:tc>
          <w:tcPr>
            <w:tcW w:w="640" w:type="dxa"/>
            <w:vAlign w:val="bottom"/>
            <w:shd w:val="clear" w:color="auto" w:fill="CCECFF"/>
          </w:tcPr>
          <w:p>
            <w:pPr>
              <w:jc w:val="center"/>
              <w:spacing w:after="0"/>
              <w:rPr>
                <w:sz w:val="20"/>
                <w:szCs w:val="20"/>
                <w:color w:val="auto"/>
              </w:rPr>
            </w:pPr>
            <w:r>
              <w:rPr>
                <w:rFonts w:ascii="Arial" w:cs="Arial" w:eastAsia="Arial" w:hAnsi="Arial"/>
                <w:sz w:val="12"/>
                <w:szCs w:val="12"/>
                <w:color w:val="auto"/>
                <w:w w:val="89"/>
              </w:rPr>
              <w:t>09/16/2024</w:t>
            </w:r>
          </w:p>
        </w:tc>
        <w:tc>
          <w:tcPr>
            <w:tcW w:w="120" w:type="dxa"/>
            <w:vAlign w:val="bottom"/>
            <w:shd w:val="clear" w:color="auto" w:fill="CCECFF"/>
          </w:tcPr>
          <w:p>
            <w:pPr>
              <w:spacing w:after="0"/>
              <w:rPr>
                <w:sz w:val="12"/>
                <w:szCs w:val="12"/>
                <w:color w:val="auto"/>
              </w:rPr>
            </w:pPr>
          </w:p>
        </w:tc>
        <w:tc>
          <w:tcPr>
            <w:tcW w:w="248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88"/>
              </w:rPr>
              <w:t>Media: Broadcasting and Subscription</w:t>
            </w:r>
          </w:p>
        </w:tc>
        <w:tc>
          <w:tcPr>
            <w:tcW w:w="920" w:type="dxa"/>
            <w:vAlign w:val="bottom"/>
            <w:gridSpan w:val="2"/>
            <w:shd w:val="clear" w:color="auto" w:fill="CCECFF"/>
          </w:tcPr>
          <w:p>
            <w:pPr>
              <w:jc w:val="right"/>
              <w:ind w:right="160"/>
              <w:spacing w:after="0"/>
              <w:rPr>
                <w:sz w:val="20"/>
                <w:szCs w:val="20"/>
                <w:color w:val="auto"/>
              </w:rPr>
            </w:pPr>
            <w:r>
              <w:rPr>
                <w:rFonts w:ascii="Arial" w:cs="Arial" w:eastAsia="Arial" w:hAnsi="Arial"/>
                <w:sz w:val="12"/>
                <w:szCs w:val="12"/>
                <w:color w:val="auto"/>
              </w:rPr>
              <w:t>7.37%</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3M L+525</w:t>
            </w:r>
          </w:p>
        </w:tc>
        <w:tc>
          <w:tcPr>
            <w:tcW w:w="90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18,667,460</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18,511,339</w:t>
            </w:r>
          </w:p>
        </w:tc>
        <w:tc>
          <w:tcPr>
            <w:tcW w:w="96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18,480,783</w:t>
            </w:r>
          </w:p>
        </w:tc>
        <w:tc>
          <w:tcPr>
            <w:tcW w:w="120" w:type="dxa"/>
            <w:vAlign w:val="bottom"/>
            <w:shd w:val="clear" w:color="auto" w:fill="CCECFF"/>
          </w:tcPr>
          <w:p>
            <w:pPr>
              <w:spacing w:after="0"/>
              <w:rPr>
                <w:sz w:val="12"/>
                <w:szCs w:val="12"/>
                <w:color w:val="auto"/>
              </w:rPr>
            </w:pPr>
          </w:p>
        </w:tc>
      </w:tr>
      <w:tr>
        <w:trPr>
          <w:trHeight w:val="148"/>
        </w:trPr>
        <w:tc>
          <w:tcPr>
            <w:tcW w:w="3480" w:type="dxa"/>
            <w:vAlign w:val="bottom"/>
            <w:gridSpan w:val="2"/>
          </w:tcPr>
          <w:p>
            <w:pPr>
              <w:spacing w:after="0" w:line="149" w:lineRule="exact"/>
              <w:rPr>
                <w:sz w:val="20"/>
                <w:szCs w:val="20"/>
                <w:color w:val="auto"/>
              </w:rPr>
            </w:pPr>
            <w:r>
              <w:rPr>
                <w:rFonts w:ascii="Arial" w:cs="Arial" w:eastAsia="Arial" w:hAnsi="Arial"/>
                <w:sz w:val="11"/>
                <w:szCs w:val="11"/>
                <w:color w:val="auto"/>
              </w:rPr>
              <w:t xml:space="preserve">The Original Cakerie, Co. </w:t>
            </w:r>
            <w:r>
              <w:rPr>
                <w:rFonts w:ascii="Arial" w:cs="Arial" w:eastAsia="Arial" w:hAnsi="Arial"/>
                <w:sz w:val="17"/>
                <w:szCs w:val="17"/>
                <w:color w:val="auto"/>
                <w:vertAlign w:val="superscript"/>
              </w:rPr>
              <w:t>(5), (10)</w:t>
            </w:r>
          </w:p>
        </w:tc>
        <w:tc>
          <w:tcPr>
            <w:tcW w:w="640" w:type="dxa"/>
            <w:vAlign w:val="bottom"/>
          </w:tcPr>
          <w:p>
            <w:pPr>
              <w:jc w:val="center"/>
              <w:spacing w:after="0"/>
              <w:rPr>
                <w:sz w:val="20"/>
                <w:szCs w:val="20"/>
                <w:color w:val="auto"/>
              </w:rPr>
            </w:pPr>
            <w:r>
              <w:rPr>
                <w:rFonts w:ascii="Arial" w:cs="Arial" w:eastAsia="Arial" w:hAnsi="Arial"/>
                <w:sz w:val="12"/>
                <w:szCs w:val="12"/>
                <w:color w:val="auto"/>
                <w:w w:val="89"/>
              </w:rPr>
              <w:t>07/20/2022</w:t>
            </w:r>
          </w:p>
        </w:tc>
        <w:tc>
          <w:tcPr>
            <w:tcW w:w="120" w:type="dxa"/>
            <w:vAlign w:val="bottom"/>
          </w:tcPr>
          <w:p>
            <w:pPr>
              <w:spacing w:after="0"/>
              <w:rPr>
                <w:sz w:val="12"/>
                <w:szCs w:val="12"/>
                <w:color w:val="auto"/>
              </w:rPr>
            </w:pPr>
          </w:p>
        </w:tc>
        <w:tc>
          <w:tcPr>
            <w:tcW w:w="2480" w:type="dxa"/>
            <w:vAlign w:val="bottom"/>
            <w:gridSpan w:val="2"/>
          </w:tcPr>
          <w:p>
            <w:pPr>
              <w:jc w:val="center"/>
              <w:ind w:right="140"/>
              <w:spacing w:after="0"/>
              <w:rPr>
                <w:sz w:val="20"/>
                <w:szCs w:val="20"/>
                <w:color w:val="auto"/>
              </w:rPr>
            </w:pPr>
            <w:r>
              <w:rPr>
                <w:rFonts w:ascii="Arial" w:cs="Arial" w:eastAsia="Arial" w:hAnsi="Arial"/>
                <w:sz w:val="12"/>
                <w:szCs w:val="12"/>
                <w:color w:val="auto"/>
                <w:w w:val="88"/>
              </w:rPr>
              <w:t>Consumer Goods: Non-Durable</w:t>
            </w:r>
          </w:p>
        </w:tc>
        <w:tc>
          <w:tcPr>
            <w:tcW w:w="920" w:type="dxa"/>
            <w:vAlign w:val="bottom"/>
            <w:gridSpan w:val="2"/>
          </w:tcPr>
          <w:p>
            <w:pPr>
              <w:jc w:val="right"/>
              <w:ind w:right="160"/>
              <w:spacing w:after="0"/>
              <w:rPr>
                <w:sz w:val="20"/>
                <w:szCs w:val="20"/>
                <w:color w:val="auto"/>
              </w:rPr>
            </w:pPr>
            <w:r>
              <w:rPr>
                <w:rFonts w:ascii="Arial" w:cs="Arial" w:eastAsia="Arial" w:hAnsi="Arial"/>
                <w:sz w:val="12"/>
                <w:szCs w:val="12"/>
                <w:color w:val="auto"/>
              </w:rPr>
              <w:t>7.15%</w:t>
            </w:r>
          </w:p>
        </w:tc>
        <w:tc>
          <w:tcPr>
            <w:tcW w:w="680" w:type="dxa"/>
            <w:vAlign w:val="bottom"/>
          </w:tcPr>
          <w:p>
            <w:pPr>
              <w:jc w:val="right"/>
              <w:spacing w:after="0"/>
              <w:rPr>
                <w:sz w:val="20"/>
                <w:szCs w:val="20"/>
                <w:color w:val="auto"/>
              </w:rPr>
            </w:pPr>
            <w:r>
              <w:rPr>
                <w:rFonts w:ascii="Arial" w:cs="Arial" w:eastAsia="Arial" w:hAnsi="Arial"/>
                <w:sz w:val="12"/>
                <w:szCs w:val="12"/>
                <w:color w:val="auto"/>
              </w:rPr>
              <w:t>2M L+500</w:t>
            </w:r>
          </w:p>
        </w:tc>
        <w:tc>
          <w:tcPr>
            <w:tcW w:w="900" w:type="dxa"/>
            <w:vAlign w:val="bottom"/>
            <w:gridSpan w:val="2"/>
          </w:tcPr>
          <w:p>
            <w:pPr>
              <w:jc w:val="right"/>
              <w:spacing w:after="0"/>
              <w:rPr>
                <w:sz w:val="20"/>
                <w:szCs w:val="20"/>
                <w:color w:val="auto"/>
              </w:rPr>
            </w:pPr>
            <w:r>
              <w:rPr>
                <w:rFonts w:ascii="Arial" w:cs="Arial" w:eastAsia="Arial" w:hAnsi="Arial"/>
                <w:sz w:val="12"/>
                <w:szCs w:val="12"/>
                <w:color w:val="auto"/>
              </w:rPr>
              <w:t>7,624,976</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7,550,542</w:t>
            </w:r>
          </w:p>
        </w:tc>
        <w:tc>
          <w:tcPr>
            <w:tcW w:w="960" w:type="dxa"/>
            <w:vAlign w:val="bottom"/>
            <w:gridSpan w:val="2"/>
          </w:tcPr>
          <w:p>
            <w:pPr>
              <w:jc w:val="right"/>
              <w:spacing w:after="0"/>
              <w:rPr>
                <w:sz w:val="20"/>
                <w:szCs w:val="20"/>
                <w:color w:val="auto"/>
              </w:rPr>
            </w:pPr>
            <w:r>
              <w:rPr>
                <w:rFonts w:ascii="Arial" w:cs="Arial" w:eastAsia="Arial" w:hAnsi="Arial"/>
                <w:sz w:val="12"/>
                <w:szCs w:val="12"/>
                <w:color w:val="auto"/>
              </w:rPr>
              <w:t>7,586,851</w:t>
            </w:r>
          </w:p>
        </w:tc>
        <w:tc>
          <w:tcPr>
            <w:tcW w:w="120" w:type="dxa"/>
            <w:vAlign w:val="bottom"/>
          </w:tcPr>
          <w:p>
            <w:pPr>
              <w:spacing w:after="0"/>
              <w:rPr>
                <w:sz w:val="12"/>
                <w:szCs w:val="12"/>
                <w:color w:val="auto"/>
              </w:rPr>
            </w:pPr>
          </w:p>
        </w:tc>
      </w:tr>
      <w:tr>
        <w:trPr>
          <w:trHeight w:val="148"/>
        </w:trPr>
        <w:tc>
          <w:tcPr>
            <w:tcW w:w="3480" w:type="dxa"/>
            <w:vAlign w:val="bottom"/>
            <w:gridSpan w:val="2"/>
            <w:shd w:val="clear" w:color="auto" w:fill="CCECFF"/>
          </w:tcPr>
          <w:p>
            <w:pPr>
              <w:spacing w:after="0" w:line="149" w:lineRule="exact"/>
              <w:rPr>
                <w:sz w:val="20"/>
                <w:szCs w:val="20"/>
                <w:color w:val="auto"/>
              </w:rPr>
            </w:pPr>
            <w:r>
              <w:rPr>
                <w:rFonts w:ascii="Arial" w:cs="Arial" w:eastAsia="Arial" w:hAnsi="Arial"/>
                <w:sz w:val="11"/>
                <w:szCs w:val="11"/>
                <w:color w:val="auto"/>
              </w:rPr>
              <w:t xml:space="preserve">The Original Cakerie Ltd. </w:t>
            </w:r>
            <w:r>
              <w:rPr>
                <w:rFonts w:ascii="Arial" w:cs="Arial" w:eastAsia="Arial" w:hAnsi="Arial"/>
                <w:sz w:val="17"/>
                <w:szCs w:val="17"/>
                <w:color w:val="auto"/>
                <w:vertAlign w:val="superscript"/>
              </w:rPr>
              <w:t>(5), (10)</w:t>
            </w:r>
          </w:p>
        </w:tc>
        <w:tc>
          <w:tcPr>
            <w:tcW w:w="640" w:type="dxa"/>
            <w:vAlign w:val="bottom"/>
            <w:shd w:val="clear" w:color="auto" w:fill="CCECFF"/>
          </w:tcPr>
          <w:p>
            <w:pPr>
              <w:jc w:val="center"/>
              <w:spacing w:after="0"/>
              <w:rPr>
                <w:sz w:val="20"/>
                <w:szCs w:val="20"/>
                <w:color w:val="auto"/>
              </w:rPr>
            </w:pPr>
            <w:r>
              <w:rPr>
                <w:rFonts w:ascii="Arial" w:cs="Arial" w:eastAsia="Arial" w:hAnsi="Arial"/>
                <w:sz w:val="12"/>
                <w:szCs w:val="12"/>
                <w:color w:val="auto"/>
                <w:w w:val="89"/>
              </w:rPr>
              <w:t>07/20/2022</w:t>
            </w:r>
          </w:p>
        </w:tc>
        <w:tc>
          <w:tcPr>
            <w:tcW w:w="120" w:type="dxa"/>
            <w:vAlign w:val="bottom"/>
            <w:shd w:val="clear" w:color="auto" w:fill="CCECFF"/>
          </w:tcPr>
          <w:p>
            <w:pPr>
              <w:spacing w:after="0"/>
              <w:rPr>
                <w:sz w:val="12"/>
                <w:szCs w:val="12"/>
                <w:color w:val="auto"/>
              </w:rPr>
            </w:pPr>
          </w:p>
        </w:tc>
        <w:tc>
          <w:tcPr>
            <w:tcW w:w="248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88"/>
              </w:rPr>
              <w:t>Consumer Goods: Non-Durable</w:t>
            </w:r>
          </w:p>
        </w:tc>
        <w:tc>
          <w:tcPr>
            <w:tcW w:w="920" w:type="dxa"/>
            <w:vAlign w:val="bottom"/>
            <w:gridSpan w:val="2"/>
            <w:shd w:val="clear" w:color="auto" w:fill="CCECFF"/>
          </w:tcPr>
          <w:p>
            <w:pPr>
              <w:jc w:val="right"/>
              <w:ind w:right="160"/>
              <w:spacing w:after="0"/>
              <w:rPr>
                <w:sz w:val="20"/>
                <w:szCs w:val="20"/>
                <w:color w:val="auto"/>
              </w:rPr>
            </w:pPr>
            <w:r>
              <w:rPr>
                <w:rFonts w:ascii="Arial" w:cs="Arial" w:eastAsia="Arial" w:hAnsi="Arial"/>
                <w:sz w:val="12"/>
                <w:szCs w:val="12"/>
                <w:color w:val="auto"/>
              </w:rPr>
              <w:t>6.65%</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2M L+450</w:t>
            </w:r>
          </w:p>
        </w:tc>
        <w:tc>
          <w:tcPr>
            <w:tcW w:w="90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5,431,292</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5,398,553</w:t>
            </w:r>
          </w:p>
        </w:tc>
        <w:tc>
          <w:tcPr>
            <w:tcW w:w="96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5,404,135</w:t>
            </w:r>
          </w:p>
        </w:tc>
        <w:tc>
          <w:tcPr>
            <w:tcW w:w="120" w:type="dxa"/>
            <w:vAlign w:val="bottom"/>
            <w:shd w:val="clear" w:color="auto" w:fill="CCECFF"/>
          </w:tcPr>
          <w:p>
            <w:pPr>
              <w:spacing w:after="0"/>
              <w:rPr>
                <w:sz w:val="12"/>
                <w:szCs w:val="12"/>
                <w:color w:val="auto"/>
              </w:rPr>
            </w:pPr>
          </w:p>
        </w:tc>
      </w:tr>
      <w:tr>
        <w:trPr>
          <w:trHeight w:val="149"/>
        </w:trPr>
        <w:tc>
          <w:tcPr>
            <w:tcW w:w="3480" w:type="dxa"/>
            <w:vAlign w:val="bottom"/>
            <w:gridSpan w:val="2"/>
          </w:tcPr>
          <w:p>
            <w:pPr>
              <w:spacing w:after="0" w:line="149" w:lineRule="exact"/>
              <w:rPr>
                <w:sz w:val="20"/>
                <w:szCs w:val="20"/>
                <w:color w:val="auto"/>
              </w:rPr>
            </w:pPr>
            <w:r>
              <w:rPr>
                <w:rFonts w:ascii="Arial" w:cs="Arial" w:eastAsia="Arial" w:hAnsi="Arial"/>
                <w:sz w:val="11"/>
                <w:szCs w:val="11"/>
                <w:color w:val="auto"/>
              </w:rPr>
              <w:t xml:space="preserve">The Original Cakerie Ltd. (Revolver) </w:t>
            </w:r>
            <w:r>
              <w:rPr>
                <w:rFonts w:ascii="Arial" w:cs="Arial" w:eastAsia="Arial" w:hAnsi="Arial"/>
                <w:sz w:val="17"/>
                <w:szCs w:val="17"/>
                <w:color w:val="auto"/>
                <w:vertAlign w:val="superscript"/>
              </w:rPr>
              <w:t>(5), (7), (10)</w:t>
            </w:r>
          </w:p>
        </w:tc>
        <w:tc>
          <w:tcPr>
            <w:tcW w:w="640" w:type="dxa"/>
            <w:vAlign w:val="bottom"/>
          </w:tcPr>
          <w:p>
            <w:pPr>
              <w:jc w:val="center"/>
              <w:spacing w:after="0"/>
              <w:rPr>
                <w:sz w:val="20"/>
                <w:szCs w:val="20"/>
                <w:color w:val="auto"/>
              </w:rPr>
            </w:pPr>
            <w:r>
              <w:rPr>
                <w:rFonts w:ascii="Arial" w:cs="Arial" w:eastAsia="Arial" w:hAnsi="Arial"/>
                <w:sz w:val="12"/>
                <w:szCs w:val="12"/>
                <w:color w:val="auto"/>
                <w:w w:val="89"/>
              </w:rPr>
              <w:t>07/20/2022</w:t>
            </w:r>
          </w:p>
        </w:tc>
        <w:tc>
          <w:tcPr>
            <w:tcW w:w="120" w:type="dxa"/>
            <w:vAlign w:val="bottom"/>
          </w:tcPr>
          <w:p>
            <w:pPr>
              <w:spacing w:after="0"/>
              <w:rPr>
                <w:sz w:val="12"/>
                <w:szCs w:val="12"/>
                <w:color w:val="auto"/>
              </w:rPr>
            </w:pPr>
          </w:p>
        </w:tc>
        <w:tc>
          <w:tcPr>
            <w:tcW w:w="2480" w:type="dxa"/>
            <w:vAlign w:val="bottom"/>
            <w:gridSpan w:val="2"/>
          </w:tcPr>
          <w:p>
            <w:pPr>
              <w:jc w:val="center"/>
              <w:ind w:right="140"/>
              <w:spacing w:after="0"/>
              <w:rPr>
                <w:sz w:val="20"/>
                <w:szCs w:val="20"/>
                <w:color w:val="auto"/>
              </w:rPr>
            </w:pPr>
            <w:r>
              <w:rPr>
                <w:rFonts w:ascii="Arial" w:cs="Arial" w:eastAsia="Arial" w:hAnsi="Arial"/>
                <w:sz w:val="12"/>
                <w:szCs w:val="12"/>
                <w:color w:val="auto"/>
                <w:w w:val="88"/>
              </w:rPr>
              <w:t>Consumer Goods: Non-Durable</w:t>
            </w:r>
          </w:p>
        </w:tc>
        <w:tc>
          <w:tcPr>
            <w:tcW w:w="920" w:type="dxa"/>
            <w:vAlign w:val="bottom"/>
            <w:gridSpan w:val="2"/>
          </w:tcPr>
          <w:p>
            <w:pPr>
              <w:jc w:val="right"/>
              <w:ind w:right="160"/>
              <w:spacing w:after="0"/>
              <w:rPr>
                <w:sz w:val="20"/>
                <w:szCs w:val="20"/>
                <w:color w:val="auto"/>
              </w:rPr>
            </w:pPr>
            <w:r>
              <w:rPr>
                <w:rFonts w:ascii="Arial" w:cs="Arial" w:eastAsia="Arial" w:hAnsi="Arial"/>
                <w:sz w:val="12"/>
                <w:szCs w:val="12"/>
                <w:color w:val="auto"/>
              </w:rPr>
              <w:t>6.65%</w:t>
            </w:r>
          </w:p>
        </w:tc>
        <w:tc>
          <w:tcPr>
            <w:tcW w:w="680" w:type="dxa"/>
            <w:vAlign w:val="bottom"/>
          </w:tcPr>
          <w:p>
            <w:pPr>
              <w:jc w:val="right"/>
              <w:spacing w:after="0"/>
              <w:rPr>
                <w:sz w:val="20"/>
                <w:szCs w:val="20"/>
                <w:color w:val="auto"/>
              </w:rPr>
            </w:pPr>
            <w:r>
              <w:rPr>
                <w:rFonts w:ascii="Arial" w:cs="Arial" w:eastAsia="Arial" w:hAnsi="Arial"/>
                <w:sz w:val="12"/>
                <w:szCs w:val="12"/>
                <w:color w:val="auto"/>
              </w:rPr>
              <w:t>3M L+450</w:t>
            </w:r>
          </w:p>
        </w:tc>
        <w:tc>
          <w:tcPr>
            <w:tcW w:w="900" w:type="dxa"/>
            <w:vAlign w:val="bottom"/>
            <w:gridSpan w:val="2"/>
          </w:tcPr>
          <w:p>
            <w:pPr>
              <w:jc w:val="right"/>
              <w:spacing w:after="0"/>
              <w:rPr>
                <w:sz w:val="20"/>
                <w:szCs w:val="20"/>
                <w:color w:val="auto"/>
              </w:rPr>
            </w:pPr>
            <w:r>
              <w:rPr>
                <w:rFonts w:ascii="Arial" w:cs="Arial" w:eastAsia="Arial" w:hAnsi="Arial"/>
                <w:sz w:val="12"/>
                <w:szCs w:val="12"/>
                <w:color w:val="auto"/>
              </w:rPr>
              <w:t>170,218</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170,218</w:t>
            </w:r>
          </w:p>
        </w:tc>
        <w:tc>
          <w:tcPr>
            <w:tcW w:w="960" w:type="dxa"/>
            <w:vAlign w:val="bottom"/>
            <w:gridSpan w:val="2"/>
          </w:tcPr>
          <w:p>
            <w:pPr>
              <w:jc w:val="right"/>
              <w:spacing w:after="0"/>
              <w:rPr>
                <w:sz w:val="20"/>
                <w:szCs w:val="20"/>
                <w:color w:val="auto"/>
              </w:rPr>
            </w:pPr>
            <w:r>
              <w:rPr>
                <w:rFonts w:ascii="Arial" w:cs="Arial" w:eastAsia="Arial" w:hAnsi="Arial"/>
                <w:sz w:val="12"/>
                <w:szCs w:val="12"/>
                <w:color w:val="auto"/>
              </w:rPr>
              <w:t>169,367</w:t>
            </w:r>
          </w:p>
        </w:tc>
        <w:tc>
          <w:tcPr>
            <w:tcW w:w="120" w:type="dxa"/>
            <w:vAlign w:val="bottom"/>
          </w:tcPr>
          <w:p>
            <w:pPr>
              <w:spacing w:after="0"/>
              <w:rPr>
                <w:sz w:val="12"/>
                <w:szCs w:val="12"/>
                <w:color w:val="auto"/>
              </w:rPr>
            </w:pPr>
          </w:p>
        </w:tc>
      </w:tr>
      <w:tr>
        <w:trPr>
          <w:trHeight w:val="148"/>
        </w:trPr>
        <w:tc>
          <w:tcPr>
            <w:tcW w:w="3480" w:type="dxa"/>
            <w:vAlign w:val="bottom"/>
            <w:gridSpan w:val="2"/>
            <w:shd w:val="clear" w:color="auto" w:fill="CCECFF"/>
          </w:tcPr>
          <w:p>
            <w:pPr>
              <w:spacing w:after="0" w:line="149" w:lineRule="exact"/>
              <w:rPr>
                <w:sz w:val="20"/>
                <w:szCs w:val="20"/>
                <w:color w:val="auto"/>
              </w:rPr>
            </w:pPr>
            <w:r>
              <w:rPr>
                <w:rFonts w:ascii="Arial" w:cs="Arial" w:eastAsia="Arial" w:hAnsi="Arial"/>
                <w:sz w:val="11"/>
                <w:szCs w:val="11"/>
                <w:color w:val="auto"/>
              </w:rPr>
              <w:t xml:space="preserve">The Original Cakerie Ltd. (Revolver) </w:t>
            </w:r>
            <w:r>
              <w:rPr>
                <w:rFonts w:ascii="Arial" w:cs="Arial" w:eastAsia="Arial" w:hAnsi="Arial"/>
                <w:sz w:val="17"/>
                <w:szCs w:val="17"/>
                <w:color w:val="auto"/>
                <w:vertAlign w:val="superscript"/>
              </w:rPr>
              <w:t>(5), (7), (9), (10)</w:t>
            </w:r>
          </w:p>
        </w:tc>
        <w:tc>
          <w:tcPr>
            <w:tcW w:w="640" w:type="dxa"/>
            <w:vAlign w:val="bottom"/>
            <w:shd w:val="clear" w:color="auto" w:fill="CCECFF"/>
          </w:tcPr>
          <w:p>
            <w:pPr>
              <w:jc w:val="center"/>
              <w:spacing w:after="0"/>
              <w:rPr>
                <w:sz w:val="20"/>
                <w:szCs w:val="20"/>
                <w:color w:val="auto"/>
              </w:rPr>
            </w:pPr>
            <w:r>
              <w:rPr>
                <w:rFonts w:ascii="Arial" w:cs="Arial" w:eastAsia="Arial" w:hAnsi="Arial"/>
                <w:sz w:val="12"/>
                <w:szCs w:val="12"/>
                <w:color w:val="auto"/>
                <w:w w:val="89"/>
              </w:rPr>
              <w:t>07/20/2022</w:t>
            </w:r>
          </w:p>
        </w:tc>
        <w:tc>
          <w:tcPr>
            <w:tcW w:w="120" w:type="dxa"/>
            <w:vAlign w:val="bottom"/>
            <w:shd w:val="clear" w:color="auto" w:fill="CCECFF"/>
          </w:tcPr>
          <w:p>
            <w:pPr>
              <w:spacing w:after="0"/>
              <w:rPr>
                <w:sz w:val="12"/>
                <w:szCs w:val="12"/>
                <w:color w:val="auto"/>
              </w:rPr>
            </w:pPr>
          </w:p>
        </w:tc>
        <w:tc>
          <w:tcPr>
            <w:tcW w:w="248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88"/>
              </w:rPr>
              <w:t>Consumer Goods: Non-Durable</w:t>
            </w:r>
          </w:p>
        </w:tc>
        <w:tc>
          <w:tcPr>
            <w:tcW w:w="920" w:type="dxa"/>
            <w:vAlign w:val="bottom"/>
            <w:gridSpan w:val="2"/>
            <w:shd w:val="clear" w:color="auto" w:fill="CCECFF"/>
          </w:tcPr>
          <w:p>
            <w:pPr>
              <w:jc w:val="right"/>
              <w:ind w:right="260"/>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90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1,248,266</w:t>
            </w:r>
          </w:p>
        </w:tc>
        <w:tc>
          <w:tcPr>
            <w:tcW w:w="220" w:type="dxa"/>
            <w:vAlign w:val="bottom"/>
            <w:shd w:val="clear" w:color="auto" w:fill="CCECFF"/>
          </w:tcPr>
          <w:p>
            <w:pPr>
              <w:spacing w:after="0"/>
              <w:rPr>
                <w:sz w:val="12"/>
                <w:szCs w:val="12"/>
                <w:color w:val="auto"/>
              </w:rPr>
            </w:pPr>
          </w:p>
        </w:tc>
        <w:tc>
          <w:tcPr>
            <w:tcW w:w="7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1080" w:type="dxa"/>
            <w:vAlign w:val="bottom"/>
            <w:gridSpan w:val="3"/>
            <w:shd w:val="clear" w:color="auto" w:fill="CCECFF"/>
          </w:tcPr>
          <w:p>
            <w:pPr>
              <w:jc w:val="right"/>
              <w:ind w:right="80"/>
              <w:spacing w:after="0"/>
              <w:rPr>
                <w:sz w:val="20"/>
                <w:szCs w:val="20"/>
                <w:color w:val="auto"/>
              </w:rPr>
            </w:pPr>
            <w:r>
              <w:rPr>
                <w:rFonts w:ascii="Arial" w:cs="Arial" w:eastAsia="Arial" w:hAnsi="Arial"/>
                <w:sz w:val="12"/>
                <w:szCs w:val="12"/>
                <w:color w:val="auto"/>
              </w:rPr>
              <w:t>(6,241)</w:t>
            </w:r>
          </w:p>
        </w:tc>
      </w:tr>
      <w:tr>
        <w:trPr>
          <w:trHeight w:val="149"/>
        </w:trPr>
        <w:tc>
          <w:tcPr>
            <w:tcW w:w="3480" w:type="dxa"/>
            <w:vAlign w:val="bottom"/>
            <w:gridSpan w:val="2"/>
          </w:tcPr>
          <w:p>
            <w:pPr>
              <w:spacing w:after="0"/>
              <w:rPr>
                <w:sz w:val="20"/>
                <w:szCs w:val="20"/>
                <w:color w:val="auto"/>
              </w:rPr>
            </w:pPr>
            <w:r>
              <w:rPr>
                <w:rFonts w:ascii="Arial" w:cs="Arial" w:eastAsia="Arial" w:hAnsi="Arial"/>
                <w:sz w:val="12"/>
                <w:szCs w:val="12"/>
                <w:color w:val="auto"/>
              </w:rPr>
              <w:t>Triad Manufacturing, Inc.</w:t>
            </w:r>
          </w:p>
        </w:tc>
        <w:tc>
          <w:tcPr>
            <w:tcW w:w="640" w:type="dxa"/>
            <w:vAlign w:val="bottom"/>
          </w:tcPr>
          <w:p>
            <w:pPr>
              <w:jc w:val="center"/>
              <w:spacing w:after="0"/>
              <w:rPr>
                <w:sz w:val="20"/>
                <w:szCs w:val="20"/>
                <w:color w:val="auto"/>
              </w:rPr>
            </w:pPr>
            <w:r>
              <w:rPr>
                <w:rFonts w:ascii="Arial" w:cs="Arial" w:eastAsia="Arial" w:hAnsi="Arial"/>
                <w:sz w:val="12"/>
                <w:szCs w:val="12"/>
                <w:color w:val="auto"/>
                <w:w w:val="89"/>
              </w:rPr>
              <w:t>12/28/2020</w:t>
            </w:r>
          </w:p>
        </w:tc>
        <w:tc>
          <w:tcPr>
            <w:tcW w:w="120" w:type="dxa"/>
            <w:vAlign w:val="bottom"/>
          </w:tcPr>
          <w:p>
            <w:pPr>
              <w:spacing w:after="0"/>
              <w:rPr>
                <w:sz w:val="12"/>
                <w:szCs w:val="12"/>
                <w:color w:val="auto"/>
              </w:rPr>
            </w:pPr>
          </w:p>
        </w:tc>
        <w:tc>
          <w:tcPr>
            <w:tcW w:w="2480" w:type="dxa"/>
            <w:vAlign w:val="bottom"/>
            <w:gridSpan w:val="2"/>
          </w:tcPr>
          <w:p>
            <w:pPr>
              <w:jc w:val="center"/>
              <w:ind w:right="160"/>
              <w:spacing w:after="0"/>
              <w:rPr>
                <w:sz w:val="20"/>
                <w:szCs w:val="20"/>
                <w:color w:val="auto"/>
              </w:rPr>
            </w:pPr>
            <w:r>
              <w:rPr>
                <w:rFonts w:ascii="Arial" w:cs="Arial" w:eastAsia="Arial" w:hAnsi="Arial"/>
                <w:sz w:val="12"/>
                <w:szCs w:val="12"/>
                <w:color w:val="auto"/>
                <w:w w:val="89"/>
              </w:rPr>
              <w:t>Capital Equipment</w:t>
            </w:r>
          </w:p>
        </w:tc>
        <w:tc>
          <w:tcPr>
            <w:tcW w:w="920" w:type="dxa"/>
            <w:vAlign w:val="bottom"/>
            <w:gridSpan w:val="2"/>
          </w:tcPr>
          <w:p>
            <w:pPr>
              <w:jc w:val="right"/>
              <w:ind w:right="160"/>
              <w:spacing w:after="0"/>
              <w:rPr>
                <w:sz w:val="20"/>
                <w:szCs w:val="20"/>
                <w:color w:val="auto"/>
              </w:rPr>
            </w:pPr>
            <w:r>
              <w:rPr>
                <w:rFonts w:ascii="Arial" w:cs="Arial" w:eastAsia="Arial" w:hAnsi="Arial"/>
                <w:sz w:val="12"/>
                <w:szCs w:val="12"/>
                <w:color w:val="auto"/>
              </w:rPr>
              <w:t>13.29%</w:t>
            </w:r>
          </w:p>
        </w:tc>
        <w:tc>
          <w:tcPr>
            <w:tcW w:w="680" w:type="dxa"/>
            <w:vAlign w:val="bottom"/>
          </w:tcPr>
          <w:p>
            <w:pPr>
              <w:jc w:val="right"/>
              <w:spacing w:after="0"/>
              <w:rPr>
                <w:sz w:val="20"/>
                <w:szCs w:val="20"/>
                <w:color w:val="auto"/>
              </w:rPr>
            </w:pPr>
            <w:r>
              <w:rPr>
                <w:rFonts w:ascii="Arial" w:cs="Arial" w:eastAsia="Arial" w:hAnsi="Arial"/>
                <w:sz w:val="12"/>
                <w:szCs w:val="12"/>
                <w:color w:val="auto"/>
              </w:rPr>
              <w:t>1M L+1,125</w:t>
            </w:r>
          </w:p>
        </w:tc>
        <w:tc>
          <w:tcPr>
            <w:tcW w:w="900" w:type="dxa"/>
            <w:vAlign w:val="bottom"/>
            <w:gridSpan w:val="2"/>
          </w:tcPr>
          <w:p>
            <w:pPr>
              <w:jc w:val="right"/>
              <w:spacing w:after="0"/>
              <w:rPr>
                <w:sz w:val="20"/>
                <w:szCs w:val="20"/>
                <w:color w:val="auto"/>
              </w:rPr>
            </w:pPr>
            <w:r>
              <w:rPr>
                <w:rFonts w:ascii="Arial" w:cs="Arial" w:eastAsia="Arial" w:hAnsi="Arial"/>
                <w:sz w:val="12"/>
                <w:szCs w:val="12"/>
                <w:color w:val="auto"/>
              </w:rPr>
              <w:t>7,710,575</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7,664,214</w:t>
            </w:r>
          </w:p>
        </w:tc>
        <w:tc>
          <w:tcPr>
            <w:tcW w:w="960" w:type="dxa"/>
            <w:vAlign w:val="bottom"/>
            <w:gridSpan w:val="2"/>
          </w:tcPr>
          <w:p>
            <w:pPr>
              <w:jc w:val="right"/>
              <w:spacing w:after="0"/>
              <w:rPr>
                <w:sz w:val="20"/>
                <w:szCs w:val="20"/>
                <w:color w:val="auto"/>
              </w:rPr>
            </w:pPr>
            <w:r>
              <w:rPr>
                <w:rFonts w:ascii="Arial" w:cs="Arial" w:eastAsia="Arial" w:hAnsi="Arial"/>
                <w:sz w:val="12"/>
                <w:szCs w:val="12"/>
                <w:color w:val="auto"/>
              </w:rPr>
              <w:t>7,633,469</w:t>
            </w:r>
          </w:p>
        </w:tc>
        <w:tc>
          <w:tcPr>
            <w:tcW w:w="120" w:type="dxa"/>
            <w:vAlign w:val="bottom"/>
          </w:tcPr>
          <w:p>
            <w:pPr>
              <w:spacing w:after="0"/>
              <w:rPr>
                <w:sz w:val="12"/>
                <w:szCs w:val="12"/>
                <w:color w:val="auto"/>
              </w:rPr>
            </w:pPr>
          </w:p>
        </w:tc>
      </w:tr>
      <w:tr>
        <w:trPr>
          <w:trHeight w:val="148"/>
        </w:trPr>
        <w:tc>
          <w:tcPr>
            <w:tcW w:w="3480" w:type="dxa"/>
            <w:vAlign w:val="bottom"/>
            <w:gridSpan w:val="2"/>
            <w:shd w:val="clear" w:color="auto" w:fill="CCECFF"/>
          </w:tcPr>
          <w:p>
            <w:pPr>
              <w:spacing w:after="0"/>
              <w:rPr>
                <w:sz w:val="20"/>
                <w:szCs w:val="20"/>
                <w:color w:val="auto"/>
              </w:rPr>
            </w:pPr>
            <w:r>
              <w:rPr>
                <w:rFonts w:ascii="Arial" w:cs="Arial" w:eastAsia="Arial" w:hAnsi="Arial"/>
                <w:sz w:val="12"/>
                <w:szCs w:val="12"/>
                <w:color w:val="auto"/>
              </w:rPr>
              <w:t>TVC Enterprises, LLC</w:t>
            </w:r>
          </w:p>
        </w:tc>
        <w:tc>
          <w:tcPr>
            <w:tcW w:w="640" w:type="dxa"/>
            <w:vAlign w:val="bottom"/>
            <w:shd w:val="clear" w:color="auto" w:fill="CCECFF"/>
          </w:tcPr>
          <w:p>
            <w:pPr>
              <w:jc w:val="center"/>
              <w:spacing w:after="0"/>
              <w:rPr>
                <w:sz w:val="20"/>
                <w:szCs w:val="20"/>
                <w:color w:val="auto"/>
              </w:rPr>
            </w:pPr>
            <w:r>
              <w:rPr>
                <w:rFonts w:ascii="Arial" w:cs="Arial" w:eastAsia="Arial" w:hAnsi="Arial"/>
                <w:sz w:val="12"/>
                <w:szCs w:val="12"/>
                <w:color w:val="auto"/>
                <w:w w:val="89"/>
              </w:rPr>
              <w:t>01/18/2024</w:t>
            </w:r>
          </w:p>
        </w:tc>
        <w:tc>
          <w:tcPr>
            <w:tcW w:w="120" w:type="dxa"/>
            <w:vAlign w:val="bottom"/>
            <w:shd w:val="clear" w:color="auto" w:fill="CCECFF"/>
          </w:tcPr>
          <w:p>
            <w:pPr>
              <w:spacing w:after="0"/>
              <w:rPr>
                <w:sz w:val="12"/>
                <w:szCs w:val="12"/>
                <w:color w:val="auto"/>
              </w:rPr>
            </w:pPr>
          </w:p>
        </w:tc>
        <w:tc>
          <w:tcPr>
            <w:tcW w:w="2480" w:type="dxa"/>
            <w:vAlign w:val="bottom"/>
            <w:gridSpan w:val="2"/>
            <w:shd w:val="clear" w:color="auto" w:fill="CCECFF"/>
          </w:tcPr>
          <w:p>
            <w:pPr>
              <w:jc w:val="center"/>
              <w:ind w:right="160"/>
              <w:spacing w:after="0"/>
              <w:rPr>
                <w:sz w:val="20"/>
                <w:szCs w:val="20"/>
                <w:color w:val="auto"/>
              </w:rPr>
            </w:pPr>
            <w:r>
              <w:rPr>
                <w:rFonts w:ascii="Arial" w:cs="Arial" w:eastAsia="Arial" w:hAnsi="Arial"/>
                <w:sz w:val="12"/>
                <w:szCs w:val="12"/>
                <w:color w:val="auto"/>
                <w:w w:val="86"/>
              </w:rPr>
              <w:t>Professional Services</w:t>
            </w:r>
          </w:p>
        </w:tc>
        <w:tc>
          <w:tcPr>
            <w:tcW w:w="920" w:type="dxa"/>
            <w:vAlign w:val="bottom"/>
            <w:gridSpan w:val="2"/>
            <w:shd w:val="clear" w:color="auto" w:fill="CCECFF"/>
          </w:tcPr>
          <w:p>
            <w:pPr>
              <w:jc w:val="right"/>
              <w:ind w:right="160"/>
              <w:spacing w:after="0"/>
              <w:rPr>
                <w:sz w:val="20"/>
                <w:szCs w:val="20"/>
                <w:color w:val="auto"/>
              </w:rPr>
            </w:pPr>
            <w:r>
              <w:rPr>
                <w:rFonts w:ascii="Arial" w:cs="Arial" w:eastAsia="Arial" w:hAnsi="Arial"/>
                <w:sz w:val="12"/>
                <w:szCs w:val="12"/>
                <w:color w:val="auto"/>
              </w:rPr>
              <w:t>7.61%</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1M L+550</w:t>
            </w:r>
          </w:p>
        </w:tc>
        <w:tc>
          <w:tcPr>
            <w:tcW w:w="90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5,928,804</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5,824,179</w:t>
            </w:r>
          </w:p>
        </w:tc>
        <w:tc>
          <w:tcPr>
            <w:tcW w:w="96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5,928,804</w:t>
            </w:r>
          </w:p>
        </w:tc>
        <w:tc>
          <w:tcPr>
            <w:tcW w:w="120" w:type="dxa"/>
            <w:vAlign w:val="bottom"/>
            <w:shd w:val="clear" w:color="auto" w:fill="CCECFF"/>
          </w:tcPr>
          <w:p>
            <w:pPr>
              <w:spacing w:after="0"/>
              <w:rPr>
                <w:sz w:val="12"/>
                <w:szCs w:val="12"/>
                <w:color w:val="auto"/>
              </w:rPr>
            </w:pPr>
          </w:p>
        </w:tc>
      </w:tr>
      <w:tr>
        <w:trPr>
          <w:trHeight w:val="148"/>
        </w:trPr>
        <w:tc>
          <w:tcPr>
            <w:tcW w:w="3480" w:type="dxa"/>
            <w:vAlign w:val="bottom"/>
            <w:gridSpan w:val="2"/>
          </w:tcPr>
          <w:p>
            <w:pPr>
              <w:spacing w:after="0" w:line="149" w:lineRule="exact"/>
              <w:rPr>
                <w:sz w:val="20"/>
                <w:szCs w:val="20"/>
                <w:color w:val="auto"/>
              </w:rPr>
            </w:pPr>
            <w:r>
              <w:rPr>
                <w:rFonts w:ascii="Arial" w:cs="Arial" w:eastAsia="Arial" w:hAnsi="Arial"/>
                <w:sz w:val="11"/>
                <w:szCs w:val="11"/>
                <w:color w:val="auto"/>
              </w:rPr>
              <w:t xml:space="preserve">TVC Enterprises, LLC </w:t>
            </w:r>
            <w:r>
              <w:rPr>
                <w:rFonts w:ascii="Arial" w:cs="Arial" w:eastAsia="Arial" w:hAnsi="Arial"/>
                <w:sz w:val="17"/>
                <w:szCs w:val="17"/>
                <w:color w:val="auto"/>
                <w:vertAlign w:val="superscript"/>
              </w:rPr>
              <w:t>(7), (9)</w:t>
            </w:r>
          </w:p>
        </w:tc>
        <w:tc>
          <w:tcPr>
            <w:tcW w:w="640" w:type="dxa"/>
            <w:vAlign w:val="bottom"/>
          </w:tcPr>
          <w:p>
            <w:pPr>
              <w:jc w:val="center"/>
              <w:spacing w:after="0"/>
              <w:rPr>
                <w:sz w:val="20"/>
                <w:szCs w:val="20"/>
                <w:color w:val="auto"/>
              </w:rPr>
            </w:pPr>
            <w:r>
              <w:rPr>
                <w:rFonts w:ascii="Arial" w:cs="Arial" w:eastAsia="Arial" w:hAnsi="Arial"/>
                <w:sz w:val="12"/>
                <w:szCs w:val="12"/>
                <w:color w:val="auto"/>
                <w:w w:val="89"/>
              </w:rPr>
              <w:t>01/18/2024</w:t>
            </w:r>
          </w:p>
        </w:tc>
        <w:tc>
          <w:tcPr>
            <w:tcW w:w="120" w:type="dxa"/>
            <w:vAlign w:val="bottom"/>
          </w:tcPr>
          <w:p>
            <w:pPr>
              <w:spacing w:after="0"/>
              <w:rPr>
                <w:sz w:val="12"/>
                <w:szCs w:val="12"/>
                <w:color w:val="auto"/>
              </w:rPr>
            </w:pPr>
          </w:p>
        </w:tc>
        <w:tc>
          <w:tcPr>
            <w:tcW w:w="2480" w:type="dxa"/>
            <w:vAlign w:val="bottom"/>
            <w:gridSpan w:val="2"/>
          </w:tcPr>
          <w:p>
            <w:pPr>
              <w:jc w:val="center"/>
              <w:ind w:right="160"/>
              <w:spacing w:after="0"/>
              <w:rPr>
                <w:sz w:val="20"/>
                <w:szCs w:val="20"/>
                <w:color w:val="auto"/>
              </w:rPr>
            </w:pPr>
            <w:r>
              <w:rPr>
                <w:rFonts w:ascii="Arial" w:cs="Arial" w:eastAsia="Arial" w:hAnsi="Arial"/>
                <w:sz w:val="12"/>
                <w:szCs w:val="12"/>
                <w:color w:val="auto"/>
                <w:w w:val="86"/>
              </w:rPr>
              <w:t>Professional Services</w:t>
            </w:r>
          </w:p>
        </w:tc>
        <w:tc>
          <w:tcPr>
            <w:tcW w:w="92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w:t>
            </w:r>
          </w:p>
        </w:tc>
        <w:tc>
          <w:tcPr>
            <w:tcW w:w="900" w:type="dxa"/>
            <w:vAlign w:val="bottom"/>
            <w:gridSpan w:val="2"/>
          </w:tcPr>
          <w:p>
            <w:pPr>
              <w:jc w:val="right"/>
              <w:spacing w:after="0"/>
              <w:rPr>
                <w:sz w:val="20"/>
                <w:szCs w:val="20"/>
                <w:color w:val="auto"/>
              </w:rPr>
            </w:pPr>
            <w:r>
              <w:rPr>
                <w:rFonts w:ascii="Arial" w:cs="Arial" w:eastAsia="Arial" w:hAnsi="Arial"/>
                <w:sz w:val="12"/>
                <w:szCs w:val="12"/>
                <w:color w:val="auto"/>
              </w:rPr>
              <w:t>1,955,719</w:t>
            </w:r>
          </w:p>
        </w:tc>
        <w:tc>
          <w:tcPr>
            <w:tcW w:w="22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2"/>
                <w:szCs w:val="12"/>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r>
      <w:tr>
        <w:trPr>
          <w:trHeight w:val="149"/>
        </w:trPr>
        <w:tc>
          <w:tcPr>
            <w:tcW w:w="3480" w:type="dxa"/>
            <w:vAlign w:val="bottom"/>
            <w:gridSpan w:val="2"/>
            <w:shd w:val="clear" w:color="auto" w:fill="CCECFF"/>
          </w:tcPr>
          <w:p>
            <w:pPr>
              <w:spacing w:after="0" w:line="149" w:lineRule="exact"/>
              <w:rPr>
                <w:sz w:val="20"/>
                <w:szCs w:val="20"/>
                <w:color w:val="auto"/>
              </w:rPr>
            </w:pPr>
            <w:r>
              <w:rPr>
                <w:rFonts w:ascii="Arial" w:cs="Arial" w:eastAsia="Arial" w:hAnsi="Arial"/>
                <w:sz w:val="11"/>
                <w:szCs w:val="11"/>
                <w:color w:val="auto"/>
              </w:rPr>
              <w:t xml:space="preserve">TVC Enterprises, LLC (Revolver) </w:t>
            </w:r>
            <w:r>
              <w:rPr>
                <w:rFonts w:ascii="Arial" w:cs="Arial" w:eastAsia="Arial" w:hAnsi="Arial"/>
                <w:sz w:val="17"/>
                <w:szCs w:val="17"/>
                <w:color w:val="auto"/>
                <w:vertAlign w:val="superscript"/>
              </w:rPr>
              <w:t>(7)</w:t>
            </w:r>
          </w:p>
        </w:tc>
        <w:tc>
          <w:tcPr>
            <w:tcW w:w="640" w:type="dxa"/>
            <w:vAlign w:val="bottom"/>
            <w:shd w:val="clear" w:color="auto" w:fill="CCECFF"/>
          </w:tcPr>
          <w:p>
            <w:pPr>
              <w:jc w:val="center"/>
              <w:spacing w:after="0"/>
              <w:rPr>
                <w:sz w:val="20"/>
                <w:szCs w:val="20"/>
                <w:color w:val="auto"/>
              </w:rPr>
            </w:pPr>
            <w:r>
              <w:rPr>
                <w:rFonts w:ascii="Arial" w:cs="Arial" w:eastAsia="Arial" w:hAnsi="Arial"/>
                <w:sz w:val="12"/>
                <w:szCs w:val="12"/>
                <w:color w:val="auto"/>
                <w:w w:val="89"/>
              </w:rPr>
              <w:t>01/18/2024</w:t>
            </w:r>
          </w:p>
        </w:tc>
        <w:tc>
          <w:tcPr>
            <w:tcW w:w="120" w:type="dxa"/>
            <w:vAlign w:val="bottom"/>
            <w:shd w:val="clear" w:color="auto" w:fill="CCECFF"/>
          </w:tcPr>
          <w:p>
            <w:pPr>
              <w:spacing w:after="0"/>
              <w:rPr>
                <w:sz w:val="12"/>
                <w:szCs w:val="12"/>
                <w:color w:val="auto"/>
              </w:rPr>
            </w:pPr>
          </w:p>
        </w:tc>
        <w:tc>
          <w:tcPr>
            <w:tcW w:w="2480" w:type="dxa"/>
            <w:vAlign w:val="bottom"/>
            <w:gridSpan w:val="2"/>
            <w:shd w:val="clear" w:color="auto" w:fill="CCECFF"/>
          </w:tcPr>
          <w:p>
            <w:pPr>
              <w:jc w:val="center"/>
              <w:ind w:right="160"/>
              <w:spacing w:after="0"/>
              <w:rPr>
                <w:sz w:val="20"/>
                <w:szCs w:val="20"/>
                <w:color w:val="auto"/>
              </w:rPr>
            </w:pPr>
            <w:r>
              <w:rPr>
                <w:rFonts w:ascii="Arial" w:cs="Arial" w:eastAsia="Arial" w:hAnsi="Arial"/>
                <w:sz w:val="12"/>
                <w:szCs w:val="12"/>
                <w:color w:val="auto"/>
                <w:w w:val="86"/>
              </w:rPr>
              <w:t>Professional Services</w:t>
            </w:r>
          </w:p>
        </w:tc>
        <w:tc>
          <w:tcPr>
            <w:tcW w:w="920" w:type="dxa"/>
            <w:vAlign w:val="bottom"/>
            <w:gridSpan w:val="2"/>
            <w:shd w:val="clear" w:color="auto" w:fill="CCECFF"/>
          </w:tcPr>
          <w:p>
            <w:pPr>
              <w:jc w:val="right"/>
              <w:ind w:right="160"/>
              <w:spacing w:after="0"/>
              <w:rPr>
                <w:sz w:val="20"/>
                <w:szCs w:val="20"/>
                <w:color w:val="auto"/>
              </w:rPr>
            </w:pPr>
            <w:r>
              <w:rPr>
                <w:rFonts w:ascii="Arial" w:cs="Arial" w:eastAsia="Arial" w:hAnsi="Arial"/>
                <w:sz w:val="12"/>
                <w:szCs w:val="12"/>
                <w:color w:val="auto"/>
              </w:rPr>
              <w:t>7.61%</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1M L+550</w:t>
            </w:r>
          </w:p>
        </w:tc>
        <w:tc>
          <w:tcPr>
            <w:tcW w:w="90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467,022</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467,022</w:t>
            </w:r>
          </w:p>
        </w:tc>
        <w:tc>
          <w:tcPr>
            <w:tcW w:w="96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467,022</w:t>
            </w:r>
          </w:p>
        </w:tc>
        <w:tc>
          <w:tcPr>
            <w:tcW w:w="120" w:type="dxa"/>
            <w:vAlign w:val="bottom"/>
            <w:shd w:val="clear" w:color="auto" w:fill="CCECFF"/>
          </w:tcPr>
          <w:p>
            <w:pPr>
              <w:spacing w:after="0"/>
              <w:rPr>
                <w:sz w:val="12"/>
                <w:szCs w:val="12"/>
                <w:color w:val="auto"/>
              </w:rPr>
            </w:pPr>
          </w:p>
        </w:tc>
      </w:tr>
      <w:tr>
        <w:trPr>
          <w:trHeight w:val="148"/>
        </w:trPr>
        <w:tc>
          <w:tcPr>
            <w:tcW w:w="3480" w:type="dxa"/>
            <w:vAlign w:val="bottom"/>
            <w:gridSpan w:val="2"/>
          </w:tcPr>
          <w:p>
            <w:pPr>
              <w:spacing w:after="0" w:line="149" w:lineRule="exact"/>
              <w:rPr>
                <w:sz w:val="20"/>
                <w:szCs w:val="20"/>
                <w:color w:val="auto"/>
              </w:rPr>
            </w:pPr>
            <w:r>
              <w:rPr>
                <w:rFonts w:ascii="Arial" w:cs="Arial" w:eastAsia="Arial" w:hAnsi="Arial"/>
                <w:sz w:val="11"/>
                <w:szCs w:val="11"/>
                <w:color w:val="auto"/>
              </w:rPr>
              <w:t xml:space="preserve">TVC Enterprises, LLC (Revolver) </w:t>
            </w:r>
            <w:r>
              <w:rPr>
                <w:rFonts w:ascii="Arial" w:cs="Arial" w:eastAsia="Arial" w:hAnsi="Arial"/>
                <w:sz w:val="17"/>
                <w:szCs w:val="17"/>
                <w:color w:val="auto"/>
                <w:vertAlign w:val="superscript"/>
              </w:rPr>
              <w:t>(7), (9)</w:t>
            </w:r>
          </w:p>
        </w:tc>
        <w:tc>
          <w:tcPr>
            <w:tcW w:w="640" w:type="dxa"/>
            <w:vAlign w:val="bottom"/>
          </w:tcPr>
          <w:p>
            <w:pPr>
              <w:jc w:val="center"/>
              <w:spacing w:after="0"/>
              <w:rPr>
                <w:sz w:val="20"/>
                <w:szCs w:val="20"/>
                <w:color w:val="auto"/>
              </w:rPr>
            </w:pPr>
            <w:r>
              <w:rPr>
                <w:rFonts w:ascii="Arial" w:cs="Arial" w:eastAsia="Arial" w:hAnsi="Arial"/>
                <w:sz w:val="12"/>
                <w:szCs w:val="12"/>
                <w:color w:val="auto"/>
                <w:w w:val="89"/>
              </w:rPr>
              <w:t>01/18/2024</w:t>
            </w:r>
          </w:p>
        </w:tc>
        <w:tc>
          <w:tcPr>
            <w:tcW w:w="120" w:type="dxa"/>
            <w:vAlign w:val="bottom"/>
          </w:tcPr>
          <w:p>
            <w:pPr>
              <w:spacing w:after="0"/>
              <w:rPr>
                <w:sz w:val="12"/>
                <w:szCs w:val="12"/>
                <w:color w:val="auto"/>
              </w:rPr>
            </w:pPr>
          </w:p>
        </w:tc>
        <w:tc>
          <w:tcPr>
            <w:tcW w:w="2480" w:type="dxa"/>
            <w:vAlign w:val="bottom"/>
            <w:gridSpan w:val="2"/>
          </w:tcPr>
          <w:p>
            <w:pPr>
              <w:jc w:val="center"/>
              <w:ind w:right="160"/>
              <w:spacing w:after="0"/>
              <w:rPr>
                <w:sz w:val="20"/>
                <w:szCs w:val="20"/>
                <w:color w:val="auto"/>
              </w:rPr>
            </w:pPr>
            <w:r>
              <w:rPr>
                <w:rFonts w:ascii="Arial" w:cs="Arial" w:eastAsia="Arial" w:hAnsi="Arial"/>
                <w:sz w:val="12"/>
                <w:szCs w:val="12"/>
                <w:color w:val="auto"/>
                <w:w w:val="86"/>
              </w:rPr>
              <w:t>Professional Services</w:t>
            </w:r>
          </w:p>
        </w:tc>
        <w:tc>
          <w:tcPr>
            <w:tcW w:w="92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w:t>
            </w:r>
          </w:p>
        </w:tc>
        <w:tc>
          <w:tcPr>
            <w:tcW w:w="900" w:type="dxa"/>
            <w:vAlign w:val="bottom"/>
            <w:gridSpan w:val="2"/>
          </w:tcPr>
          <w:p>
            <w:pPr>
              <w:jc w:val="right"/>
              <w:spacing w:after="0"/>
              <w:rPr>
                <w:sz w:val="20"/>
                <w:szCs w:val="20"/>
                <w:color w:val="auto"/>
              </w:rPr>
            </w:pPr>
            <w:r>
              <w:rPr>
                <w:rFonts w:ascii="Arial" w:cs="Arial" w:eastAsia="Arial" w:hAnsi="Arial"/>
                <w:sz w:val="12"/>
                <w:szCs w:val="12"/>
                <w:color w:val="auto"/>
              </w:rPr>
              <w:t>836,791</w:t>
            </w:r>
          </w:p>
        </w:tc>
        <w:tc>
          <w:tcPr>
            <w:tcW w:w="22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2"/>
                <w:szCs w:val="12"/>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r>
      <w:tr>
        <w:trPr>
          <w:trHeight w:val="148"/>
        </w:trPr>
        <w:tc>
          <w:tcPr>
            <w:tcW w:w="3480" w:type="dxa"/>
            <w:vAlign w:val="bottom"/>
            <w:gridSpan w:val="2"/>
            <w:shd w:val="clear" w:color="auto" w:fill="CCECFF"/>
          </w:tcPr>
          <w:p>
            <w:pPr>
              <w:spacing w:after="0"/>
              <w:rPr>
                <w:sz w:val="20"/>
                <w:szCs w:val="20"/>
                <w:color w:val="auto"/>
              </w:rPr>
            </w:pPr>
            <w:r>
              <w:rPr>
                <w:rFonts w:ascii="Arial" w:cs="Arial" w:eastAsia="Arial" w:hAnsi="Arial"/>
                <w:sz w:val="12"/>
                <w:szCs w:val="12"/>
                <w:color w:val="auto"/>
              </w:rPr>
              <w:t>TWS Acquisition Corporation</w:t>
            </w:r>
          </w:p>
        </w:tc>
        <w:tc>
          <w:tcPr>
            <w:tcW w:w="640" w:type="dxa"/>
            <w:vAlign w:val="bottom"/>
            <w:shd w:val="clear" w:color="auto" w:fill="CCECFF"/>
          </w:tcPr>
          <w:p>
            <w:pPr>
              <w:jc w:val="center"/>
              <w:spacing w:after="0"/>
              <w:rPr>
                <w:sz w:val="20"/>
                <w:szCs w:val="20"/>
                <w:color w:val="auto"/>
              </w:rPr>
            </w:pPr>
            <w:r>
              <w:rPr>
                <w:rFonts w:ascii="Arial" w:cs="Arial" w:eastAsia="Arial" w:hAnsi="Arial"/>
                <w:sz w:val="12"/>
                <w:szCs w:val="12"/>
                <w:color w:val="auto"/>
                <w:w w:val="89"/>
              </w:rPr>
              <w:t>06/16/2025</w:t>
            </w:r>
          </w:p>
        </w:tc>
        <w:tc>
          <w:tcPr>
            <w:tcW w:w="120" w:type="dxa"/>
            <w:vAlign w:val="bottom"/>
            <w:shd w:val="clear" w:color="auto" w:fill="CCECFF"/>
          </w:tcPr>
          <w:p>
            <w:pPr>
              <w:spacing w:after="0"/>
              <w:rPr>
                <w:sz w:val="12"/>
                <w:szCs w:val="12"/>
                <w:color w:val="auto"/>
              </w:rPr>
            </w:pPr>
          </w:p>
        </w:tc>
        <w:tc>
          <w:tcPr>
            <w:tcW w:w="248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88"/>
              </w:rPr>
              <w:t>Diversified Consumer Services</w:t>
            </w:r>
          </w:p>
        </w:tc>
        <w:tc>
          <w:tcPr>
            <w:tcW w:w="920" w:type="dxa"/>
            <w:vAlign w:val="bottom"/>
            <w:gridSpan w:val="2"/>
            <w:shd w:val="clear" w:color="auto" w:fill="CCECFF"/>
          </w:tcPr>
          <w:p>
            <w:pPr>
              <w:jc w:val="right"/>
              <w:ind w:right="160"/>
              <w:spacing w:after="0"/>
              <w:rPr>
                <w:sz w:val="20"/>
                <w:szCs w:val="20"/>
                <w:color w:val="auto"/>
              </w:rPr>
            </w:pPr>
            <w:r>
              <w:rPr>
                <w:rFonts w:ascii="Arial" w:cs="Arial" w:eastAsia="Arial" w:hAnsi="Arial"/>
                <w:sz w:val="12"/>
                <w:szCs w:val="12"/>
                <w:color w:val="auto"/>
              </w:rPr>
              <w:t>8.28%</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1M L+625</w:t>
            </w:r>
          </w:p>
        </w:tc>
        <w:tc>
          <w:tcPr>
            <w:tcW w:w="90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7,075,000</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6,906,190</w:t>
            </w:r>
          </w:p>
        </w:tc>
        <w:tc>
          <w:tcPr>
            <w:tcW w:w="96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6,933,500</w:t>
            </w:r>
          </w:p>
        </w:tc>
        <w:tc>
          <w:tcPr>
            <w:tcW w:w="120" w:type="dxa"/>
            <w:vAlign w:val="bottom"/>
            <w:shd w:val="clear" w:color="auto" w:fill="CCECFF"/>
          </w:tcPr>
          <w:p>
            <w:pPr>
              <w:spacing w:after="0"/>
              <w:rPr>
                <w:sz w:val="12"/>
                <w:szCs w:val="12"/>
                <w:color w:val="auto"/>
              </w:rPr>
            </w:pPr>
          </w:p>
        </w:tc>
      </w:tr>
      <w:tr>
        <w:trPr>
          <w:trHeight w:val="149"/>
        </w:trPr>
        <w:tc>
          <w:tcPr>
            <w:tcW w:w="3480" w:type="dxa"/>
            <w:vAlign w:val="bottom"/>
            <w:gridSpan w:val="2"/>
          </w:tcPr>
          <w:p>
            <w:pPr>
              <w:spacing w:after="0" w:line="149" w:lineRule="exact"/>
              <w:rPr>
                <w:sz w:val="20"/>
                <w:szCs w:val="20"/>
                <w:color w:val="auto"/>
              </w:rPr>
            </w:pPr>
            <w:r>
              <w:rPr>
                <w:rFonts w:ascii="Arial" w:cs="Arial" w:eastAsia="Arial" w:hAnsi="Arial"/>
                <w:sz w:val="11"/>
                <w:szCs w:val="11"/>
                <w:color w:val="auto"/>
              </w:rPr>
              <w:t xml:space="preserve">TWS Acquisition Corporation (Revolver) </w:t>
            </w:r>
            <w:r>
              <w:rPr>
                <w:rFonts w:ascii="Arial" w:cs="Arial" w:eastAsia="Arial" w:hAnsi="Arial"/>
                <w:sz w:val="17"/>
                <w:szCs w:val="17"/>
                <w:color w:val="auto"/>
                <w:vertAlign w:val="superscript"/>
              </w:rPr>
              <w:t>(7)</w:t>
            </w:r>
          </w:p>
        </w:tc>
        <w:tc>
          <w:tcPr>
            <w:tcW w:w="640" w:type="dxa"/>
            <w:vAlign w:val="bottom"/>
          </w:tcPr>
          <w:p>
            <w:pPr>
              <w:jc w:val="center"/>
              <w:spacing w:after="0"/>
              <w:rPr>
                <w:sz w:val="20"/>
                <w:szCs w:val="20"/>
                <w:color w:val="auto"/>
              </w:rPr>
            </w:pPr>
            <w:r>
              <w:rPr>
                <w:rFonts w:ascii="Arial" w:cs="Arial" w:eastAsia="Arial" w:hAnsi="Arial"/>
                <w:sz w:val="12"/>
                <w:szCs w:val="12"/>
                <w:color w:val="auto"/>
                <w:w w:val="89"/>
              </w:rPr>
              <w:t>06/16/2025</w:t>
            </w:r>
          </w:p>
        </w:tc>
        <w:tc>
          <w:tcPr>
            <w:tcW w:w="120" w:type="dxa"/>
            <w:vAlign w:val="bottom"/>
          </w:tcPr>
          <w:p>
            <w:pPr>
              <w:spacing w:after="0"/>
              <w:rPr>
                <w:sz w:val="12"/>
                <w:szCs w:val="12"/>
                <w:color w:val="auto"/>
              </w:rPr>
            </w:pPr>
          </w:p>
        </w:tc>
        <w:tc>
          <w:tcPr>
            <w:tcW w:w="2480" w:type="dxa"/>
            <w:vAlign w:val="bottom"/>
            <w:gridSpan w:val="2"/>
          </w:tcPr>
          <w:p>
            <w:pPr>
              <w:jc w:val="center"/>
              <w:ind w:right="140"/>
              <w:spacing w:after="0"/>
              <w:rPr>
                <w:sz w:val="20"/>
                <w:szCs w:val="20"/>
                <w:color w:val="auto"/>
              </w:rPr>
            </w:pPr>
            <w:r>
              <w:rPr>
                <w:rFonts w:ascii="Arial" w:cs="Arial" w:eastAsia="Arial" w:hAnsi="Arial"/>
                <w:sz w:val="12"/>
                <w:szCs w:val="12"/>
                <w:color w:val="auto"/>
                <w:w w:val="88"/>
              </w:rPr>
              <w:t>Diversified Consumer Services</w:t>
            </w:r>
          </w:p>
        </w:tc>
        <w:tc>
          <w:tcPr>
            <w:tcW w:w="920" w:type="dxa"/>
            <w:vAlign w:val="bottom"/>
            <w:gridSpan w:val="2"/>
          </w:tcPr>
          <w:p>
            <w:pPr>
              <w:jc w:val="right"/>
              <w:ind w:right="160"/>
              <w:spacing w:after="0"/>
              <w:rPr>
                <w:sz w:val="20"/>
                <w:szCs w:val="20"/>
                <w:color w:val="auto"/>
              </w:rPr>
            </w:pPr>
            <w:r>
              <w:rPr>
                <w:rFonts w:ascii="Arial" w:cs="Arial" w:eastAsia="Arial" w:hAnsi="Arial"/>
                <w:sz w:val="12"/>
                <w:szCs w:val="12"/>
                <w:color w:val="auto"/>
              </w:rPr>
              <w:t>8.28%</w:t>
            </w:r>
          </w:p>
        </w:tc>
        <w:tc>
          <w:tcPr>
            <w:tcW w:w="680" w:type="dxa"/>
            <w:vAlign w:val="bottom"/>
          </w:tcPr>
          <w:p>
            <w:pPr>
              <w:jc w:val="right"/>
              <w:spacing w:after="0"/>
              <w:rPr>
                <w:sz w:val="20"/>
                <w:szCs w:val="20"/>
                <w:color w:val="auto"/>
              </w:rPr>
            </w:pPr>
            <w:r>
              <w:rPr>
                <w:rFonts w:ascii="Arial" w:cs="Arial" w:eastAsia="Arial" w:hAnsi="Arial"/>
                <w:sz w:val="12"/>
                <w:szCs w:val="12"/>
                <w:color w:val="auto"/>
              </w:rPr>
              <w:t>1M L+625</w:t>
            </w:r>
          </w:p>
        </w:tc>
        <w:tc>
          <w:tcPr>
            <w:tcW w:w="900" w:type="dxa"/>
            <w:vAlign w:val="bottom"/>
            <w:gridSpan w:val="2"/>
          </w:tcPr>
          <w:p>
            <w:pPr>
              <w:jc w:val="right"/>
              <w:spacing w:after="0"/>
              <w:rPr>
                <w:sz w:val="20"/>
                <w:szCs w:val="20"/>
                <w:color w:val="auto"/>
              </w:rPr>
            </w:pPr>
            <w:r>
              <w:rPr>
                <w:rFonts w:ascii="Arial" w:cs="Arial" w:eastAsia="Arial" w:hAnsi="Arial"/>
                <w:sz w:val="12"/>
                <w:szCs w:val="12"/>
                <w:color w:val="auto"/>
              </w:rPr>
              <w:t>808,571</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808,571</w:t>
            </w:r>
          </w:p>
        </w:tc>
        <w:tc>
          <w:tcPr>
            <w:tcW w:w="960" w:type="dxa"/>
            <w:vAlign w:val="bottom"/>
            <w:gridSpan w:val="2"/>
          </w:tcPr>
          <w:p>
            <w:pPr>
              <w:jc w:val="right"/>
              <w:spacing w:after="0"/>
              <w:rPr>
                <w:sz w:val="20"/>
                <w:szCs w:val="20"/>
                <w:color w:val="auto"/>
              </w:rPr>
            </w:pPr>
            <w:r>
              <w:rPr>
                <w:rFonts w:ascii="Arial" w:cs="Arial" w:eastAsia="Arial" w:hAnsi="Arial"/>
                <w:sz w:val="12"/>
                <w:szCs w:val="12"/>
                <w:color w:val="auto"/>
              </w:rPr>
              <w:t>792,400</w:t>
            </w:r>
          </w:p>
        </w:tc>
        <w:tc>
          <w:tcPr>
            <w:tcW w:w="120" w:type="dxa"/>
            <w:vAlign w:val="bottom"/>
          </w:tcPr>
          <w:p>
            <w:pPr>
              <w:spacing w:after="0"/>
              <w:rPr>
                <w:sz w:val="12"/>
                <w:szCs w:val="12"/>
                <w:color w:val="auto"/>
              </w:rPr>
            </w:pPr>
          </w:p>
        </w:tc>
      </w:tr>
      <w:tr>
        <w:trPr>
          <w:trHeight w:val="148"/>
        </w:trPr>
        <w:tc>
          <w:tcPr>
            <w:tcW w:w="3480" w:type="dxa"/>
            <w:vAlign w:val="bottom"/>
            <w:gridSpan w:val="2"/>
            <w:shd w:val="clear" w:color="auto" w:fill="CCECFF"/>
          </w:tcPr>
          <w:p>
            <w:pPr>
              <w:spacing w:after="0" w:line="149" w:lineRule="exact"/>
              <w:rPr>
                <w:sz w:val="20"/>
                <w:szCs w:val="20"/>
                <w:color w:val="auto"/>
              </w:rPr>
            </w:pPr>
            <w:r>
              <w:rPr>
                <w:rFonts w:ascii="Arial" w:cs="Arial" w:eastAsia="Arial" w:hAnsi="Arial"/>
                <w:sz w:val="11"/>
                <w:szCs w:val="11"/>
                <w:color w:val="auto"/>
              </w:rPr>
              <w:t xml:space="preserve">TWS Acquisition Corporation (Revolver) </w:t>
            </w:r>
            <w:r>
              <w:rPr>
                <w:rFonts w:ascii="Arial" w:cs="Arial" w:eastAsia="Arial" w:hAnsi="Arial"/>
                <w:sz w:val="17"/>
                <w:szCs w:val="17"/>
                <w:color w:val="auto"/>
                <w:vertAlign w:val="superscript"/>
              </w:rPr>
              <w:t>(7), (9)</w:t>
            </w:r>
          </w:p>
        </w:tc>
        <w:tc>
          <w:tcPr>
            <w:tcW w:w="640" w:type="dxa"/>
            <w:vAlign w:val="bottom"/>
            <w:shd w:val="clear" w:color="auto" w:fill="CCECFF"/>
          </w:tcPr>
          <w:p>
            <w:pPr>
              <w:jc w:val="center"/>
              <w:spacing w:after="0"/>
              <w:rPr>
                <w:sz w:val="20"/>
                <w:szCs w:val="20"/>
                <w:color w:val="auto"/>
              </w:rPr>
            </w:pPr>
            <w:r>
              <w:rPr>
                <w:rFonts w:ascii="Arial" w:cs="Arial" w:eastAsia="Arial" w:hAnsi="Arial"/>
                <w:sz w:val="12"/>
                <w:szCs w:val="12"/>
                <w:color w:val="auto"/>
                <w:w w:val="89"/>
              </w:rPr>
              <w:t>06/16/2025</w:t>
            </w:r>
          </w:p>
        </w:tc>
        <w:tc>
          <w:tcPr>
            <w:tcW w:w="120" w:type="dxa"/>
            <w:vAlign w:val="bottom"/>
            <w:shd w:val="clear" w:color="auto" w:fill="CCECFF"/>
          </w:tcPr>
          <w:p>
            <w:pPr>
              <w:spacing w:after="0"/>
              <w:rPr>
                <w:sz w:val="12"/>
                <w:szCs w:val="12"/>
                <w:color w:val="auto"/>
              </w:rPr>
            </w:pPr>
          </w:p>
        </w:tc>
        <w:tc>
          <w:tcPr>
            <w:tcW w:w="248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88"/>
              </w:rPr>
              <w:t>Diversified Consumer Services</w:t>
            </w:r>
          </w:p>
        </w:tc>
        <w:tc>
          <w:tcPr>
            <w:tcW w:w="920" w:type="dxa"/>
            <w:vAlign w:val="bottom"/>
            <w:gridSpan w:val="2"/>
            <w:shd w:val="clear" w:color="auto" w:fill="CCECFF"/>
          </w:tcPr>
          <w:p>
            <w:pPr>
              <w:jc w:val="right"/>
              <w:ind w:right="260"/>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90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1,819,286</w:t>
            </w:r>
          </w:p>
        </w:tc>
        <w:tc>
          <w:tcPr>
            <w:tcW w:w="220" w:type="dxa"/>
            <w:vAlign w:val="bottom"/>
            <w:shd w:val="clear" w:color="auto" w:fill="CCECFF"/>
          </w:tcPr>
          <w:p>
            <w:pPr>
              <w:spacing w:after="0"/>
              <w:rPr>
                <w:sz w:val="12"/>
                <w:szCs w:val="12"/>
                <w:color w:val="auto"/>
              </w:rPr>
            </w:pPr>
          </w:p>
        </w:tc>
        <w:tc>
          <w:tcPr>
            <w:tcW w:w="7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1080" w:type="dxa"/>
            <w:vAlign w:val="bottom"/>
            <w:gridSpan w:val="3"/>
            <w:shd w:val="clear" w:color="auto" w:fill="CCECFF"/>
          </w:tcPr>
          <w:p>
            <w:pPr>
              <w:jc w:val="right"/>
              <w:ind w:right="80"/>
              <w:spacing w:after="0"/>
              <w:rPr>
                <w:sz w:val="20"/>
                <w:szCs w:val="20"/>
                <w:color w:val="auto"/>
              </w:rPr>
            </w:pPr>
            <w:r>
              <w:rPr>
                <w:rFonts w:ascii="Arial" w:cs="Arial" w:eastAsia="Arial" w:hAnsi="Arial"/>
                <w:sz w:val="12"/>
                <w:szCs w:val="12"/>
                <w:color w:val="auto"/>
              </w:rPr>
              <w:t>(36,385)</w:t>
            </w:r>
          </w:p>
        </w:tc>
      </w:tr>
      <w:tr>
        <w:trPr>
          <w:trHeight w:val="149"/>
        </w:trPr>
        <w:tc>
          <w:tcPr>
            <w:tcW w:w="3480" w:type="dxa"/>
            <w:vAlign w:val="bottom"/>
            <w:gridSpan w:val="2"/>
          </w:tcPr>
          <w:p>
            <w:pPr>
              <w:spacing w:after="0"/>
              <w:rPr>
                <w:sz w:val="20"/>
                <w:szCs w:val="20"/>
                <w:color w:val="auto"/>
              </w:rPr>
            </w:pPr>
            <w:r>
              <w:rPr>
                <w:rFonts w:ascii="Arial" w:cs="Arial" w:eastAsia="Arial" w:hAnsi="Arial"/>
                <w:sz w:val="12"/>
                <w:szCs w:val="12"/>
                <w:color w:val="auto"/>
              </w:rPr>
              <w:t>Tyto Athene, LLC</w:t>
            </w:r>
          </w:p>
        </w:tc>
        <w:tc>
          <w:tcPr>
            <w:tcW w:w="640" w:type="dxa"/>
            <w:vAlign w:val="bottom"/>
          </w:tcPr>
          <w:p>
            <w:pPr>
              <w:jc w:val="center"/>
              <w:spacing w:after="0"/>
              <w:rPr>
                <w:sz w:val="20"/>
                <w:szCs w:val="20"/>
                <w:color w:val="auto"/>
              </w:rPr>
            </w:pPr>
            <w:r>
              <w:rPr>
                <w:rFonts w:ascii="Arial" w:cs="Arial" w:eastAsia="Arial" w:hAnsi="Arial"/>
                <w:sz w:val="12"/>
                <w:szCs w:val="12"/>
                <w:color w:val="auto"/>
                <w:w w:val="89"/>
              </w:rPr>
              <w:t>08/27/2024</w:t>
            </w:r>
          </w:p>
        </w:tc>
        <w:tc>
          <w:tcPr>
            <w:tcW w:w="120" w:type="dxa"/>
            <w:vAlign w:val="bottom"/>
          </w:tcPr>
          <w:p>
            <w:pPr>
              <w:spacing w:after="0"/>
              <w:rPr>
                <w:sz w:val="12"/>
                <w:szCs w:val="12"/>
                <w:color w:val="auto"/>
              </w:rPr>
            </w:pPr>
          </w:p>
        </w:tc>
        <w:tc>
          <w:tcPr>
            <w:tcW w:w="2480" w:type="dxa"/>
            <w:vAlign w:val="bottom"/>
            <w:gridSpan w:val="2"/>
          </w:tcPr>
          <w:p>
            <w:pPr>
              <w:jc w:val="center"/>
              <w:ind w:right="140"/>
              <w:spacing w:after="0"/>
              <w:rPr>
                <w:sz w:val="20"/>
                <w:szCs w:val="20"/>
                <w:color w:val="auto"/>
              </w:rPr>
            </w:pPr>
            <w:r>
              <w:rPr>
                <w:rFonts w:ascii="Arial" w:cs="Arial" w:eastAsia="Arial" w:hAnsi="Arial"/>
                <w:sz w:val="12"/>
                <w:szCs w:val="12"/>
                <w:color w:val="auto"/>
                <w:w w:val="85"/>
              </w:rPr>
              <w:t>Aerospace and Defense</w:t>
            </w:r>
          </w:p>
        </w:tc>
        <w:tc>
          <w:tcPr>
            <w:tcW w:w="920" w:type="dxa"/>
            <w:vAlign w:val="bottom"/>
            <w:gridSpan w:val="2"/>
          </w:tcPr>
          <w:p>
            <w:pPr>
              <w:jc w:val="right"/>
              <w:ind w:right="160"/>
              <w:spacing w:after="0"/>
              <w:rPr>
                <w:sz w:val="20"/>
                <w:szCs w:val="20"/>
                <w:color w:val="auto"/>
              </w:rPr>
            </w:pPr>
            <w:r>
              <w:rPr>
                <w:rFonts w:ascii="Arial" w:cs="Arial" w:eastAsia="Arial" w:hAnsi="Arial"/>
                <w:sz w:val="12"/>
                <w:szCs w:val="12"/>
                <w:color w:val="auto"/>
              </w:rPr>
              <w:t>7.80%</w:t>
            </w:r>
          </w:p>
        </w:tc>
        <w:tc>
          <w:tcPr>
            <w:tcW w:w="680" w:type="dxa"/>
            <w:vAlign w:val="bottom"/>
          </w:tcPr>
          <w:p>
            <w:pPr>
              <w:jc w:val="right"/>
              <w:spacing w:after="0"/>
              <w:rPr>
                <w:sz w:val="20"/>
                <w:szCs w:val="20"/>
                <w:color w:val="auto"/>
              </w:rPr>
            </w:pPr>
            <w:r>
              <w:rPr>
                <w:rFonts w:ascii="Arial" w:cs="Arial" w:eastAsia="Arial" w:hAnsi="Arial"/>
                <w:sz w:val="12"/>
                <w:szCs w:val="12"/>
                <w:color w:val="auto"/>
              </w:rPr>
              <w:t>1M L+575</w:t>
            </w:r>
          </w:p>
        </w:tc>
        <w:tc>
          <w:tcPr>
            <w:tcW w:w="900" w:type="dxa"/>
            <w:vAlign w:val="bottom"/>
            <w:gridSpan w:val="2"/>
          </w:tcPr>
          <w:p>
            <w:pPr>
              <w:jc w:val="right"/>
              <w:spacing w:after="0"/>
              <w:rPr>
                <w:sz w:val="20"/>
                <w:szCs w:val="20"/>
                <w:color w:val="auto"/>
              </w:rPr>
            </w:pPr>
            <w:r>
              <w:rPr>
                <w:rFonts w:ascii="Arial" w:cs="Arial" w:eastAsia="Arial" w:hAnsi="Arial"/>
                <w:sz w:val="12"/>
                <w:szCs w:val="12"/>
                <w:color w:val="auto"/>
              </w:rPr>
              <w:t>18,000,068</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17,763,278</w:t>
            </w:r>
          </w:p>
        </w:tc>
        <w:tc>
          <w:tcPr>
            <w:tcW w:w="960" w:type="dxa"/>
            <w:vAlign w:val="bottom"/>
            <w:gridSpan w:val="2"/>
          </w:tcPr>
          <w:p>
            <w:pPr>
              <w:jc w:val="right"/>
              <w:spacing w:after="0"/>
              <w:rPr>
                <w:sz w:val="20"/>
                <w:szCs w:val="20"/>
                <w:color w:val="auto"/>
              </w:rPr>
            </w:pPr>
            <w:r>
              <w:rPr>
                <w:rFonts w:ascii="Arial" w:cs="Arial" w:eastAsia="Arial" w:hAnsi="Arial"/>
                <w:sz w:val="12"/>
                <w:szCs w:val="12"/>
                <w:color w:val="auto"/>
              </w:rPr>
              <w:t>17,463,665</w:t>
            </w:r>
          </w:p>
        </w:tc>
        <w:tc>
          <w:tcPr>
            <w:tcW w:w="120" w:type="dxa"/>
            <w:vAlign w:val="bottom"/>
          </w:tcPr>
          <w:p>
            <w:pPr>
              <w:spacing w:after="0"/>
              <w:rPr>
                <w:sz w:val="12"/>
                <w:szCs w:val="12"/>
                <w:color w:val="auto"/>
              </w:rPr>
            </w:pPr>
          </w:p>
        </w:tc>
      </w:tr>
      <w:tr>
        <w:trPr>
          <w:trHeight w:val="148"/>
        </w:trPr>
        <w:tc>
          <w:tcPr>
            <w:tcW w:w="3480" w:type="dxa"/>
            <w:vAlign w:val="bottom"/>
            <w:gridSpan w:val="2"/>
            <w:shd w:val="clear" w:color="auto" w:fill="CCECFF"/>
          </w:tcPr>
          <w:p>
            <w:pPr>
              <w:spacing w:after="0" w:line="149" w:lineRule="exact"/>
              <w:rPr>
                <w:sz w:val="20"/>
                <w:szCs w:val="20"/>
                <w:color w:val="auto"/>
              </w:rPr>
            </w:pPr>
            <w:r>
              <w:rPr>
                <w:rFonts w:ascii="Arial" w:cs="Arial" w:eastAsia="Arial" w:hAnsi="Arial"/>
                <w:sz w:val="11"/>
                <w:szCs w:val="11"/>
                <w:color w:val="auto"/>
              </w:rPr>
              <w:t xml:space="preserve">Tyto Athene, LLC (Revolver) </w:t>
            </w:r>
            <w:r>
              <w:rPr>
                <w:rFonts w:ascii="Arial" w:cs="Arial" w:eastAsia="Arial" w:hAnsi="Arial"/>
                <w:sz w:val="17"/>
                <w:szCs w:val="17"/>
                <w:color w:val="auto"/>
                <w:vertAlign w:val="superscript"/>
              </w:rPr>
              <w:t>(7)</w:t>
            </w:r>
          </w:p>
        </w:tc>
        <w:tc>
          <w:tcPr>
            <w:tcW w:w="640" w:type="dxa"/>
            <w:vAlign w:val="bottom"/>
            <w:shd w:val="clear" w:color="auto" w:fill="CCECFF"/>
          </w:tcPr>
          <w:p>
            <w:pPr>
              <w:jc w:val="center"/>
              <w:spacing w:after="0"/>
              <w:rPr>
                <w:sz w:val="20"/>
                <w:szCs w:val="20"/>
                <w:color w:val="auto"/>
              </w:rPr>
            </w:pPr>
            <w:r>
              <w:rPr>
                <w:rFonts w:ascii="Arial" w:cs="Arial" w:eastAsia="Arial" w:hAnsi="Arial"/>
                <w:sz w:val="12"/>
                <w:szCs w:val="12"/>
                <w:color w:val="auto"/>
                <w:w w:val="89"/>
              </w:rPr>
              <w:t>08/27/2024</w:t>
            </w:r>
          </w:p>
        </w:tc>
        <w:tc>
          <w:tcPr>
            <w:tcW w:w="120" w:type="dxa"/>
            <w:vAlign w:val="bottom"/>
            <w:shd w:val="clear" w:color="auto" w:fill="CCECFF"/>
          </w:tcPr>
          <w:p>
            <w:pPr>
              <w:spacing w:after="0"/>
              <w:rPr>
                <w:sz w:val="12"/>
                <w:szCs w:val="12"/>
                <w:color w:val="auto"/>
              </w:rPr>
            </w:pPr>
          </w:p>
        </w:tc>
        <w:tc>
          <w:tcPr>
            <w:tcW w:w="248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85"/>
              </w:rPr>
              <w:t>Aerospace and Defense</w:t>
            </w:r>
          </w:p>
        </w:tc>
        <w:tc>
          <w:tcPr>
            <w:tcW w:w="920" w:type="dxa"/>
            <w:vAlign w:val="bottom"/>
            <w:gridSpan w:val="2"/>
            <w:shd w:val="clear" w:color="auto" w:fill="CCECFF"/>
          </w:tcPr>
          <w:p>
            <w:pPr>
              <w:jc w:val="right"/>
              <w:ind w:right="160"/>
              <w:spacing w:after="0"/>
              <w:rPr>
                <w:sz w:val="20"/>
                <w:szCs w:val="20"/>
                <w:color w:val="auto"/>
              </w:rPr>
            </w:pPr>
            <w:r>
              <w:rPr>
                <w:rFonts w:ascii="Arial" w:cs="Arial" w:eastAsia="Arial" w:hAnsi="Arial"/>
                <w:sz w:val="12"/>
                <w:szCs w:val="12"/>
                <w:color w:val="auto"/>
              </w:rPr>
              <w:t>7.80%</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1M L+575</w:t>
            </w:r>
          </w:p>
        </w:tc>
        <w:tc>
          <w:tcPr>
            <w:tcW w:w="90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4,465,909</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4,465,909</w:t>
            </w:r>
          </w:p>
        </w:tc>
        <w:tc>
          <w:tcPr>
            <w:tcW w:w="96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4,332,825</w:t>
            </w:r>
          </w:p>
        </w:tc>
        <w:tc>
          <w:tcPr>
            <w:tcW w:w="120" w:type="dxa"/>
            <w:vAlign w:val="bottom"/>
            <w:shd w:val="clear" w:color="auto" w:fill="CCECFF"/>
          </w:tcPr>
          <w:p>
            <w:pPr>
              <w:spacing w:after="0"/>
              <w:rPr>
                <w:sz w:val="12"/>
                <w:szCs w:val="12"/>
                <w:color w:val="auto"/>
              </w:rPr>
            </w:pPr>
          </w:p>
        </w:tc>
      </w:tr>
      <w:tr>
        <w:trPr>
          <w:trHeight w:val="148"/>
        </w:trPr>
        <w:tc>
          <w:tcPr>
            <w:tcW w:w="3480" w:type="dxa"/>
            <w:vAlign w:val="bottom"/>
            <w:gridSpan w:val="2"/>
          </w:tcPr>
          <w:p>
            <w:pPr>
              <w:spacing w:after="0" w:line="149" w:lineRule="exact"/>
              <w:rPr>
                <w:sz w:val="20"/>
                <w:szCs w:val="20"/>
                <w:color w:val="auto"/>
              </w:rPr>
            </w:pPr>
            <w:r>
              <w:rPr>
                <w:rFonts w:ascii="Arial" w:cs="Arial" w:eastAsia="Arial" w:hAnsi="Arial"/>
                <w:sz w:val="11"/>
                <w:szCs w:val="11"/>
                <w:color w:val="auto"/>
              </w:rPr>
              <w:t xml:space="preserve">Tyto Athene, LLC (Revolver) </w:t>
            </w:r>
            <w:r>
              <w:rPr>
                <w:rFonts w:ascii="Arial" w:cs="Arial" w:eastAsia="Arial" w:hAnsi="Arial"/>
                <w:sz w:val="17"/>
                <w:szCs w:val="17"/>
                <w:color w:val="auto"/>
                <w:vertAlign w:val="superscript"/>
              </w:rPr>
              <w:t>(7), (9)</w:t>
            </w:r>
          </w:p>
        </w:tc>
        <w:tc>
          <w:tcPr>
            <w:tcW w:w="640" w:type="dxa"/>
            <w:vAlign w:val="bottom"/>
          </w:tcPr>
          <w:p>
            <w:pPr>
              <w:jc w:val="center"/>
              <w:spacing w:after="0"/>
              <w:rPr>
                <w:sz w:val="20"/>
                <w:szCs w:val="20"/>
                <w:color w:val="auto"/>
              </w:rPr>
            </w:pPr>
            <w:r>
              <w:rPr>
                <w:rFonts w:ascii="Arial" w:cs="Arial" w:eastAsia="Arial" w:hAnsi="Arial"/>
                <w:sz w:val="12"/>
                <w:szCs w:val="12"/>
                <w:color w:val="auto"/>
                <w:w w:val="89"/>
              </w:rPr>
              <w:t>08/27/2024</w:t>
            </w:r>
          </w:p>
        </w:tc>
        <w:tc>
          <w:tcPr>
            <w:tcW w:w="120" w:type="dxa"/>
            <w:vAlign w:val="bottom"/>
          </w:tcPr>
          <w:p>
            <w:pPr>
              <w:spacing w:after="0"/>
              <w:rPr>
                <w:sz w:val="12"/>
                <w:szCs w:val="12"/>
                <w:color w:val="auto"/>
              </w:rPr>
            </w:pPr>
          </w:p>
        </w:tc>
        <w:tc>
          <w:tcPr>
            <w:tcW w:w="2480" w:type="dxa"/>
            <w:vAlign w:val="bottom"/>
            <w:gridSpan w:val="2"/>
          </w:tcPr>
          <w:p>
            <w:pPr>
              <w:jc w:val="center"/>
              <w:ind w:right="140"/>
              <w:spacing w:after="0"/>
              <w:rPr>
                <w:sz w:val="20"/>
                <w:szCs w:val="20"/>
                <w:color w:val="auto"/>
              </w:rPr>
            </w:pPr>
            <w:r>
              <w:rPr>
                <w:rFonts w:ascii="Arial" w:cs="Arial" w:eastAsia="Arial" w:hAnsi="Arial"/>
                <w:sz w:val="12"/>
                <w:szCs w:val="12"/>
                <w:color w:val="auto"/>
                <w:w w:val="85"/>
              </w:rPr>
              <w:t>Aerospace and Defense</w:t>
            </w:r>
          </w:p>
        </w:tc>
        <w:tc>
          <w:tcPr>
            <w:tcW w:w="92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w:t>
            </w:r>
          </w:p>
        </w:tc>
        <w:tc>
          <w:tcPr>
            <w:tcW w:w="900" w:type="dxa"/>
            <w:vAlign w:val="bottom"/>
            <w:gridSpan w:val="2"/>
          </w:tcPr>
          <w:p>
            <w:pPr>
              <w:jc w:val="right"/>
              <w:spacing w:after="0"/>
              <w:rPr>
                <w:sz w:val="20"/>
                <w:szCs w:val="20"/>
                <w:color w:val="auto"/>
              </w:rPr>
            </w:pPr>
            <w:r>
              <w:rPr>
                <w:rFonts w:ascii="Arial" w:cs="Arial" w:eastAsia="Arial" w:hAnsi="Arial"/>
                <w:sz w:val="12"/>
                <w:szCs w:val="12"/>
                <w:color w:val="auto"/>
              </w:rPr>
              <w:t>2,352,273</w:t>
            </w:r>
          </w:p>
        </w:tc>
        <w:tc>
          <w:tcPr>
            <w:tcW w:w="22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w:t>
            </w:r>
          </w:p>
        </w:tc>
        <w:tc>
          <w:tcPr>
            <w:tcW w:w="1080" w:type="dxa"/>
            <w:vAlign w:val="bottom"/>
            <w:gridSpan w:val="3"/>
          </w:tcPr>
          <w:p>
            <w:pPr>
              <w:jc w:val="right"/>
              <w:ind w:right="80"/>
              <w:spacing w:after="0"/>
              <w:rPr>
                <w:sz w:val="20"/>
                <w:szCs w:val="20"/>
                <w:color w:val="auto"/>
              </w:rPr>
            </w:pPr>
            <w:r>
              <w:rPr>
                <w:rFonts w:ascii="Arial" w:cs="Arial" w:eastAsia="Arial" w:hAnsi="Arial"/>
                <w:sz w:val="12"/>
                <w:szCs w:val="12"/>
                <w:color w:val="auto"/>
              </w:rPr>
              <w:t>(70,098)</w:t>
            </w:r>
          </w:p>
        </w:tc>
      </w:tr>
      <w:tr>
        <w:trPr>
          <w:trHeight w:val="149"/>
        </w:trPr>
        <w:tc>
          <w:tcPr>
            <w:tcW w:w="3480" w:type="dxa"/>
            <w:vAlign w:val="bottom"/>
            <w:gridSpan w:val="2"/>
            <w:shd w:val="clear" w:color="auto" w:fill="CCECFF"/>
          </w:tcPr>
          <w:p>
            <w:pPr>
              <w:spacing w:after="0"/>
              <w:rPr>
                <w:sz w:val="20"/>
                <w:szCs w:val="20"/>
                <w:color w:val="auto"/>
              </w:rPr>
            </w:pPr>
            <w:r>
              <w:rPr>
                <w:rFonts w:ascii="Arial" w:cs="Arial" w:eastAsia="Arial" w:hAnsi="Arial"/>
                <w:sz w:val="12"/>
                <w:szCs w:val="12"/>
                <w:color w:val="auto"/>
              </w:rPr>
              <w:t>UBEO, LLC</w:t>
            </w:r>
          </w:p>
        </w:tc>
        <w:tc>
          <w:tcPr>
            <w:tcW w:w="640" w:type="dxa"/>
            <w:vAlign w:val="bottom"/>
            <w:shd w:val="clear" w:color="auto" w:fill="CCECFF"/>
          </w:tcPr>
          <w:p>
            <w:pPr>
              <w:jc w:val="center"/>
              <w:spacing w:after="0"/>
              <w:rPr>
                <w:sz w:val="20"/>
                <w:szCs w:val="20"/>
                <w:color w:val="auto"/>
              </w:rPr>
            </w:pPr>
            <w:r>
              <w:rPr>
                <w:rFonts w:ascii="Arial" w:cs="Arial" w:eastAsia="Arial" w:hAnsi="Arial"/>
                <w:sz w:val="12"/>
                <w:szCs w:val="12"/>
                <w:color w:val="auto"/>
                <w:w w:val="89"/>
              </w:rPr>
              <w:t>04/03/2024</w:t>
            </w:r>
          </w:p>
        </w:tc>
        <w:tc>
          <w:tcPr>
            <w:tcW w:w="120" w:type="dxa"/>
            <w:vAlign w:val="bottom"/>
            <w:shd w:val="clear" w:color="auto" w:fill="CCECFF"/>
          </w:tcPr>
          <w:p>
            <w:pPr>
              <w:spacing w:after="0"/>
              <w:rPr>
                <w:sz w:val="12"/>
                <w:szCs w:val="12"/>
                <w:color w:val="auto"/>
              </w:rPr>
            </w:pPr>
          </w:p>
        </w:tc>
        <w:tc>
          <w:tcPr>
            <w:tcW w:w="2480" w:type="dxa"/>
            <w:vAlign w:val="bottom"/>
            <w:gridSpan w:val="2"/>
            <w:shd w:val="clear" w:color="auto" w:fill="CCECFF"/>
          </w:tcPr>
          <w:p>
            <w:pPr>
              <w:jc w:val="center"/>
              <w:ind w:right="160"/>
              <w:spacing w:after="0"/>
              <w:rPr>
                <w:sz w:val="20"/>
                <w:szCs w:val="20"/>
                <w:color w:val="auto"/>
              </w:rPr>
            </w:pPr>
            <w:r>
              <w:rPr>
                <w:rFonts w:ascii="Arial" w:cs="Arial" w:eastAsia="Arial" w:hAnsi="Arial"/>
                <w:sz w:val="12"/>
                <w:szCs w:val="12"/>
                <w:color w:val="auto"/>
                <w:w w:val="89"/>
              </w:rPr>
              <w:t>Capital Equipment</w:t>
            </w:r>
          </w:p>
        </w:tc>
        <w:tc>
          <w:tcPr>
            <w:tcW w:w="920" w:type="dxa"/>
            <w:vAlign w:val="bottom"/>
            <w:gridSpan w:val="2"/>
            <w:shd w:val="clear" w:color="auto" w:fill="CCECFF"/>
          </w:tcPr>
          <w:p>
            <w:pPr>
              <w:jc w:val="right"/>
              <w:ind w:right="160"/>
              <w:spacing w:after="0"/>
              <w:rPr>
                <w:sz w:val="20"/>
                <w:szCs w:val="20"/>
                <w:color w:val="auto"/>
              </w:rPr>
            </w:pPr>
            <w:r>
              <w:rPr>
                <w:rFonts w:ascii="Arial" w:cs="Arial" w:eastAsia="Arial" w:hAnsi="Arial"/>
                <w:sz w:val="12"/>
                <w:szCs w:val="12"/>
                <w:color w:val="auto"/>
              </w:rPr>
              <w:t>6.75%</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3M L+450</w:t>
            </w:r>
          </w:p>
        </w:tc>
        <w:tc>
          <w:tcPr>
            <w:tcW w:w="90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14,169,914</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14,069,246</w:t>
            </w:r>
          </w:p>
        </w:tc>
        <w:tc>
          <w:tcPr>
            <w:tcW w:w="96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14,028,214</w:t>
            </w:r>
          </w:p>
        </w:tc>
        <w:tc>
          <w:tcPr>
            <w:tcW w:w="120" w:type="dxa"/>
            <w:vAlign w:val="bottom"/>
            <w:shd w:val="clear" w:color="auto" w:fill="CCECFF"/>
          </w:tcPr>
          <w:p>
            <w:pPr>
              <w:spacing w:after="0"/>
              <w:rPr>
                <w:sz w:val="12"/>
                <w:szCs w:val="12"/>
                <w:color w:val="auto"/>
              </w:rPr>
            </w:pPr>
          </w:p>
        </w:tc>
      </w:tr>
      <w:tr>
        <w:trPr>
          <w:trHeight w:val="148"/>
        </w:trPr>
        <w:tc>
          <w:tcPr>
            <w:tcW w:w="3480" w:type="dxa"/>
            <w:vAlign w:val="bottom"/>
            <w:gridSpan w:val="2"/>
          </w:tcPr>
          <w:p>
            <w:pPr>
              <w:spacing w:after="0" w:line="149" w:lineRule="exact"/>
              <w:rPr>
                <w:sz w:val="20"/>
                <w:szCs w:val="20"/>
                <w:color w:val="auto"/>
              </w:rPr>
            </w:pPr>
            <w:r>
              <w:rPr>
                <w:rFonts w:ascii="Arial" w:cs="Arial" w:eastAsia="Arial" w:hAnsi="Arial"/>
                <w:sz w:val="11"/>
                <w:szCs w:val="11"/>
                <w:color w:val="auto"/>
              </w:rPr>
              <w:t xml:space="preserve">UBEO, LLC (Revolver) </w:t>
            </w:r>
            <w:r>
              <w:rPr>
                <w:rFonts w:ascii="Arial" w:cs="Arial" w:eastAsia="Arial" w:hAnsi="Arial"/>
                <w:sz w:val="17"/>
                <w:szCs w:val="17"/>
                <w:color w:val="auto"/>
                <w:vertAlign w:val="superscript"/>
              </w:rPr>
              <w:t>(7), (9)</w:t>
            </w:r>
          </w:p>
        </w:tc>
        <w:tc>
          <w:tcPr>
            <w:tcW w:w="640" w:type="dxa"/>
            <w:vAlign w:val="bottom"/>
          </w:tcPr>
          <w:p>
            <w:pPr>
              <w:jc w:val="center"/>
              <w:spacing w:after="0"/>
              <w:rPr>
                <w:sz w:val="20"/>
                <w:szCs w:val="20"/>
                <w:color w:val="auto"/>
              </w:rPr>
            </w:pPr>
            <w:r>
              <w:rPr>
                <w:rFonts w:ascii="Arial" w:cs="Arial" w:eastAsia="Arial" w:hAnsi="Arial"/>
                <w:sz w:val="12"/>
                <w:szCs w:val="12"/>
                <w:color w:val="auto"/>
                <w:w w:val="89"/>
              </w:rPr>
              <w:t>04/03/2024</w:t>
            </w:r>
          </w:p>
        </w:tc>
        <w:tc>
          <w:tcPr>
            <w:tcW w:w="120" w:type="dxa"/>
            <w:vAlign w:val="bottom"/>
          </w:tcPr>
          <w:p>
            <w:pPr>
              <w:spacing w:after="0"/>
              <w:rPr>
                <w:sz w:val="12"/>
                <w:szCs w:val="12"/>
                <w:color w:val="auto"/>
              </w:rPr>
            </w:pPr>
          </w:p>
        </w:tc>
        <w:tc>
          <w:tcPr>
            <w:tcW w:w="2480" w:type="dxa"/>
            <w:vAlign w:val="bottom"/>
            <w:gridSpan w:val="2"/>
          </w:tcPr>
          <w:p>
            <w:pPr>
              <w:jc w:val="center"/>
              <w:ind w:right="160"/>
              <w:spacing w:after="0"/>
              <w:rPr>
                <w:sz w:val="20"/>
                <w:szCs w:val="20"/>
                <w:color w:val="auto"/>
              </w:rPr>
            </w:pPr>
            <w:r>
              <w:rPr>
                <w:rFonts w:ascii="Arial" w:cs="Arial" w:eastAsia="Arial" w:hAnsi="Arial"/>
                <w:sz w:val="12"/>
                <w:szCs w:val="12"/>
                <w:color w:val="auto"/>
                <w:w w:val="89"/>
              </w:rPr>
              <w:t>Capital Equipment</w:t>
            </w:r>
          </w:p>
        </w:tc>
        <w:tc>
          <w:tcPr>
            <w:tcW w:w="92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w:t>
            </w:r>
          </w:p>
        </w:tc>
        <w:tc>
          <w:tcPr>
            <w:tcW w:w="900" w:type="dxa"/>
            <w:vAlign w:val="bottom"/>
            <w:gridSpan w:val="2"/>
          </w:tcPr>
          <w:p>
            <w:pPr>
              <w:jc w:val="right"/>
              <w:spacing w:after="0"/>
              <w:rPr>
                <w:sz w:val="20"/>
                <w:szCs w:val="20"/>
                <w:color w:val="auto"/>
              </w:rPr>
            </w:pPr>
            <w:r>
              <w:rPr>
                <w:rFonts w:ascii="Arial" w:cs="Arial" w:eastAsia="Arial" w:hAnsi="Arial"/>
                <w:sz w:val="12"/>
                <w:szCs w:val="12"/>
                <w:color w:val="auto"/>
              </w:rPr>
              <w:t>2,933,333</w:t>
            </w:r>
          </w:p>
        </w:tc>
        <w:tc>
          <w:tcPr>
            <w:tcW w:w="22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w:t>
            </w:r>
          </w:p>
        </w:tc>
        <w:tc>
          <w:tcPr>
            <w:tcW w:w="1080" w:type="dxa"/>
            <w:vAlign w:val="bottom"/>
            <w:gridSpan w:val="3"/>
          </w:tcPr>
          <w:p>
            <w:pPr>
              <w:jc w:val="right"/>
              <w:ind w:right="80"/>
              <w:spacing w:after="0"/>
              <w:rPr>
                <w:sz w:val="20"/>
                <w:szCs w:val="20"/>
                <w:color w:val="auto"/>
              </w:rPr>
            </w:pPr>
            <w:r>
              <w:rPr>
                <w:rFonts w:ascii="Arial" w:cs="Arial" w:eastAsia="Arial" w:hAnsi="Arial"/>
                <w:sz w:val="12"/>
                <w:szCs w:val="12"/>
                <w:color w:val="auto"/>
              </w:rPr>
              <w:t>(38,661)</w:t>
            </w:r>
          </w:p>
        </w:tc>
      </w:tr>
      <w:tr>
        <w:trPr>
          <w:trHeight w:val="148"/>
        </w:trPr>
        <w:tc>
          <w:tcPr>
            <w:tcW w:w="3480" w:type="dxa"/>
            <w:vAlign w:val="bottom"/>
            <w:gridSpan w:val="2"/>
            <w:shd w:val="clear" w:color="auto" w:fill="CCECFF"/>
          </w:tcPr>
          <w:p>
            <w:pPr>
              <w:spacing w:after="0"/>
              <w:rPr>
                <w:sz w:val="20"/>
                <w:szCs w:val="20"/>
                <w:color w:val="auto"/>
              </w:rPr>
            </w:pPr>
            <w:r>
              <w:rPr>
                <w:rFonts w:ascii="Arial" w:cs="Arial" w:eastAsia="Arial" w:hAnsi="Arial"/>
                <w:sz w:val="12"/>
                <w:szCs w:val="12"/>
                <w:color w:val="auto"/>
              </w:rPr>
              <w:t>UniTek Global Services, Inc.</w:t>
            </w:r>
          </w:p>
        </w:tc>
        <w:tc>
          <w:tcPr>
            <w:tcW w:w="640" w:type="dxa"/>
            <w:vAlign w:val="bottom"/>
            <w:shd w:val="clear" w:color="auto" w:fill="CCECFF"/>
          </w:tcPr>
          <w:p>
            <w:pPr>
              <w:jc w:val="center"/>
              <w:spacing w:after="0"/>
              <w:rPr>
                <w:sz w:val="20"/>
                <w:szCs w:val="20"/>
                <w:color w:val="auto"/>
              </w:rPr>
            </w:pPr>
            <w:r>
              <w:rPr>
                <w:rFonts w:ascii="Arial" w:cs="Arial" w:eastAsia="Arial" w:hAnsi="Arial"/>
                <w:sz w:val="12"/>
                <w:szCs w:val="12"/>
                <w:color w:val="auto"/>
                <w:w w:val="89"/>
              </w:rPr>
              <w:t>08/20/2024</w:t>
            </w:r>
          </w:p>
        </w:tc>
        <w:tc>
          <w:tcPr>
            <w:tcW w:w="120" w:type="dxa"/>
            <w:vAlign w:val="bottom"/>
            <w:shd w:val="clear" w:color="auto" w:fill="CCECFF"/>
          </w:tcPr>
          <w:p>
            <w:pPr>
              <w:spacing w:after="0"/>
              <w:rPr>
                <w:sz w:val="12"/>
                <w:szCs w:val="12"/>
                <w:color w:val="auto"/>
              </w:rPr>
            </w:pPr>
          </w:p>
        </w:tc>
        <w:tc>
          <w:tcPr>
            <w:tcW w:w="248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89"/>
              </w:rPr>
              <w:t>Telecommunications</w:t>
            </w:r>
          </w:p>
        </w:tc>
        <w:tc>
          <w:tcPr>
            <w:tcW w:w="920" w:type="dxa"/>
            <w:vAlign w:val="bottom"/>
            <w:gridSpan w:val="2"/>
            <w:shd w:val="clear" w:color="auto" w:fill="CCECFF"/>
          </w:tcPr>
          <w:p>
            <w:pPr>
              <w:jc w:val="right"/>
              <w:ind w:right="160"/>
              <w:spacing w:after="0"/>
              <w:rPr>
                <w:sz w:val="20"/>
                <w:szCs w:val="20"/>
                <w:color w:val="auto"/>
              </w:rPr>
            </w:pPr>
            <w:r>
              <w:rPr>
                <w:rFonts w:ascii="Arial" w:cs="Arial" w:eastAsia="Arial" w:hAnsi="Arial"/>
                <w:sz w:val="12"/>
                <w:szCs w:val="12"/>
                <w:color w:val="auto"/>
              </w:rPr>
              <w:t>8.42%</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3M L+550</w:t>
            </w:r>
          </w:p>
        </w:tc>
        <w:tc>
          <w:tcPr>
            <w:tcW w:w="90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10,395,000</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10,209,742</w:t>
            </w:r>
          </w:p>
        </w:tc>
        <w:tc>
          <w:tcPr>
            <w:tcW w:w="96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9,771,301</w:t>
            </w:r>
          </w:p>
        </w:tc>
        <w:tc>
          <w:tcPr>
            <w:tcW w:w="120" w:type="dxa"/>
            <w:vAlign w:val="bottom"/>
            <w:shd w:val="clear" w:color="auto" w:fill="CCECFF"/>
          </w:tcPr>
          <w:p>
            <w:pPr>
              <w:spacing w:after="0"/>
              <w:rPr>
                <w:sz w:val="12"/>
                <w:szCs w:val="12"/>
                <w:color w:val="auto"/>
              </w:rPr>
            </w:pPr>
          </w:p>
        </w:tc>
      </w:tr>
      <w:tr>
        <w:trPr>
          <w:trHeight w:val="149"/>
        </w:trPr>
        <w:tc>
          <w:tcPr>
            <w:tcW w:w="3480" w:type="dxa"/>
            <w:vAlign w:val="bottom"/>
            <w:gridSpan w:val="2"/>
          </w:tcPr>
          <w:p>
            <w:pPr>
              <w:spacing w:after="0" w:line="149" w:lineRule="exact"/>
              <w:rPr>
                <w:sz w:val="20"/>
                <w:szCs w:val="20"/>
                <w:color w:val="auto"/>
              </w:rPr>
            </w:pPr>
            <w:r>
              <w:rPr>
                <w:rFonts w:ascii="Arial" w:cs="Arial" w:eastAsia="Arial" w:hAnsi="Arial"/>
                <w:sz w:val="11"/>
                <w:szCs w:val="11"/>
                <w:color w:val="auto"/>
              </w:rPr>
              <w:t xml:space="preserve">US Med Acquisition, Inc. </w:t>
            </w:r>
            <w:r>
              <w:rPr>
                <w:rFonts w:ascii="Arial" w:cs="Arial" w:eastAsia="Arial" w:hAnsi="Arial"/>
                <w:sz w:val="17"/>
                <w:szCs w:val="17"/>
                <w:color w:val="auto"/>
                <w:vertAlign w:val="superscript"/>
              </w:rPr>
              <w:t>(7)</w:t>
            </w:r>
          </w:p>
        </w:tc>
        <w:tc>
          <w:tcPr>
            <w:tcW w:w="640" w:type="dxa"/>
            <w:vAlign w:val="bottom"/>
          </w:tcPr>
          <w:p>
            <w:pPr>
              <w:jc w:val="center"/>
              <w:spacing w:after="0"/>
              <w:rPr>
                <w:sz w:val="20"/>
                <w:szCs w:val="20"/>
                <w:color w:val="auto"/>
              </w:rPr>
            </w:pPr>
            <w:r>
              <w:rPr>
                <w:rFonts w:ascii="Arial" w:cs="Arial" w:eastAsia="Arial" w:hAnsi="Arial"/>
                <w:sz w:val="12"/>
                <w:szCs w:val="12"/>
                <w:color w:val="auto"/>
                <w:w w:val="89"/>
              </w:rPr>
              <w:t>08/13/2021</w:t>
            </w:r>
          </w:p>
        </w:tc>
        <w:tc>
          <w:tcPr>
            <w:tcW w:w="120" w:type="dxa"/>
            <w:vAlign w:val="bottom"/>
          </w:tcPr>
          <w:p>
            <w:pPr>
              <w:spacing w:after="0"/>
              <w:rPr>
                <w:sz w:val="12"/>
                <w:szCs w:val="12"/>
                <w:color w:val="auto"/>
              </w:rPr>
            </w:pPr>
          </w:p>
        </w:tc>
        <w:tc>
          <w:tcPr>
            <w:tcW w:w="2480" w:type="dxa"/>
            <w:vAlign w:val="bottom"/>
            <w:gridSpan w:val="2"/>
          </w:tcPr>
          <w:p>
            <w:pPr>
              <w:jc w:val="center"/>
              <w:ind w:right="140"/>
              <w:spacing w:after="0"/>
              <w:rPr>
                <w:sz w:val="20"/>
                <w:szCs w:val="20"/>
                <w:color w:val="auto"/>
              </w:rPr>
            </w:pPr>
            <w:r>
              <w:rPr>
                <w:rFonts w:ascii="Arial" w:cs="Arial" w:eastAsia="Arial" w:hAnsi="Arial"/>
                <w:sz w:val="12"/>
                <w:szCs w:val="12"/>
                <w:color w:val="auto"/>
                <w:w w:val="86"/>
              </w:rPr>
              <w:t>Healthcare and Pharmaceuticals</w:t>
            </w:r>
          </w:p>
        </w:tc>
        <w:tc>
          <w:tcPr>
            <w:tcW w:w="920" w:type="dxa"/>
            <w:vAlign w:val="bottom"/>
            <w:gridSpan w:val="2"/>
          </w:tcPr>
          <w:p>
            <w:pPr>
              <w:jc w:val="right"/>
              <w:ind w:right="160"/>
              <w:spacing w:after="0"/>
              <w:rPr>
                <w:sz w:val="20"/>
                <w:szCs w:val="20"/>
                <w:color w:val="auto"/>
              </w:rPr>
            </w:pPr>
            <w:r>
              <w:rPr>
                <w:rFonts w:ascii="Arial" w:cs="Arial" w:eastAsia="Arial" w:hAnsi="Arial"/>
                <w:sz w:val="12"/>
                <w:szCs w:val="12"/>
                <w:color w:val="auto"/>
              </w:rPr>
              <w:t>11.10%</w:t>
            </w:r>
          </w:p>
        </w:tc>
        <w:tc>
          <w:tcPr>
            <w:tcW w:w="680" w:type="dxa"/>
            <w:vAlign w:val="bottom"/>
          </w:tcPr>
          <w:p>
            <w:pPr>
              <w:jc w:val="right"/>
              <w:spacing w:after="0"/>
              <w:rPr>
                <w:sz w:val="20"/>
                <w:szCs w:val="20"/>
                <w:color w:val="auto"/>
              </w:rPr>
            </w:pPr>
            <w:r>
              <w:rPr>
                <w:rFonts w:ascii="Arial" w:cs="Arial" w:eastAsia="Arial" w:hAnsi="Arial"/>
                <w:sz w:val="12"/>
                <w:szCs w:val="12"/>
                <w:color w:val="auto"/>
              </w:rPr>
              <w:t>1M L+900</w:t>
            </w:r>
          </w:p>
        </w:tc>
        <w:tc>
          <w:tcPr>
            <w:tcW w:w="900" w:type="dxa"/>
            <w:vAlign w:val="bottom"/>
            <w:gridSpan w:val="2"/>
          </w:tcPr>
          <w:p>
            <w:pPr>
              <w:jc w:val="right"/>
              <w:spacing w:after="0"/>
              <w:rPr>
                <w:sz w:val="20"/>
                <w:szCs w:val="20"/>
                <w:color w:val="auto"/>
              </w:rPr>
            </w:pPr>
            <w:r>
              <w:rPr>
                <w:rFonts w:ascii="Arial" w:cs="Arial" w:eastAsia="Arial" w:hAnsi="Arial"/>
                <w:sz w:val="12"/>
                <w:szCs w:val="12"/>
                <w:color w:val="auto"/>
              </w:rPr>
              <w:t>2,996,094</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2,996,094</w:t>
            </w:r>
          </w:p>
        </w:tc>
        <w:tc>
          <w:tcPr>
            <w:tcW w:w="960" w:type="dxa"/>
            <w:vAlign w:val="bottom"/>
            <w:gridSpan w:val="2"/>
          </w:tcPr>
          <w:p>
            <w:pPr>
              <w:jc w:val="right"/>
              <w:spacing w:after="0"/>
              <w:rPr>
                <w:sz w:val="20"/>
                <w:szCs w:val="20"/>
                <w:color w:val="auto"/>
              </w:rPr>
            </w:pPr>
            <w:r>
              <w:rPr>
                <w:rFonts w:ascii="Arial" w:cs="Arial" w:eastAsia="Arial" w:hAnsi="Arial"/>
                <w:sz w:val="12"/>
                <w:szCs w:val="12"/>
                <w:color w:val="auto"/>
              </w:rPr>
              <w:t>2,996,094</w:t>
            </w:r>
          </w:p>
        </w:tc>
        <w:tc>
          <w:tcPr>
            <w:tcW w:w="120" w:type="dxa"/>
            <w:vAlign w:val="bottom"/>
          </w:tcPr>
          <w:p>
            <w:pPr>
              <w:spacing w:after="0"/>
              <w:rPr>
                <w:sz w:val="12"/>
                <w:szCs w:val="12"/>
                <w:color w:val="auto"/>
              </w:rPr>
            </w:pPr>
          </w:p>
        </w:tc>
      </w:tr>
      <w:tr>
        <w:trPr>
          <w:trHeight w:val="148"/>
        </w:trPr>
        <w:tc>
          <w:tcPr>
            <w:tcW w:w="3480" w:type="dxa"/>
            <w:vAlign w:val="bottom"/>
            <w:gridSpan w:val="2"/>
            <w:shd w:val="clear" w:color="auto" w:fill="CCECFF"/>
          </w:tcPr>
          <w:p>
            <w:pPr>
              <w:spacing w:after="0"/>
              <w:rPr>
                <w:sz w:val="20"/>
                <w:szCs w:val="20"/>
                <w:color w:val="auto"/>
              </w:rPr>
            </w:pPr>
            <w:r>
              <w:rPr>
                <w:rFonts w:ascii="Arial" w:cs="Arial" w:eastAsia="Arial" w:hAnsi="Arial"/>
                <w:sz w:val="12"/>
                <w:szCs w:val="12"/>
                <w:color w:val="auto"/>
              </w:rPr>
              <w:t>Vision Purchaser Corporation</w:t>
            </w:r>
          </w:p>
        </w:tc>
        <w:tc>
          <w:tcPr>
            <w:tcW w:w="640" w:type="dxa"/>
            <w:vAlign w:val="bottom"/>
            <w:shd w:val="clear" w:color="auto" w:fill="CCECFF"/>
          </w:tcPr>
          <w:p>
            <w:pPr>
              <w:jc w:val="center"/>
              <w:spacing w:after="0"/>
              <w:rPr>
                <w:sz w:val="20"/>
                <w:szCs w:val="20"/>
                <w:color w:val="auto"/>
              </w:rPr>
            </w:pPr>
            <w:r>
              <w:rPr>
                <w:rFonts w:ascii="Arial" w:cs="Arial" w:eastAsia="Arial" w:hAnsi="Arial"/>
                <w:sz w:val="12"/>
                <w:szCs w:val="12"/>
                <w:color w:val="auto"/>
                <w:w w:val="89"/>
              </w:rPr>
              <w:t>06/10/2025</w:t>
            </w:r>
          </w:p>
        </w:tc>
        <w:tc>
          <w:tcPr>
            <w:tcW w:w="120" w:type="dxa"/>
            <w:vAlign w:val="bottom"/>
            <w:shd w:val="clear" w:color="auto" w:fill="CCECFF"/>
          </w:tcPr>
          <w:p>
            <w:pPr>
              <w:spacing w:after="0"/>
              <w:rPr>
                <w:sz w:val="12"/>
                <w:szCs w:val="12"/>
                <w:color w:val="auto"/>
              </w:rPr>
            </w:pPr>
          </w:p>
        </w:tc>
        <w:tc>
          <w:tcPr>
            <w:tcW w:w="248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91"/>
              </w:rPr>
              <w:t>Media</w:t>
            </w:r>
          </w:p>
        </w:tc>
        <w:tc>
          <w:tcPr>
            <w:tcW w:w="920" w:type="dxa"/>
            <w:vAlign w:val="bottom"/>
            <w:gridSpan w:val="2"/>
            <w:shd w:val="clear" w:color="auto" w:fill="CCECFF"/>
          </w:tcPr>
          <w:p>
            <w:pPr>
              <w:jc w:val="right"/>
              <w:ind w:right="160"/>
              <w:spacing w:after="0"/>
              <w:rPr>
                <w:sz w:val="20"/>
                <w:szCs w:val="20"/>
                <w:color w:val="auto"/>
              </w:rPr>
            </w:pPr>
            <w:r>
              <w:rPr>
                <w:rFonts w:ascii="Arial" w:cs="Arial" w:eastAsia="Arial" w:hAnsi="Arial"/>
                <w:sz w:val="12"/>
                <w:szCs w:val="12"/>
                <w:color w:val="auto"/>
              </w:rPr>
              <w:t>8.30%</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1M L+625</w:t>
            </w:r>
          </w:p>
        </w:tc>
        <w:tc>
          <w:tcPr>
            <w:tcW w:w="90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3,440,998</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3,373,821</w:t>
            </w:r>
          </w:p>
        </w:tc>
        <w:tc>
          <w:tcPr>
            <w:tcW w:w="96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3,406,588</w:t>
            </w:r>
          </w:p>
        </w:tc>
        <w:tc>
          <w:tcPr>
            <w:tcW w:w="120" w:type="dxa"/>
            <w:vAlign w:val="bottom"/>
            <w:shd w:val="clear" w:color="auto" w:fill="CCECFF"/>
          </w:tcPr>
          <w:p>
            <w:pPr>
              <w:spacing w:after="0"/>
              <w:rPr>
                <w:sz w:val="12"/>
                <w:szCs w:val="12"/>
                <w:color w:val="auto"/>
              </w:rPr>
            </w:pPr>
          </w:p>
        </w:tc>
      </w:tr>
      <w:tr>
        <w:trPr>
          <w:trHeight w:val="149"/>
        </w:trPr>
        <w:tc>
          <w:tcPr>
            <w:tcW w:w="3480" w:type="dxa"/>
            <w:vAlign w:val="bottom"/>
            <w:tcBorders>
              <w:bottom w:val="single" w:sz="8" w:color="CCECFF"/>
            </w:tcBorders>
            <w:gridSpan w:val="2"/>
          </w:tcPr>
          <w:p>
            <w:pPr>
              <w:spacing w:after="0"/>
              <w:rPr>
                <w:sz w:val="20"/>
                <w:szCs w:val="20"/>
                <w:color w:val="auto"/>
              </w:rPr>
            </w:pPr>
            <w:r>
              <w:rPr>
                <w:rFonts w:ascii="Arial" w:cs="Arial" w:eastAsia="Arial" w:hAnsi="Arial"/>
                <w:sz w:val="12"/>
                <w:szCs w:val="12"/>
                <w:color w:val="auto"/>
              </w:rPr>
              <w:t>Whitney, Bradley &amp; Brown, Inc.</w:t>
            </w:r>
          </w:p>
        </w:tc>
        <w:tc>
          <w:tcPr>
            <w:tcW w:w="640" w:type="dxa"/>
            <w:vAlign w:val="bottom"/>
            <w:tcBorders>
              <w:bottom w:val="single" w:sz="8" w:color="CCECFF"/>
            </w:tcBorders>
          </w:tcPr>
          <w:p>
            <w:pPr>
              <w:jc w:val="center"/>
              <w:spacing w:after="0"/>
              <w:rPr>
                <w:sz w:val="20"/>
                <w:szCs w:val="20"/>
                <w:color w:val="auto"/>
              </w:rPr>
            </w:pPr>
            <w:r>
              <w:rPr>
                <w:rFonts w:ascii="Arial" w:cs="Arial" w:eastAsia="Arial" w:hAnsi="Arial"/>
                <w:sz w:val="12"/>
                <w:szCs w:val="12"/>
                <w:color w:val="auto"/>
                <w:w w:val="89"/>
              </w:rPr>
              <w:t>10/18/2022</w:t>
            </w:r>
          </w:p>
        </w:tc>
        <w:tc>
          <w:tcPr>
            <w:tcW w:w="120" w:type="dxa"/>
            <w:vAlign w:val="bottom"/>
            <w:tcBorders>
              <w:bottom w:val="single" w:sz="8" w:color="CCECFF"/>
            </w:tcBorders>
          </w:tcPr>
          <w:p>
            <w:pPr>
              <w:spacing w:after="0"/>
              <w:rPr>
                <w:sz w:val="12"/>
                <w:szCs w:val="12"/>
                <w:color w:val="auto"/>
              </w:rPr>
            </w:pPr>
          </w:p>
        </w:tc>
        <w:tc>
          <w:tcPr>
            <w:tcW w:w="2480" w:type="dxa"/>
            <w:vAlign w:val="bottom"/>
            <w:tcBorders>
              <w:bottom w:val="single" w:sz="8" w:color="CCECFF"/>
            </w:tcBorders>
            <w:gridSpan w:val="2"/>
          </w:tcPr>
          <w:p>
            <w:pPr>
              <w:jc w:val="center"/>
              <w:ind w:right="140"/>
              <w:spacing w:after="0"/>
              <w:rPr>
                <w:sz w:val="20"/>
                <w:szCs w:val="20"/>
                <w:color w:val="auto"/>
              </w:rPr>
            </w:pPr>
            <w:r>
              <w:rPr>
                <w:rFonts w:ascii="Arial" w:cs="Arial" w:eastAsia="Arial" w:hAnsi="Arial"/>
                <w:sz w:val="12"/>
                <w:szCs w:val="12"/>
                <w:color w:val="auto"/>
                <w:w w:val="85"/>
              </w:rPr>
              <w:t>Aerospace and Defense</w:t>
            </w:r>
          </w:p>
        </w:tc>
        <w:tc>
          <w:tcPr>
            <w:tcW w:w="920" w:type="dxa"/>
            <w:vAlign w:val="bottom"/>
            <w:tcBorders>
              <w:bottom w:val="single" w:sz="8" w:color="CCECFF"/>
            </w:tcBorders>
            <w:gridSpan w:val="2"/>
          </w:tcPr>
          <w:p>
            <w:pPr>
              <w:jc w:val="right"/>
              <w:ind w:right="160"/>
              <w:spacing w:after="0"/>
              <w:rPr>
                <w:sz w:val="20"/>
                <w:szCs w:val="20"/>
                <w:color w:val="auto"/>
              </w:rPr>
            </w:pPr>
            <w:r>
              <w:rPr>
                <w:rFonts w:ascii="Arial" w:cs="Arial" w:eastAsia="Arial" w:hAnsi="Arial"/>
                <w:sz w:val="12"/>
                <w:szCs w:val="12"/>
                <w:color w:val="auto"/>
              </w:rPr>
              <w:t>9.55%</w:t>
            </w:r>
          </w:p>
        </w:tc>
        <w:tc>
          <w:tcPr>
            <w:tcW w:w="680" w:type="dxa"/>
            <w:vAlign w:val="bottom"/>
            <w:tcBorders>
              <w:bottom w:val="single" w:sz="8" w:color="CCECFF"/>
            </w:tcBorders>
          </w:tcPr>
          <w:p>
            <w:pPr>
              <w:jc w:val="right"/>
              <w:spacing w:after="0"/>
              <w:rPr>
                <w:sz w:val="20"/>
                <w:szCs w:val="20"/>
                <w:color w:val="auto"/>
              </w:rPr>
            </w:pPr>
            <w:r>
              <w:rPr>
                <w:rFonts w:ascii="Arial" w:cs="Arial" w:eastAsia="Arial" w:hAnsi="Arial"/>
                <w:sz w:val="12"/>
                <w:szCs w:val="12"/>
                <w:color w:val="auto"/>
              </w:rPr>
              <w:t>1M L+750</w:t>
            </w:r>
          </w:p>
        </w:tc>
        <w:tc>
          <w:tcPr>
            <w:tcW w:w="900" w:type="dxa"/>
            <w:vAlign w:val="bottom"/>
            <w:tcBorders>
              <w:bottom w:val="single" w:sz="8" w:color="CCECFF"/>
            </w:tcBorders>
            <w:gridSpan w:val="2"/>
          </w:tcPr>
          <w:p>
            <w:pPr>
              <w:jc w:val="right"/>
              <w:spacing w:after="0"/>
              <w:rPr>
                <w:sz w:val="20"/>
                <w:szCs w:val="20"/>
                <w:color w:val="auto"/>
              </w:rPr>
            </w:pPr>
            <w:r>
              <w:rPr>
                <w:rFonts w:ascii="Arial" w:cs="Arial" w:eastAsia="Arial" w:hAnsi="Arial"/>
                <w:sz w:val="12"/>
                <w:szCs w:val="12"/>
                <w:color w:val="auto"/>
              </w:rPr>
              <w:t>5,187,498</w:t>
            </w:r>
          </w:p>
        </w:tc>
        <w:tc>
          <w:tcPr>
            <w:tcW w:w="220" w:type="dxa"/>
            <w:vAlign w:val="bottom"/>
            <w:tcBorders>
              <w:bottom w:val="single" w:sz="8" w:color="CCECFF"/>
            </w:tcBorders>
          </w:tcPr>
          <w:p>
            <w:pPr>
              <w:spacing w:after="0"/>
              <w:rPr>
                <w:sz w:val="12"/>
                <w:szCs w:val="1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5,083,748</w:t>
            </w:r>
          </w:p>
        </w:tc>
        <w:tc>
          <w:tcPr>
            <w:tcW w:w="220" w:type="dxa"/>
            <w:vAlign w:val="bottom"/>
            <w:tcBorders>
              <w:bottom w:val="single" w:sz="8" w:color="CCECFF"/>
            </w:tcBorders>
          </w:tcPr>
          <w:p>
            <w:pPr>
              <w:spacing w:after="0"/>
              <w:rPr>
                <w:sz w:val="12"/>
                <w:szCs w:val="1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5,187,498</w:t>
            </w:r>
          </w:p>
        </w:tc>
        <w:tc>
          <w:tcPr>
            <w:tcW w:w="120" w:type="dxa"/>
            <w:vAlign w:val="bottom"/>
            <w:tcBorders>
              <w:bottom w:val="single" w:sz="8" w:color="CCECFF"/>
            </w:tcBorders>
          </w:tcPr>
          <w:p>
            <w:pPr>
              <w:spacing w:after="0"/>
              <w:rPr>
                <w:sz w:val="12"/>
                <w:szCs w:val="12"/>
                <w:color w:val="auto"/>
              </w:rPr>
            </w:pPr>
          </w:p>
        </w:tc>
      </w:tr>
      <w:tr>
        <w:trPr>
          <w:trHeight w:val="142"/>
        </w:trPr>
        <w:tc>
          <w:tcPr>
            <w:tcW w:w="3480" w:type="dxa"/>
            <w:vAlign w:val="bottom"/>
            <w:gridSpan w:val="2"/>
            <w:shd w:val="clear" w:color="auto" w:fill="CCECFF"/>
          </w:tcPr>
          <w:p>
            <w:pPr>
              <w:spacing w:after="0"/>
              <w:rPr>
                <w:sz w:val="20"/>
                <w:szCs w:val="20"/>
                <w:color w:val="auto"/>
              </w:rPr>
            </w:pPr>
            <w:r>
              <w:rPr>
                <w:rFonts w:ascii="Arial" w:cs="Arial" w:eastAsia="Arial" w:hAnsi="Arial"/>
                <w:sz w:val="12"/>
                <w:szCs w:val="12"/>
                <w:b w:val="1"/>
                <w:bCs w:val="1"/>
                <w:color w:val="auto"/>
              </w:rPr>
              <w:t>Total First Lien Secured Debt</w:t>
            </w:r>
          </w:p>
        </w:tc>
        <w:tc>
          <w:tcPr>
            <w:tcW w:w="64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236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829,387,687</w:t>
            </w:r>
          </w:p>
        </w:tc>
        <w:tc>
          <w:tcPr>
            <w:tcW w:w="96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818,357,018</w:t>
            </w:r>
          </w:p>
        </w:tc>
        <w:tc>
          <w:tcPr>
            <w:tcW w:w="120" w:type="dxa"/>
            <w:vAlign w:val="bottom"/>
            <w:shd w:val="clear" w:color="auto" w:fill="CCECFF"/>
          </w:tcPr>
          <w:p>
            <w:pPr>
              <w:spacing w:after="0"/>
              <w:rPr>
                <w:sz w:val="12"/>
                <w:szCs w:val="12"/>
                <w:color w:val="auto"/>
              </w:rPr>
            </w:pPr>
          </w:p>
        </w:tc>
      </w:tr>
      <w:tr>
        <w:trPr>
          <w:trHeight w:val="142"/>
        </w:trPr>
        <w:tc>
          <w:tcPr>
            <w:tcW w:w="3480" w:type="dxa"/>
            <w:vAlign w:val="bottom"/>
            <w:gridSpan w:val="2"/>
          </w:tcPr>
          <w:p>
            <w:pPr>
              <w:spacing w:after="0"/>
              <w:rPr>
                <w:sz w:val="20"/>
                <w:szCs w:val="20"/>
                <w:color w:val="auto"/>
              </w:rPr>
            </w:pPr>
            <w:r>
              <w:rPr>
                <w:rFonts w:ascii="Arial" w:cs="Arial" w:eastAsia="Arial" w:hAnsi="Arial"/>
                <w:sz w:val="12"/>
                <w:szCs w:val="12"/>
                <w:b w:val="1"/>
                <w:bCs w:val="1"/>
                <w:color w:val="auto"/>
              </w:rPr>
              <w:t>Second Lien Secured Debt—5.7%</w:t>
            </w: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r>
      <w:tr>
        <w:trPr>
          <w:trHeight w:val="149"/>
        </w:trPr>
        <w:tc>
          <w:tcPr>
            <w:tcW w:w="3480" w:type="dxa"/>
            <w:vAlign w:val="bottom"/>
            <w:gridSpan w:val="2"/>
            <w:shd w:val="clear" w:color="auto" w:fill="CCECFF"/>
          </w:tcPr>
          <w:p>
            <w:pPr>
              <w:spacing w:after="0" w:line="149" w:lineRule="exact"/>
              <w:rPr>
                <w:sz w:val="20"/>
                <w:szCs w:val="20"/>
                <w:color w:val="auto"/>
              </w:rPr>
            </w:pPr>
            <w:r>
              <w:rPr>
                <w:rFonts w:ascii="Arial" w:cs="Arial" w:eastAsia="Arial" w:hAnsi="Arial"/>
                <w:sz w:val="11"/>
                <w:szCs w:val="11"/>
                <w:color w:val="auto"/>
              </w:rPr>
              <w:t xml:space="preserve">Condor Borrower, LLC </w:t>
            </w:r>
            <w:r>
              <w:rPr>
                <w:rFonts w:ascii="Arial" w:cs="Arial" w:eastAsia="Arial" w:hAnsi="Arial"/>
                <w:sz w:val="17"/>
                <w:szCs w:val="17"/>
                <w:color w:val="auto"/>
                <w:vertAlign w:val="superscript"/>
              </w:rPr>
              <w:t>(7)</w:t>
            </w:r>
          </w:p>
        </w:tc>
        <w:tc>
          <w:tcPr>
            <w:tcW w:w="640" w:type="dxa"/>
            <w:vAlign w:val="bottom"/>
            <w:shd w:val="clear" w:color="auto" w:fill="CCECFF"/>
          </w:tcPr>
          <w:p>
            <w:pPr>
              <w:jc w:val="center"/>
              <w:spacing w:after="0"/>
              <w:rPr>
                <w:sz w:val="20"/>
                <w:szCs w:val="20"/>
                <w:color w:val="auto"/>
              </w:rPr>
            </w:pPr>
            <w:r>
              <w:rPr>
                <w:rFonts w:ascii="Arial" w:cs="Arial" w:eastAsia="Arial" w:hAnsi="Arial"/>
                <w:sz w:val="12"/>
                <w:szCs w:val="12"/>
                <w:color w:val="auto"/>
                <w:w w:val="89"/>
              </w:rPr>
              <w:t>04/25/2025</w:t>
            </w:r>
          </w:p>
        </w:tc>
        <w:tc>
          <w:tcPr>
            <w:tcW w:w="120" w:type="dxa"/>
            <w:vAlign w:val="bottom"/>
            <w:shd w:val="clear" w:color="auto" w:fill="CCECFF"/>
          </w:tcPr>
          <w:p>
            <w:pPr>
              <w:spacing w:after="0"/>
              <w:rPr>
                <w:sz w:val="12"/>
                <w:szCs w:val="12"/>
                <w:color w:val="auto"/>
              </w:rPr>
            </w:pPr>
          </w:p>
        </w:tc>
        <w:tc>
          <w:tcPr>
            <w:tcW w:w="248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89"/>
              </w:rPr>
              <w:t>High Tech Industries</w:t>
            </w:r>
          </w:p>
        </w:tc>
        <w:tc>
          <w:tcPr>
            <w:tcW w:w="920" w:type="dxa"/>
            <w:vAlign w:val="bottom"/>
            <w:gridSpan w:val="2"/>
            <w:shd w:val="clear" w:color="auto" w:fill="CCECFF"/>
          </w:tcPr>
          <w:p>
            <w:pPr>
              <w:jc w:val="right"/>
              <w:ind w:right="160"/>
              <w:spacing w:after="0"/>
              <w:rPr>
                <w:sz w:val="20"/>
                <w:szCs w:val="20"/>
                <w:color w:val="auto"/>
              </w:rPr>
            </w:pPr>
            <w:r>
              <w:rPr>
                <w:rFonts w:ascii="Arial" w:cs="Arial" w:eastAsia="Arial" w:hAnsi="Arial"/>
                <w:sz w:val="12"/>
                <w:szCs w:val="12"/>
                <w:color w:val="auto"/>
              </w:rPr>
              <w:t>11.01%</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3M L+875</w:t>
            </w:r>
          </w:p>
        </w:tc>
        <w:tc>
          <w:tcPr>
            <w:tcW w:w="90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1,655,172</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1,628,190</w:t>
            </w:r>
          </w:p>
        </w:tc>
        <w:tc>
          <w:tcPr>
            <w:tcW w:w="96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1,638,621</w:t>
            </w:r>
          </w:p>
        </w:tc>
        <w:tc>
          <w:tcPr>
            <w:tcW w:w="120" w:type="dxa"/>
            <w:vAlign w:val="bottom"/>
            <w:shd w:val="clear" w:color="auto" w:fill="CCECFF"/>
          </w:tcPr>
          <w:p>
            <w:pPr>
              <w:spacing w:after="0"/>
              <w:rPr>
                <w:sz w:val="12"/>
                <w:szCs w:val="12"/>
                <w:color w:val="auto"/>
              </w:rPr>
            </w:pPr>
          </w:p>
        </w:tc>
      </w:tr>
    </w:tbl>
    <w:p>
      <w:pPr>
        <w:spacing w:after="0" w:line="35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SEE NOTES TO CONSOLIDATED FINANCIAL STATEMENTS</w:t>
      </w:r>
    </w:p>
    <w:p>
      <w:pPr>
        <w:spacing w:after="0" w:line="5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149465"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3" w:name="page14"/>
    <w:bookmarkEnd w:id="13"/>
    <w:p>
      <w:pPr>
        <w:jc w:val="center"/>
        <w:spacing w:after="0"/>
        <w:rPr>
          <w:sz w:val="20"/>
          <w:szCs w:val="20"/>
          <w:color w:val="auto"/>
        </w:rPr>
      </w:pPr>
      <w:r>
        <w:rPr>
          <w:rFonts w:ascii="Arial" w:cs="Arial" w:eastAsia="Arial" w:hAnsi="Arial"/>
          <w:sz w:val="14"/>
          <w:szCs w:val="14"/>
          <w:b w:val="1"/>
          <w:bCs w:val="1"/>
          <w:color w:val="auto"/>
        </w:rPr>
        <w:t>PENNANTPARK FLOATING RATE CAPITAL LTD. AND SUBSIDIARIES</w:t>
      </w:r>
    </w:p>
    <w:p>
      <w:pPr>
        <w:jc w:val="center"/>
        <w:spacing w:after="0" w:line="225" w:lineRule="auto"/>
        <w:rPr>
          <w:sz w:val="20"/>
          <w:szCs w:val="20"/>
          <w:color w:val="auto"/>
        </w:rPr>
      </w:pPr>
      <w:r>
        <w:rPr>
          <w:rFonts w:ascii="Arial" w:cs="Arial" w:eastAsia="Arial" w:hAnsi="Arial"/>
          <w:sz w:val="14"/>
          <w:szCs w:val="14"/>
          <w:b w:val="1"/>
          <w:bCs w:val="1"/>
          <w:color w:val="auto"/>
        </w:rPr>
        <w:t>CONSOLIDATED SCHEDULE OF INVESTMENTS—(Continued)</w:t>
      </w:r>
    </w:p>
    <w:p>
      <w:pPr>
        <w:jc w:val="center"/>
        <w:spacing w:after="0"/>
        <w:rPr>
          <w:sz w:val="20"/>
          <w:szCs w:val="20"/>
          <w:color w:val="auto"/>
        </w:rPr>
      </w:pPr>
      <w:r>
        <w:rPr>
          <w:rFonts w:ascii="Arial" w:cs="Arial" w:eastAsia="Arial" w:hAnsi="Arial"/>
          <w:sz w:val="14"/>
          <w:szCs w:val="14"/>
          <w:b w:val="1"/>
          <w:bCs w:val="1"/>
          <w:color w:val="auto"/>
        </w:rPr>
        <w:t>SEPTEMBER 30, 2019</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3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85"/>
              </w:rPr>
              <w:t>Basis Point</w:t>
            </w: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35"/>
        </w:trPr>
        <w:tc>
          <w:tcPr>
            <w:tcW w:w="3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00" w:type="dxa"/>
            <w:vAlign w:val="bottom"/>
            <w:gridSpan w:val="2"/>
          </w:tcPr>
          <w:p>
            <w:pPr>
              <w:jc w:val="center"/>
              <w:ind w:right="220"/>
              <w:spacing w:after="0" w:line="135" w:lineRule="exact"/>
              <w:rPr>
                <w:sz w:val="20"/>
                <w:szCs w:val="20"/>
                <w:color w:val="auto"/>
              </w:rPr>
            </w:pPr>
            <w:r>
              <w:rPr>
                <w:rFonts w:ascii="Arial" w:cs="Arial" w:eastAsia="Arial" w:hAnsi="Arial"/>
                <w:sz w:val="12"/>
                <w:szCs w:val="12"/>
                <w:b w:val="1"/>
                <w:bCs w:val="1"/>
                <w:color w:val="auto"/>
                <w:w w:val="88"/>
              </w:rPr>
              <w:t>Spread</w:t>
            </w: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26"/>
        </w:trPr>
        <w:tc>
          <w:tcPr>
            <w:tcW w:w="3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gridSpan w:val="2"/>
          </w:tcPr>
          <w:p>
            <w:pPr>
              <w:jc w:val="right"/>
              <w:ind w:right="420"/>
              <w:spacing w:after="0" w:line="126" w:lineRule="exact"/>
              <w:rPr>
                <w:sz w:val="20"/>
                <w:szCs w:val="20"/>
                <w:color w:val="auto"/>
              </w:rPr>
            </w:pPr>
            <w:r>
              <w:rPr>
                <w:rFonts w:ascii="Arial" w:cs="Arial" w:eastAsia="Arial" w:hAnsi="Arial"/>
                <w:sz w:val="12"/>
                <w:szCs w:val="12"/>
                <w:b w:val="1"/>
                <w:bCs w:val="1"/>
                <w:color w:val="auto"/>
              </w:rPr>
              <w:t>Current</w:t>
            </w:r>
          </w:p>
        </w:tc>
        <w:tc>
          <w:tcPr>
            <w:tcW w:w="900" w:type="dxa"/>
            <w:vAlign w:val="bottom"/>
            <w:gridSpan w:val="2"/>
          </w:tcPr>
          <w:p>
            <w:pPr>
              <w:jc w:val="center"/>
              <w:ind w:right="220"/>
              <w:spacing w:after="0" w:line="126" w:lineRule="exact"/>
              <w:rPr>
                <w:sz w:val="20"/>
                <w:szCs w:val="20"/>
                <w:color w:val="auto"/>
              </w:rPr>
            </w:pPr>
            <w:r>
              <w:rPr>
                <w:rFonts w:ascii="Arial" w:cs="Arial" w:eastAsia="Arial" w:hAnsi="Arial"/>
                <w:sz w:val="12"/>
                <w:szCs w:val="12"/>
                <w:b w:val="1"/>
                <w:bCs w:val="1"/>
                <w:color w:val="auto"/>
                <w:w w:val="87"/>
              </w:rPr>
              <w:t>Above</w:t>
            </w:r>
          </w:p>
        </w:tc>
        <w:tc>
          <w:tcPr>
            <w:tcW w:w="680" w:type="dxa"/>
            <w:vAlign w:val="bottom"/>
          </w:tcPr>
          <w:p>
            <w:pPr>
              <w:jc w:val="right"/>
              <w:ind w:right="162"/>
              <w:spacing w:after="0" w:line="126" w:lineRule="exact"/>
              <w:rPr>
                <w:sz w:val="20"/>
                <w:szCs w:val="20"/>
                <w:color w:val="auto"/>
              </w:rPr>
            </w:pPr>
            <w:r>
              <w:rPr>
                <w:rFonts w:ascii="Arial" w:cs="Arial" w:eastAsia="Arial" w:hAnsi="Arial"/>
                <w:sz w:val="12"/>
                <w:szCs w:val="12"/>
                <w:b w:val="1"/>
                <w:bCs w:val="1"/>
                <w:color w:val="auto"/>
              </w:rPr>
              <w:t>Par /</w:t>
            </w:r>
          </w:p>
        </w:tc>
        <w:tc>
          <w:tcPr>
            <w:tcW w:w="2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53"/>
        </w:trPr>
        <w:tc>
          <w:tcPr>
            <w:tcW w:w="334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rPr>
              <w:t>Issuer Name</w:t>
            </w:r>
          </w:p>
        </w:tc>
        <w:tc>
          <w:tcPr>
            <w:tcW w:w="120" w:type="dxa"/>
            <w:vAlign w:val="bottom"/>
            <w:tcBorders>
              <w:bottom w:val="single" w:sz="8" w:color="CCECFF"/>
            </w:tcBorders>
          </w:tcPr>
          <w:p>
            <w:pPr>
              <w:spacing w:after="0"/>
              <w:rPr>
                <w:sz w:val="13"/>
                <w:szCs w:val="13"/>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8"/>
              </w:rPr>
              <w:t>Maturity</w:t>
            </w:r>
          </w:p>
        </w:tc>
        <w:tc>
          <w:tcPr>
            <w:tcW w:w="240" w:type="dxa"/>
            <w:vAlign w:val="bottom"/>
            <w:tcBorders>
              <w:bottom w:val="single" w:sz="8" w:color="CCECFF"/>
            </w:tcBorders>
          </w:tcPr>
          <w:p>
            <w:pPr>
              <w:spacing w:after="0"/>
              <w:rPr>
                <w:sz w:val="13"/>
                <w:szCs w:val="13"/>
                <w:color w:val="auto"/>
              </w:rPr>
            </w:pPr>
          </w:p>
        </w:tc>
        <w:tc>
          <w:tcPr>
            <w:tcW w:w="234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2"/>
              </w:rPr>
              <w:t>Industry</w:t>
            </w:r>
          </w:p>
        </w:tc>
        <w:tc>
          <w:tcPr>
            <w:tcW w:w="120" w:type="dxa"/>
            <w:vAlign w:val="bottom"/>
            <w:tcBorders>
              <w:bottom w:val="single" w:sz="8" w:color="CCECFF"/>
            </w:tcBorders>
          </w:tcPr>
          <w:p>
            <w:pPr>
              <w:spacing w:after="0"/>
              <w:rPr>
                <w:sz w:val="13"/>
                <w:szCs w:val="13"/>
                <w:color w:val="auto"/>
              </w:rPr>
            </w:pPr>
          </w:p>
        </w:tc>
        <w:tc>
          <w:tcPr>
            <w:tcW w:w="680" w:type="dxa"/>
            <w:vAlign w:val="bottom"/>
            <w:tcBorders>
              <w:bottom w:val="single" w:sz="8" w:color="auto"/>
            </w:tcBorders>
          </w:tcPr>
          <w:p>
            <w:pPr>
              <w:jc w:val="right"/>
              <w:ind w:right="82"/>
              <w:spacing w:after="0"/>
              <w:rPr>
                <w:sz w:val="20"/>
                <w:szCs w:val="20"/>
                <w:color w:val="auto"/>
              </w:rPr>
            </w:pPr>
            <w:r>
              <w:rPr>
                <w:rFonts w:ascii="Arial" w:cs="Arial" w:eastAsia="Arial" w:hAnsi="Arial"/>
                <w:sz w:val="12"/>
                <w:szCs w:val="12"/>
                <w:b w:val="1"/>
                <w:bCs w:val="1"/>
                <w:color w:val="auto"/>
              </w:rPr>
              <w:t>Coupon</w:t>
            </w:r>
          </w:p>
        </w:tc>
        <w:tc>
          <w:tcPr>
            <w:tcW w:w="280" w:type="dxa"/>
            <w:vAlign w:val="bottom"/>
            <w:tcBorders>
              <w:bottom w:val="single" w:sz="8" w:color="CCECFF"/>
            </w:tcBorders>
          </w:tcPr>
          <w:p>
            <w:pPr>
              <w:spacing w:after="0"/>
              <w:rPr>
                <w:sz w:val="13"/>
                <w:szCs w:val="13"/>
                <w:color w:val="auto"/>
              </w:rPr>
            </w:pPr>
          </w:p>
        </w:tc>
        <w:tc>
          <w:tcPr>
            <w:tcW w:w="680" w:type="dxa"/>
            <w:vAlign w:val="bottom"/>
            <w:tcBorders>
              <w:bottom w:val="single" w:sz="8" w:color="auto"/>
            </w:tcBorders>
          </w:tcPr>
          <w:p>
            <w:pPr>
              <w:jc w:val="center"/>
              <w:spacing w:after="0" w:line="153" w:lineRule="exact"/>
              <w:rPr>
                <w:sz w:val="20"/>
                <w:szCs w:val="20"/>
                <w:color w:val="auto"/>
              </w:rPr>
            </w:pPr>
            <w:r>
              <w:rPr>
                <w:rFonts w:ascii="Arial" w:cs="Arial" w:eastAsia="Arial" w:hAnsi="Arial"/>
                <w:sz w:val="11"/>
                <w:szCs w:val="11"/>
                <w:b w:val="1"/>
                <w:bCs w:val="1"/>
                <w:color w:val="auto"/>
                <w:w w:val="91"/>
              </w:rPr>
              <w:t xml:space="preserve">Index </w:t>
            </w:r>
            <w:r>
              <w:rPr>
                <w:rFonts w:ascii="Arial" w:cs="Arial" w:eastAsia="Arial" w:hAnsi="Arial"/>
                <w:sz w:val="17"/>
                <w:szCs w:val="17"/>
                <w:b w:val="1"/>
                <w:bCs w:val="1"/>
                <w:color w:val="auto"/>
                <w:w w:val="91"/>
                <w:vertAlign w:val="superscript"/>
              </w:rPr>
              <w:t>(1)</w:t>
            </w:r>
          </w:p>
        </w:tc>
        <w:tc>
          <w:tcPr>
            <w:tcW w:w="220" w:type="dxa"/>
            <w:vAlign w:val="bottom"/>
            <w:tcBorders>
              <w:bottom w:val="single" w:sz="8" w:color="CCECFF"/>
            </w:tcBorders>
          </w:tcPr>
          <w:p>
            <w:pPr>
              <w:spacing w:after="0"/>
              <w:rPr>
                <w:sz w:val="13"/>
                <w:szCs w:val="13"/>
                <w:color w:val="auto"/>
              </w:rPr>
            </w:pPr>
          </w:p>
        </w:tc>
        <w:tc>
          <w:tcPr>
            <w:tcW w:w="680" w:type="dxa"/>
            <w:vAlign w:val="bottom"/>
            <w:tcBorders>
              <w:bottom w:val="single" w:sz="8" w:color="auto"/>
            </w:tcBorders>
          </w:tcPr>
          <w:p>
            <w:pPr>
              <w:jc w:val="right"/>
              <w:ind w:right="122"/>
              <w:spacing w:after="0"/>
              <w:rPr>
                <w:sz w:val="20"/>
                <w:szCs w:val="20"/>
                <w:color w:val="auto"/>
              </w:rPr>
            </w:pPr>
            <w:r>
              <w:rPr>
                <w:rFonts w:ascii="Arial" w:cs="Arial" w:eastAsia="Arial" w:hAnsi="Arial"/>
                <w:sz w:val="12"/>
                <w:szCs w:val="12"/>
                <w:b w:val="1"/>
                <w:bCs w:val="1"/>
                <w:color w:val="auto"/>
              </w:rPr>
              <w:t>Shares</w:t>
            </w:r>
          </w:p>
        </w:tc>
        <w:tc>
          <w:tcPr>
            <w:tcW w:w="240" w:type="dxa"/>
            <w:vAlign w:val="bottom"/>
            <w:tcBorders>
              <w:bottom w:val="single" w:sz="8" w:color="CCECFF"/>
            </w:tcBorders>
          </w:tcPr>
          <w:p>
            <w:pPr>
              <w:spacing w:after="0"/>
              <w:rPr>
                <w:sz w:val="13"/>
                <w:szCs w:val="13"/>
                <w:color w:val="auto"/>
              </w:rPr>
            </w:pPr>
          </w:p>
        </w:tc>
        <w:tc>
          <w:tcPr>
            <w:tcW w:w="700" w:type="dxa"/>
            <w:vAlign w:val="bottom"/>
            <w:tcBorders>
              <w:bottom w:val="single" w:sz="8" w:color="auto"/>
            </w:tcBorders>
          </w:tcPr>
          <w:p>
            <w:pPr>
              <w:jc w:val="right"/>
              <w:ind w:right="182"/>
              <w:spacing w:after="0"/>
              <w:rPr>
                <w:sz w:val="20"/>
                <w:szCs w:val="20"/>
                <w:color w:val="auto"/>
              </w:rPr>
            </w:pPr>
            <w:r>
              <w:rPr>
                <w:rFonts w:ascii="Arial" w:cs="Arial" w:eastAsia="Arial" w:hAnsi="Arial"/>
                <w:sz w:val="12"/>
                <w:szCs w:val="12"/>
                <w:b w:val="1"/>
                <w:bCs w:val="1"/>
                <w:color w:val="auto"/>
              </w:rPr>
              <w:t>Cost</w:t>
            </w:r>
          </w:p>
        </w:tc>
        <w:tc>
          <w:tcPr>
            <w:tcW w:w="240" w:type="dxa"/>
            <w:vAlign w:val="bottom"/>
            <w:tcBorders>
              <w:bottom w:val="single" w:sz="8" w:color="CCECFF"/>
            </w:tcBorders>
          </w:tcPr>
          <w:p>
            <w:pPr>
              <w:spacing w:after="0"/>
              <w:rPr>
                <w:sz w:val="13"/>
                <w:szCs w:val="13"/>
                <w:color w:val="auto"/>
              </w:rPr>
            </w:pPr>
          </w:p>
        </w:tc>
        <w:tc>
          <w:tcPr>
            <w:tcW w:w="700" w:type="dxa"/>
            <w:vAlign w:val="bottom"/>
            <w:tcBorders>
              <w:bottom w:val="single" w:sz="8" w:color="auto"/>
            </w:tcBorders>
          </w:tcPr>
          <w:p>
            <w:pPr>
              <w:jc w:val="right"/>
              <w:spacing w:after="0" w:line="153" w:lineRule="exact"/>
              <w:rPr>
                <w:sz w:val="20"/>
                <w:szCs w:val="20"/>
                <w:color w:val="auto"/>
              </w:rPr>
            </w:pPr>
            <w:r>
              <w:rPr>
                <w:rFonts w:ascii="Arial" w:cs="Arial" w:eastAsia="Arial" w:hAnsi="Arial"/>
                <w:sz w:val="11"/>
                <w:szCs w:val="11"/>
                <w:b w:val="1"/>
                <w:bCs w:val="1"/>
                <w:color w:val="auto"/>
                <w:w w:val="94"/>
              </w:rPr>
              <w:t xml:space="preserve">Fair Value </w:t>
            </w:r>
            <w:r>
              <w:rPr>
                <w:rFonts w:ascii="Arial" w:cs="Arial" w:eastAsia="Arial" w:hAnsi="Arial"/>
                <w:sz w:val="17"/>
                <w:szCs w:val="17"/>
                <w:b w:val="1"/>
                <w:bCs w:val="1"/>
                <w:color w:val="auto"/>
                <w:w w:val="94"/>
                <w:vertAlign w:val="superscript"/>
              </w:rPr>
              <w:t>(2)</w:t>
            </w:r>
          </w:p>
        </w:tc>
        <w:tc>
          <w:tcPr>
            <w:tcW w:w="120" w:type="dxa"/>
            <w:vAlign w:val="bottom"/>
            <w:tcBorders>
              <w:bottom w:val="single" w:sz="8" w:color="CCECFF"/>
            </w:tcBorders>
          </w:tcPr>
          <w:p>
            <w:pPr>
              <w:spacing w:after="0"/>
              <w:rPr>
                <w:sz w:val="13"/>
                <w:szCs w:val="13"/>
                <w:color w:val="auto"/>
              </w:rPr>
            </w:pPr>
          </w:p>
        </w:tc>
      </w:tr>
      <w:tr>
        <w:trPr>
          <w:trHeight w:val="142"/>
        </w:trPr>
        <w:tc>
          <w:tcPr>
            <w:tcW w:w="3340" w:type="dxa"/>
            <w:vAlign w:val="bottom"/>
            <w:shd w:val="clear" w:color="auto" w:fill="CCECFF"/>
          </w:tcPr>
          <w:p>
            <w:pPr>
              <w:spacing w:after="0"/>
              <w:rPr>
                <w:sz w:val="20"/>
                <w:szCs w:val="20"/>
                <w:color w:val="auto"/>
              </w:rPr>
            </w:pPr>
            <w:r>
              <w:rPr>
                <w:rFonts w:ascii="Arial" w:cs="Arial" w:eastAsia="Arial" w:hAnsi="Arial"/>
                <w:sz w:val="12"/>
                <w:szCs w:val="12"/>
                <w:color w:val="auto"/>
              </w:rPr>
              <w:t>DBI Holdings, LLC, Term Loan B</w:t>
            </w:r>
          </w:p>
        </w:tc>
        <w:tc>
          <w:tcPr>
            <w:tcW w:w="660" w:type="dxa"/>
            <w:vAlign w:val="bottom"/>
            <w:gridSpan w:val="2"/>
            <w:shd w:val="clear" w:color="auto" w:fill="CCECFF"/>
          </w:tcPr>
          <w:p>
            <w:pPr>
              <w:jc w:val="center"/>
              <w:ind w:left="62"/>
              <w:spacing w:after="0"/>
              <w:rPr>
                <w:sz w:val="20"/>
                <w:szCs w:val="20"/>
                <w:color w:val="auto"/>
              </w:rPr>
            </w:pPr>
            <w:r>
              <w:rPr>
                <w:rFonts w:ascii="Arial" w:cs="Arial" w:eastAsia="Arial" w:hAnsi="Arial"/>
                <w:sz w:val="12"/>
                <w:szCs w:val="12"/>
                <w:color w:val="auto"/>
                <w:w w:val="89"/>
              </w:rPr>
              <w:t>02/01/2026</w:t>
            </w:r>
          </w:p>
        </w:tc>
        <w:tc>
          <w:tcPr>
            <w:tcW w:w="240" w:type="dxa"/>
            <w:vAlign w:val="bottom"/>
            <w:shd w:val="clear" w:color="auto" w:fill="CCECFF"/>
          </w:tcPr>
          <w:p>
            <w:pPr>
              <w:spacing w:after="0"/>
              <w:rPr>
                <w:sz w:val="12"/>
                <w:szCs w:val="12"/>
                <w:color w:val="auto"/>
              </w:rPr>
            </w:pPr>
          </w:p>
        </w:tc>
        <w:tc>
          <w:tcPr>
            <w:tcW w:w="246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85"/>
              </w:rPr>
              <w:t>Business Services</w:t>
            </w:r>
          </w:p>
        </w:tc>
        <w:tc>
          <w:tcPr>
            <w:tcW w:w="96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8.00%</w:t>
            </w: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10,639,343</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  10,639,343</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  10,586,145</w:t>
            </w:r>
          </w:p>
        </w:tc>
        <w:tc>
          <w:tcPr>
            <w:tcW w:w="120" w:type="dxa"/>
            <w:vAlign w:val="bottom"/>
            <w:shd w:val="clear" w:color="auto" w:fill="CCECFF"/>
          </w:tcPr>
          <w:p>
            <w:pPr>
              <w:spacing w:after="0"/>
              <w:rPr>
                <w:sz w:val="12"/>
                <w:szCs w:val="12"/>
                <w:color w:val="auto"/>
              </w:rPr>
            </w:pPr>
          </w:p>
        </w:tc>
      </w:tr>
      <w:tr>
        <w:trPr>
          <w:trHeight w:val="148"/>
        </w:trPr>
        <w:tc>
          <w:tcPr>
            <w:tcW w:w="334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54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234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96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(PIK 8.00%)</w:t>
            </w:r>
          </w:p>
        </w:tc>
        <w:tc>
          <w:tcPr>
            <w:tcW w:w="68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70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70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r>
      <w:tr>
        <w:trPr>
          <w:trHeight w:val="156"/>
        </w:trPr>
        <w:tc>
          <w:tcPr>
            <w:tcW w:w="3340" w:type="dxa"/>
            <w:vAlign w:val="bottom"/>
          </w:tcPr>
          <w:p>
            <w:pPr>
              <w:spacing w:after="0" w:line="156" w:lineRule="exact"/>
              <w:rPr>
                <w:sz w:val="20"/>
                <w:szCs w:val="20"/>
                <w:color w:val="auto"/>
              </w:rPr>
            </w:pPr>
            <w:r>
              <w:rPr>
                <w:rFonts w:ascii="Arial" w:cs="Arial" w:eastAsia="Arial" w:hAnsi="Arial"/>
                <w:sz w:val="11"/>
                <w:szCs w:val="11"/>
                <w:color w:val="auto"/>
              </w:rPr>
              <w:t xml:space="preserve">DBI Holdings, LLC, Term Loan C </w:t>
            </w:r>
            <w:r>
              <w:rPr>
                <w:rFonts w:ascii="Arial" w:cs="Arial" w:eastAsia="Arial" w:hAnsi="Arial"/>
                <w:sz w:val="18"/>
                <w:szCs w:val="18"/>
                <w:color w:val="auto"/>
                <w:vertAlign w:val="superscript"/>
              </w:rPr>
              <w:t>(7)</w:t>
            </w:r>
          </w:p>
        </w:tc>
        <w:tc>
          <w:tcPr>
            <w:tcW w:w="660" w:type="dxa"/>
            <w:vAlign w:val="bottom"/>
            <w:gridSpan w:val="2"/>
          </w:tcPr>
          <w:p>
            <w:pPr>
              <w:jc w:val="center"/>
              <w:ind w:left="62"/>
              <w:spacing w:after="0"/>
              <w:rPr>
                <w:sz w:val="20"/>
                <w:szCs w:val="20"/>
                <w:color w:val="auto"/>
              </w:rPr>
            </w:pPr>
            <w:r>
              <w:rPr>
                <w:rFonts w:ascii="Arial" w:cs="Arial" w:eastAsia="Arial" w:hAnsi="Arial"/>
                <w:sz w:val="12"/>
                <w:szCs w:val="12"/>
                <w:color w:val="auto"/>
                <w:w w:val="89"/>
              </w:rPr>
              <w:t>03/26/2021</w:t>
            </w:r>
          </w:p>
        </w:tc>
        <w:tc>
          <w:tcPr>
            <w:tcW w:w="240" w:type="dxa"/>
            <w:vAlign w:val="bottom"/>
          </w:tcPr>
          <w:p>
            <w:pPr>
              <w:spacing w:after="0"/>
              <w:rPr>
                <w:sz w:val="13"/>
                <w:szCs w:val="13"/>
                <w:color w:val="auto"/>
              </w:rPr>
            </w:pPr>
          </w:p>
        </w:tc>
        <w:tc>
          <w:tcPr>
            <w:tcW w:w="2460" w:type="dxa"/>
            <w:vAlign w:val="bottom"/>
            <w:gridSpan w:val="2"/>
          </w:tcPr>
          <w:p>
            <w:pPr>
              <w:jc w:val="center"/>
              <w:ind w:right="140"/>
              <w:spacing w:after="0"/>
              <w:rPr>
                <w:sz w:val="20"/>
                <w:szCs w:val="20"/>
                <w:color w:val="auto"/>
              </w:rPr>
            </w:pPr>
            <w:r>
              <w:rPr>
                <w:rFonts w:ascii="Arial" w:cs="Arial" w:eastAsia="Arial" w:hAnsi="Arial"/>
                <w:sz w:val="12"/>
                <w:szCs w:val="12"/>
                <w:color w:val="auto"/>
                <w:w w:val="85"/>
              </w:rPr>
              <w:t>Business Services</w:t>
            </w:r>
          </w:p>
        </w:tc>
        <w:tc>
          <w:tcPr>
            <w:tcW w:w="960" w:type="dxa"/>
            <w:vAlign w:val="bottom"/>
            <w:gridSpan w:val="2"/>
          </w:tcPr>
          <w:p>
            <w:pPr>
              <w:jc w:val="right"/>
              <w:ind w:right="180"/>
              <w:spacing w:after="0"/>
              <w:rPr>
                <w:sz w:val="20"/>
                <w:szCs w:val="20"/>
                <w:color w:val="auto"/>
              </w:rPr>
            </w:pPr>
            <w:r>
              <w:rPr>
                <w:rFonts w:ascii="Arial" w:cs="Arial" w:eastAsia="Arial" w:hAnsi="Arial"/>
                <w:sz w:val="12"/>
                <w:szCs w:val="12"/>
                <w:color w:val="auto"/>
              </w:rPr>
              <w:t>8.00%</w:t>
            </w:r>
          </w:p>
        </w:tc>
        <w:tc>
          <w:tcPr>
            <w:tcW w:w="9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21,276</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21,276</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21,276</w:t>
            </w:r>
          </w:p>
        </w:tc>
        <w:tc>
          <w:tcPr>
            <w:tcW w:w="120" w:type="dxa"/>
            <w:vAlign w:val="bottom"/>
          </w:tcPr>
          <w:p>
            <w:pPr>
              <w:spacing w:after="0"/>
              <w:rPr>
                <w:sz w:val="13"/>
                <w:szCs w:val="13"/>
                <w:color w:val="auto"/>
              </w:rPr>
            </w:pPr>
          </w:p>
        </w:tc>
      </w:tr>
      <w:tr>
        <w:trPr>
          <w:trHeight w:val="141"/>
        </w:trPr>
        <w:tc>
          <w:tcPr>
            <w:tcW w:w="3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2"/>
                <w:szCs w:val="12"/>
                <w:color w:val="auto"/>
              </w:rPr>
              <w:t>(PIK 8.00%)</w:t>
            </w: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8"/>
        </w:trPr>
        <w:tc>
          <w:tcPr>
            <w:tcW w:w="3340" w:type="dxa"/>
            <w:vAlign w:val="bottom"/>
            <w:shd w:val="clear" w:color="auto" w:fill="CCECFF"/>
          </w:tcPr>
          <w:p>
            <w:pPr>
              <w:spacing w:after="0" w:line="149" w:lineRule="exact"/>
              <w:rPr>
                <w:sz w:val="20"/>
                <w:szCs w:val="20"/>
                <w:color w:val="auto"/>
              </w:rPr>
            </w:pPr>
            <w:r>
              <w:rPr>
                <w:rFonts w:ascii="Arial" w:cs="Arial" w:eastAsia="Arial" w:hAnsi="Arial"/>
                <w:sz w:val="11"/>
                <w:szCs w:val="11"/>
                <w:color w:val="auto"/>
              </w:rPr>
              <w:t xml:space="preserve">DecoPac, Inc. </w:t>
            </w:r>
            <w:r>
              <w:rPr>
                <w:rFonts w:ascii="Arial" w:cs="Arial" w:eastAsia="Arial" w:hAnsi="Arial"/>
                <w:sz w:val="17"/>
                <w:szCs w:val="17"/>
                <w:color w:val="auto"/>
                <w:vertAlign w:val="superscript"/>
              </w:rPr>
              <w:t>(7)</w:t>
            </w:r>
          </w:p>
        </w:tc>
        <w:tc>
          <w:tcPr>
            <w:tcW w:w="660" w:type="dxa"/>
            <w:vAlign w:val="bottom"/>
            <w:gridSpan w:val="2"/>
            <w:shd w:val="clear" w:color="auto" w:fill="CCECFF"/>
          </w:tcPr>
          <w:p>
            <w:pPr>
              <w:jc w:val="center"/>
              <w:ind w:left="62"/>
              <w:spacing w:after="0"/>
              <w:rPr>
                <w:sz w:val="20"/>
                <w:szCs w:val="20"/>
                <w:color w:val="auto"/>
              </w:rPr>
            </w:pPr>
            <w:r>
              <w:rPr>
                <w:rFonts w:ascii="Arial" w:cs="Arial" w:eastAsia="Arial" w:hAnsi="Arial"/>
                <w:sz w:val="12"/>
                <w:szCs w:val="12"/>
                <w:color w:val="auto"/>
                <w:w w:val="89"/>
              </w:rPr>
              <w:t>03/31/2025</w:t>
            </w:r>
          </w:p>
        </w:tc>
        <w:tc>
          <w:tcPr>
            <w:tcW w:w="240" w:type="dxa"/>
            <w:vAlign w:val="bottom"/>
            <w:shd w:val="clear" w:color="auto" w:fill="CCECFF"/>
          </w:tcPr>
          <w:p>
            <w:pPr>
              <w:spacing w:after="0"/>
              <w:rPr>
                <w:sz w:val="12"/>
                <w:szCs w:val="12"/>
                <w:color w:val="auto"/>
              </w:rPr>
            </w:pPr>
          </w:p>
        </w:tc>
        <w:tc>
          <w:tcPr>
            <w:tcW w:w="246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85"/>
              </w:rPr>
              <w:t>Beverage, Food and Tobacco</w:t>
            </w:r>
          </w:p>
        </w:tc>
        <w:tc>
          <w:tcPr>
            <w:tcW w:w="96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10.35%</w:t>
            </w: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3M L+825</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9,738,580</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9,643,427</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9,738,580</w:t>
            </w:r>
          </w:p>
        </w:tc>
        <w:tc>
          <w:tcPr>
            <w:tcW w:w="120" w:type="dxa"/>
            <w:vAlign w:val="bottom"/>
            <w:shd w:val="clear" w:color="auto" w:fill="CCECFF"/>
          </w:tcPr>
          <w:p>
            <w:pPr>
              <w:spacing w:after="0"/>
              <w:rPr>
                <w:sz w:val="12"/>
                <w:szCs w:val="12"/>
                <w:color w:val="auto"/>
              </w:rPr>
            </w:pPr>
          </w:p>
        </w:tc>
      </w:tr>
      <w:tr>
        <w:trPr>
          <w:trHeight w:val="149"/>
        </w:trPr>
        <w:tc>
          <w:tcPr>
            <w:tcW w:w="3340" w:type="dxa"/>
            <w:vAlign w:val="bottom"/>
          </w:tcPr>
          <w:p>
            <w:pPr>
              <w:spacing w:after="0"/>
              <w:rPr>
                <w:sz w:val="20"/>
                <w:szCs w:val="20"/>
                <w:color w:val="auto"/>
              </w:rPr>
            </w:pPr>
            <w:r>
              <w:rPr>
                <w:rFonts w:ascii="Arial" w:cs="Arial" w:eastAsia="Arial" w:hAnsi="Arial"/>
                <w:sz w:val="12"/>
                <w:szCs w:val="12"/>
                <w:color w:val="auto"/>
              </w:rPr>
              <w:t>MailSouth, Inc.</w:t>
            </w:r>
          </w:p>
        </w:tc>
        <w:tc>
          <w:tcPr>
            <w:tcW w:w="660" w:type="dxa"/>
            <w:vAlign w:val="bottom"/>
            <w:gridSpan w:val="2"/>
          </w:tcPr>
          <w:p>
            <w:pPr>
              <w:jc w:val="center"/>
              <w:ind w:left="62"/>
              <w:spacing w:after="0"/>
              <w:rPr>
                <w:sz w:val="20"/>
                <w:szCs w:val="20"/>
                <w:color w:val="auto"/>
              </w:rPr>
            </w:pPr>
            <w:r>
              <w:rPr>
                <w:rFonts w:ascii="Arial" w:cs="Arial" w:eastAsia="Arial" w:hAnsi="Arial"/>
                <w:sz w:val="12"/>
                <w:szCs w:val="12"/>
                <w:color w:val="auto"/>
                <w:w w:val="89"/>
              </w:rPr>
              <w:t>10/23/2024</w:t>
            </w:r>
          </w:p>
        </w:tc>
        <w:tc>
          <w:tcPr>
            <w:tcW w:w="240" w:type="dxa"/>
            <w:vAlign w:val="bottom"/>
          </w:tcPr>
          <w:p>
            <w:pPr>
              <w:spacing w:after="0"/>
              <w:rPr>
                <w:sz w:val="12"/>
                <w:szCs w:val="12"/>
                <w:color w:val="auto"/>
              </w:rPr>
            </w:pPr>
          </w:p>
        </w:tc>
        <w:tc>
          <w:tcPr>
            <w:tcW w:w="2460" w:type="dxa"/>
            <w:vAlign w:val="bottom"/>
            <w:gridSpan w:val="2"/>
          </w:tcPr>
          <w:p>
            <w:pPr>
              <w:jc w:val="center"/>
              <w:ind w:right="140"/>
              <w:spacing w:after="0"/>
              <w:rPr>
                <w:sz w:val="20"/>
                <w:szCs w:val="20"/>
                <w:color w:val="auto"/>
              </w:rPr>
            </w:pPr>
            <w:r>
              <w:rPr>
                <w:rFonts w:ascii="Arial" w:cs="Arial" w:eastAsia="Arial" w:hAnsi="Arial"/>
                <w:sz w:val="12"/>
                <w:szCs w:val="12"/>
                <w:color w:val="auto"/>
                <w:w w:val="91"/>
              </w:rPr>
              <w:t>Media: Advertising, Printing and Publishing</w:t>
            </w:r>
          </w:p>
        </w:tc>
        <w:tc>
          <w:tcPr>
            <w:tcW w:w="960" w:type="dxa"/>
            <w:vAlign w:val="bottom"/>
            <w:gridSpan w:val="2"/>
          </w:tcPr>
          <w:p>
            <w:pPr>
              <w:jc w:val="right"/>
              <w:ind w:right="180"/>
              <w:spacing w:after="0"/>
              <w:rPr>
                <w:sz w:val="20"/>
                <w:szCs w:val="20"/>
                <w:color w:val="auto"/>
              </w:rPr>
            </w:pPr>
            <w:r>
              <w:rPr>
                <w:rFonts w:ascii="Arial" w:cs="Arial" w:eastAsia="Arial" w:hAnsi="Arial"/>
                <w:sz w:val="12"/>
                <w:szCs w:val="12"/>
                <w:color w:val="auto"/>
              </w:rPr>
              <w:t>12.00%</w:t>
            </w:r>
          </w:p>
        </w:tc>
        <w:tc>
          <w:tcPr>
            <w:tcW w:w="900" w:type="dxa"/>
            <w:vAlign w:val="bottom"/>
            <w:gridSpan w:val="2"/>
          </w:tcPr>
          <w:p>
            <w:pPr>
              <w:jc w:val="right"/>
              <w:ind w:right="240"/>
              <w:spacing w:after="0"/>
              <w:rPr>
                <w:sz w:val="20"/>
                <w:szCs w:val="20"/>
                <w:color w:val="auto"/>
              </w:rPr>
            </w:pPr>
            <w:r>
              <w:rPr>
                <w:rFonts w:ascii="Arial" w:cs="Arial" w:eastAsia="Arial" w:hAnsi="Arial"/>
                <w:sz w:val="12"/>
                <w:szCs w:val="12"/>
                <w:color w:val="auto"/>
              </w:rPr>
              <w:t>12M L+925</w:t>
            </w:r>
          </w:p>
        </w:tc>
        <w:tc>
          <w:tcPr>
            <w:tcW w:w="680" w:type="dxa"/>
            <w:vAlign w:val="bottom"/>
          </w:tcPr>
          <w:p>
            <w:pPr>
              <w:jc w:val="right"/>
              <w:spacing w:after="0"/>
              <w:rPr>
                <w:sz w:val="20"/>
                <w:szCs w:val="20"/>
                <w:color w:val="auto"/>
              </w:rPr>
            </w:pPr>
            <w:r>
              <w:rPr>
                <w:rFonts w:ascii="Arial" w:cs="Arial" w:eastAsia="Arial" w:hAnsi="Arial"/>
                <w:sz w:val="12"/>
                <w:szCs w:val="12"/>
                <w:color w:val="auto"/>
              </w:rPr>
              <w:t>2,871,025</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2,822,554</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2,784,894</w:t>
            </w:r>
          </w:p>
        </w:tc>
        <w:tc>
          <w:tcPr>
            <w:tcW w:w="120" w:type="dxa"/>
            <w:vAlign w:val="bottom"/>
          </w:tcPr>
          <w:p>
            <w:pPr>
              <w:spacing w:after="0"/>
              <w:rPr>
                <w:sz w:val="12"/>
                <w:szCs w:val="12"/>
                <w:color w:val="auto"/>
              </w:rPr>
            </w:pPr>
          </w:p>
        </w:tc>
      </w:tr>
      <w:tr>
        <w:trPr>
          <w:trHeight w:val="148"/>
        </w:trPr>
        <w:tc>
          <w:tcPr>
            <w:tcW w:w="3340" w:type="dxa"/>
            <w:vAlign w:val="bottom"/>
            <w:shd w:val="clear" w:color="auto" w:fill="CCECFF"/>
          </w:tcPr>
          <w:p>
            <w:pPr>
              <w:spacing w:after="0" w:line="149" w:lineRule="exact"/>
              <w:rPr>
                <w:sz w:val="20"/>
                <w:szCs w:val="20"/>
                <w:color w:val="auto"/>
              </w:rPr>
            </w:pPr>
            <w:r>
              <w:rPr>
                <w:rFonts w:ascii="Arial" w:cs="Arial" w:eastAsia="Arial" w:hAnsi="Arial"/>
                <w:sz w:val="11"/>
                <w:szCs w:val="11"/>
                <w:color w:val="auto"/>
              </w:rPr>
              <w:t xml:space="preserve">McAfee, LLC </w:t>
            </w:r>
            <w:r>
              <w:rPr>
                <w:rFonts w:ascii="Arial" w:cs="Arial" w:eastAsia="Arial" w:hAnsi="Arial"/>
                <w:sz w:val="17"/>
                <w:szCs w:val="17"/>
                <w:color w:val="auto"/>
                <w:vertAlign w:val="superscript"/>
              </w:rPr>
              <w:t>(7)</w:t>
            </w:r>
          </w:p>
        </w:tc>
        <w:tc>
          <w:tcPr>
            <w:tcW w:w="660" w:type="dxa"/>
            <w:vAlign w:val="bottom"/>
            <w:gridSpan w:val="2"/>
            <w:shd w:val="clear" w:color="auto" w:fill="CCECFF"/>
          </w:tcPr>
          <w:p>
            <w:pPr>
              <w:jc w:val="center"/>
              <w:ind w:left="62"/>
              <w:spacing w:after="0"/>
              <w:rPr>
                <w:sz w:val="20"/>
                <w:szCs w:val="20"/>
                <w:color w:val="auto"/>
              </w:rPr>
            </w:pPr>
            <w:r>
              <w:rPr>
                <w:rFonts w:ascii="Arial" w:cs="Arial" w:eastAsia="Arial" w:hAnsi="Arial"/>
                <w:sz w:val="12"/>
                <w:szCs w:val="12"/>
                <w:color w:val="auto"/>
                <w:w w:val="89"/>
              </w:rPr>
              <w:t>09/29/2025</w:t>
            </w:r>
          </w:p>
        </w:tc>
        <w:tc>
          <w:tcPr>
            <w:tcW w:w="240" w:type="dxa"/>
            <w:vAlign w:val="bottom"/>
            <w:shd w:val="clear" w:color="auto" w:fill="CCECFF"/>
          </w:tcPr>
          <w:p>
            <w:pPr>
              <w:spacing w:after="0"/>
              <w:rPr>
                <w:sz w:val="12"/>
                <w:szCs w:val="12"/>
                <w:color w:val="auto"/>
              </w:rPr>
            </w:pPr>
          </w:p>
        </w:tc>
        <w:tc>
          <w:tcPr>
            <w:tcW w:w="2460" w:type="dxa"/>
            <w:vAlign w:val="bottom"/>
            <w:gridSpan w:val="2"/>
            <w:shd w:val="clear" w:color="auto" w:fill="CCECFF"/>
          </w:tcPr>
          <w:p>
            <w:pPr>
              <w:jc w:val="center"/>
              <w:ind w:right="120"/>
              <w:spacing w:after="0"/>
              <w:rPr>
                <w:sz w:val="20"/>
                <w:szCs w:val="20"/>
                <w:color w:val="auto"/>
              </w:rPr>
            </w:pPr>
            <w:r>
              <w:rPr>
                <w:rFonts w:ascii="Arial" w:cs="Arial" w:eastAsia="Arial" w:hAnsi="Arial"/>
                <w:sz w:val="12"/>
                <w:szCs w:val="12"/>
                <w:color w:val="auto"/>
                <w:w w:val="89"/>
              </w:rPr>
              <w:t>High Tech Industries</w:t>
            </w:r>
          </w:p>
        </w:tc>
        <w:tc>
          <w:tcPr>
            <w:tcW w:w="96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10.62%</w:t>
            </w: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1M L+850</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2,187,500</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2,158,107</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2,205,284</w:t>
            </w:r>
          </w:p>
        </w:tc>
        <w:tc>
          <w:tcPr>
            <w:tcW w:w="120" w:type="dxa"/>
            <w:vAlign w:val="bottom"/>
            <w:shd w:val="clear" w:color="auto" w:fill="CCECFF"/>
          </w:tcPr>
          <w:p>
            <w:pPr>
              <w:spacing w:after="0"/>
              <w:rPr>
                <w:sz w:val="12"/>
                <w:szCs w:val="12"/>
                <w:color w:val="auto"/>
              </w:rPr>
            </w:pPr>
          </w:p>
        </w:tc>
      </w:tr>
      <w:tr>
        <w:trPr>
          <w:trHeight w:val="156"/>
        </w:trPr>
        <w:tc>
          <w:tcPr>
            <w:tcW w:w="3340" w:type="dxa"/>
            <w:vAlign w:val="bottom"/>
          </w:tcPr>
          <w:p>
            <w:pPr>
              <w:spacing w:after="0" w:line="156" w:lineRule="exact"/>
              <w:rPr>
                <w:sz w:val="20"/>
                <w:szCs w:val="20"/>
                <w:color w:val="auto"/>
              </w:rPr>
            </w:pPr>
            <w:r>
              <w:rPr>
                <w:rFonts w:ascii="Arial" w:cs="Arial" w:eastAsia="Arial" w:hAnsi="Arial"/>
                <w:sz w:val="11"/>
                <w:szCs w:val="11"/>
                <w:color w:val="auto"/>
              </w:rPr>
              <w:t xml:space="preserve">PT Network Intermediate Holdings, LLC </w:t>
            </w:r>
            <w:r>
              <w:rPr>
                <w:rFonts w:ascii="Arial" w:cs="Arial" w:eastAsia="Arial" w:hAnsi="Arial"/>
                <w:sz w:val="18"/>
                <w:szCs w:val="18"/>
                <w:color w:val="auto"/>
                <w:vertAlign w:val="superscript"/>
              </w:rPr>
              <w:t>(7), (8)</w:t>
            </w:r>
          </w:p>
        </w:tc>
        <w:tc>
          <w:tcPr>
            <w:tcW w:w="660" w:type="dxa"/>
            <w:vAlign w:val="bottom"/>
            <w:gridSpan w:val="2"/>
          </w:tcPr>
          <w:p>
            <w:pPr>
              <w:jc w:val="center"/>
              <w:ind w:left="62"/>
              <w:spacing w:after="0"/>
              <w:rPr>
                <w:sz w:val="20"/>
                <w:szCs w:val="20"/>
                <w:color w:val="auto"/>
              </w:rPr>
            </w:pPr>
            <w:r>
              <w:rPr>
                <w:rFonts w:ascii="Arial" w:cs="Arial" w:eastAsia="Arial" w:hAnsi="Arial"/>
                <w:sz w:val="12"/>
                <w:szCs w:val="12"/>
                <w:color w:val="auto"/>
                <w:w w:val="89"/>
              </w:rPr>
              <w:t>11/30/2024</w:t>
            </w:r>
          </w:p>
        </w:tc>
        <w:tc>
          <w:tcPr>
            <w:tcW w:w="240" w:type="dxa"/>
            <w:vAlign w:val="bottom"/>
          </w:tcPr>
          <w:p>
            <w:pPr>
              <w:spacing w:after="0"/>
              <w:rPr>
                <w:sz w:val="13"/>
                <w:szCs w:val="13"/>
                <w:color w:val="auto"/>
              </w:rPr>
            </w:pPr>
          </w:p>
        </w:tc>
        <w:tc>
          <w:tcPr>
            <w:tcW w:w="2460" w:type="dxa"/>
            <w:vAlign w:val="bottom"/>
            <w:gridSpan w:val="2"/>
          </w:tcPr>
          <w:p>
            <w:pPr>
              <w:jc w:val="center"/>
              <w:ind w:right="120"/>
              <w:spacing w:after="0"/>
              <w:rPr>
                <w:sz w:val="20"/>
                <w:szCs w:val="20"/>
                <w:color w:val="auto"/>
              </w:rPr>
            </w:pPr>
            <w:r>
              <w:rPr>
                <w:rFonts w:ascii="Arial" w:cs="Arial" w:eastAsia="Arial" w:hAnsi="Arial"/>
                <w:sz w:val="12"/>
                <w:szCs w:val="12"/>
                <w:color w:val="auto"/>
                <w:w w:val="86"/>
              </w:rPr>
              <w:t>Healthcare and Pharmaceuticals</w:t>
            </w:r>
          </w:p>
        </w:tc>
        <w:tc>
          <w:tcPr>
            <w:tcW w:w="960" w:type="dxa"/>
            <w:vAlign w:val="bottom"/>
            <w:gridSpan w:val="2"/>
          </w:tcPr>
          <w:p>
            <w:pPr>
              <w:jc w:val="right"/>
              <w:ind w:right="180"/>
              <w:spacing w:after="0"/>
              <w:rPr>
                <w:sz w:val="20"/>
                <w:szCs w:val="20"/>
                <w:color w:val="auto"/>
              </w:rPr>
            </w:pPr>
            <w:r>
              <w:rPr>
                <w:rFonts w:ascii="Arial" w:cs="Arial" w:eastAsia="Arial" w:hAnsi="Arial"/>
                <w:sz w:val="12"/>
                <w:szCs w:val="12"/>
                <w:color w:val="auto"/>
              </w:rPr>
              <w:t>12.30%</w:t>
            </w:r>
          </w:p>
        </w:tc>
        <w:tc>
          <w:tcPr>
            <w:tcW w:w="900" w:type="dxa"/>
            <w:vAlign w:val="bottom"/>
            <w:gridSpan w:val="2"/>
          </w:tcPr>
          <w:p>
            <w:pPr>
              <w:jc w:val="right"/>
              <w:ind w:right="240"/>
              <w:spacing w:after="0"/>
              <w:rPr>
                <w:sz w:val="20"/>
                <w:szCs w:val="20"/>
                <w:color w:val="auto"/>
              </w:rPr>
            </w:pPr>
            <w:r>
              <w:rPr>
                <w:rFonts w:ascii="Arial" w:cs="Arial" w:eastAsia="Arial" w:hAnsi="Arial"/>
                <w:sz w:val="12"/>
                <w:szCs w:val="12"/>
                <w:color w:val="auto"/>
              </w:rPr>
              <w:t>3M L+1,000</w:t>
            </w:r>
          </w:p>
        </w:tc>
        <w:tc>
          <w:tcPr>
            <w:tcW w:w="680" w:type="dxa"/>
            <w:vAlign w:val="bottom"/>
          </w:tcPr>
          <w:p>
            <w:pPr>
              <w:jc w:val="right"/>
              <w:spacing w:after="0"/>
              <w:rPr>
                <w:sz w:val="20"/>
                <w:szCs w:val="20"/>
                <w:color w:val="auto"/>
              </w:rPr>
            </w:pPr>
            <w:r>
              <w:rPr>
                <w:rFonts w:ascii="Arial" w:cs="Arial" w:eastAsia="Arial" w:hAnsi="Arial"/>
                <w:sz w:val="12"/>
                <w:szCs w:val="12"/>
                <w:color w:val="auto"/>
              </w:rPr>
              <w:t>1,864,409</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1,846,555</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1,845,765</w:t>
            </w:r>
          </w:p>
        </w:tc>
        <w:tc>
          <w:tcPr>
            <w:tcW w:w="120" w:type="dxa"/>
            <w:vAlign w:val="bottom"/>
          </w:tcPr>
          <w:p>
            <w:pPr>
              <w:spacing w:after="0"/>
              <w:rPr>
                <w:sz w:val="13"/>
                <w:szCs w:val="13"/>
                <w:color w:val="auto"/>
              </w:rPr>
            </w:pPr>
          </w:p>
        </w:tc>
      </w:tr>
      <w:tr>
        <w:trPr>
          <w:trHeight w:val="141"/>
        </w:trPr>
        <w:tc>
          <w:tcPr>
            <w:tcW w:w="3340" w:type="dxa"/>
            <w:vAlign w:val="bottom"/>
            <w:tcBorders>
              <w:bottom w:val="single" w:sz="8" w:color="CCECFF"/>
            </w:tcBorders>
          </w:tcPr>
          <w:p>
            <w:pPr>
              <w:spacing w:after="0"/>
              <w:rPr>
                <w:sz w:val="12"/>
                <w:szCs w:val="12"/>
                <w:color w:val="auto"/>
              </w:rPr>
            </w:pPr>
          </w:p>
        </w:tc>
        <w:tc>
          <w:tcPr>
            <w:tcW w:w="120" w:type="dxa"/>
            <w:vAlign w:val="bottom"/>
            <w:tcBorders>
              <w:bottom w:val="single" w:sz="8" w:color="CCECFF"/>
            </w:tcBorders>
          </w:tcPr>
          <w:p>
            <w:pPr>
              <w:spacing w:after="0"/>
              <w:rPr>
                <w:sz w:val="12"/>
                <w:szCs w:val="12"/>
                <w:color w:val="auto"/>
              </w:rPr>
            </w:pPr>
          </w:p>
        </w:tc>
        <w:tc>
          <w:tcPr>
            <w:tcW w:w="540" w:type="dxa"/>
            <w:vAlign w:val="bottom"/>
            <w:tcBorders>
              <w:bottom w:val="single" w:sz="8" w:color="CCECFF"/>
            </w:tcBorders>
          </w:tcPr>
          <w:p>
            <w:pPr>
              <w:spacing w:after="0"/>
              <w:rPr>
                <w:sz w:val="12"/>
                <w:szCs w:val="12"/>
                <w:color w:val="auto"/>
              </w:rPr>
            </w:pPr>
          </w:p>
        </w:tc>
        <w:tc>
          <w:tcPr>
            <w:tcW w:w="240" w:type="dxa"/>
            <w:vAlign w:val="bottom"/>
            <w:tcBorders>
              <w:bottom w:val="single" w:sz="8" w:color="CCECFF"/>
            </w:tcBorders>
          </w:tcPr>
          <w:p>
            <w:pPr>
              <w:spacing w:after="0"/>
              <w:rPr>
                <w:sz w:val="12"/>
                <w:szCs w:val="12"/>
                <w:color w:val="auto"/>
              </w:rPr>
            </w:pPr>
          </w:p>
        </w:tc>
        <w:tc>
          <w:tcPr>
            <w:tcW w:w="2340" w:type="dxa"/>
            <w:vAlign w:val="bottom"/>
            <w:tcBorders>
              <w:bottom w:val="single" w:sz="8" w:color="CCECFF"/>
            </w:tcBorders>
          </w:tcPr>
          <w:p>
            <w:pPr>
              <w:spacing w:after="0"/>
              <w:rPr>
                <w:sz w:val="12"/>
                <w:szCs w:val="12"/>
                <w:color w:val="auto"/>
              </w:rPr>
            </w:pPr>
          </w:p>
        </w:tc>
        <w:tc>
          <w:tcPr>
            <w:tcW w:w="120" w:type="dxa"/>
            <w:vAlign w:val="bottom"/>
            <w:tcBorders>
              <w:bottom w:val="single" w:sz="8" w:color="CCECFF"/>
            </w:tcBorders>
          </w:tcPr>
          <w:p>
            <w:pPr>
              <w:spacing w:after="0"/>
              <w:rPr>
                <w:sz w:val="12"/>
                <w:szCs w:val="12"/>
                <w:color w:val="auto"/>
              </w:rPr>
            </w:pPr>
          </w:p>
        </w:tc>
        <w:tc>
          <w:tcPr>
            <w:tcW w:w="960" w:type="dxa"/>
            <w:vAlign w:val="bottom"/>
            <w:tcBorders>
              <w:bottom w:val="single" w:sz="8" w:color="CCECFF"/>
            </w:tcBorders>
            <w:gridSpan w:val="2"/>
          </w:tcPr>
          <w:p>
            <w:pPr>
              <w:jc w:val="right"/>
              <w:ind w:right="140"/>
              <w:spacing w:after="0"/>
              <w:rPr>
                <w:sz w:val="20"/>
                <w:szCs w:val="20"/>
                <w:color w:val="auto"/>
              </w:rPr>
            </w:pPr>
            <w:r>
              <w:rPr>
                <w:rFonts w:ascii="Arial" w:cs="Arial" w:eastAsia="Arial" w:hAnsi="Arial"/>
                <w:sz w:val="12"/>
                <w:szCs w:val="12"/>
                <w:color w:val="auto"/>
              </w:rPr>
              <w:t>(PIK 12.30%)</w:t>
            </w:r>
          </w:p>
        </w:tc>
        <w:tc>
          <w:tcPr>
            <w:tcW w:w="680" w:type="dxa"/>
            <w:vAlign w:val="bottom"/>
            <w:tcBorders>
              <w:bottom w:val="single" w:sz="8" w:color="CCECFF"/>
            </w:tcBorders>
          </w:tcPr>
          <w:p>
            <w:pPr>
              <w:spacing w:after="0"/>
              <w:rPr>
                <w:sz w:val="12"/>
                <w:szCs w:val="12"/>
                <w:color w:val="auto"/>
              </w:rPr>
            </w:pPr>
          </w:p>
        </w:tc>
        <w:tc>
          <w:tcPr>
            <w:tcW w:w="220" w:type="dxa"/>
            <w:vAlign w:val="bottom"/>
            <w:tcBorders>
              <w:bottom w:val="single" w:sz="8" w:color="CCECFF"/>
            </w:tcBorders>
          </w:tcPr>
          <w:p>
            <w:pPr>
              <w:spacing w:after="0"/>
              <w:rPr>
                <w:sz w:val="12"/>
                <w:szCs w:val="12"/>
                <w:color w:val="auto"/>
              </w:rPr>
            </w:pPr>
          </w:p>
        </w:tc>
        <w:tc>
          <w:tcPr>
            <w:tcW w:w="680" w:type="dxa"/>
            <w:vAlign w:val="bottom"/>
            <w:tcBorders>
              <w:bottom w:val="single" w:sz="8" w:color="CCECFF"/>
            </w:tcBorders>
          </w:tcPr>
          <w:p>
            <w:pPr>
              <w:spacing w:after="0"/>
              <w:rPr>
                <w:sz w:val="12"/>
                <w:szCs w:val="12"/>
                <w:color w:val="auto"/>
              </w:rPr>
            </w:pPr>
          </w:p>
        </w:tc>
        <w:tc>
          <w:tcPr>
            <w:tcW w:w="240" w:type="dxa"/>
            <w:vAlign w:val="bottom"/>
            <w:tcBorders>
              <w:bottom w:val="single" w:sz="8" w:color="CCECFF"/>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240" w:type="dxa"/>
            <w:vAlign w:val="bottom"/>
            <w:tcBorders>
              <w:bottom w:val="single" w:sz="8" w:color="CCECFF"/>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120" w:type="dxa"/>
            <w:vAlign w:val="bottom"/>
            <w:tcBorders>
              <w:bottom w:val="single" w:sz="8" w:color="CCECFF"/>
            </w:tcBorders>
          </w:tcPr>
          <w:p>
            <w:pPr>
              <w:spacing w:after="0"/>
              <w:rPr>
                <w:sz w:val="12"/>
                <w:szCs w:val="12"/>
                <w:color w:val="auto"/>
              </w:rPr>
            </w:pPr>
          </w:p>
        </w:tc>
      </w:tr>
      <w:tr>
        <w:trPr>
          <w:trHeight w:val="142"/>
        </w:trPr>
        <w:tc>
          <w:tcPr>
            <w:tcW w:w="3340" w:type="dxa"/>
            <w:vAlign w:val="bottom"/>
            <w:shd w:val="clear" w:color="auto" w:fill="CCECFF"/>
          </w:tcPr>
          <w:p>
            <w:pPr>
              <w:spacing w:after="0"/>
              <w:rPr>
                <w:sz w:val="20"/>
                <w:szCs w:val="20"/>
                <w:color w:val="auto"/>
              </w:rPr>
            </w:pPr>
            <w:r>
              <w:rPr>
                <w:rFonts w:ascii="Arial" w:cs="Arial" w:eastAsia="Arial" w:hAnsi="Arial"/>
                <w:sz w:val="12"/>
                <w:szCs w:val="12"/>
                <w:b w:val="1"/>
                <w:bCs w:val="1"/>
                <w:color w:val="auto"/>
              </w:rPr>
              <w:t>Total Second Lien Secured Debt</w:t>
            </w:r>
          </w:p>
        </w:tc>
        <w:tc>
          <w:tcPr>
            <w:tcW w:w="120" w:type="dxa"/>
            <w:vAlign w:val="bottom"/>
            <w:shd w:val="clear" w:color="auto" w:fill="CCECFF"/>
          </w:tcPr>
          <w:p>
            <w:pPr>
              <w:spacing w:after="0"/>
              <w:rPr>
                <w:sz w:val="12"/>
                <w:szCs w:val="12"/>
                <w:color w:val="auto"/>
              </w:rPr>
            </w:pPr>
          </w:p>
        </w:tc>
        <w:tc>
          <w:tcPr>
            <w:tcW w:w="54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234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8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28,759,453</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28,820,565</w:t>
            </w:r>
          </w:p>
        </w:tc>
        <w:tc>
          <w:tcPr>
            <w:tcW w:w="120" w:type="dxa"/>
            <w:vAlign w:val="bottom"/>
            <w:shd w:val="clear" w:color="auto" w:fill="CCECFF"/>
          </w:tcPr>
          <w:p>
            <w:pPr>
              <w:spacing w:after="0"/>
              <w:rPr>
                <w:sz w:val="12"/>
                <w:szCs w:val="12"/>
                <w:color w:val="auto"/>
              </w:rPr>
            </w:pPr>
          </w:p>
        </w:tc>
      </w:tr>
      <w:tr>
        <w:trPr>
          <w:trHeight w:val="142"/>
        </w:trPr>
        <w:tc>
          <w:tcPr>
            <w:tcW w:w="3340" w:type="dxa"/>
            <w:vAlign w:val="bottom"/>
          </w:tcPr>
          <w:p>
            <w:pPr>
              <w:spacing w:after="0" w:line="142" w:lineRule="exact"/>
              <w:rPr>
                <w:sz w:val="20"/>
                <w:szCs w:val="20"/>
                <w:color w:val="auto"/>
              </w:rPr>
            </w:pPr>
            <w:r>
              <w:rPr>
                <w:rFonts w:ascii="Arial" w:cs="Arial" w:eastAsia="Arial" w:hAnsi="Arial"/>
                <w:sz w:val="10"/>
                <w:szCs w:val="10"/>
                <w:b w:val="1"/>
                <w:bCs w:val="1"/>
                <w:color w:val="auto"/>
              </w:rPr>
              <w:t xml:space="preserve">Preferrred Equity— 1.9% </w:t>
            </w:r>
            <w:r>
              <w:rPr>
                <w:rFonts w:ascii="Arial" w:cs="Arial" w:eastAsia="Arial" w:hAnsi="Arial"/>
                <w:sz w:val="16"/>
                <w:szCs w:val="16"/>
                <w:b w:val="1"/>
                <w:bCs w:val="1"/>
                <w:color w:val="auto"/>
                <w:vertAlign w:val="superscript"/>
              </w:rPr>
              <w:t>(6)</w:t>
            </w: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r>
      <w:tr>
        <w:trPr>
          <w:trHeight w:val="148"/>
        </w:trPr>
        <w:tc>
          <w:tcPr>
            <w:tcW w:w="3340" w:type="dxa"/>
            <w:vAlign w:val="bottom"/>
            <w:shd w:val="clear" w:color="auto" w:fill="CCECFF"/>
          </w:tcPr>
          <w:p>
            <w:pPr>
              <w:spacing w:after="0"/>
              <w:rPr>
                <w:sz w:val="20"/>
                <w:szCs w:val="20"/>
                <w:color w:val="auto"/>
              </w:rPr>
            </w:pPr>
            <w:r>
              <w:rPr>
                <w:rFonts w:ascii="Arial" w:cs="Arial" w:eastAsia="Arial" w:hAnsi="Arial"/>
                <w:sz w:val="12"/>
                <w:szCs w:val="12"/>
                <w:color w:val="auto"/>
              </w:rPr>
              <w:t>CI (PTN) Investment Holdings II, LLC</w:t>
            </w:r>
          </w:p>
        </w:tc>
        <w:tc>
          <w:tcPr>
            <w:tcW w:w="120" w:type="dxa"/>
            <w:vAlign w:val="bottom"/>
            <w:shd w:val="clear" w:color="auto" w:fill="CCECFF"/>
          </w:tcPr>
          <w:p>
            <w:pPr>
              <w:spacing w:after="0"/>
              <w:rPr>
                <w:sz w:val="12"/>
                <w:szCs w:val="12"/>
                <w:color w:val="auto"/>
              </w:rPr>
            </w:pPr>
          </w:p>
        </w:tc>
        <w:tc>
          <w:tcPr>
            <w:tcW w:w="780" w:type="dxa"/>
            <w:vAlign w:val="bottom"/>
            <w:gridSpan w:val="2"/>
            <w:shd w:val="clear" w:color="auto" w:fill="CCECFF"/>
          </w:tcPr>
          <w:p>
            <w:pPr>
              <w:ind w:left="260"/>
              <w:spacing w:after="0"/>
              <w:rPr>
                <w:sz w:val="20"/>
                <w:szCs w:val="20"/>
                <w:color w:val="auto"/>
              </w:rPr>
            </w:pPr>
            <w:r>
              <w:rPr>
                <w:rFonts w:ascii="Arial" w:cs="Arial" w:eastAsia="Arial" w:hAnsi="Arial"/>
                <w:sz w:val="12"/>
                <w:szCs w:val="12"/>
                <w:color w:val="auto"/>
              </w:rPr>
              <w:t>—</w:t>
            </w:r>
          </w:p>
        </w:tc>
        <w:tc>
          <w:tcPr>
            <w:tcW w:w="2460" w:type="dxa"/>
            <w:vAlign w:val="bottom"/>
            <w:gridSpan w:val="2"/>
            <w:shd w:val="clear" w:color="auto" w:fill="CCECFF"/>
          </w:tcPr>
          <w:p>
            <w:pPr>
              <w:jc w:val="center"/>
              <w:ind w:right="120"/>
              <w:spacing w:after="0"/>
              <w:rPr>
                <w:sz w:val="20"/>
                <w:szCs w:val="20"/>
                <w:color w:val="auto"/>
              </w:rPr>
            </w:pPr>
            <w:r>
              <w:rPr>
                <w:rFonts w:ascii="Arial" w:cs="Arial" w:eastAsia="Arial" w:hAnsi="Arial"/>
                <w:sz w:val="12"/>
                <w:szCs w:val="12"/>
                <w:color w:val="auto"/>
                <w:w w:val="86"/>
              </w:rPr>
              <w:t>Healthcare and Pharmaceuticals</w:t>
            </w:r>
          </w:p>
        </w:tc>
        <w:tc>
          <w:tcPr>
            <w:tcW w:w="960" w:type="dxa"/>
            <w:vAlign w:val="bottom"/>
            <w:gridSpan w:val="2"/>
            <w:shd w:val="clear" w:color="auto" w:fill="CCECFF"/>
          </w:tcPr>
          <w:p>
            <w:pPr>
              <w:jc w:val="right"/>
              <w:ind w:right="300"/>
              <w:spacing w:after="0"/>
              <w:rPr>
                <w:sz w:val="20"/>
                <w:szCs w:val="20"/>
                <w:color w:val="auto"/>
              </w:rPr>
            </w:pPr>
            <w:r>
              <w:rPr>
                <w:rFonts w:ascii="Arial" w:cs="Arial" w:eastAsia="Arial" w:hAnsi="Arial"/>
                <w:sz w:val="12"/>
                <w:szCs w:val="12"/>
                <w:color w:val="auto"/>
              </w:rPr>
              <w:t>—</w:t>
            </w: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1,458</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21,870</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450</w:t>
            </w:r>
          </w:p>
        </w:tc>
        <w:tc>
          <w:tcPr>
            <w:tcW w:w="120" w:type="dxa"/>
            <w:vAlign w:val="bottom"/>
            <w:shd w:val="clear" w:color="auto" w:fill="CCECFF"/>
          </w:tcPr>
          <w:p>
            <w:pPr>
              <w:spacing w:after="0"/>
              <w:rPr>
                <w:sz w:val="12"/>
                <w:szCs w:val="12"/>
                <w:color w:val="auto"/>
              </w:rPr>
            </w:pPr>
          </w:p>
        </w:tc>
      </w:tr>
      <w:tr>
        <w:trPr>
          <w:trHeight w:val="148"/>
        </w:trPr>
        <w:tc>
          <w:tcPr>
            <w:tcW w:w="3340" w:type="dxa"/>
            <w:vAlign w:val="bottom"/>
            <w:shd w:val="clear" w:color="auto" w:fill="CCECFF"/>
          </w:tcPr>
          <w:p>
            <w:pPr>
              <w:ind w:left="140"/>
              <w:spacing w:after="0" w:line="149" w:lineRule="exact"/>
              <w:rPr>
                <w:sz w:val="20"/>
                <w:szCs w:val="20"/>
                <w:color w:val="auto"/>
              </w:rPr>
            </w:pPr>
            <w:r>
              <w:rPr>
                <w:rFonts w:ascii="Arial" w:cs="Arial" w:eastAsia="Arial" w:hAnsi="Arial"/>
                <w:sz w:val="11"/>
                <w:szCs w:val="11"/>
                <w:color w:val="auto"/>
              </w:rPr>
              <w:t xml:space="preserve">(PT Network, LLC) </w:t>
            </w:r>
            <w:r>
              <w:rPr>
                <w:rFonts w:ascii="Arial" w:cs="Arial" w:eastAsia="Arial" w:hAnsi="Arial"/>
                <w:sz w:val="17"/>
                <w:szCs w:val="17"/>
                <w:color w:val="auto"/>
                <w:vertAlign w:val="superscript"/>
              </w:rPr>
              <w:t>(7), (8)</w:t>
            </w:r>
          </w:p>
        </w:tc>
        <w:tc>
          <w:tcPr>
            <w:tcW w:w="120" w:type="dxa"/>
            <w:vAlign w:val="bottom"/>
            <w:shd w:val="clear" w:color="auto" w:fill="CCECFF"/>
          </w:tcPr>
          <w:p>
            <w:pPr>
              <w:spacing w:after="0"/>
              <w:rPr>
                <w:sz w:val="12"/>
                <w:szCs w:val="12"/>
                <w:color w:val="auto"/>
              </w:rPr>
            </w:pPr>
          </w:p>
        </w:tc>
        <w:tc>
          <w:tcPr>
            <w:tcW w:w="54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234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8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70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70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r>
      <w:tr>
        <w:trPr>
          <w:trHeight w:val="149"/>
        </w:trPr>
        <w:tc>
          <w:tcPr>
            <w:tcW w:w="3340" w:type="dxa"/>
            <w:vAlign w:val="bottom"/>
          </w:tcPr>
          <w:p>
            <w:pPr>
              <w:spacing w:after="0" w:line="149" w:lineRule="exact"/>
              <w:rPr>
                <w:sz w:val="20"/>
                <w:szCs w:val="20"/>
                <w:color w:val="auto"/>
              </w:rPr>
            </w:pPr>
            <w:r>
              <w:rPr>
                <w:rFonts w:ascii="Arial" w:cs="Arial" w:eastAsia="Arial" w:hAnsi="Arial"/>
                <w:sz w:val="11"/>
                <w:szCs w:val="11"/>
                <w:color w:val="auto"/>
              </w:rPr>
              <w:t xml:space="preserve">Condor Holdings Limited </w:t>
            </w:r>
            <w:r>
              <w:rPr>
                <w:rFonts w:ascii="Arial" w:cs="Arial" w:eastAsia="Arial" w:hAnsi="Arial"/>
                <w:sz w:val="17"/>
                <w:szCs w:val="17"/>
                <w:color w:val="auto"/>
                <w:vertAlign w:val="superscript"/>
              </w:rPr>
              <w:t>(5), (7), (10)</w:t>
            </w:r>
          </w:p>
        </w:tc>
        <w:tc>
          <w:tcPr>
            <w:tcW w:w="120" w:type="dxa"/>
            <w:vAlign w:val="bottom"/>
          </w:tcPr>
          <w:p>
            <w:pPr>
              <w:spacing w:after="0"/>
              <w:rPr>
                <w:sz w:val="12"/>
                <w:szCs w:val="12"/>
                <w:color w:val="auto"/>
              </w:rPr>
            </w:pPr>
          </w:p>
        </w:tc>
        <w:tc>
          <w:tcPr>
            <w:tcW w:w="780" w:type="dxa"/>
            <w:vAlign w:val="bottom"/>
            <w:gridSpan w:val="2"/>
          </w:tcPr>
          <w:p>
            <w:pPr>
              <w:ind w:left="260"/>
              <w:spacing w:after="0"/>
              <w:rPr>
                <w:sz w:val="20"/>
                <w:szCs w:val="20"/>
                <w:color w:val="auto"/>
              </w:rPr>
            </w:pPr>
            <w:r>
              <w:rPr>
                <w:rFonts w:ascii="Arial" w:cs="Arial" w:eastAsia="Arial" w:hAnsi="Arial"/>
                <w:sz w:val="12"/>
                <w:szCs w:val="12"/>
                <w:color w:val="auto"/>
              </w:rPr>
              <w:t>—</w:t>
            </w:r>
          </w:p>
        </w:tc>
        <w:tc>
          <w:tcPr>
            <w:tcW w:w="2460" w:type="dxa"/>
            <w:vAlign w:val="bottom"/>
            <w:gridSpan w:val="2"/>
          </w:tcPr>
          <w:p>
            <w:pPr>
              <w:jc w:val="center"/>
              <w:ind w:right="120"/>
              <w:spacing w:after="0"/>
              <w:rPr>
                <w:sz w:val="20"/>
                <w:szCs w:val="20"/>
                <w:color w:val="auto"/>
              </w:rPr>
            </w:pPr>
            <w:r>
              <w:rPr>
                <w:rFonts w:ascii="Arial" w:cs="Arial" w:eastAsia="Arial" w:hAnsi="Arial"/>
                <w:sz w:val="12"/>
                <w:szCs w:val="12"/>
                <w:color w:val="auto"/>
                <w:w w:val="89"/>
              </w:rPr>
              <w:t>High Tech Industries</w:t>
            </w:r>
          </w:p>
        </w:tc>
        <w:tc>
          <w:tcPr>
            <w:tcW w:w="96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9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88,000</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10,173</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11,325</w:t>
            </w:r>
          </w:p>
        </w:tc>
        <w:tc>
          <w:tcPr>
            <w:tcW w:w="120" w:type="dxa"/>
            <w:vAlign w:val="bottom"/>
          </w:tcPr>
          <w:p>
            <w:pPr>
              <w:spacing w:after="0"/>
              <w:rPr>
                <w:sz w:val="12"/>
                <w:szCs w:val="12"/>
                <w:color w:val="auto"/>
              </w:rPr>
            </w:pPr>
          </w:p>
        </w:tc>
      </w:tr>
      <w:tr>
        <w:trPr>
          <w:trHeight w:val="148"/>
        </w:trPr>
        <w:tc>
          <w:tcPr>
            <w:tcW w:w="3340" w:type="dxa"/>
            <w:vAlign w:val="bottom"/>
            <w:shd w:val="clear" w:color="auto" w:fill="CCECFF"/>
          </w:tcPr>
          <w:p>
            <w:pPr>
              <w:spacing w:after="0" w:line="149" w:lineRule="exact"/>
              <w:rPr>
                <w:sz w:val="20"/>
                <w:szCs w:val="20"/>
                <w:color w:val="auto"/>
              </w:rPr>
            </w:pPr>
            <w:r>
              <w:rPr>
                <w:rFonts w:ascii="Arial" w:cs="Arial" w:eastAsia="Arial" w:hAnsi="Arial"/>
                <w:sz w:val="11"/>
                <w:szCs w:val="11"/>
                <w:color w:val="auto"/>
              </w:rPr>
              <w:t xml:space="preserve">Condor Top Holdco Limited </w:t>
            </w:r>
            <w:r>
              <w:rPr>
                <w:rFonts w:ascii="Arial" w:cs="Arial" w:eastAsia="Arial" w:hAnsi="Arial"/>
                <w:sz w:val="17"/>
                <w:szCs w:val="17"/>
                <w:color w:val="auto"/>
                <w:vertAlign w:val="superscript"/>
              </w:rPr>
              <w:t>(5), (7), (10)</w:t>
            </w:r>
          </w:p>
        </w:tc>
        <w:tc>
          <w:tcPr>
            <w:tcW w:w="120" w:type="dxa"/>
            <w:vAlign w:val="bottom"/>
            <w:shd w:val="clear" w:color="auto" w:fill="CCECFF"/>
          </w:tcPr>
          <w:p>
            <w:pPr>
              <w:spacing w:after="0"/>
              <w:rPr>
                <w:sz w:val="12"/>
                <w:szCs w:val="12"/>
                <w:color w:val="auto"/>
              </w:rPr>
            </w:pPr>
          </w:p>
        </w:tc>
        <w:tc>
          <w:tcPr>
            <w:tcW w:w="780" w:type="dxa"/>
            <w:vAlign w:val="bottom"/>
            <w:gridSpan w:val="2"/>
            <w:shd w:val="clear" w:color="auto" w:fill="CCECFF"/>
          </w:tcPr>
          <w:p>
            <w:pPr>
              <w:ind w:left="260"/>
              <w:spacing w:after="0"/>
              <w:rPr>
                <w:sz w:val="20"/>
                <w:szCs w:val="20"/>
                <w:color w:val="auto"/>
              </w:rPr>
            </w:pPr>
            <w:r>
              <w:rPr>
                <w:rFonts w:ascii="Arial" w:cs="Arial" w:eastAsia="Arial" w:hAnsi="Arial"/>
                <w:sz w:val="12"/>
                <w:szCs w:val="12"/>
                <w:color w:val="auto"/>
              </w:rPr>
              <w:t>—</w:t>
            </w:r>
          </w:p>
        </w:tc>
        <w:tc>
          <w:tcPr>
            <w:tcW w:w="2460" w:type="dxa"/>
            <w:vAlign w:val="bottom"/>
            <w:gridSpan w:val="2"/>
            <w:shd w:val="clear" w:color="auto" w:fill="CCECFF"/>
          </w:tcPr>
          <w:p>
            <w:pPr>
              <w:jc w:val="center"/>
              <w:ind w:right="120"/>
              <w:spacing w:after="0"/>
              <w:rPr>
                <w:sz w:val="20"/>
                <w:szCs w:val="20"/>
                <w:color w:val="auto"/>
              </w:rPr>
            </w:pPr>
            <w:r>
              <w:rPr>
                <w:rFonts w:ascii="Arial" w:cs="Arial" w:eastAsia="Arial" w:hAnsi="Arial"/>
                <w:sz w:val="12"/>
                <w:szCs w:val="12"/>
                <w:color w:val="auto"/>
                <w:w w:val="89"/>
              </w:rPr>
              <w:t>High Tech Industries</w:t>
            </w:r>
          </w:p>
        </w:tc>
        <w:tc>
          <w:tcPr>
            <w:tcW w:w="960" w:type="dxa"/>
            <w:vAlign w:val="bottom"/>
            <w:gridSpan w:val="2"/>
            <w:shd w:val="clear" w:color="auto" w:fill="CCECFF"/>
          </w:tcPr>
          <w:p>
            <w:pPr>
              <w:jc w:val="right"/>
              <w:ind w:right="300"/>
              <w:spacing w:after="0"/>
              <w:rPr>
                <w:sz w:val="20"/>
                <w:szCs w:val="20"/>
                <w:color w:val="auto"/>
              </w:rPr>
            </w:pPr>
            <w:r>
              <w:rPr>
                <w:rFonts w:ascii="Arial" w:cs="Arial" w:eastAsia="Arial" w:hAnsi="Arial"/>
                <w:sz w:val="12"/>
                <w:szCs w:val="12"/>
                <w:color w:val="auto"/>
              </w:rPr>
              <w:t>—</w:t>
            </w: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88,000</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77,827</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86,640</w:t>
            </w:r>
          </w:p>
        </w:tc>
        <w:tc>
          <w:tcPr>
            <w:tcW w:w="120" w:type="dxa"/>
            <w:vAlign w:val="bottom"/>
            <w:shd w:val="clear" w:color="auto" w:fill="CCECFF"/>
          </w:tcPr>
          <w:p>
            <w:pPr>
              <w:spacing w:after="0"/>
              <w:rPr>
                <w:sz w:val="12"/>
                <w:szCs w:val="12"/>
                <w:color w:val="auto"/>
              </w:rPr>
            </w:pPr>
          </w:p>
        </w:tc>
      </w:tr>
      <w:tr>
        <w:trPr>
          <w:trHeight w:val="148"/>
        </w:trPr>
        <w:tc>
          <w:tcPr>
            <w:tcW w:w="3340" w:type="dxa"/>
            <w:vAlign w:val="bottom"/>
          </w:tcPr>
          <w:p>
            <w:pPr>
              <w:spacing w:after="0" w:line="149" w:lineRule="exact"/>
              <w:rPr>
                <w:sz w:val="20"/>
                <w:szCs w:val="20"/>
                <w:color w:val="auto"/>
              </w:rPr>
            </w:pPr>
            <w:r>
              <w:rPr>
                <w:rFonts w:ascii="Arial" w:cs="Arial" w:eastAsia="Arial" w:hAnsi="Arial"/>
                <w:sz w:val="11"/>
                <w:szCs w:val="11"/>
                <w:color w:val="auto"/>
              </w:rPr>
              <w:t xml:space="preserve">DBI Holdings, LLC, Series A-1 </w:t>
            </w:r>
            <w:r>
              <w:rPr>
                <w:rFonts w:ascii="Arial" w:cs="Arial" w:eastAsia="Arial" w:hAnsi="Arial"/>
                <w:sz w:val="17"/>
                <w:szCs w:val="17"/>
                <w:color w:val="auto"/>
                <w:vertAlign w:val="superscript"/>
              </w:rPr>
              <w:t>(8)</w:t>
            </w:r>
          </w:p>
        </w:tc>
        <w:tc>
          <w:tcPr>
            <w:tcW w:w="120" w:type="dxa"/>
            <w:vAlign w:val="bottom"/>
          </w:tcPr>
          <w:p>
            <w:pPr>
              <w:spacing w:after="0"/>
              <w:rPr>
                <w:sz w:val="12"/>
                <w:szCs w:val="12"/>
                <w:color w:val="auto"/>
              </w:rPr>
            </w:pPr>
          </w:p>
        </w:tc>
        <w:tc>
          <w:tcPr>
            <w:tcW w:w="780" w:type="dxa"/>
            <w:vAlign w:val="bottom"/>
            <w:gridSpan w:val="2"/>
          </w:tcPr>
          <w:p>
            <w:pPr>
              <w:ind w:left="260"/>
              <w:spacing w:after="0"/>
              <w:rPr>
                <w:sz w:val="20"/>
                <w:szCs w:val="20"/>
                <w:color w:val="auto"/>
              </w:rPr>
            </w:pPr>
            <w:r>
              <w:rPr>
                <w:rFonts w:ascii="Arial" w:cs="Arial" w:eastAsia="Arial" w:hAnsi="Arial"/>
                <w:sz w:val="12"/>
                <w:szCs w:val="12"/>
                <w:color w:val="auto"/>
              </w:rPr>
              <w:t>—</w:t>
            </w:r>
          </w:p>
        </w:tc>
        <w:tc>
          <w:tcPr>
            <w:tcW w:w="2460" w:type="dxa"/>
            <w:vAlign w:val="bottom"/>
            <w:gridSpan w:val="2"/>
          </w:tcPr>
          <w:p>
            <w:pPr>
              <w:jc w:val="center"/>
              <w:ind w:right="140"/>
              <w:spacing w:after="0"/>
              <w:rPr>
                <w:sz w:val="20"/>
                <w:szCs w:val="20"/>
                <w:color w:val="auto"/>
              </w:rPr>
            </w:pPr>
            <w:r>
              <w:rPr>
                <w:rFonts w:ascii="Arial" w:cs="Arial" w:eastAsia="Arial" w:hAnsi="Arial"/>
                <w:sz w:val="12"/>
                <w:szCs w:val="12"/>
                <w:color w:val="auto"/>
                <w:w w:val="85"/>
              </w:rPr>
              <w:t>Business Services</w:t>
            </w:r>
          </w:p>
        </w:tc>
        <w:tc>
          <w:tcPr>
            <w:tcW w:w="960" w:type="dxa"/>
            <w:vAlign w:val="bottom"/>
            <w:gridSpan w:val="2"/>
          </w:tcPr>
          <w:p>
            <w:pPr>
              <w:jc w:val="right"/>
              <w:ind w:right="180"/>
              <w:spacing w:after="0"/>
              <w:rPr>
                <w:sz w:val="20"/>
                <w:szCs w:val="20"/>
                <w:color w:val="auto"/>
              </w:rPr>
            </w:pPr>
            <w:r>
              <w:rPr>
                <w:rFonts w:ascii="Arial" w:cs="Arial" w:eastAsia="Arial" w:hAnsi="Arial"/>
                <w:sz w:val="12"/>
                <w:szCs w:val="12"/>
                <w:color w:val="auto"/>
              </w:rPr>
              <w:t>13.00%</w:t>
            </w:r>
          </w:p>
        </w:tc>
        <w:tc>
          <w:tcPr>
            <w:tcW w:w="9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7,041</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7,040,844</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6,545,361</w:t>
            </w:r>
          </w:p>
        </w:tc>
        <w:tc>
          <w:tcPr>
            <w:tcW w:w="120" w:type="dxa"/>
            <w:vAlign w:val="bottom"/>
          </w:tcPr>
          <w:p>
            <w:pPr>
              <w:spacing w:after="0"/>
              <w:rPr>
                <w:sz w:val="12"/>
                <w:szCs w:val="12"/>
                <w:color w:val="auto"/>
              </w:rPr>
            </w:pPr>
          </w:p>
        </w:tc>
      </w:tr>
      <w:tr>
        <w:trPr>
          <w:trHeight w:val="148"/>
        </w:trPr>
        <w:tc>
          <w:tcPr>
            <w:tcW w:w="3340" w:type="dxa"/>
            <w:vAlign w:val="bottom"/>
            <w:shd w:val="clear" w:color="auto" w:fill="CCECFF"/>
          </w:tcPr>
          <w:p>
            <w:pPr>
              <w:spacing w:after="0" w:line="149" w:lineRule="exact"/>
              <w:rPr>
                <w:sz w:val="20"/>
                <w:szCs w:val="20"/>
                <w:color w:val="auto"/>
              </w:rPr>
            </w:pPr>
            <w:r>
              <w:rPr>
                <w:rFonts w:ascii="Arial" w:cs="Arial" w:eastAsia="Arial" w:hAnsi="Arial"/>
                <w:sz w:val="11"/>
                <w:szCs w:val="11"/>
                <w:color w:val="auto"/>
              </w:rPr>
              <w:t xml:space="preserve">MeritDirect Holdings, LP </w:t>
            </w:r>
            <w:r>
              <w:rPr>
                <w:rFonts w:ascii="Arial" w:cs="Arial" w:eastAsia="Arial" w:hAnsi="Arial"/>
                <w:sz w:val="17"/>
                <w:szCs w:val="17"/>
                <w:color w:val="auto"/>
                <w:vertAlign w:val="superscript"/>
              </w:rPr>
              <w:t>(7), (8)</w:t>
            </w:r>
          </w:p>
        </w:tc>
        <w:tc>
          <w:tcPr>
            <w:tcW w:w="120" w:type="dxa"/>
            <w:vAlign w:val="bottom"/>
            <w:shd w:val="clear" w:color="auto" w:fill="CCECFF"/>
          </w:tcPr>
          <w:p>
            <w:pPr>
              <w:spacing w:after="0"/>
              <w:rPr>
                <w:sz w:val="12"/>
                <w:szCs w:val="12"/>
                <w:color w:val="auto"/>
              </w:rPr>
            </w:pPr>
          </w:p>
        </w:tc>
        <w:tc>
          <w:tcPr>
            <w:tcW w:w="780" w:type="dxa"/>
            <w:vAlign w:val="bottom"/>
            <w:gridSpan w:val="2"/>
            <w:shd w:val="clear" w:color="auto" w:fill="CCECFF"/>
          </w:tcPr>
          <w:p>
            <w:pPr>
              <w:ind w:left="260"/>
              <w:spacing w:after="0"/>
              <w:rPr>
                <w:sz w:val="20"/>
                <w:szCs w:val="20"/>
                <w:color w:val="auto"/>
              </w:rPr>
            </w:pPr>
            <w:r>
              <w:rPr>
                <w:rFonts w:ascii="Arial" w:cs="Arial" w:eastAsia="Arial" w:hAnsi="Arial"/>
                <w:sz w:val="12"/>
                <w:szCs w:val="12"/>
                <w:color w:val="auto"/>
              </w:rPr>
              <w:t>—</w:t>
            </w:r>
          </w:p>
        </w:tc>
        <w:tc>
          <w:tcPr>
            <w:tcW w:w="2460" w:type="dxa"/>
            <w:vAlign w:val="bottom"/>
            <w:gridSpan w:val="2"/>
            <w:shd w:val="clear" w:color="auto" w:fill="CCECFF"/>
          </w:tcPr>
          <w:p>
            <w:pPr>
              <w:jc w:val="center"/>
              <w:ind w:right="120"/>
              <w:spacing w:after="0"/>
              <w:rPr>
                <w:sz w:val="20"/>
                <w:szCs w:val="20"/>
                <w:color w:val="auto"/>
              </w:rPr>
            </w:pPr>
            <w:r>
              <w:rPr>
                <w:rFonts w:ascii="Arial" w:cs="Arial" w:eastAsia="Arial" w:hAnsi="Arial"/>
                <w:sz w:val="12"/>
                <w:szCs w:val="12"/>
                <w:color w:val="auto"/>
                <w:w w:val="91"/>
              </w:rPr>
              <w:t>Media</w:t>
            </w:r>
          </w:p>
        </w:tc>
        <w:tc>
          <w:tcPr>
            <w:tcW w:w="960" w:type="dxa"/>
            <w:vAlign w:val="bottom"/>
            <w:gridSpan w:val="2"/>
            <w:shd w:val="clear" w:color="auto" w:fill="CCECFF"/>
          </w:tcPr>
          <w:p>
            <w:pPr>
              <w:jc w:val="right"/>
              <w:ind w:right="300"/>
              <w:spacing w:after="0"/>
              <w:rPr>
                <w:sz w:val="20"/>
                <w:szCs w:val="20"/>
                <w:color w:val="auto"/>
              </w:rPr>
            </w:pPr>
            <w:r>
              <w:rPr>
                <w:rFonts w:ascii="Arial" w:cs="Arial" w:eastAsia="Arial" w:hAnsi="Arial"/>
                <w:sz w:val="12"/>
                <w:szCs w:val="12"/>
                <w:color w:val="auto"/>
              </w:rPr>
              <w:t>—</w:t>
            </w: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960</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960,000</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1,002,057</w:t>
            </w:r>
          </w:p>
        </w:tc>
        <w:tc>
          <w:tcPr>
            <w:tcW w:w="120" w:type="dxa"/>
            <w:vAlign w:val="bottom"/>
            <w:shd w:val="clear" w:color="auto" w:fill="CCECFF"/>
          </w:tcPr>
          <w:p>
            <w:pPr>
              <w:spacing w:after="0"/>
              <w:rPr>
                <w:sz w:val="12"/>
                <w:szCs w:val="12"/>
                <w:color w:val="auto"/>
              </w:rPr>
            </w:pPr>
          </w:p>
        </w:tc>
      </w:tr>
      <w:tr>
        <w:trPr>
          <w:trHeight w:val="148"/>
        </w:trPr>
        <w:tc>
          <w:tcPr>
            <w:tcW w:w="3340" w:type="dxa"/>
            <w:vAlign w:val="bottom"/>
          </w:tcPr>
          <w:p>
            <w:pPr>
              <w:spacing w:after="0" w:line="149" w:lineRule="exact"/>
              <w:rPr>
                <w:sz w:val="20"/>
                <w:szCs w:val="20"/>
                <w:color w:val="auto"/>
              </w:rPr>
            </w:pPr>
            <w:r>
              <w:rPr>
                <w:rFonts w:ascii="Arial" w:cs="Arial" w:eastAsia="Arial" w:hAnsi="Arial"/>
                <w:sz w:val="11"/>
                <w:szCs w:val="11"/>
                <w:color w:val="auto"/>
              </w:rPr>
              <w:t xml:space="preserve">NXOF Holdings, Inc. (NextiraOne Federal, LLC) </w:t>
            </w:r>
            <w:r>
              <w:rPr>
                <w:rFonts w:ascii="Arial" w:cs="Arial" w:eastAsia="Arial" w:hAnsi="Arial"/>
                <w:sz w:val="17"/>
                <w:szCs w:val="17"/>
                <w:color w:val="auto"/>
                <w:vertAlign w:val="superscript"/>
              </w:rPr>
              <w:t>(7)</w:t>
            </w: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60" w:type="dxa"/>
            <w:vAlign w:val="bottom"/>
            <w:gridSpan w:val="2"/>
          </w:tcPr>
          <w:p>
            <w:pPr>
              <w:jc w:val="center"/>
              <w:ind w:right="140"/>
              <w:spacing w:after="0"/>
              <w:rPr>
                <w:sz w:val="20"/>
                <w:szCs w:val="20"/>
                <w:color w:val="auto"/>
              </w:rPr>
            </w:pPr>
            <w:r>
              <w:rPr>
                <w:rFonts w:ascii="Arial" w:cs="Arial" w:eastAsia="Arial" w:hAnsi="Arial"/>
                <w:sz w:val="12"/>
                <w:szCs w:val="12"/>
                <w:color w:val="auto"/>
                <w:w w:val="86"/>
              </w:rPr>
              <w:t>Aerospace and Defense</w:t>
            </w:r>
          </w:p>
        </w:tc>
        <w:tc>
          <w:tcPr>
            <w:tcW w:w="96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9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490</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490,000</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362,645</w:t>
            </w:r>
          </w:p>
        </w:tc>
        <w:tc>
          <w:tcPr>
            <w:tcW w:w="120" w:type="dxa"/>
            <w:vAlign w:val="bottom"/>
          </w:tcPr>
          <w:p>
            <w:pPr>
              <w:spacing w:after="0"/>
              <w:rPr>
                <w:sz w:val="12"/>
                <w:szCs w:val="12"/>
                <w:color w:val="auto"/>
              </w:rPr>
            </w:pPr>
          </w:p>
        </w:tc>
      </w:tr>
      <w:tr>
        <w:trPr>
          <w:trHeight w:val="148"/>
        </w:trPr>
        <w:tc>
          <w:tcPr>
            <w:tcW w:w="3340" w:type="dxa"/>
            <w:vAlign w:val="bottom"/>
            <w:shd w:val="clear" w:color="auto" w:fill="CCECFF"/>
          </w:tcPr>
          <w:p>
            <w:pPr>
              <w:spacing w:after="0" w:line="149" w:lineRule="exact"/>
              <w:rPr>
                <w:sz w:val="20"/>
                <w:szCs w:val="20"/>
                <w:color w:val="auto"/>
              </w:rPr>
            </w:pPr>
            <w:r>
              <w:rPr>
                <w:rFonts w:ascii="Arial" w:cs="Arial" w:eastAsia="Arial" w:hAnsi="Arial"/>
                <w:sz w:val="11"/>
                <w:szCs w:val="11"/>
                <w:color w:val="auto"/>
              </w:rPr>
              <w:t xml:space="preserve">PT Network Intermediate Holdings, LLC </w:t>
            </w:r>
            <w:r>
              <w:rPr>
                <w:rFonts w:ascii="Arial" w:cs="Arial" w:eastAsia="Arial" w:hAnsi="Arial"/>
                <w:sz w:val="17"/>
                <w:szCs w:val="17"/>
                <w:color w:val="auto"/>
                <w:vertAlign w:val="superscript"/>
              </w:rPr>
              <w:t>(7), (8)</w:t>
            </w:r>
          </w:p>
        </w:tc>
        <w:tc>
          <w:tcPr>
            <w:tcW w:w="120" w:type="dxa"/>
            <w:vAlign w:val="bottom"/>
            <w:shd w:val="clear" w:color="auto" w:fill="CCECFF"/>
          </w:tcPr>
          <w:p>
            <w:pPr>
              <w:spacing w:after="0"/>
              <w:rPr>
                <w:sz w:val="12"/>
                <w:szCs w:val="12"/>
                <w:color w:val="auto"/>
              </w:rPr>
            </w:pPr>
          </w:p>
        </w:tc>
        <w:tc>
          <w:tcPr>
            <w:tcW w:w="780" w:type="dxa"/>
            <w:vAlign w:val="bottom"/>
            <w:gridSpan w:val="2"/>
            <w:shd w:val="clear" w:color="auto" w:fill="CCECFF"/>
          </w:tcPr>
          <w:p>
            <w:pPr>
              <w:ind w:left="260"/>
              <w:spacing w:after="0"/>
              <w:rPr>
                <w:sz w:val="20"/>
                <w:szCs w:val="20"/>
                <w:color w:val="auto"/>
              </w:rPr>
            </w:pPr>
            <w:r>
              <w:rPr>
                <w:rFonts w:ascii="Arial" w:cs="Arial" w:eastAsia="Arial" w:hAnsi="Arial"/>
                <w:sz w:val="12"/>
                <w:szCs w:val="12"/>
                <w:color w:val="auto"/>
              </w:rPr>
              <w:t>—</w:t>
            </w:r>
          </w:p>
        </w:tc>
        <w:tc>
          <w:tcPr>
            <w:tcW w:w="2460" w:type="dxa"/>
            <w:vAlign w:val="bottom"/>
            <w:gridSpan w:val="2"/>
            <w:shd w:val="clear" w:color="auto" w:fill="CCECFF"/>
          </w:tcPr>
          <w:p>
            <w:pPr>
              <w:jc w:val="center"/>
              <w:ind w:right="120"/>
              <w:spacing w:after="0"/>
              <w:rPr>
                <w:sz w:val="20"/>
                <w:szCs w:val="20"/>
                <w:color w:val="auto"/>
              </w:rPr>
            </w:pPr>
            <w:r>
              <w:rPr>
                <w:rFonts w:ascii="Arial" w:cs="Arial" w:eastAsia="Arial" w:hAnsi="Arial"/>
                <w:sz w:val="12"/>
                <w:szCs w:val="12"/>
                <w:color w:val="auto"/>
                <w:w w:val="86"/>
              </w:rPr>
              <w:t>Healthcare and Pharmaceuticals</w:t>
            </w:r>
          </w:p>
        </w:tc>
        <w:tc>
          <w:tcPr>
            <w:tcW w:w="96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12.14%</w:t>
            </w: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3M L+1,000</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33</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359,000</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370,570</w:t>
            </w:r>
          </w:p>
        </w:tc>
        <w:tc>
          <w:tcPr>
            <w:tcW w:w="120" w:type="dxa"/>
            <w:vAlign w:val="bottom"/>
            <w:shd w:val="clear" w:color="auto" w:fill="CCECFF"/>
          </w:tcPr>
          <w:p>
            <w:pPr>
              <w:spacing w:after="0"/>
              <w:rPr>
                <w:sz w:val="12"/>
                <w:szCs w:val="12"/>
                <w:color w:val="auto"/>
              </w:rPr>
            </w:pPr>
          </w:p>
        </w:tc>
      </w:tr>
      <w:tr>
        <w:trPr>
          <w:trHeight w:val="149"/>
        </w:trPr>
        <w:tc>
          <w:tcPr>
            <w:tcW w:w="3340" w:type="dxa"/>
            <w:vAlign w:val="bottom"/>
          </w:tcPr>
          <w:p>
            <w:pPr>
              <w:spacing w:after="0" w:line="149" w:lineRule="exact"/>
              <w:rPr>
                <w:sz w:val="20"/>
                <w:szCs w:val="20"/>
                <w:color w:val="auto"/>
              </w:rPr>
            </w:pPr>
            <w:r>
              <w:rPr>
                <w:rFonts w:ascii="Arial" w:cs="Arial" w:eastAsia="Arial" w:hAnsi="Arial"/>
                <w:sz w:val="11"/>
                <w:szCs w:val="11"/>
                <w:color w:val="auto"/>
              </w:rPr>
              <w:t xml:space="preserve">Signature CR Intermediate Holdco, Inc. </w:t>
            </w:r>
            <w:r>
              <w:rPr>
                <w:rFonts w:ascii="Arial" w:cs="Arial" w:eastAsia="Arial" w:hAnsi="Arial"/>
                <w:sz w:val="17"/>
                <w:szCs w:val="17"/>
                <w:color w:val="auto"/>
                <w:vertAlign w:val="superscript"/>
              </w:rPr>
              <w:t>(7)</w:t>
            </w:r>
          </w:p>
        </w:tc>
        <w:tc>
          <w:tcPr>
            <w:tcW w:w="120" w:type="dxa"/>
            <w:vAlign w:val="bottom"/>
          </w:tcPr>
          <w:p>
            <w:pPr>
              <w:spacing w:after="0"/>
              <w:rPr>
                <w:sz w:val="12"/>
                <w:szCs w:val="12"/>
                <w:color w:val="auto"/>
              </w:rPr>
            </w:pPr>
          </w:p>
        </w:tc>
        <w:tc>
          <w:tcPr>
            <w:tcW w:w="780" w:type="dxa"/>
            <w:vAlign w:val="bottom"/>
            <w:gridSpan w:val="2"/>
          </w:tcPr>
          <w:p>
            <w:pPr>
              <w:ind w:left="260"/>
              <w:spacing w:after="0"/>
              <w:rPr>
                <w:sz w:val="20"/>
                <w:szCs w:val="20"/>
                <w:color w:val="auto"/>
              </w:rPr>
            </w:pPr>
            <w:r>
              <w:rPr>
                <w:rFonts w:ascii="Arial" w:cs="Arial" w:eastAsia="Arial" w:hAnsi="Arial"/>
                <w:sz w:val="12"/>
                <w:szCs w:val="12"/>
                <w:color w:val="auto"/>
              </w:rPr>
              <w:t>—</w:t>
            </w:r>
          </w:p>
        </w:tc>
        <w:tc>
          <w:tcPr>
            <w:tcW w:w="2460" w:type="dxa"/>
            <w:vAlign w:val="bottom"/>
            <w:gridSpan w:val="2"/>
          </w:tcPr>
          <w:p>
            <w:pPr>
              <w:jc w:val="center"/>
              <w:ind w:right="140"/>
              <w:spacing w:after="0"/>
              <w:rPr>
                <w:sz w:val="20"/>
                <w:szCs w:val="20"/>
                <w:color w:val="auto"/>
              </w:rPr>
            </w:pPr>
            <w:r>
              <w:rPr>
                <w:rFonts w:ascii="Arial" w:cs="Arial" w:eastAsia="Arial" w:hAnsi="Arial"/>
                <w:sz w:val="12"/>
                <w:szCs w:val="12"/>
                <w:color w:val="auto"/>
                <w:w w:val="89"/>
              </w:rPr>
              <w:t>Commercial Services &amp; Supplies</w:t>
            </w:r>
          </w:p>
        </w:tc>
        <w:tc>
          <w:tcPr>
            <w:tcW w:w="960" w:type="dxa"/>
            <w:vAlign w:val="bottom"/>
            <w:gridSpan w:val="2"/>
          </w:tcPr>
          <w:p>
            <w:pPr>
              <w:jc w:val="right"/>
              <w:ind w:right="180"/>
              <w:spacing w:after="0"/>
              <w:rPr>
                <w:sz w:val="20"/>
                <w:szCs w:val="20"/>
                <w:color w:val="auto"/>
              </w:rPr>
            </w:pPr>
            <w:r>
              <w:rPr>
                <w:rFonts w:ascii="Arial" w:cs="Arial" w:eastAsia="Arial" w:hAnsi="Arial"/>
                <w:sz w:val="12"/>
                <w:szCs w:val="12"/>
                <w:color w:val="auto"/>
              </w:rPr>
              <w:t>12.00%</w:t>
            </w:r>
          </w:p>
        </w:tc>
        <w:tc>
          <w:tcPr>
            <w:tcW w:w="9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1,167</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1,166,993</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1,224,860</w:t>
            </w:r>
          </w:p>
        </w:tc>
        <w:tc>
          <w:tcPr>
            <w:tcW w:w="120" w:type="dxa"/>
            <w:vAlign w:val="bottom"/>
          </w:tcPr>
          <w:p>
            <w:pPr>
              <w:spacing w:after="0"/>
              <w:rPr>
                <w:sz w:val="12"/>
                <w:szCs w:val="12"/>
                <w:color w:val="auto"/>
              </w:rPr>
            </w:pPr>
          </w:p>
        </w:tc>
      </w:tr>
      <w:tr>
        <w:trPr>
          <w:trHeight w:val="148"/>
        </w:trPr>
        <w:tc>
          <w:tcPr>
            <w:tcW w:w="3340" w:type="dxa"/>
            <w:vAlign w:val="bottom"/>
            <w:shd w:val="clear" w:color="auto" w:fill="CCECFF"/>
          </w:tcPr>
          <w:p>
            <w:pPr>
              <w:spacing w:after="0"/>
              <w:rPr>
                <w:sz w:val="20"/>
                <w:szCs w:val="20"/>
                <w:color w:val="auto"/>
              </w:rPr>
            </w:pPr>
            <w:r>
              <w:rPr>
                <w:rFonts w:ascii="Arial" w:cs="Arial" w:eastAsia="Arial" w:hAnsi="Arial"/>
                <w:sz w:val="12"/>
                <w:szCs w:val="12"/>
                <w:color w:val="auto"/>
              </w:rPr>
              <w:t>UniTek Global Services, Inc. -</w:t>
            </w:r>
          </w:p>
        </w:tc>
        <w:tc>
          <w:tcPr>
            <w:tcW w:w="120" w:type="dxa"/>
            <w:vAlign w:val="bottom"/>
            <w:shd w:val="clear" w:color="auto" w:fill="CCECFF"/>
          </w:tcPr>
          <w:p>
            <w:pPr>
              <w:spacing w:after="0"/>
              <w:rPr>
                <w:sz w:val="12"/>
                <w:szCs w:val="12"/>
                <w:color w:val="auto"/>
              </w:rPr>
            </w:pPr>
          </w:p>
        </w:tc>
        <w:tc>
          <w:tcPr>
            <w:tcW w:w="780" w:type="dxa"/>
            <w:vAlign w:val="bottom"/>
            <w:gridSpan w:val="2"/>
            <w:shd w:val="clear" w:color="auto" w:fill="CCECFF"/>
          </w:tcPr>
          <w:p>
            <w:pPr>
              <w:ind w:left="260"/>
              <w:spacing w:after="0"/>
              <w:rPr>
                <w:sz w:val="20"/>
                <w:szCs w:val="20"/>
                <w:color w:val="auto"/>
              </w:rPr>
            </w:pPr>
            <w:r>
              <w:rPr>
                <w:rFonts w:ascii="Arial" w:cs="Arial" w:eastAsia="Arial" w:hAnsi="Arial"/>
                <w:sz w:val="12"/>
                <w:szCs w:val="12"/>
                <w:color w:val="auto"/>
              </w:rPr>
              <w:t>—</w:t>
            </w:r>
          </w:p>
        </w:tc>
        <w:tc>
          <w:tcPr>
            <w:tcW w:w="246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87"/>
              </w:rPr>
              <w:t>Telecommunications</w:t>
            </w:r>
          </w:p>
        </w:tc>
        <w:tc>
          <w:tcPr>
            <w:tcW w:w="96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20.00%</w:t>
            </w: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343,861</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343,861</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30,743</w:t>
            </w:r>
          </w:p>
        </w:tc>
        <w:tc>
          <w:tcPr>
            <w:tcW w:w="120" w:type="dxa"/>
            <w:vAlign w:val="bottom"/>
            <w:shd w:val="clear" w:color="auto" w:fill="CCECFF"/>
          </w:tcPr>
          <w:p>
            <w:pPr>
              <w:spacing w:after="0"/>
              <w:rPr>
                <w:sz w:val="12"/>
                <w:szCs w:val="12"/>
                <w:color w:val="auto"/>
              </w:rPr>
            </w:pPr>
          </w:p>
        </w:tc>
      </w:tr>
      <w:tr>
        <w:trPr>
          <w:trHeight w:val="148"/>
        </w:trPr>
        <w:tc>
          <w:tcPr>
            <w:tcW w:w="3340" w:type="dxa"/>
            <w:vAlign w:val="bottom"/>
            <w:shd w:val="clear" w:color="auto" w:fill="CCECFF"/>
          </w:tcPr>
          <w:p>
            <w:pPr>
              <w:ind w:left="140"/>
              <w:spacing w:after="0" w:line="149" w:lineRule="exact"/>
              <w:rPr>
                <w:sz w:val="20"/>
                <w:szCs w:val="20"/>
                <w:color w:val="auto"/>
              </w:rPr>
            </w:pPr>
            <w:r>
              <w:rPr>
                <w:rFonts w:ascii="Arial" w:cs="Arial" w:eastAsia="Arial" w:hAnsi="Arial"/>
                <w:sz w:val="11"/>
                <w:szCs w:val="11"/>
                <w:color w:val="auto"/>
              </w:rPr>
              <w:t xml:space="preserve">Super Senior Preferred Equity </w:t>
            </w:r>
            <w:r>
              <w:rPr>
                <w:rFonts w:ascii="Arial" w:cs="Arial" w:eastAsia="Arial" w:hAnsi="Arial"/>
                <w:sz w:val="17"/>
                <w:szCs w:val="17"/>
                <w:color w:val="auto"/>
                <w:vertAlign w:val="superscript"/>
              </w:rPr>
              <w:t>(7)</w:t>
            </w:r>
          </w:p>
        </w:tc>
        <w:tc>
          <w:tcPr>
            <w:tcW w:w="120" w:type="dxa"/>
            <w:vAlign w:val="bottom"/>
            <w:shd w:val="clear" w:color="auto" w:fill="CCECFF"/>
          </w:tcPr>
          <w:p>
            <w:pPr>
              <w:spacing w:after="0"/>
              <w:rPr>
                <w:sz w:val="12"/>
                <w:szCs w:val="12"/>
                <w:color w:val="auto"/>
              </w:rPr>
            </w:pPr>
          </w:p>
        </w:tc>
        <w:tc>
          <w:tcPr>
            <w:tcW w:w="54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234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8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70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70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r>
      <w:tr>
        <w:trPr>
          <w:trHeight w:val="148"/>
        </w:trPr>
        <w:tc>
          <w:tcPr>
            <w:tcW w:w="3340" w:type="dxa"/>
            <w:vAlign w:val="bottom"/>
          </w:tcPr>
          <w:p>
            <w:pPr>
              <w:spacing w:after="0" w:line="149" w:lineRule="exact"/>
              <w:rPr>
                <w:sz w:val="20"/>
                <w:szCs w:val="20"/>
                <w:color w:val="auto"/>
              </w:rPr>
            </w:pPr>
            <w:r>
              <w:rPr>
                <w:rFonts w:ascii="Arial" w:cs="Arial" w:eastAsia="Arial" w:hAnsi="Arial"/>
                <w:sz w:val="11"/>
                <w:szCs w:val="11"/>
                <w:color w:val="auto"/>
              </w:rPr>
              <w:t xml:space="preserve">UniTek Global Services, Inc. - Senior Preferred Equity </w:t>
            </w:r>
            <w:r>
              <w:rPr>
                <w:rFonts w:ascii="Arial" w:cs="Arial" w:eastAsia="Arial" w:hAnsi="Arial"/>
                <w:sz w:val="17"/>
                <w:szCs w:val="17"/>
                <w:color w:val="auto"/>
                <w:vertAlign w:val="superscript"/>
              </w:rPr>
              <w:t>(7)</w:t>
            </w:r>
          </w:p>
        </w:tc>
        <w:tc>
          <w:tcPr>
            <w:tcW w:w="120" w:type="dxa"/>
            <w:vAlign w:val="bottom"/>
          </w:tcPr>
          <w:p>
            <w:pPr>
              <w:spacing w:after="0"/>
              <w:rPr>
                <w:sz w:val="12"/>
                <w:szCs w:val="12"/>
                <w:color w:val="auto"/>
              </w:rPr>
            </w:pPr>
          </w:p>
        </w:tc>
        <w:tc>
          <w:tcPr>
            <w:tcW w:w="780" w:type="dxa"/>
            <w:vAlign w:val="bottom"/>
            <w:gridSpan w:val="2"/>
          </w:tcPr>
          <w:p>
            <w:pPr>
              <w:ind w:left="260"/>
              <w:spacing w:after="0"/>
              <w:rPr>
                <w:sz w:val="20"/>
                <w:szCs w:val="20"/>
                <w:color w:val="auto"/>
              </w:rPr>
            </w:pPr>
            <w:r>
              <w:rPr>
                <w:rFonts w:ascii="Arial" w:cs="Arial" w:eastAsia="Arial" w:hAnsi="Arial"/>
                <w:sz w:val="12"/>
                <w:szCs w:val="12"/>
                <w:color w:val="auto"/>
              </w:rPr>
              <w:t>—</w:t>
            </w:r>
          </w:p>
        </w:tc>
        <w:tc>
          <w:tcPr>
            <w:tcW w:w="2460" w:type="dxa"/>
            <w:vAlign w:val="bottom"/>
            <w:gridSpan w:val="2"/>
          </w:tcPr>
          <w:p>
            <w:pPr>
              <w:jc w:val="center"/>
              <w:ind w:right="140"/>
              <w:spacing w:after="0"/>
              <w:rPr>
                <w:sz w:val="20"/>
                <w:szCs w:val="20"/>
                <w:color w:val="auto"/>
              </w:rPr>
            </w:pPr>
            <w:r>
              <w:rPr>
                <w:rFonts w:ascii="Arial" w:cs="Arial" w:eastAsia="Arial" w:hAnsi="Arial"/>
                <w:sz w:val="12"/>
                <w:szCs w:val="12"/>
                <w:color w:val="auto"/>
                <w:w w:val="87"/>
              </w:rPr>
              <w:t>Telecommunications</w:t>
            </w:r>
          </w:p>
        </w:tc>
        <w:tc>
          <w:tcPr>
            <w:tcW w:w="960" w:type="dxa"/>
            <w:vAlign w:val="bottom"/>
            <w:gridSpan w:val="2"/>
          </w:tcPr>
          <w:p>
            <w:pPr>
              <w:jc w:val="right"/>
              <w:ind w:right="180"/>
              <w:spacing w:after="0"/>
              <w:rPr>
                <w:sz w:val="20"/>
                <w:szCs w:val="20"/>
                <w:color w:val="auto"/>
              </w:rPr>
            </w:pPr>
            <w:r>
              <w:rPr>
                <w:rFonts w:ascii="Arial" w:cs="Arial" w:eastAsia="Arial" w:hAnsi="Arial"/>
                <w:sz w:val="12"/>
                <w:szCs w:val="12"/>
                <w:color w:val="auto"/>
              </w:rPr>
              <w:t>18.00%</w:t>
            </w:r>
          </w:p>
        </w:tc>
        <w:tc>
          <w:tcPr>
            <w:tcW w:w="9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448,851</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448,851</w:t>
            </w:r>
          </w:p>
        </w:tc>
        <w:tc>
          <w:tcPr>
            <w:tcW w:w="240" w:type="dxa"/>
            <w:vAlign w:val="bottom"/>
          </w:tcPr>
          <w:p>
            <w:pPr>
              <w:spacing w:after="0"/>
              <w:rPr>
                <w:sz w:val="12"/>
                <w:szCs w:val="12"/>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r>
      <w:tr>
        <w:trPr>
          <w:trHeight w:val="148"/>
        </w:trPr>
        <w:tc>
          <w:tcPr>
            <w:tcW w:w="3340" w:type="dxa"/>
            <w:vAlign w:val="bottom"/>
            <w:shd w:val="clear" w:color="auto" w:fill="CCECFF"/>
          </w:tcPr>
          <w:p>
            <w:pPr>
              <w:spacing w:after="0" w:line="149" w:lineRule="exact"/>
              <w:rPr>
                <w:sz w:val="20"/>
                <w:szCs w:val="20"/>
                <w:color w:val="auto"/>
              </w:rPr>
            </w:pPr>
            <w:r>
              <w:rPr>
                <w:rFonts w:ascii="Arial" w:cs="Arial" w:eastAsia="Arial" w:hAnsi="Arial"/>
                <w:sz w:val="11"/>
                <w:szCs w:val="11"/>
                <w:color w:val="auto"/>
              </w:rPr>
              <w:t xml:space="preserve">UniTek Global Services, Inc. </w:t>
            </w:r>
            <w:r>
              <w:rPr>
                <w:rFonts w:ascii="Arial" w:cs="Arial" w:eastAsia="Arial" w:hAnsi="Arial"/>
                <w:sz w:val="17"/>
                <w:szCs w:val="17"/>
                <w:color w:val="auto"/>
                <w:vertAlign w:val="superscript"/>
              </w:rPr>
              <w:t>(7)</w:t>
            </w:r>
          </w:p>
        </w:tc>
        <w:tc>
          <w:tcPr>
            <w:tcW w:w="120" w:type="dxa"/>
            <w:vAlign w:val="bottom"/>
            <w:shd w:val="clear" w:color="auto" w:fill="CCECFF"/>
          </w:tcPr>
          <w:p>
            <w:pPr>
              <w:spacing w:after="0"/>
              <w:rPr>
                <w:sz w:val="12"/>
                <w:szCs w:val="12"/>
                <w:color w:val="auto"/>
              </w:rPr>
            </w:pPr>
          </w:p>
        </w:tc>
        <w:tc>
          <w:tcPr>
            <w:tcW w:w="780" w:type="dxa"/>
            <w:vAlign w:val="bottom"/>
            <w:gridSpan w:val="2"/>
            <w:shd w:val="clear" w:color="auto" w:fill="CCECFF"/>
          </w:tcPr>
          <w:p>
            <w:pPr>
              <w:ind w:left="260"/>
              <w:spacing w:after="0"/>
              <w:rPr>
                <w:sz w:val="20"/>
                <w:szCs w:val="20"/>
                <w:color w:val="auto"/>
              </w:rPr>
            </w:pPr>
            <w:r>
              <w:rPr>
                <w:rFonts w:ascii="Arial" w:cs="Arial" w:eastAsia="Arial" w:hAnsi="Arial"/>
                <w:sz w:val="12"/>
                <w:szCs w:val="12"/>
                <w:color w:val="auto"/>
              </w:rPr>
              <w:t>—</w:t>
            </w:r>
          </w:p>
        </w:tc>
        <w:tc>
          <w:tcPr>
            <w:tcW w:w="246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87"/>
              </w:rPr>
              <w:t>Telecommunications</w:t>
            </w:r>
          </w:p>
        </w:tc>
        <w:tc>
          <w:tcPr>
            <w:tcW w:w="96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13.50%</w:t>
            </w: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1,047,317</w:t>
            </w:r>
          </w:p>
        </w:tc>
        <w:tc>
          <w:tcPr>
            <w:tcW w:w="240" w:type="dxa"/>
            <w:vAlign w:val="bottom"/>
            <w:shd w:val="clear" w:color="auto" w:fill="CCECFF"/>
          </w:tcPr>
          <w:p>
            <w:pPr>
              <w:spacing w:after="0"/>
              <w:rPr>
                <w:sz w:val="12"/>
                <w:szCs w:val="12"/>
                <w:color w:val="auto"/>
              </w:rPr>
            </w:pPr>
          </w:p>
        </w:tc>
        <w:tc>
          <w:tcPr>
            <w:tcW w:w="7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rPr>
              <w:t>670,283</w:t>
            </w:r>
          </w:p>
        </w:tc>
        <w:tc>
          <w:tcPr>
            <w:tcW w:w="240" w:type="dxa"/>
            <w:vAlign w:val="bottom"/>
            <w:shd w:val="clear" w:color="auto" w:fill="CCECFF"/>
          </w:tcPr>
          <w:p>
            <w:pPr>
              <w:spacing w:after="0"/>
              <w:rPr>
                <w:sz w:val="12"/>
                <w:szCs w:val="12"/>
                <w:color w:val="auto"/>
              </w:rPr>
            </w:pPr>
          </w:p>
        </w:tc>
        <w:tc>
          <w:tcPr>
            <w:tcW w:w="7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CFF"/>
          </w:tcPr>
          <w:p>
            <w:pPr>
              <w:spacing w:after="0"/>
              <w:rPr>
                <w:sz w:val="12"/>
                <w:szCs w:val="12"/>
                <w:color w:val="auto"/>
              </w:rPr>
            </w:pPr>
          </w:p>
        </w:tc>
      </w:tr>
      <w:tr>
        <w:trPr>
          <w:trHeight w:val="142"/>
        </w:trPr>
        <w:tc>
          <w:tcPr>
            <w:tcW w:w="3340" w:type="dxa"/>
            <w:vAlign w:val="bottom"/>
          </w:tcPr>
          <w:p>
            <w:pPr>
              <w:spacing w:after="0"/>
              <w:rPr>
                <w:sz w:val="20"/>
                <w:szCs w:val="20"/>
                <w:color w:val="auto"/>
              </w:rPr>
            </w:pPr>
            <w:r>
              <w:rPr>
                <w:rFonts w:ascii="Arial" w:cs="Arial" w:eastAsia="Arial" w:hAnsi="Arial"/>
                <w:sz w:val="12"/>
                <w:szCs w:val="12"/>
                <w:b w:val="1"/>
                <w:bCs w:val="1"/>
                <w:color w:val="auto"/>
              </w:rPr>
              <w:t>Total Preferred Equity</w:t>
            </w: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11,589,702</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9,634,652</w:t>
            </w:r>
          </w:p>
        </w:tc>
        <w:tc>
          <w:tcPr>
            <w:tcW w:w="120" w:type="dxa"/>
            <w:vAlign w:val="bottom"/>
          </w:tcPr>
          <w:p>
            <w:pPr>
              <w:spacing w:after="0"/>
              <w:rPr>
                <w:sz w:val="12"/>
                <w:szCs w:val="12"/>
                <w:color w:val="auto"/>
              </w:rPr>
            </w:pPr>
          </w:p>
        </w:tc>
      </w:tr>
      <w:tr>
        <w:trPr>
          <w:trHeight w:val="142"/>
        </w:trPr>
        <w:tc>
          <w:tcPr>
            <w:tcW w:w="3340" w:type="dxa"/>
            <w:vAlign w:val="bottom"/>
            <w:tcBorders>
              <w:top w:val="single" w:sz="8" w:color="CCECFF"/>
            </w:tcBorders>
            <w:shd w:val="clear" w:color="auto" w:fill="CCECFF"/>
          </w:tcPr>
          <w:p>
            <w:pPr>
              <w:spacing w:after="0" w:line="142" w:lineRule="exact"/>
              <w:rPr>
                <w:sz w:val="20"/>
                <w:szCs w:val="20"/>
                <w:color w:val="auto"/>
              </w:rPr>
            </w:pPr>
            <w:r>
              <w:rPr>
                <w:rFonts w:ascii="Arial" w:cs="Arial" w:eastAsia="Arial" w:hAnsi="Arial"/>
                <w:sz w:val="10"/>
                <w:szCs w:val="10"/>
                <w:b w:val="1"/>
                <w:bCs w:val="1"/>
                <w:color w:val="auto"/>
              </w:rPr>
              <w:t xml:space="preserve">Common Equity/Warrants— 6.4% </w:t>
            </w:r>
            <w:r>
              <w:rPr>
                <w:rFonts w:ascii="Arial" w:cs="Arial" w:eastAsia="Arial" w:hAnsi="Arial"/>
                <w:sz w:val="16"/>
                <w:szCs w:val="16"/>
                <w:b w:val="1"/>
                <w:bCs w:val="1"/>
                <w:color w:val="auto"/>
                <w:vertAlign w:val="superscript"/>
              </w:rPr>
              <w:t>(6)</w:t>
            </w:r>
          </w:p>
        </w:tc>
        <w:tc>
          <w:tcPr>
            <w:tcW w:w="120" w:type="dxa"/>
            <w:vAlign w:val="bottom"/>
            <w:tcBorders>
              <w:top w:val="single" w:sz="8" w:color="CCECFF"/>
            </w:tcBorders>
            <w:shd w:val="clear" w:color="auto" w:fill="CCECFF"/>
          </w:tcPr>
          <w:p>
            <w:pPr>
              <w:spacing w:after="0"/>
              <w:rPr>
                <w:sz w:val="12"/>
                <w:szCs w:val="12"/>
                <w:color w:val="auto"/>
              </w:rPr>
            </w:pPr>
          </w:p>
        </w:tc>
        <w:tc>
          <w:tcPr>
            <w:tcW w:w="540" w:type="dxa"/>
            <w:vAlign w:val="bottom"/>
            <w:tcBorders>
              <w:top w:val="single" w:sz="8" w:color="CCECFF"/>
            </w:tcBorders>
            <w:shd w:val="clear" w:color="auto" w:fill="CCECFF"/>
          </w:tcPr>
          <w:p>
            <w:pPr>
              <w:spacing w:after="0"/>
              <w:rPr>
                <w:sz w:val="12"/>
                <w:szCs w:val="12"/>
                <w:color w:val="auto"/>
              </w:rPr>
            </w:pPr>
          </w:p>
        </w:tc>
        <w:tc>
          <w:tcPr>
            <w:tcW w:w="240" w:type="dxa"/>
            <w:vAlign w:val="bottom"/>
            <w:tcBorders>
              <w:top w:val="single" w:sz="8" w:color="CCECFF"/>
            </w:tcBorders>
            <w:shd w:val="clear" w:color="auto" w:fill="CCECFF"/>
          </w:tcPr>
          <w:p>
            <w:pPr>
              <w:spacing w:after="0"/>
              <w:rPr>
                <w:sz w:val="12"/>
                <w:szCs w:val="12"/>
                <w:color w:val="auto"/>
              </w:rPr>
            </w:pPr>
          </w:p>
        </w:tc>
        <w:tc>
          <w:tcPr>
            <w:tcW w:w="2340" w:type="dxa"/>
            <w:vAlign w:val="bottom"/>
            <w:tcBorders>
              <w:top w:val="single" w:sz="8" w:color="CCECFF"/>
            </w:tcBorders>
            <w:shd w:val="clear" w:color="auto" w:fill="CCECFF"/>
          </w:tcPr>
          <w:p>
            <w:pPr>
              <w:spacing w:after="0"/>
              <w:rPr>
                <w:sz w:val="12"/>
                <w:szCs w:val="12"/>
                <w:color w:val="auto"/>
              </w:rPr>
            </w:pPr>
          </w:p>
        </w:tc>
        <w:tc>
          <w:tcPr>
            <w:tcW w:w="120" w:type="dxa"/>
            <w:vAlign w:val="bottom"/>
            <w:tcBorders>
              <w:top w:val="single" w:sz="8" w:color="CCECFF"/>
            </w:tcBorders>
            <w:shd w:val="clear" w:color="auto" w:fill="CCECFF"/>
          </w:tcPr>
          <w:p>
            <w:pPr>
              <w:spacing w:after="0"/>
              <w:rPr>
                <w:sz w:val="12"/>
                <w:szCs w:val="12"/>
                <w:color w:val="auto"/>
              </w:rPr>
            </w:pPr>
          </w:p>
        </w:tc>
        <w:tc>
          <w:tcPr>
            <w:tcW w:w="680" w:type="dxa"/>
            <w:vAlign w:val="bottom"/>
            <w:tcBorders>
              <w:top w:val="single" w:sz="8" w:color="CCECFF"/>
            </w:tcBorders>
            <w:shd w:val="clear" w:color="auto" w:fill="CCECFF"/>
          </w:tcPr>
          <w:p>
            <w:pPr>
              <w:spacing w:after="0"/>
              <w:rPr>
                <w:sz w:val="12"/>
                <w:szCs w:val="12"/>
                <w:color w:val="auto"/>
              </w:rPr>
            </w:pPr>
          </w:p>
        </w:tc>
        <w:tc>
          <w:tcPr>
            <w:tcW w:w="280" w:type="dxa"/>
            <w:vAlign w:val="bottom"/>
            <w:tcBorders>
              <w:top w:val="single" w:sz="8" w:color="CCECFF"/>
            </w:tcBorders>
            <w:shd w:val="clear" w:color="auto" w:fill="CCECFF"/>
          </w:tcPr>
          <w:p>
            <w:pPr>
              <w:spacing w:after="0"/>
              <w:rPr>
                <w:sz w:val="12"/>
                <w:szCs w:val="12"/>
                <w:color w:val="auto"/>
              </w:rPr>
            </w:pPr>
          </w:p>
        </w:tc>
        <w:tc>
          <w:tcPr>
            <w:tcW w:w="680" w:type="dxa"/>
            <w:vAlign w:val="bottom"/>
            <w:tcBorders>
              <w:top w:val="single" w:sz="8" w:color="CCECFF"/>
            </w:tcBorders>
            <w:shd w:val="clear" w:color="auto" w:fill="CCECFF"/>
          </w:tcPr>
          <w:p>
            <w:pPr>
              <w:spacing w:after="0"/>
              <w:rPr>
                <w:sz w:val="12"/>
                <w:szCs w:val="12"/>
                <w:color w:val="auto"/>
              </w:rPr>
            </w:pPr>
          </w:p>
        </w:tc>
        <w:tc>
          <w:tcPr>
            <w:tcW w:w="220" w:type="dxa"/>
            <w:vAlign w:val="bottom"/>
            <w:tcBorders>
              <w:top w:val="single" w:sz="8" w:color="CCECFF"/>
            </w:tcBorders>
            <w:shd w:val="clear" w:color="auto" w:fill="CCECFF"/>
          </w:tcPr>
          <w:p>
            <w:pPr>
              <w:spacing w:after="0"/>
              <w:rPr>
                <w:sz w:val="12"/>
                <w:szCs w:val="12"/>
                <w:color w:val="auto"/>
              </w:rPr>
            </w:pPr>
          </w:p>
        </w:tc>
        <w:tc>
          <w:tcPr>
            <w:tcW w:w="680" w:type="dxa"/>
            <w:vAlign w:val="bottom"/>
            <w:tcBorders>
              <w:top w:val="single" w:sz="8" w:color="CCECFF"/>
            </w:tcBorders>
            <w:shd w:val="clear" w:color="auto" w:fill="CCECFF"/>
          </w:tcPr>
          <w:p>
            <w:pPr>
              <w:spacing w:after="0"/>
              <w:rPr>
                <w:sz w:val="12"/>
                <w:szCs w:val="12"/>
                <w:color w:val="auto"/>
              </w:rPr>
            </w:pPr>
          </w:p>
        </w:tc>
        <w:tc>
          <w:tcPr>
            <w:tcW w:w="240" w:type="dxa"/>
            <w:vAlign w:val="bottom"/>
            <w:tcBorders>
              <w:top w:val="single" w:sz="8" w:color="CCECFF"/>
            </w:tcBorders>
            <w:shd w:val="clear" w:color="auto" w:fill="CCECFF"/>
          </w:tcPr>
          <w:p>
            <w:pPr>
              <w:spacing w:after="0"/>
              <w:rPr>
                <w:sz w:val="12"/>
                <w:szCs w:val="12"/>
                <w:color w:val="auto"/>
              </w:rPr>
            </w:pPr>
          </w:p>
        </w:tc>
        <w:tc>
          <w:tcPr>
            <w:tcW w:w="700" w:type="dxa"/>
            <w:vAlign w:val="bottom"/>
            <w:tcBorders>
              <w:top w:val="single" w:sz="8" w:color="auto"/>
            </w:tcBorders>
            <w:shd w:val="clear" w:color="auto" w:fill="CCECFF"/>
          </w:tcPr>
          <w:p>
            <w:pPr>
              <w:spacing w:after="0"/>
              <w:rPr>
                <w:sz w:val="12"/>
                <w:szCs w:val="12"/>
                <w:color w:val="auto"/>
              </w:rPr>
            </w:pPr>
          </w:p>
        </w:tc>
        <w:tc>
          <w:tcPr>
            <w:tcW w:w="240" w:type="dxa"/>
            <w:vAlign w:val="bottom"/>
            <w:tcBorders>
              <w:top w:val="single" w:sz="8" w:color="CCECFF"/>
            </w:tcBorders>
            <w:shd w:val="clear" w:color="auto" w:fill="CCECFF"/>
          </w:tcPr>
          <w:p>
            <w:pPr>
              <w:spacing w:after="0"/>
              <w:rPr>
                <w:sz w:val="12"/>
                <w:szCs w:val="12"/>
                <w:color w:val="auto"/>
              </w:rPr>
            </w:pPr>
          </w:p>
        </w:tc>
        <w:tc>
          <w:tcPr>
            <w:tcW w:w="700" w:type="dxa"/>
            <w:vAlign w:val="bottom"/>
            <w:tcBorders>
              <w:top w:val="single" w:sz="8" w:color="auto"/>
            </w:tcBorders>
            <w:shd w:val="clear" w:color="auto" w:fill="CCECFF"/>
          </w:tcPr>
          <w:p>
            <w:pPr>
              <w:spacing w:after="0"/>
              <w:rPr>
                <w:sz w:val="12"/>
                <w:szCs w:val="12"/>
                <w:color w:val="auto"/>
              </w:rPr>
            </w:pPr>
          </w:p>
        </w:tc>
        <w:tc>
          <w:tcPr>
            <w:tcW w:w="120" w:type="dxa"/>
            <w:vAlign w:val="bottom"/>
            <w:tcBorders>
              <w:top w:val="single" w:sz="8" w:color="CCECFF"/>
            </w:tcBorders>
            <w:shd w:val="clear" w:color="auto" w:fill="CCECFF"/>
          </w:tcPr>
          <w:p>
            <w:pPr>
              <w:spacing w:after="0"/>
              <w:rPr>
                <w:sz w:val="12"/>
                <w:szCs w:val="12"/>
                <w:color w:val="auto"/>
              </w:rPr>
            </w:pPr>
          </w:p>
        </w:tc>
      </w:tr>
      <w:tr>
        <w:trPr>
          <w:trHeight w:val="148"/>
        </w:trPr>
        <w:tc>
          <w:tcPr>
            <w:tcW w:w="3340" w:type="dxa"/>
            <w:vAlign w:val="bottom"/>
          </w:tcPr>
          <w:p>
            <w:pPr>
              <w:spacing w:after="0" w:line="149" w:lineRule="exact"/>
              <w:rPr>
                <w:sz w:val="20"/>
                <w:szCs w:val="20"/>
                <w:color w:val="auto"/>
              </w:rPr>
            </w:pPr>
            <w:r>
              <w:rPr>
                <w:rFonts w:ascii="Arial" w:cs="Arial" w:eastAsia="Arial" w:hAnsi="Arial"/>
                <w:sz w:val="11"/>
                <w:szCs w:val="11"/>
                <w:color w:val="auto"/>
              </w:rPr>
              <w:t>Affinion Group Holdings, Inc. (Warrants)</w:t>
            </w:r>
            <w:r>
              <w:rPr>
                <w:rFonts w:ascii="Arial" w:cs="Arial" w:eastAsia="Arial" w:hAnsi="Arial"/>
                <w:sz w:val="17"/>
                <w:szCs w:val="17"/>
                <w:color w:val="auto"/>
                <w:vertAlign w:val="superscript"/>
              </w:rPr>
              <w:t>(7)</w:t>
            </w:r>
          </w:p>
        </w:tc>
        <w:tc>
          <w:tcPr>
            <w:tcW w:w="120" w:type="dxa"/>
            <w:vAlign w:val="bottom"/>
          </w:tcPr>
          <w:p>
            <w:pPr>
              <w:spacing w:after="0"/>
              <w:rPr>
                <w:sz w:val="12"/>
                <w:szCs w:val="12"/>
                <w:color w:val="auto"/>
              </w:rPr>
            </w:pPr>
          </w:p>
        </w:tc>
        <w:tc>
          <w:tcPr>
            <w:tcW w:w="780" w:type="dxa"/>
            <w:vAlign w:val="bottom"/>
            <w:gridSpan w:val="2"/>
          </w:tcPr>
          <w:p>
            <w:pPr>
              <w:ind w:left="260"/>
              <w:spacing w:after="0"/>
              <w:rPr>
                <w:sz w:val="20"/>
                <w:szCs w:val="20"/>
                <w:color w:val="auto"/>
              </w:rPr>
            </w:pPr>
            <w:r>
              <w:rPr>
                <w:rFonts w:ascii="Arial" w:cs="Arial" w:eastAsia="Arial" w:hAnsi="Arial"/>
                <w:sz w:val="12"/>
                <w:szCs w:val="12"/>
                <w:color w:val="auto"/>
              </w:rPr>
              <w:t>—</w:t>
            </w:r>
          </w:p>
        </w:tc>
        <w:tc>
          <w:tcPr>
            <w:tcW w:w="2460" w:type="dxa"/>
            <w:vAlign w:val="bottom"/>
            <w:gridSpan w:val="2"/>
          </w:tcPr>
          <w:p>
            <w:pPr>
              <w:jc w:val="center"/>
              <w:ind w:right="140"/>
              <w:spacing w:after="0"/>
              <w:rPr>
                <w:sz w:val="20"/>
                <w:szCs w:val="20"/>
                <w:color w:val="auto"/>
              </w:rPr>
            </w:pPr>
            <w:r>
              <w:rPr>
                <w:rFonts w:ascii="Arial" w:cs="Arial" w:eastAsia="Arial" w:hAnsi="Arial"/>
                <w:sz w:val="12"/>
                <w:szCs w:val="12"/>
                <w:color w:val="auto"/>
                <w:w w:val="86"/>
              </w:rPr>
              <w:t>Consumer Goods: Durable</w:t>
            </w:r>
          </w:p>
        </w:tc>
        <w:tc>
          <w:tcPr>
            <w:tcW w:w="96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9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8,893</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244,998</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94,129</w:t>
            </w:r>
          </w:p>
        </w:tc>
        <w:tc>
          <w:tcPr>
            <w:tcW w:w="120" w:type="dxa"/>
            <w:vAlign w:val="bottom"/>
          </w:tcPr>
          <w:p>
            <w:pPr>
              <w:spacing w:after="0"/>
              <w:rPr>
                <w:sz w:val="12"/>
                <w:szCs w:val="12"/>
                <w:color w:val="auto"/>
              </w:rPr>
            </w:pPr>
          </w:p>
        </w:tc>
      </w:tr>
      <w:tr>
        <w:trPr>
          <w:trHeight w:val="149"/>
        </w:trPr>
        <w:tc>
          <w:tcPr>
            <w:tcW w:w="3340" w:type="dxa"/>
            <w:vAlign w:val="bottom"/>
            <w:shd w:val="clear" w:color="auto" w:fill="CCECFF"/>
          </w:tcPr>
          <w:p>
            <w:pPr>
              <w:spacing w:after="0" w:line="149" w:lineRule="exact"/>
              <w:rPr>
                <w:sz w:val="20"/>
                <w:szCs w:val="20"/>
                <w:color w:val="auto"/>
              </w:rPr>
            </w:pPr>
            <w:r>
              <w:rPr>
                <w:rFonts w:ascii="Arial" w:cs="Arial" w:eastAsia="Arial" w:hAnsi="Arial"/>
                <w:sz w:val="11"/>
                <w:szCs w:val="11"/>
                <w:color w:val="auto"/>
              </w:rPr>
              <w:t xml:space="preserve">AG Investco LP </w:t>
            </w:r>
            <w:r>
              <w:rPr>
                <w:rFonts w:ascii="Arial" w:cs="Arial" w:eastAsia="Arial" w:hAnsi="Arial"/>
                <w:sz w:val="17"/>
                <w:szCs w:val="17"/>
                <w:color w:val="auto"/>
                <w:vertAlign w:val="superscript"/>
              </w:rPr>
              <w:t>(7), (8)</w:t>
            </w:r>
          </w:p>
        </w:tc>
        <w:tc>
          <w:tcPr>
            <w:tcW w:w="120" w:type="dxa"/>
            <w:vAlign w:val="bottom"/>
            <w:shd w:val="clear" w:color="auto" w:fill="CCECFF"/>
          </w:tcPr>
          <w:p>
            <w:pPr>
              <w:spacing w:after="0"/>
              <w:rPr>
                <w:sz w:val="12"/>
                <w:szCs w:val="12"/>
                <w:color w:val="auto"/>
              </w:rPr>
            </w:pPr>
          </w:p>
        </w:tc>
        <w:tc>
          <w:tcPr>
            <w:tcW w:w="780" w:type="dxa"/>
            <w:vAlign w:val="bottom"/>
            <w:gridSpan w:val="2"/>
            <w:shd w:val="clear" w:color="auto" w:fill="CCECFF"/>
          </w:tcPr>
          <w:p>
            <w:pPr>
              <w:ind w:left="260"/>
              <w:spacing w:after="0"/>
              <w:rPr>
                <w:sz w:val="20"/>
                <w:szCs w:val="20"/>
                <w:color w:val="auto"/>
              </w:rPr>
            </w:pPr>
            <w:r>
              <w:rPr>
                <w:rFonts w:ascii="Arial" w:cs="Arial" w:eastAsia="Arial" w:hAnsi="Arial"/>
                <w:sz w:val="12"/>
                <w:szCs w:val="12"/>
                <w:color w:val="auto"/>
              </w:rPr>
              <w:t>—</w:t>
            </w:r>
          </w:p>
        </w:tc>
        <w:tc>
          <w:tcPr>
            <w:tcW w:w="2460" w:type="dxa"/>
            <w:vAlign w:val="bottom"/>
            <w:gridSpan w:val="2"/>
            <w:shd w:val="clear" w:color="auto" w:fill="CCECFF"/>
          </w:tcPr>
          <w:p>
            <w:pPr>
              <w:jc w:val="center"/>
              <w:ind w:right="120"/>
              <w:spacing w:after="0"/>
              <w:rPr>
                <w:sz w:val="20"/>
                <w:szCs w:val="20"/>
                <w:color w:val="auto"/>
              </w:rPr>
            </w:pPr>
            <w:r>
              <w:rPr>
                <w:rFonts w:ascii="Arial" w:cs="Arial" w:eastAsia="Arial" w:hAnsi="Arial"/>
                <w:sz w:val="12"/>
                <w:szCs w:val="12"/>
                <w:color w:val="auto"/>
                <w:w w:val="88"/>
              </w:rPr>
              <w:t>Software</w:t>
            </w:r>
          </w:p>
        </w:tc>
        <w:tc>
          <w:tcPr>
            <w:tcW w:w="960" w:type="dxa"/>
            <w:vAlign w:val="bottom"/>
            <w:gridSpan w:val="2"/>
            <w:shd w:val="clear" w:color="auto" w:fill="CCECFF"/>
          </w:tcPr>
          <w:p>
            <w:pPr>
              <w:jc w:val="right"/>
              <w:ind w:right="300"/>
              <w:spacing w:after="0"/>
              <w:rPr>
                <w:sz w:val="20"/>
                <w:szCs w:val="20"/>
                <w:color w:val="auto"/>
              </w:rPr>
            </w:pPr>
            <w:r>
              <w:rPr>
                <w:rFonts w:ascii="Arial" w:cs="Arial" w:eastAsia="Arial" w:hAnsi="Arial"/>
                <w:sz w:val="12"/>
                <w:szCs w:val="12"/>
                <w:color w:val="auto"/>
              </w:rPr>
              <w:t>—</w:t>
            </w: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714,652</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714,652</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714,652</w:t>
            </w:r>
          </w:p>
        </w:tc>
        <w:tc>
          <w:tcPr>
            <w:tcW w:w="120" w:type="dxa"/>
            <w:vAlign w:val="bottom"/>
            <w:shd w:val="clear" w:color="auto" w:fill="CCECFF"/>
          </w:tcPr>
          <w:p>
            <w:pPr>
              <w:spacing w:after="0"/>
              <w:rPr>
                <w:sz w:val="12"/>
                <w:szCs w:val="12"/>
                <w:color w:val="auto"/>
              </w:rPr>
            </w:pPr>
          </w:p>
        </w:tc>
      </w:tr>
      <w:tr>
        <w:trPr>
          <w:trHeight w:val="148"/>
        </w:trPr>
        <w:tc>
          <w:tcPr>
            <w:tcW w:w="3340" w:type="dxa"/>
            <w:vAlign w:val="bottom"/>
          </w:tcPr>
          <w:p>
            <w:pPr>
              <w:spacing w:after="0" w:line="149" w:lineRule="exact"/>
              <w:rPr>
                <w:sz w:val="20"/>
                <w:szCs w:val="20"/>
                <w:color w:val="auto"/>
              </w:rPr>
            </w:pPr>
            <w:r>
              <w:rPr>
                <w:rFonts w:ascii="Arial" w:cs="Arial" w:eastAsia="Arial" w:hAnsi="Arial"/>
                <w:sz w:val="11"/>
                <w:szCs w:val="11"/>
                <w:color w:val="auto"/>
              </w:rPr>
              <w:t xml:space="preserve">AG Investco LP </w:t>
            </w:r>
            <w:r>
              <w:rPr>
                <w:rFonts w:ascii="Arial" w:cs="Arial" w:eastAsia="Arial" w:hAnsi="Arial"/>
                <w:sz w:val="17"/>
                <w:szCs w:val="17"/>
                <w:color w:val="auto"/>
                <w:vertAlign w:val="superscript"/>
              </w:rPr>
              <w:t>(7), (8), (9)</w:t>
            </w:r>
          </w:p>
        </w:tc>
        <w:tc>
          <w:tcPr>
            <w:tcW w:w="120" w:type="dxa"/>
            <w:vAlign w:val="bottom"/>
          </w:tcPr>
          <w:p>
            <w:pPr>
              <w:spacing w:after="0"/>
              <w:rPr>
                <w:sz w:val="12"/>
                <w:szCs w:val="12"/>
                <w:color w:val="auto"/>
              </w:rPr>
            </w:pPr>
          </w:p>
        </w:tc>
        <w:tc>
          <w:tcPr>
            <w:tcW w:w="780" w:type="dxa"/>
            <w:vAlign w:val="bottom"/>
            <w:gridSpan w:val="2"/>
          </w:tcPr>
          <w:p>
            <w:pPr>
              <w:ind w:left="260"/>
              <w:spacing w:after="0"/>
              <w:rPr>
                <w:sz w:val="20"/>
                <w:szCs w:val="20"/>
                <w:color w:val="auto"/>
              </w:rPr>
            </w:pPr>
            <w:r>
              <w:rPr>
                <w:rFonts w:ascii="Arial" w:cs="Arial" w:eastAsia="Arial" w:hAnsi="Arial"/>
                <w:sz w:val="12"/>
                <w:szCs w:val="12"/>
                <w:color w:val="auto"/>
              </w:rPr>
              <w:t>—</w:t>
            </w:r>
          </w:p>
        </w:tc>
        <w:tc>
          <w:tcPr>
            <w:tcW w:w="2460" w:type="dxa"/>
            <w:vAlign w:val="bottom"/>
            <w:gridSpan w:val="2"/>
          </w:tcPr>
          <w:p>
            <w:pPr>
              <w:jc w:val="center"/>
              <w:ind w:right="120"/>
              <w:spacing w:after="0"/>
              <w:rPr>
                <w:sz w:val="20"/>
                <w:szCs w:val="20"/>
                <w:color w:val="auto"/>
              </w:rPr>
            </w:pPr>
            <w:r>
              <w:rPr>
                <w:rFonts w:ascii="Arial" w:cs="Arial" w:eastAsia="Arial" w:hAnsi="Arial"/>
                <w:sz w:val="12"/>
                <w:szCs w:val="12"/>
                <w:color w:val="auto"/>
                <w:w w:val="88"/>
              </w:rPr>
              <w:t>Software</w:t>
            </w:r>
          </w:p>
        </w:tc>
        <w:tc>
          <w:tcPr>
            <w:tcW w:w="96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9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285,348</w:t>
            </w:r>
          </w:p>
        </w:tc>
        <w:tc>
          <w:tcPr>
            <w:tcW w:w="24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r>
      <w:tr>
        <w:trPr>
          <w:trHeight w:val="148"/>
        </w:trPr>
        <w:tc>
          <w:tcPr>
            <w:tcW w:w="3340" w:type="dxa"/>
            <w:vAlign w:val="bottom"/>
            <w:shd w:val="clear" w:color="auto" w:fill="CCECFF"/>
          </w:tcPr>
          <w:p>
            <w:pPr>
              <w:spacing w:after="0" w:line="149" w:lineRule="exact"/>
              <w:rPr>
                <w:sz w:val="20"/>
                <w:szCs w:val="20"/>
                <w:color w:val="auto"/>
              </w:rPr>
            </w:pPr>
            <w:r>
              <w:rPr>
                <w:rFonts w:ascii="Arial" w:cs="Arial" w:eastAsia="Arial" w:hAnsi="Arial"/>
                <w:sz w:val="11"/>
                <w:szCs w:val="11"/>
                <w:color w:val="auto"/>
              </w:rPr>
              <w:t xml:space="preserve">Altamira Intermediate Company II, Inc. </w:t>
            </w:r>
            <w:r>
              <w:rPr>
                <w:rFonts w:ascii="Arial" w:cs="Arial" w:eastAsia="Arial" w:hAnsi="Arial"/>
                <w:sz w:val="17"/>
                <w:szCs w:val="17"/>
                <w:color w:val="auto"/>
                <w:vertAlign w:val="superscript"/>
              </w:rPr>
              <w:t>(7)</w:t>
            </w:r>
          </w:p>
        </w:tc>
        <w:tc>
          <w:tcPr>
            <w:tcW w:w="120" w:type="dxa"/>
            <w:vAlign w:val="bottom"/>
            <w:shd w:val="clear" w:color="auto" w:fill="CCECFF"/>
          </w:tcPr>
          <w:p>
            <w:pPr>
              <w:spacing w:after="0"/>
              <w:rPr>
                <w:sz w:val="12"/>
                <w:szCs w:val="12"/>
                <w:color w:val="auto"/>
              </w:rPr>
            </w:pPr>
          </w:p>
        </w:tc>
        <w:tc>
          <w:tcPr>
            <w:tcW w:w="780" w:type="dxa"/>
            <w:vAlign w:val="bottom"/>
            <w:gridSpan w:val="2"/>
            <w:shd w:val="clear" w:color="auto" w:fill="CCECFF"/>
          </w:tcPr>
          <w:p>
            <w:pPr>
              <w:ind w:left="260"/>
              <w:spacing w:after="0"/>
              <w:rPr>
                <w:sz w:val="20"/>
                <w:szCs w:val="20"/>
                <w:color w:val="auto"/>
              </w:rPr>
            </w:pPr>
            <w:r>
              <w:rPr>
                <w:rFonts w:ascii="Arial" w:cs="Arial" w:eastAsia="Arial" w:hAnsi="Arial"/>
                <w:sz w:val="12"/>
                <w:szCs w:val="12"/>
                <w:color w:val="auto"/>
              </w:rPr>
              <w:t>—</w:t>
            </w:r>
          </w:p>
        </w:tc>
        <w:tc>
          <w:tcPr>
            <w:tcW w:w="246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86"/>
              </w:rPr>
              <w:t>IT Services</w:t>
            </w:r>
          </w:p>
        </w:tc>
        <w:tc>
          <w:tcPr>
            <w:tcW w:w="960" w:type="dxa"/>
            <w:vAlign w:val="bottom"/>
            <w:gridSpan w:val="2"/>
            <w:shd w:val="clear" w:color="auto" w:fill="CCECFF"/>
          </w:tcPr>
          <w:p>
            <w:pPr>
              <w:jc w:val="right"/>
              <w:ind w:right="300"/>
              <w:spacing w:after="0"/>
              <w:rPr>
                <w:sz w:val="20"/>
                <w:szCs w:val="20"/>
                <w:color w:val="auto"/>
              </w:rPr>
            </w:pPr>
            <w:r>
              <w:rPr>
                <w:rFonts w:ascii="Arial" w:cs="Arial" w:eastAsia="Arial" w:hAnsi="Arial"/>
                <w:sz w:val="12"/>
                <w:szCs w:val="12"/>
                <w:color w:val="auto"/>
              </w:rPr>
              <w:t>—</w:t>
            </w: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1,437,500</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1,437,500</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1,437,500</w:t>
            </w:r>
          </w:p>
        </w:tc>
        <w:tc>
          <w:tcPr>
            <w:tcW w:w="120" w:type="dxa"/>
            <w:vAlign w:val="bottom"/>
            <w:shd w:val="clear" w:color="auto" w:fill="CCECFF"/>
          </w:tcPr>
          <w:p>
            <w:pPr>
              <w:spacing w:after="0"/>
              <w:rPr>
                <w:sz w:val="12"/>
                <w:szCs w:val="12"/>
                <w:color w:val="auto"/>
              </w:rPr>
            </w:pPr>
          </w:p>
        </w:tc>
      </w:tr>
      <w:tr>
        <w:trPr>
          <w:trHeight w:val="148"/>
        </w:trPr>
        <w:tc>
          <w:tcPr>
            <w:tcW w:w="3340" w:type="dxa"/>
            <w:vAlign w:val="bottom"/>
          </w:tcPr>
          <w:p>
            <w:pPr>
              <w:spacing w:after="0" w:line="149" w:lineRule="exact"/>
              <w:rPr>
                <w:sz w:val="20"/>
                <w:szCs w:val="20"/>
                <w:color w:val="auto"/>
              </w:rPr>
            </w:pPr>
            <w:r>
              <w:rPr>
                <w:rFonts w:ascii="Arial" w:cs="Arial" w:eastAsia="Arial" w:hAnsi="Arial"/>
                <w:sz w:val="11"/>
                <w:szCs w:val="11"/>
                <w:color w:val="auto"/>
              </w:rPr>
              <w:t xml:space="preserve">By Light Investco LP </w:t>
            </w:r>
            <w:r>
              <w:rPr>
                <w:rFonts w:ascii="Arial" w:cs="Arial" w:eastAsia="Arial" w:hAnsi="Arial"/>
                <w:sz w:val="17"/>
                <w:szCs w:val="17"/>
                <w:color w:val="auto"/>
                <w:vertAlign w:val="superscript"/>
              </w:rPr>
              <w:t>(7), (8)</w:t>
            </w:r>
          </w:p>
        </w:tc>
        <w:tc>
          <w:tcPr>
            <w:tcW w:w="120" w:type="dxa"/>
            <w:vAlign w:val="bottom"/>
          </w:tcPr>
          <w:p>
            <w:pPr>
              <w:spacing w:after="0"/>
              <w:rPr>
                <w:sz w:val="12"/>
                <w:szCs w:val="12"/>
                <w:color w:val="auto"/>
              </w:rPr>
            </w:pPr>
          </w:p>
        </w:tc>
        <w:tc>
          <w:tcPr>
            <w:tcW w:w="780" w:type="dxa"/>
            <w:vAlign w:val="bottom"/>
            <w:gridSpan w:val="2"/>
          </w:tcPr>
          <w:p>
            <w:pPr>
              <w:ind w:left="260"/>
              <w:spacing w:after="0"/>
              <w:rPr>
                <w:sz w:val="20"/>
                <w:szCs w:val="20"/>
                <w:color w:val="auto"/>
              </w:rPr>
            </w:pPr>
            <w:r>
              <w:rPr>
                <w:rFonts w:ascii="Arial" w:cs="Arial" w:eastAsia="Arial" w:hAnsi="Arial"/>
                <w:sz w:val="12"/>
                <w:szCs w:val="12"/>
                <w:color w:val="auto"/>
              </w:rPr>
              <w:t>—</w:t>
            </w:r>
          </w:p>
        </w:tc>
        <w:tc>
          <w:tcPr>
            <w:tcW w:w="2460" w:type="dxa"/>
            <w:vAlign w:val="bottom"/>
            <w:gridSpan w:val="2"/>
          </w:tcPr>
          <w:p>
            <w:pPr>
              <w:jc w:val="center"/>
              <w:ind w:right="120"/>
              <w:spacing w:after="0"/>
              <w:rPr>
                <w:sz w:val="20"/>
                <w:szCs w:val="20"/>
                <w:color w:val="auto"/>
              </w:rPr>
            </w:pPr>
            <w:r>
              <w:rPr>
                <w:rFonts w:ascii="Arial" w:cs="Arial" w:eastAsia="Arial" w:hAnsi="Arial"/>
                <w:sz w:val="12"/>
                <w:szCs w:val="12"/>
                <w:color w:val="auto"/>
                <w:w w:val="89"/>
              </w:rPr>
              <w:t>High Tech Industries</w:t>
            </w:r>
          </w:p>
        </w:tc>
        <w:tc>
          <w:tcPr>
            <w:tcW w:w="96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9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21,908</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2,190,771</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9,218,753</w:t>
            </w:r>
          </w:p>
        </w:tc>
        <w:tc>
          <w:tcPr>
            <w:tcW w:w="120" w:type="dxa"/>
            <w:vAlign w:val="bottom"/>
          </w:tcPr>
          <w:p>
            <w:pPr>
              <w:spacing w:after="0"/>
              <w:rPr>
                <w:sz w:val="12"/>
                <w:szCs w:val="12"/>
                <w:color w:val="auto"/>
              </w:rPr>
            </w:pPr>
          </w:p>
        </w:tc>
      </w:tr>
      <w:tr>
        <w:trPr>
          <w:trHeight w:val="148"/>
        </w:trPr>
        <w:tc>
          <w:tcPr>
            <w:tcW w:w="3340" w:type="dxa"/>
            <w:vAlign w:val="bottom"/>
            <w:shd w:val="clear" w:color="auto" w:fill="CCECFF"/>
          </w:tcPr>
          <w:p>
            <w:pPr>
              <w:spacing w:after="0" w:line="149" w:lineRule="exact"/>
              <w:rPr>
                <w:sz w:val="20"/>
                <w:szCs w:val="20"/>
                <w:color w:val="auto"/>
              </w:rPr>
            </w:pPr>
            <w:r>
              <w:rPr>
                <w:rFonts w:ascii="Arial" w:cs="Arial" w:eastAsia="Arial" w:hAnsi="Arial"/>
                <w:sz w:val="11"/>
                <w:szCs w:val="11"/>
                <w:color w:val="auto"/>
              </w:rPr>
              <w:t xml:space="preserve">By Light Investco LP </w:t>
            </w:r>
            <w:r>
              <w:rPr>
                <w:rFonts w:ascii="Arial" w:cs="Arial" w:eastAsia="Arial" w:hAnsi="Arial"/>
                <w:sz w:val="17"/>
                <w:szCs w:val="17"/>
                <w:color w:val="auto"/>
                <w:vertAlign w:val="superscript"/>
              </w:rPr>
              <w:t>(7), (8), (9)</w:t>
            </w:r>
          </w:p>
        </w:tc>
        <w:tc>
          <w:tcPr>
            <w:tcW w:w="120" w:type="dxa"/>
            <w:vAlign w:val="bottom"/>
            <w:shd w:val="clear" w:color="auto" w:fill="CCECFF"/>
          </w:tcPr>
          <w:p>
            <w:pPr>
              <w:spacing w:after="0"/>
              <w:rPr>
                <w:sz w:val="12"/>
                <w:szCs w:val="12"/>
                <w:color w:val="auto"/>
              </w:rPr>
            </w:pPr>
          </w:p>
        </w:tc>
        <w:tc>
          <w:tcPr>
            <w:tcW w:w="780" w:type="dxa"/>
            <w:vAlign w:val="bottom"/>
            <w:gridSpan w:val="2"/>
            <w:shd w:val="clear" w:color="auto" w:fill="CCECFF"/>
          </w:tcPr>
          <w:p>
            <w:pPr>
              <w:ind w:left="260"/>
              <w:spacing w:after="0"/>
              <w:rPr>
                <w:sz w:val="20"/>
                <w:szCs w:val="20"/>
                <w:color w:val="auto"/>
              </w:rPr>
            </w:pPr>
            <w:r>
              <w:rPr>
                <w:rFonts w:ascii="Arial" w:cs="Arial" w:eastAsia="Arial" w:hAnsi="Arial"/>
                <w:sz w:val="12"/>
                <w:szCs w:val="12"/>
                <w:color w:val="auto"/>
              </w:rPr>
              <w:t>—</w:t>
            </w:r>
          </w:p>
        </w:tc>
        <w:tc>
          <w:tcPr>
            <w:tcW w:w="2460" w:type="dxa"/>
            <w:vAlign w:val="bottom"/>
            <w:gridSpan w:val="2"/>
            <w:shd w:val="clear" w:color="auto" w:fill="CCECFF"/>
          </w:tcPr>
          <w:p>
            <w:pPr>
              <w:jc w:val="center"/>
              <w:ind w:right="120"/>
              <w:spacing w:after="0"/>
              <w:rPr>
                <w:sz w:val="20"/>
                <w:szCs w:val="20"/>
                <w:color w:val="auto"/>
              </w:rPr>
            </w:pPr>
            <w:r>
              <w:rPr>
                <w:rFonts w:ascii="Arial" w:cs="Arial" w:eastAsia="Arial" w:hAnsi="Arial"/>
                <w:sz w:val="12"/>
                <w:szCs w:val="12"/>
                <w:color w:val="auto"/>
                <w:w w:val="89"/>
              </w:rPr>
              <w:t>High Tech Industries</w:t>
            </w:r>
          </w:p>
        </w:tc>
        <w:tc>
          <w:tcPr>
            <w:tcW w:w="960" w:type="dxa"/>
            <w:vAlign w:val="bottom"/>
            <w:gridSpan w:val="2"/>
            <w:shd w:val="clear" w:color="auto" w:fill="CCECFF"/>
          </w:tcPr>
          <w:p>
            <w:pPr>
              <w:jc w:val="right"/>
              <w:ind w:right="300"/>
              <w:spacing w:after="0"/>
              <w:rPr>
                <w:sz w:val="20"/>
                <w:szCs w:val="20"/>
                <w:color w:val="auto"/>
              </w:rPr>
            </w:pPr>
            <w:r>
              <w:rPr>
                <w:rFonts w:ascii="Arial" w:cs="Arial" w:eastAsia="Arial" w:hAnsi="Arial"/>
                <w:sz w:val="12"/>
                <w:szCs w:val="12"/>
                <w:color w:val="auto"/>
              </w:rPr>
              <w:t>—</w:t>
            </w: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5,592</w:t>
            </w:r>
          </w:p>
        </w:tc>
        <w:tc>
          <w:tcPr>
            <w:tcW w:w="240" w:type="dxa"/>
            <w:vAlign w:val="bottom"/>
            <w:shd w:val="clear" w:color="auto" w:fill="CCECFF"/>
          </w:tcPr>
          <w:p>
            <w:pPr>
              <w:spacing w:after="0"/>
              <w:rPr>
                <w:sz w:val="12"/>
                <w:szCs w:val="12"/>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CFF"/>
          </w:tcPr>
          <w:p>
            <w:pPr>
              <w:spacing w:after="0"/>
              <w:rPr>
                <w:sz w:val="12"/>
                <w:szCs w:val="12"/>
                <w:color w:val="auto"/>
              </w:rPr>
            </w:pPr>
          </w:p>
        </w:tc>
        <w:tc>
          <w:tcPr>
            <w:tcW w:w="82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w:t>
            </w:r>
          </w:p>
        </w:tc>
      </w:tr>
      <w:tr>
        <w:trPr>
          <w:trHeight w:val="146"/>
        </w:trPr>
        <w:tc>
          <w:tcPr>
            <w:tcW w:w="3340" w:type="dxa"/>
            <w:vAlign w:val="bottom"/>
          </w:tcPr>
          <w:p>
            <w:pPr>
              <w:spacing w:after="0"/>
              <w:rPr>
                <w:sz w:val="20"/>
                <w:szCs w:val="20"/>
                <w:color w:val="auto"/>
              </w:rPr>
            </w:pPr>
            <w:r>
              <w:rPr>
                <w:rFonts w:ascii="Arial" w:cs="Arial" w:eastAsia="Arial" w:hAnsi="Arial"/>
                <w:sz w:val="12"/>
                <w:szCs w:val="12"/>
                <w:color w:val="auto"/>
              </w:rPr>
              <w:t>CI (Allied) Investment Holdings, LLC</w:t>
            </w:r>
          </w:p>
        </w:tc>
        <w:tc>
          <w:tcPr>
            <w:tcW w:w="120" w:type="dxa"/>
            <w:vAlign w:val="bottom"/>
          </w:tcPr>
          <w:p>
            <w:pPr>
              <w:spacing w:after="0"/>
              <w:rPr>
                <w:sz w:val="12"/>
                <w:szCs w:val="12"/>
                <w:color w:val="auto"/>
              </w:rPr>
            </w:pPr>
          </w:p>
        </w:tc>
        <w:tc>
          <w:tcPr>
            <w:tcW w:w="780" w:type="dxa"/>
            <w:vAlign w:val="bottom"/>
            <w:gridSpan w:val="2"/>
          </w:tcPr>
          <w:p>
            <w:pPr>
              <w:ind w:left="260"/>
              <w:spacing w:after="0"/>
              <w:rPr>
                <w:sz w:val="20"/>
                <w:szCs w:val="20"/>
                <w:color w:val="auto"/>
              </w:rPr>
            </w:pPr>
            <w:r>
              <w:rPr>
                <w:rFonts w:ascii="Arial" w:cs="Arial" w:eastAsia="Arial" w:hAnsi="Arial"/>
                <w:sz w:val="12"/>
                <w:szCs w:val="12"/>
                <w:color w:val="auto"/>
              </w:rPr>
              <w:t>—</w:t>
            </w:r>
          </w:p>
        </w:tc>
        <w:tc>
          <w:tcPr>
            <w:tcW w:w="2460" w:type="dxa"/>
            <w:vAlign w:val="bottom"/>
            <w:gridSpan w:val="2"/>
          </w:tcPr>
          <w:p>
            <w:pPr>
              <w:jc w:val="center"/>
              <w:ind w:right="140"/>
              <w:spacing w:after="0"/>
              <w:rPr>
                <w:sz w:val="20"/>
                <w:szCs w:val="20"/>
                <w:color w:val="auto"/>
              </w:rPr>
            </w:pPr>
            <w:r>
              <w:rPr>
                <w:rFonts w:ascii="Arial" w:cs="Arial" w:eastAsia="Arial" w:hAnsi="Arial"/>
                <w:sz w:val="12"/>
                <w:szCs w:val="12"/>
                <w:color w:val="auto"/>
                <w:w w:val="85"/>
              </w:rPr>
              <w:t>Business Services</w:t>
            </w:r>
          </w:p>
        </w:tc>
        <w:tc>
          <w:tcPr>
            <w:tcW w:w="96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9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120,962</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1,243,217</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1,260,269</w:t>
            </w:r>
          </w:p>
        </w:tc>
        <w:tc>
          <w:tcPr>
            <w:tcW w:w="120" w:type="dxa"/>
            <w:vAlign w:val="bottom"/>
          </w:tcPr>
          <w:p>
            <w:pPr>
              <w:spacing w:after="0"/>
              <w:rPr>
                <w:sz w:val="12"/>
                <w:szCs w:val="12"/>
                <w:color w:val="auto"/>
              </w:rPr>
            </w:pPr>
          </w:p>
        </w:tc>
      </w:tr>
      <w:tr>
        <w:trPr>
          <w:trHeight w:val="151"/>
        </w:trPr>
        <w:tc>
          <w:tcPr>
            <w:tcW w:w="3340" w:type="dxa"/>
            <w:vAlign w:val="bottom"/>
          </w:tcPr>
          <w:p>
            <w:pPr>
              <w:ind w:left="140"/>
              <w:spacing w:after="0" w:line="150" w:lineRule="exact"/>
              <w:rPr>
                <w:sz w:val="20"/>
                <w:szCs w:val="20"/>
                <w:color w:val="auto"/>
              </w:rPr>
            </w:pPr>
            <w:r>
              <w:rPr>
                <w:rFonts w:ascii="Arial" w:cs="Arial" w:eastAsia="Arial" w:hAnsi="Arial"/>
                <w:sz w:val="11"/>
                <w:szCs w:val="11"/>
                <w:color w:val="auto"/>
              </w:rPr>
              <w:t xml:space="preserve">(Allied America, Inc.) </w:t>
            </w:r>
            <w:r>
              <w:rPr>
                <w:rFonts w:ascii="Arial" w:cs="Arial" w:eastAsia="Arial" w:hAnsi="Arial"/>
                <w:sz w:val="17"/>
                <w:szCs w:val="17"/>
                <w:color w:val="auto"/>
                <w:vertAlign w:val="superscript"/>
              </w:rPr>
              <w:t>(7), (8)</w:t>
            </w: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48"/>
        </w:trPr>
        <w:tc>
          <w:tcPr>
            <w:tcW w:w="3340" w:type="dxa"/>
            <w:vAlign w:val="bottom"/>
            <w:shd w:val="clear" w:color="auto" w:fill="CCECFF"/>
          </w:tcPr>
          <w:p>
            <w:pPr>
              <w:spacing w:after="0"/>
              <w:rPr>
                <w:sz w:val="20"/>
                <w:szCs w:val="20"/>
                <w:color w:val="auto"/>
              </w:rPr>
            </w:pPr>
            <w:r>
              <w:rPr>
                <w:rFonts w:ascii="Arial" w:cs="Arial" w:eastAsia="Arial" w:hAnsi="Arial"/>
                <w:sz w:val="12"/>
                <w:szCs w:val="12"/>
                <w:color w:val="auto"/>
              </w:rPr>
              <w:t>CI (PTN) Investment Holdings II, LLC</w:t>
            </w:r>
          </w:p>
        </w:tc>
        <w:tc>
          <w:tcPr>
            <w:tcW w:w="120" w:type="dxa"/>
            <w:vAlign w:val="bottom"/>
            <w:shd w:val="clear" w:color="auto" w:fill="CCECFF"/>
          </w:tcPr>
          <w:p>
            <w:pPr>
              <w:spacing w:after="0"/>
              <w:rPr>
                <w:sz w:val="12"/>
                <w:szCs w:val="12"/>
                <w:color w:val="auto"/>
              </w:rPr>
            </w:pPr>
          </w:p>
        </w:tc>
        <w:tc>
          <w:tcPr>
            <w:tcW w:w="780" w:type="dxa"/>
            <w:vAlign w:val="bottom"/>
            <w:gridSpan w:val="2"/>
            <w:shd w:val="clear" w:color="auto" w:fill="CCECFF"/>
          </w:tcPr>
          <w:p>
            <w:pPr>
              <w:ind w:left="260"/>
              <w:spacing w:after="0"/>
              <w:rPr>
                <w:sz w:val="20"/>
                <w:szCs w:val="20"/>
                <w:color w:val="auto"/>
              </w:rPr>
            </w:pPr>
            <w:r>
              <w:rPr>
                <w:rFonts w:ascii="Arial" w:cs="Arial" w:eastAsia="Arial" w:hAnsi="Arial"/>
                <w:sz w:val="12"/>
                <w:szCs w:val="12"/>
                <w:color w:val="auto"/>
              </w:rPr>
              <w:t>—</w:t>
            </w:r>
          </w:p>
        </w:tc>
        <w:tc>
          <w:tcPr>
            <w:tcW w:w="2460" w:type="dxa"/>
            <w:vAlign w:val="bottom"/>
            <w:gridSpan w:val="2"/>
            <w:shd w:val="clear" w:color="auto" w:fill="CCECFF"/>
          </w:tcPr>
          <w:p>
            <w:pPr>
              <w:jc w:val="center"/>
              <w:ind w:right="120"/>
              <w:spacing w:after="0"/>
              <w:rPr>
                <w:sz w:val="20"/>
                <w:szCs w:val="20"/>
                <w:color w:val="auto"/>
              </w:rPr>
            </w:pPr>
            <w:r>
              <w:rPr>
                <w:rFonts w:ascii="Arial" w:cs="Arial" w:eastAsia="Arial" w:hAnsi="Arial"/>
                <w:sz w:val="12"/>
                <w:szCs w:val="12"/>
                <w:color w:val="auto"/>
                <w:w w:val="86"/>
              </w:rPr>
              <w:t>Healthcare and Pharmaceuticals</w:t>
            </w:r>
          </w:p>
        </w:tc>
        <w:tc>
          <w:tcPr>
            <w:tcW w:w="960" w:type="dxa"/>
            <w:vAlign w:val="bottom"/>
            <w:gridSpan w:val="2"/>
            <w:shd w:val="clear" w:color="auto" w:fill="CCECFF"/>
          </w:tcPr>
          <w:p>
            <w:pPr>
              <w:jc w:val="right"/>
              <w:ind w:right="300"/>
              <w:spacing w:after="0"/>
              <w:rPr>
                <w:sz w:val="20"/>
                <w:szCs w:val="20"/>
                <w:color w:val="auto"/>
              </w:rPr>
            </w:pPr>
            <w:r>
              <w:rPr>
                <w:rFonts w:ascii="Arial" w:cs="Arial" w:eastAsia="Arial" w:hAnsi="Arial"/>
                <w:sz w:val="12"/>
                <w:szCs w:val="12"/>
                <w:color w:val="auto"/>
              </w:rPr>
              <w:t>—</w:t>
            </w: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13,333</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200,000</w:t>
            </w:r>
          </w:p>
        </w:tc>
        <w:tc>
          <w:tcPr>
            <w:tcW w:w="240" w:type="dxa"/>
            <w:vAlign w:val="bottom"/>
            <w:shd w:val="clear" w:color="auto" w:fill="CCECFF"/>
          </w:tcPr>
          <w:p>
            <w:pPr>
              <w:spacing w:after="0"/>
              <w:rPr>
                <w:sz w:val="12"/>
                <w:szCs w:val="12"/>
                <w:color w:val="auto"/>
              </w:rPr>
            </w:pPr>
          </w:p>
        </w:tc>
        <w:tc>
          <w:tcPr>
            <w:tcW w:w="82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w:t>
            </w:r>
          </w:p>
        </w:tc>
      </w:tr>
      <w:tr>
        <w:trPr>
          <w:trHeight w:val="148"/>
        </w:trPr>
        <w:tc>
          <w:tcPr>
            <w:tcW w:w="3340" w:type="dxa"/>
            <w:vAlign w:val="bottom"/>
            <w:shd w:val="clear" w:color="auto" w:fill="CCECFF"/>
          </w:tcPr>
          <w:p>
            <w:pPr>
              <w:ind w:left="140"/>
              <w:spacing w:after="0" w:line="149" w:lineRule="exact"/>
              <w:rPr>
                <w:sz w:val="20"/>
                <w:szCs w:val="20"/>
                <w:color w:val="auto"/>
              </w:rPr>
            </w:pPr>
            <w:r>
              <w:rPr>
                <w:rFonts w:ascii="Arial" w:cs="Arial" w:eastAsia="Arial" w:hAnsi="Arial"/>
                <w:sz w:val="11"/>
                <w:szCs w:val="11"/>
                <w:color w:val="auto"/>
              </w:rPr>
              <w:t xml:space="preserve">(PT Network, LLC) </w:t>
            </w:r>
            <w:r>
              <w:rPr>
                <w:rFonts w:ascii="Arial" w:cs="Arial" w:eastAsia="Arial" w:hAnsi="Arial"/>
                <w:sz w:val="17"/>
                <w:szCs w:val="17"/>
                <w:color w:val="auto"/>
                <w:vertAlign w:val="superscript"/>
              </w:rPr>
              <w:t>(7), (8)</w:t>
            </w:r>
          </w:p>
        </w:tc>
        <w:tc>
          <w:tcPr>
            <w:tcW w:w="120" w:type="dxa"/>
            <w:vAlign w:val="bottom"/>
            <w:shd w:val="clear" w:color="auto" w:fill="CCECFF"/>
          </w:tcPr>
          <w:p>
            <w:pPr>
              <w:spacing w:after="0"/>
              <w:rPr>
                <w:sz w:val="12"/>
                <w:szCs w:val="12"/>
                <w:color w:val="auto"/>
              </w:rPr>
            </w:pPr>
          </w:p>
        </w:tc>
        <w:tc>
          <w:tcPr>
            <w:tcW w:w="54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234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8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70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70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r>
      <w:tr>
        <w:trPr>
          <w:trHeight w:val="146"/>
        </w:trPr>
        <w:tc>
          <w:tcPr>
            <w:tcW w:w="3340" w:type="dxa"/>
            <w:vAlign w:val="bottom"/>
          </w:tcPr>
          <w:p>
            <w:pPr>
              <w:spacing w:after="0"/>
              <w:rPr>
                <w:sz w:val="20"/>
                <w:szCs w:val="20"/>
                <w:color w:val="auto"/>
              </w:rPr>
            </w:pPr>
            <w:r>
              <w:rPr>
                <w:rFonts w:ascii="Arial" w:cs="Arial" w:eastAsia="Arial" w:hAnsi="Arial"/>
                <w:sz w:val="12"/>
                <w:szCs w:val="12"/>
                <w:color w:val="auto"/>
              </w:rPr>
              <w:t>CI (Summit) Investment Holdings, LLC</w:t>
            </w:r>
          </w:p>
        </w:tc>
        <w:tc>
          <w:tcPr>
            <w:tcW w:w="120" w:type="dxa"/>
            <w:vAlign w:val="bottom"/>
          </w:tcPr>
          <w:p>
            <w:pPr>
              <w:spacing w:after="0"/>
              <w:rPr>
                <w:sz w:val="12"/>
                <w:szCs w:val="12"/>
                <w:color w:val="auto"/>
              </w:rPr>
            </w:pPr>
          </w:p>
        </w:tc>
        <w:tc>
          <w:tcPr>
            <w:tcW w:w="780" w:type="dxa"/>
            <w:vAlign w:val="bottom"/>
            <w:gridSpan w:val="2"/>
          </w:tcPr>
          <w:p>
            <w:pPr>
              <w:ind w:left="260"/>
              <w:spacing w:after="0"/>
              <w:rPr>
                <w:sz w:val="20"/>
                <w:szCs w:val="20"/>
                <w:color w:val="auto"/>
              </w:rPr>
            </w:pPr>
            <w:r>
              <w:rPr>
                <w:rFonts w:ascii="Arial" w:cs="Arial" w:eastAsia="Arial" w:hAnsi="Arial"/>
                <w:sz w:val="12"/>
                <w:szCs w:val="12"/>
                <w:color w:val="auto"/>
              </w:rPr>
              <w:t>—</w:t>
            </w:r>
          </w:p>
        </w:tc>
        <w:tc>
          <w:tcPr>
            <w:tcW w:w="2460" w:type="dxa"/>
            <w:vAlign w:val="bottom"/>
            <w:gridSpan w:val="2"/>
          </w:tcPr>
          <w:p>
            <w:pPr>
              <w:jc w:val="center"/>
              <w:ind w:right="140"/>
              <w:spacing w:after="0"/>
              <w:rPr>
                <w:sz w:val="20"/>
                <w:szCs w:val="20"/>
                <w:color w:val="auto"/>
              </w:rPr>
            </w:pPr>
            <w:r>
              <w:rPr>
                <w:rFonts w:ascii="Arial" w:cs="Arial" w:eastAsia="Arial" w:hAnsi="Arial"/>
                <w:sz w:val="12"/>
                <w:szCs w:val="12"/>
                <w:color w:val="auto"/>
                <w:w w:val="90"/>
              </w:rPr>
              <w:t>Construction and Building</w:t>
            </w:r>
          </w:p>
        </w:tc>
        <w:tc>
          <w:tcPr>
            <w:tcW w:w="96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9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54,907</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581,995</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720,588</w:t>
            </w:r>
          </w:p>
        </w:tc>
        <w:tc>
          <w:tcPr>
            <w:tcW w:w="120" w:type="dxa"/>
            <w:vAlign w:val="bottom"/>
          </w:tcPr>
          <w:p>
            <w:pPr>
              <w:spacing w:after="0"/>
              <w:rPr>
                <w:sz w:val="12"/>
                <w:szCs w:val="12"/>
                <w:color w:val="auto"/>
              </w:rPr>
            </w:pPr>
          </w:p>
        </w:tc>
      </w:tr>
      <w:tr>
        <w:trPr>
          <w:trHeight w:val="151"/>
        </w:trPr>
        <w:tc>
          <w:tcPr>
            <w:tcW w:w="3340" w:type="dxa"/>
            <w:vAlign w:val="bottom"/>
          </w:tcPr>
          <w:p>
            <w:pPr>
              <w:ind w:left="140"/>
              <w:spacing w:after="0" w:line="150" w:lineRule="exact"/>
              <w:rPr>
                <w:sz w:val="20"/>
                <w:szCs w:val="20"/>
                <w:color w:val="auto"/>
              </w:rPr>
            </w:pPr>
            <w:r>
              <w:rPr>
                <w:rFonts w:ascii="Arial" w:cs="Arial" w:eastAsia="Arial" w:hAnsi="Arial"/>
                <w:sz w:val="11"/>
                <w:szCs w:val="11"/>
                <w:color w:val="auto"/>
              </w:rPr>
              <w:t xml:space="preserve">(SFP Holding, Inc.) </w:t>
            </w:r>
            <w:r>
              <w:rPr>
                <w:rFonts w:ascii="Arial" w:cs="Arial" w:eastAsia="Arial" w:hAnsi="Arial"/>
                <w:sz w:val="17"/>
                <w:szCs w:val="17"/>
                <w:color w:val="auto"/>
                <w:vertAlign w:val="superscript"/>
              </w:rPr>
              <w:t>(7)</w:t>
            </w: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48"/>
        </w:trPr>
        <w:tc>
          <w:tcPr>
            <w:tcW w:w="3340" w:type="dxa"/>
            <w:vAlign w:val="bottom"/>
            <w:shd w:val="clear" w:color="auto" w:fill="CCECFF"/>
          </w:tcPr>
          <w:p>
            <w:pPr>
              <w:spacing w:after="0" w:line="149" w:lineRule="exact"/>
              <w:rPr>
                <w:sz w:val="20"/>
                <w:szCs w:val="20"/>
                <w:color w:val="auto"/>
              </w:rPr>
            </w:pPr>
            <w:r>
              <w:rPr>
                <w:rFonts w:ascii="Arial" w:cs="Arial" w:eastAsia="Arial" w:hAnsi="Arial"/>
                <w:sz w:val="11"/>
                <w:szCs w:val="11"/>
                <w:color w:val="auto"/>
              </w:rPr>
              <w:t xml:space="preserve">DBI Holdings, LLC, Series B </w:t>
            </w:r>
            <w:r>
              <w:rPr>
                <w:rFonts w:ascii="Arial" w:cs="Arial" w:eastAsia="Arial" w:hAnsi="Arial"/>
                <w:sz w:val="17"/>
                <w:szCs w:val="17"/>
                <w:color w:val="auto"/>
                <w:vertAlign w:val="superscript"/>
              </w:rPr>
              <w:t>(10), (8)</w:t>
            </w:r>
          </w:p>
        </w:tc>
        <w:tc>
          <w:tcPr>
            <w:tcW w:w="120" w:type="dxa"/>
            <w:vAlign w:val="bottom"/>
            <w:shd w:val="clear" w:color="auto" w:fill="CCECFF"/>
          </w:tcPr>
          <w:p>
            <w:pPr>
              <w:spacing w:after="0"/>
              <w:rPr>
                <w:sz w:val="12"/>
                <w:szCs w:val="12"/>
                <w:color w:val="auto"/>
              </w:rPr>
            </w:pPr>
          </w:p>
        </w:tc>
        <w:tc>
          <w:tcPr>
            <w:tcW w:w="780" w:type="dxa"/>
            <w:vAlign w:val="bottom"/>
            <w:gridSpan w:val="2"/>
            <w:shd w:val="clear" w:color="auto" w:fill="CCECFF"/>
          </w:tcPr>
          <w:p>
            <w:pPr>
              <w:ind w:left="260"/>
              <w:spacing w:after="0"/>
              <w:rPr>
                <w:sz w:val="20"/>
                <w:szCs w:val="20"/>
                <w:color w:val="auto"/>
              </w:rPr>
            </w:pPr>
            <w:r>
              <w:rPr>
                <w:rFonts w:ascii="Arial" w:cs="Arial" w:eastAsia="Arial" w:hAnsi="Arial"/>
                <w:sz w:val="12"/>
                <w:szCs w:val="12"/>
                <w:color w:val="auto"/>
              </w:rPr>
              <w:t>—</w:t>
            </w:r>
          </w:p>
        </w:tc>
        <w:tc>
          <w:tcPr>
            <w:tcW w:w="246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85"/>
              </w:rPr>
              <w:t>Business Services</w:t>
            </w:r>
          </w:p>
        </w:tc>
        <w:tc>
          <w:tcPr>
            <w:tcW w:w="960" w:type="dxa"/>
            <w:vAlign w:val="bottom"/>
            <w:gridSpan w:val="2"/>
            <w:shd w:val="clear" w:color="auto" w:fill="CCECFF"/>
          </w:tcPr>
          <w:p>
            <w:pPr>
              <w:jc w:val="right"/>
              <w:ind w:right="300"/>
              <w:spacing w:after="0"/>
              <w:rPr>
                <w:sz w:val="20"/>
                <w:szCs w:val="20"/>
                <w:color w:val="auto"/>
              </w:rPr>
            </w:pPr>
            <w:r>
              <w:rPr>
                <w:rFonts w:ascii="Arial" w:cs="Arial" w:eastAsia="Arial" w:hAnsi="Arial"/>
                <w:sz w:val="12"/>
                <w:szCs w:val="12"/>
                <w:color w:val="auto"/>
              </w:rPr>
              <w:t>—</w:t>
            </w: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1,489,508</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330,791</w:t>
            </w:r>
          </w:p>
        </w:tc>
        <w:tc>
          <w:tcPr>
            <w:tcW w:w="240" w:type="dxa"/>
            <w:vAlign w:val="bottom"/>
            <w:shd w:val="clear" w:color="auto" w:fill="CCECFF"/>
          </w:tcPr>
          <w:p>
            <w:pPr>
              <w:spacing w:after="0"/>
              <w:rPr>
                <w:sz w:val="12"/>
                <w:szCs w:val="12"/>
                <w:color w:val="auto"/>
              </w:rPr>
            </w:pPr>
          </w:p>
        </w:tc>
        <w:tc>
          <w:tcPr>
            <w:tcW w:w="82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w:t>
            </w:r>
          </w:p>
        </w:tc>
      </w:tr>
      <w:tr>
        <w:trPr>
          <w:trHeight w:val="149"/>
        </w:trPr>
        <w:tc>
          <w:tcPr>
            <w:tcW w:w="3340" w:type="dxa"/>
            <w:vAlign w:val="bottom"/>
          </w:tcPr>
          <w:p>
            <w:pPr>
              <w:spacing w:after="0" w:line="149" w:lineRule="exact"/>
              <w:rPr>
                <w:sz w:val="20"/>
                <w:szCs w:val="20"/>
                <w:color w:val="auto"/>
              </w:rPr>
            </w:pPr>
            <w:r>
              <w:rPr>
                <w:rFonts w:ascii="Arial" w:cs="Arial" w:eastAsia="Arial" w:hAnsi="Arial"/>
                <w:sz w:val="11"/>
                <w:szCs w:val="11"/>
                <w:color w:val="auto"/>
              </w:rPr>
              <w:t xml:space="preserve">DecoPac Holdings Inc. </w:t>
            </w:r>
            <w:r>
              <w:rPr>
                <w:rFonts w:ascii="Arial" w:cs="Arial" w:eastAsia="Arial" w:hAnsi="Arial"/>
                <w:sz w:val="17"/>
                <w:szCs w:val="17"/>
                <w:color w:val="auto"/>
                <w:vertAlign w:val="superscript"/>
              </w:rPr>
              <w:t>(7)</w:t>
            </w:r>
          </w:p>
        </w:tc>
        <w:tc>
          <w:tcPr>
            <w:tcW w:w="120" w:type="dxa"/>
            <w:vAlign w:val="bottom"/>
          </w:tcPr>
          <w:p>
            <w:pPr>
              <w:spacing w:after="0"/>
              <w:rPr>
                <w:sz w:val="12"/>
                <w:szCs w:val="12"/>
                <w:color w:val="auto"/>
              </w:rPr>
            </w:pPr>
          </w:p>
        </w:tc>
        <w:tc>
          <w:tcPr>
            <w:tcW w:w="780" w:type="dxa"/>
            <w:vAlign w:val="bottom"/>
            <w:gridSpan w:val="2"/>
          </w:tcPr>
          <w:p>
            <w:pPr>
              <w:ind w:left="260"/>
              <w:spacing w:after="0"/>
              <w:rPr>
                <w:sz w:val="20"/>
                <w:szCs w:val="20"/>
                <w:color w:val="auto"/>
              </w:rPr>
            </w:pPr>
            <w:r>
              <w:rPr>
                <w:rFonts w:ascii="Arial" w:cs="Arial" w:eastAsia="Arial" w:hAnsi="Arial"/>
                <w:sz w:val="12"/>
                <w:szCs w:val="12"/>
                <w:color w:val="auto"/>
              </w:rPr>
              <w:t>—</w:t>
            </w:r>
          </w:p>
        </w:tc>
        <w:tc>
          <w:tcPr>
            <w:tcW w:w="2460" w:type="dxa"/>
            <w:vAlign w:val="bottom"/>
            <w:gridSpan w:val="2"/>
          </w:tcPr>
          <w:p>
            <w:pPr>
              <w:jc w:val="center"/>
              <w:ind w:right="140"/>
              <w:spacing w:after="0"/>
              <w:rPr>
                <w:sz w:val="20"/>
                <w:szCs w:val="20"/>
                <w:color w:val="auto"/>
              </w:rPr>
            </w:pPr>
            <w:r>
              <w:rPr>
                <w:rFonts w:ascii="Arial" w:cs="Arial" w:eastAsia="Arial" w:hAnsi="Arial"/>
                <w:sz w:val="12"/>
                <w:szCs w:val="12"/>
                <w:color w:val="auto"/>
                <w:w w:val="85"/>
              </w:rPr>
              <w:t>Beverage, Food and Tobacco</w:t>
            </w:r>
          </w:p>
        </w:tc>
        <w:tc>
          <w:tcPr>
            <w:tcW w:w="96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9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1,633</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1,632,744</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3,149,261</w:t>
            </w:r>
          </w:p>
        </w:tc>
        <w:tc>
          <w:tcPr>
            <w:tcW w:w="120" w:type="dxa"/>
            <w:vAlign w:val="bottom"/>
          </w:tcPr>
          <w:p>
            <w:pPr>
              <w:spacing w:after="0"/>
              <w:rPr>
                <w:sz w:val="12"/>
                <w:szCs w:val="12"/>
                <w:color w:val="auto"/>
              </w:rPr>
            </w:pPr>
          </w:p>
        </w:tc>
      </w:tr>
      <w:tr>
        <w:trPr>
          <w:trHeight w:val="148"/>
        </w:trPr>
        <w:tc>
          <w:tcPr>
            <w:tcW w:w="3340" w:type="dxa"/>
            <w:vAlign w:val="bottom"/>
            <w:shd w:val="clear" w:color="auto" w:fill="CCECFF"/>
          </w:tcPr>
          <w:p>
            <w:pPr>
              <w:spacing w:after="0" w:line="149" w:lineRule="exact"/>
              <w:rPr>
                <w:sz w:val="20"/>
                <w:szCs w:val="20"/>
                <w:color w:val="auto"/>
              </w:rPr>
            </w:pPr>
            <w:r>
              <w:rPr>
                <w:rFonts w:ascii="Arial" w:cs="Arial" w:eastAsia="Arial" w:hAnsi="Arial"/>
                <w:sz w:val="11"/>
                <w:szCs w:val="11"/>
                <w:color w:val="auto"/>
              </w:rPr>
              <w:t xml:space="preserve">eCommission Holding Corporation </w:t>
            </w:r>
            <w:r>
              <w:rPr>
                <w:rFonts w:ascii="Arial" w:cs="Arial" w:eastAsia="Arial" w:hAnsi="Arial"/>
                <w:sz w:val="17"/>
                <w:szCs w:val="17"/>
                <w:color w:val="auto"/>
                <w:vertAlign w:val="superscript"/>
              </w:rPr>
              <w:t>(7), (10)</w:t>
            </w:r>
          </w:p>
        </w:tc>
        <w:tc>
          <w:tcPr>
            <w:tcW w:w="120" w:type="dxa"/>
            <w:vAlign w:val="bottom"/>
            <w:shd w:val="clear" w:color="auto" w:fill="CCECFF"/>
          </w:tcPr>
          <w:p>
            <w:pPr>
              <w:spacing w:after="0"/>
              <w:rPr>
                <w:sz w:val="12"/>
                <w:szCs w:val="12"/>
                <w:color w:val="auto"/>
              </w:rPr>
            </w:pPr>
          </w:p>
        </w:tc>
        <w:tc>
          <w:tcPr>
            <w:tcW w:w="54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246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87"/>
              </w:rPr>
              <w:t>Banking, Finance, Insurance &amp; Real Estate</w:t>
            </w:r>
          </w:p>
        </w:tc>
        <w:tc>
          <w:tcPr>
            <w:tcW w:w="960" w:type="dxa"/>
            <w:vAlign w:val="bottom"/>
            <w:gridSpan w:val="2"/>
            <w:shd w:val="clear" w:color="auto" w:fill="CCECFF"/>
          </w:tcPr>
          <w:p>
            <w:pPr>
              <w:jc w:val="right"/>
              <w:ind w:right="300"/>
              <w:spacing w:after="0"/>
              <w:rPr>
                <w:sz w:val="20"/>
                <w:szCs w:val="20"/>
                <w:color w:val="auto"/>
              </w:rPr>
            </w:pPr>
            <w:r>
              <w:rPr>
                <w:rFonts w:ascii="Arial" w:cs="Arial" w:eastAsia="Arial" w:hAnsi="Arial"/>
                <w:sz w:val="12"/>
                <w:szCs w:val="12"/>
                <w:color w:val="auto"/>
              </w:rPr>
              <w:t>—</w:t>
            </w: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20</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251,156</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370,436</w:t>
            </w:r>
          </w:p>
        </w:tc>
        <w:tc>
          <w:tcPr>
            <w:tcW w:w="120" w:type="dxa"/>
            <w:vAlign w:val="bottom"/>
            <w:shd w:val="clear" w:color="auto" w:fill="CCECFF"/>
          </w:tcPr>
          <w:p>
            <w:pPr>
              <w:spacing w:after="0"/>
              <w:rPr>
                <w:sz w:val="12"/>
                <w:szCs w:val="12"/>
                <w:color w:val="auto"/>
              </w:rPr>
            </w:pPr>
          </w:p>
        </w:tc>
      </w:tr>
      <w:tr>
        <w:trPr>
          <w:trHeight w:val="148"/>
        </w:trPr>
        <w:tc>
          <w:tcPr>
            <w:tcW w:w="3340" w:type="dxa"/>
            <w:vAlign w:val="bottom"/>
          </w:tcPr>
          <w:p>
            <w:pPr>
              <w:spacing w:after="0" w:line="149" w:lineRule="exact"/>
              <w:rPr>
                <w:sz w:val="20"/>
                <w:szCs w:val="20"/>
                <w:color w:val="auto"/>
              </w:rPr>
            </w:pPr>
            <w:r>
              <w:rPr>
                <w:rFonts w:ascii="Arial" w:cs="Arial" w:eastAsia="Arial" w:hAnsi="Arial"/>
                <w:sz w:val="11"/>
                <w:szCs w:val="11"/>
                <w:color w:val="auto"/>
              </w:rPr>
              <w:t xml:space="preserve">Faraday Holdings, LLC </w:t>
            </w:r>
            <w:r>
              <w:rPr>
                <w:rFonts w:ascii="Arial" w:cs="Arial" w:eastAsia="Arial" w:hAnsi="Arial"/>
                <w:sz w:val="17"/>
                <w:szCs w:val="17"/>
                <w:color w:val="auto"/>
                <w:vertAlign w:val="superscript"/>
              </w:rPr>
              <w:t>(7)</w:t>
            </w:r>
          </w:p>
        </w:tc>
        <w:tc>
          <w:tcPr>
            <w:tcW w:w="120" w:type="dxa"/>
            <w:vAlign w:val="bottom"/>
          </w:tcPr>
          <w:p>
            <w:pPr>
              <w:spacing w:after="0"/>
              <w:rPr>
                <w:sz w:val="12"/>
                <w:szCs w:val="12"/>
                <w:color w:val="auto"/>
              </w:rPr>
            </w:pPr>
          </w:p>
        </w:tc>
        <w:tc>
          <w:tcPr>
            <w:tcW w:w="780" w:type="dxa"/>
            <w:vAlign w:val="bottom"/>
            <w:gridSpan w:val="2"/>
          </w:tcPr>
          <w:p>
            <w:pPr>
              <w:ind w:left="260"/>
              <w:spacing w:after="0"/>
              <w:rPr>
                <w:sz w:val="20"/>
                <w:szCs w:val="20"/>
                <w:color w:val="auto"/>
              </w:rPr>
            </w:pPr>
            <w:r>
              <w:rPr>
                <w:rFonts w:ascii="Arial" w:cs="Arial" w:eastAsia="Arial" w:hAnsi="Arial"/>
                <w:sz w:val="12"/>
                <w:szCs w:val="12"/>
                <w:color w:val="auto"/>
              </w:rPr>
              <w:t>—</w:t>
            </w:r>
          </w:p>
        </w:tc>
        <w:tc>
          <w:tcPr>
            <w:tcW w:w="2460" w:type="dxa"/>
            <w:vAlign w:val="bottom"/>
            <w:gridSpan w:val="2"/>
          </w:tcPr>
          <w:p>
            <w:pPr>
              <w:jc w:val="center"/>
              <w:ind w:right="140"/>
              <w:spacing w:after="0"/>
              <w:rPr>
                <w:sz w:val="20"/>
                <w:szCs w:val="20"/>
                <w:color w:val="auto"/>
              </w:rPr>
            </w:pPr>
            <w:r>
              <w:rPr>
                <w:rFonts w:ascii="Arial" w:cs="Arial" w:eastAsia="Arial" w:hAnsi="Arial"/>
                <w:sz w:val="12"/>
                <w:szCs w:val="12"/>
                <w:color w:val="auto"/>
                <w:w w:val="90"/>
              </w:rPr>
              <w:t>Construction and Building</w:t>
            </w:r>
          </w:p>
        </w:tc>
        <w:tc>
          <w:tcPr>
            <w:tcW w:w="96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9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1,141</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58,044</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331,562</w:t>
            </w:r>
          </w:p>
        </w:tc>
        <w:tc>
          <w:tcPr>
            <w:tcW w:w="120" w:type="dxa"/>
            <w:vAlign w:val="bottom"/>
          </w:tcPr>
          <w:p>
            <w:pPr>
              <w:spacing w:after="0"/>
              <w:rPr>
                <w:sz w:val="12"/>
                <w:szCs w:val="12"/>
                <w:color w:val="auto"/>
              </w:rPr>
            </w:pPr>
          </w:p>
        </w:tc>
      </w:tr>
      <w:tr>
        <w:trPr>
          <w:trHeight w:val="149"/>
        </w:trPr>
        <w:tc>
          <w:tcPr>
            <w:tcW w:w="3340" w:type="dxa"/>
            <w:vAlign w:val="bottom"/>
            <w:shd w:val="clear" w:color="auto" w:fill="CCECFF"/>
          </w:tcPr>
          <w:p>
            <w:pPr>
              <w:spacing w:after="0"/>
              <w:rPr>
                <w:sz w:val="20"/>
                <w:szCs w:val="20"/>
                <w:color w:val="auto"/>
              </w:rPr>
            </w:pPr>
            <w:r>
              <w:rPr>
                <w:rFonts w:ascii="Arial" w:cs="Arial" w:eastAsia="Arial" w:hAnsi="Arial"/>
                <w:sz w:val="12"/>
                <w:szCs w:val="12"/>
                <w:color w:val="auto"/>
              </w:rPr>
              <w:t>Gauge InfosoftCoInvest, LLC</w:t>
            </w:r>
          </w:p>
        </w:tc>
        <w:tc>
          <w:tcPr>
            <w:tcW w:w="120" w:type="dxa"/>
            <w:vAlign w:val="bottom"/>
            <w:shd w:val="clear" w:color="auto" w:fill="CCECFF"/>
          </w:tcPr>
          <w:p>
            <w:pPr>
              <w:spacing w:after="0"/>
              <w:rPr>
                <w:sz w:val="12"/>
                <w:szCs w:val="12"/>
                <w:color w:val="auto"/>
              </w:rPr>
            </w:pPr>
          </w:p>
        </w:tc>
        <w:tc>
          <w:tcPr>
            <w:tcW w:w="780" w:type="dxa"/>
            <w:vAlign w:val="bottom"/>
            <w:gridSpan w:val="2"/>
            <w:shd w:val="clear" w:color="auto" w:fill="CCECFF"/>
          </w:tcPr>
          <w:p>
            <w:pPr>
              <w:ind w:left="260"/>
              <w:spacing w:after="0"/>
              <w:rPr>
                <w:sz w:val="20"/>
                <w:szCs w:val="20"/>
                <w:color w:val="auto"/>
              </w:rPr>
            </w:pPr>
            <w:r>
              <w:rPr>
                <w:rFonts w:ascii="Arial" w:cs="Arial" w:eastAsia="Arial" w:hAnsi="Arial"/>
                <w:sz w:val="12"/>
                <w:szCs w:val="12"/>
                <w:color w:val="auto"/>
              </w:rPr>
              <w:t>—</w:t>
            </w:r>
          </w:p>
        </w:tc>
        <w:tc>
          <w:tcPr>
            <w:tcW w:w="246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89"/>
              </w:rPr>
              <w:t>Media: Broadcasting and Subscription</w:t>
            </w:r>
          </w:p>
        </w:tc>
        <w:tc>
          <w:tcPr>
            <w:tcW w:w="960" w:type="dxa"/>
            <w:vAlign w:val="bottom"/>
            <w:gridSpan w:val="2"/>
            <w:shd w:val="clear" w:color="auto" w:fill="CCECFF"/>
          </w:tcPr>
          <w:p>
            <w:pPr>
              <w:jc w:val="right"/>
              <w:ind w:right="300"/>
              <w:spacing w:after="0"/>
              <w:rPr>
                <w:sz w:val="20"/>
                <w:szCs w:val="20"/>
                <w:color w:val="auto"/>
              </w:rPr>
            </w:pPr>
            <w:r>
              <w:rPr>
                <w:rFonts w:ascii="Arial" w:cs="Arial" w:eastAsia="Arial" w:hAnsi="Arial"/>
                <w:sz w:val="12"/>
                <w:szCs w:val="12"/>
                <w:color w:val="auto"/>
              </w:rPr>
              <w:t>—</w:t>
            </w: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500</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143,663</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497,465</w:t>
            </w:r>
          </w:p>
        </w:tc>
        <w:tc>
          <w:tcPr>
            <w:tcW w:w="120" w:type="dxa"/>
            <w:vAlign w:val="bottom"/>
            <w:shd w:val="clear" w:color="auto" w:fill="CCECFF"/>
          </w:tcPr>
          <w:p>
            <w:pPr>
              <w:spacing w:after="0"/>
              <w:rPr>
                <w:sz w:val="12"/>
                <w:szCs w:val="12"/>
                <w:color w:val="auto"/>
              </w:rPr>
            </w:pPr>
          </w:p>
        </w:tc>
      </w:tr>
      <w:tr>
        <w:trPr>
          <w:trHeight w:val="148"/>
        </w:trPr>
        <w:tc>
          <w:tcPr>
            <w:tcW w:w="3340" w:type="dxa"/>
            <w:vAlign w:val="bottom"/>
            <w:shd w:val="clear" w:color="auto" w:fill="CCECFF"/>
          </w:tcPr>
          <w:p>
            <w:pPr>
              <w:ind w:left="140"/>
              <w:spacing w:after="0" w:line="149" w:lineRule="exact"/>
              <w:rPr>
                <w:sz w:val="20"/>
                <w:szCs w:val="20"/>
                <w:color w:val="auto"/>
              </w:rPr>
            </w:pPr>
            <w:r>
              <w:rPr>
                <w:rFonts w:ascii="Arial" w:cs="Arial" w:eastAsia="Arial" w:hAnsi="Arial"/>
                <w:sz w:val="11"/>
                <w:szCs w:val="11"/>
                <w:color w:val="auto"/>
              </w:rPr>
              <w:t xml:space="preserve">(The Infosoft Group, LLC) </w:t>
            </w:r>
            <w:r>
              <w:rPr>
                <w:rFonts w:ascii="Arial" w:cs="Arial" w:eastAsia="Arial" w:hAnsi="Arial"/>
                <w:sz w:val="17"/>
                <w:szCs w:val="17"/>
                <w:color w:val="auto"/>
                <w:vertAlign w:val="superscript"/>
              </w:rPr>
              <w:t>(7)</w:t>
            </w:r>
          </w:p>
        </w:tc>
        <w:tc>
          <w:tcPr>
            <w:tcW w:w="120" w:type="dxa"/>
            <w:vAlign w:val="bottom"/>
            <w:shd w:val="clear" w:color="auto" w:fill="CCECFF"/>
          </w:tcPr>
          <w:p>
            <w:pPr>
              <w:spacing w:after="0"/>
              <w:rPr>
                <w:sz w:val="12"/>
                <w:szCs w:val="12"/>
                <w:color w:val="auto"/>
              </w:rPr>
            </w:pPr>
          </w:p>
        </w:tc>
        <w:tc>
          <w:tcPr>
            <w:tcW w:w="54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234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8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70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70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r>
      <w:tr>
        <w:trPr>
          <w:trHeight w:val="148"/>
        </w:trPr>
        <w:tc>
          <w:tcPr>
            <w:tcW w:w="3340" w:type="dxa"/>
            <w:vAlign w:val="bottom"/>
          </w:tcPr>
          <w:p>
            <w:pPr>
              <w:spacing w:after="0" w:line="149" w:lineRule="exact"/>
              <w:rPr>
                <w:sz w:val="20"/>
                <w:szCs w:val="20"/>
                <w:color w:val="auto"/>
              </w:rPr>
            </w:pPr>
            <w:r>
              <w:rPr>
                <w:rFonts w:ascii="Arial" w:cs="Arial" w:eastAsia="Arial" w:hAnsi="Arial"/>
                <w:sz w:val="11"/>
                <w:szCs w:val="11"/>
                <w:color w:val="auto"/>
              </w:rPr>
              <w:t xml:space="preserve">Gauge Schlesinger Coinvest LLC </w:t>
            </w:r>
            <w:r>
              <w:rPr>
                <w:rFonts w:ascii="Arial" w:cs="Arial" w:eastAsia="Arial" w:hAnsi="Arial"/>
                <w:sz w:val="17"/>
                <w:szCs w:val="17"/>
                <w:color w:val="auto"/>
                <w:vertAlign w:val="superscript"/>
              </w:rPr>
              <w:t>(7)</w:t>
            </w: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60" w:type="dxa"/>
            <w:vAlign w:val="bottom"/>
            <w:gridSpan w:val="2"/>
          </w:tcPr>
          <w:p>
            <w:pPr>
              <w:jc w:val="center"/>
              <w:ind w:right="140"/>
              <w:spacing w:after="0"/>
              <w:rPr>
                <w:sz w:val="20"/>
                <w:szCs w:val="20"/>
                <w:color w:val="auto"/>
              </w:rPr>
            </w:pPr>
            <w:r>
              <w:rPr>
                <w:rFonts w:ascii="Arial" w:cs="Arial" w:eastAsia="Arial" w:hAnsi="Arial"/>
                <w:sz w:val="12"/>
                <w:szCs w:val="12"/>
                <w:color w:val="auto"/>
                <w:w w:val="86"/>
              </w:rPr>
              <w:t>Professional Services</w:t>
            </w:r>
          </w:p>
        </w:tc>
        <w:tc>
          <w:tcPr>
            <w:tcW w:w="96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9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403</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403,005</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403,005</w:t>
            </w:r>
          </w:p>
        </w:tc>
        <w:tc>
          <w:tcPr>
            <w:tcW w:w="120" w:type="dxa"/>
            <w:vAlign w:val="bottom"/>
          </w:tcPr>
          <w:p>
            <w:pPr>
              <w:spacing w:after="0"/>
              <w:rPr>
                <w:sz w:val="12"/>
                <w:szCs w:val="12"/>
                <w:color w:val="auto"/>
              </w:rPr>
            </w:pPr>
          </w:p>
        </w:tc>
      </w:tr>
      <w:tr>
        <w:trPr>
          <w:trHeight w:val="149"/>
        </w:trPr>
        <w:tc>
          <w:tcPr>
            <w:tcW w:w="3340" w:type="dxa"/>
            <w:vAlign w:val="bottom"/>
            <w:shd w:val="clear" w:color="auto" w:fill="CCECFF"/>
          </w:tcPr>
          <w:p>
            <w:pPr>
              <w:spacing w:after="0" w:line="149" w:lineRule="exact"/>
              <w:rPr>
                <w:sz w:val="20"/>
                <w:szCs w:val="20"/>
                <w:color w:val="auto"/>
              </w:rPr>
            </w:pPr>
            <w:r>
              <w:rPr>
                <w:rFonts w:ascii="Arial" w:cs="Arial" w:eastAsia="Arial" w:hAnsi="Arial"/>
                <w:sz w:val="11"/>
                <w:szCs w:val="11"/>
                <w:color w:val="auto"/>
              </w:rPr>
              <w:t xml:space="preserve">Gauge TVC Coinvest, LLC (TVC Enterprises, LLC) </w:t>
            </w:r>
            <w:r>
              <w:rPr>
                <w:rFonts w:ascii="Arial" w:cs="Arial" w:eastAsia="Arial" w:hAnsi="Arial"/>
                <w:sz w:val="17"/>
                <w:szCs w:val="17"/>
                <w:color w:val="auto"/>
                <w:vertAlign w:val="superscript"/>
              </w:rPr>
              <w:t>(7)</w:t>
            </w:r>
          </w:p>
        </w:tc>
        <w:tc>
          <w:tcPr>
            <w:tcW w:w="120" w:type="dxa"/>
            <w:vAlign w:val="bottom"/>
            <w:shd w:val="clear" w:color="auto" w:fill="CCECFF"/>
          </w:tcPr>
          <w:p>
            <w:pPr>
              <w:spacing w:after="0"/>
              <w:rPr>
                <w:sz w:val="12"/>
                <w:szCs w:val="12"/>
                <w:color w:val="auto"/>
              </w:rPr>
            </w:pPr>
          </w:p>
        </w:tc>
        <w:tc>
          <w:tcPr>
            <w:tcW w:w="54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246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86"/>
              </w:rPr>
              <w:t>Professional Services</w:t>
            </w:r>
          </w:p>
        </w:tc>
        <w:tc>
          <w:tcPr>
            <w:tcW w:w="960" w:type="dxa"/>
            <w:vAlign w:val="bottom"/>
            <w:gridSpan w:val="2"/>
            <w:shd w:val="clear" w:color="auto" w:fill="CCECFF"/>
          </w:tcPr>
          <w:p>
            <w:pPr>
              <w:jc w:val="right"/>
              <w:ind w:right="300"/>
              <w:spacing w:after="0"/>
              <w:rPr>
                <w:sz w:val="20"/>
                <w:szCs w:val="20"/>
                <w:color w:val="auto"/>
              </w:rPr>
            </w:pPr>
            <w:r>
              <w:rPr>
                <w:rFonts w:ascii="Arial" w:cs="Arial" w:eastAsia="Arial" w:hAnsi="Arial"/>
                <w:sz w:val="12"/>
                <w:szCs w:val="12"/>
                <w:color w:val="auto"/>
              </w:rPr>
              <w:t>—</w:t>
            </w: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391,144</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391,144</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399,678</w:t>
            </w:r>
          </w:p>
        </w:tc>
        <w:tc>
          <w:tcPr>
            <w:tcW w:w="120" w:type="dxa"/>
            <w:vAlign w:val="bottom"/>
            <w:shd w:val="clear" w:color="auto" w:fill="CCECFF"/>
          </w:tcPr>
          <w:p>
            <w:pPr>
              <w:spacing w:after="0"/>
              <w:rPr>
                <w:sz w:val="12"/>
                <w:szCs w:val="12"/>
                <w:color w:val="auto"/>
              </w:rPr>
            </w:pPr>
          </w:p>
        </w:tc>
      </w:tr>
      <w:tr>
        <w:trPr>
          <w:trHeight w:val="148"/>
        </w:trPr>
        <w:tc>
          <w:tcPr>
            <w:tcW w:w="3340" w:type="dxa"/>
            <w:vAlign w:val="bottom"/>
          </w:tcPr>
          <w:p>
            <w:pPr>
              <w:spacing w:after="0" w:line="149" w:lineRule="exact"/>
              <w:rPr>
                <w:sz w:val="20"/>
                <w:szCs w:val="20"/>
                <w:color w:val="auto"/>
              </w:rPr>
            </w:pPr>
            <w:r>
              <w:rPr>
                <w:rFonts w:ascii="Arial" w:cs="Arial" w:eastAsia="Arial" w:hAnsi="Arial"/>
                <w:sz w:val="11"/>
                <w:szCs w:val="11"/>
                <w:color w:val="auto"/>
              </w:rPr>
              <w:t xml:space="preserve">GCOM InvestCo LP </w:t>
            </w:r>
            <w:r>
              <w:rPr>
                <w:rFonts w:ascii="Arial" w:cs="Arial" w:eastAsia="Arial" w:hAnsi="Arial"/>
                <w:sz w:val="17"/>
                <w:szCs w:val="17"/>
                <w:color w:val="auto"/>
                <w:vertAlign w:val="superscript"/>
              </w:rPr>
              <w:t>(7), (8)</w:t>
            </w:r>
          </w:p>
        </w:tc>
        <w:tc>
          <w:tcPr>
            <w:tcW w:w="120" w:type="dxa"/>
            <w:vAlign w:val="bottom"/>
          </w:tcPr>
          <w:p>
            <w:pPr>
              <w:spacing w:after="0"/>
              <w:rPr>
                <w:sz w:val="12"/>
                <w:szCs w:val="12"/>
                <w:color w:val="auto"/>
              </w:rPr>
            </w:pPr>
          </w:p>
        </w:tc>
        <w:tc>
          <w:tcPr>
            <w:tcW w:w="780" w:type="dxa"/>
            <w:vAlign w:val="bottom"/>
            <w:gridSpan w:val="2"/>
          </w:tcPr>
          <w:p>
            <w:pPr>
              <w:ind w:left="260"/>
              <w:spacing w:after="0"/>
              <w:rPr>
                <w:sz w:val="20"/>
                <w:szCs w:val="20"/>
                <w:color w:val="auto"/>
              </w:rPr>
            </w:pPr>
            <w:r>
              <w:rPr>
                <w:rFonts w:ascii="Arial" w:cs="Arial" w:eastAsia="Arial" w:hAnsi="Arial"/>
                <w:sz w:val="12"/>
                <w:szCs w:val="12"/>
                <w:color w:val="auto"/>
              </w:rPr>
              <w:t>—</w:t>
            </w:r>
          </w:p>
        </w:tc>
        <w:tc>
          <w:tcPr>
            <w:tcW w:w="2460" w:type="dxa"/>
            <w:vAlign w:val="bottom"/>
            <w:gridSpan w:val="2"/>
          </w:tcPr>
          <w:p>
            <w:pPr>
              <w:jc w:val="center"/>
              <w:ind w:right="120"/>
              <w:spacing w:after="0"/>
              <w:rPr>
                <w:sz w:val="20"/>
                <w:szCs w:val="20"/>
                <w:color w:val="auto"/>
              </w:rPr>
            </w:pPr>
            <w:r>
              <w:rPr>
                <w:rFonts w:ascii="Arial" w:cs="Arial" w:eastAsia="Arial" w:hAnsi="Arial"/>
                <w:sz w:val="12"/>
                <w:szCs w:val="12"/>
                <w:color w:val="auto"/>
                <w:w w:val="89"/>
              </w:rPr>
              <w:t>High Tech Industries</w:t>
            </w:r>
          </w:p>
        </w:tc>
        <w:tc>
          <w:tcPr>
            <w:tcW w:w="96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9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1,549,209</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1,549,209</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2,233,506</w:t>
            </w:r>
          </w:p>
        </w:tc>
        <w:tc>
          <w:tcPr>
            <w:tcW w:w="120" w:type="dxa"/>
            <w:vAlign w:val="bottom"/>
          </w:tcPr>
          <w:p>
            <w:pPr>
              <w:spacing w:after="0"/>
              <w:rPr>
                <w:sz w:val="12"/>
                <w:szCs w:val="12"/>
                <w:color w:val="auto"/>
              </w:rPr>
            </w:pPr>
          </w:p>
        </w:tc>
      </w:tr>
      <w:tr>
        <w:trPr>
          <w:trHeight w:val="149"/>
        </w:trPr>
        <w:tc>
          <w:tcPr>
            <w:tcW w:w="3340" w:type="dxa"/>
            <w:vAlign w:val="bottom"/>
            <w:shd w:val="clear" w:color="auto" w:fill="CCECFF"/>
          </w:tcPr>
          <w:p>
            <w:pPr>
              <w:spacing w:after="0" w:line="149" w:lineRule="exact"/>
              <w:rPr>
                <w:sz w:val="20"/>
                <w:szCs w:val="20"/>
                <w:color w:val="auto"/>
              </w:rPr>
            </w:pPr>
            <w:r>
              <w:rPr>
                <w:rFonts w:ascii="Arial" w:cs="Arial" w:eastAsia="Arial" w:hAnsi="Arial"/>
                <w:sz w:val="11"/>
                <w:szCs w:val="11"/>
                <w:color w:val="auto"/>
              </w:rPr>
              <w:t xml:space="preserve">GCOM InvestCo LP </w:t>
            </w:r>
            <w:r>
              <w:rPr>
                <w:rFonts w:ascii="Arial" w:cs="Arial" w:eastAsia="Arial" w:hAnsi="Arial"/>
                <w:sz w:val="17"/>
                <w:szCs w:val="17"/>
                <w:color w:val="auto"/>
                <w:vertAlign w:val="superscript"/>
              </w:rPr>
              <w:t>(7), (8), (9)</w:t>
            </w:r>
          </w:p>
        </w:tc>
        <w:tc>
          <w:tcPr>
            <w:tcW w:w="120" w:type="dxa"/>
            <w:vAlign w:val="bottom"/>
            <w:shd w:val="clear" w:color="auto" w:fill="CCECFF"/>
          </w:tcPr>
          <w:p>
            <w:pPr>
              <w:spacing w:after="0"/>
              <w:rPr>
                <w:sz w:val="12"/>
                <w:szCs w:val="12"/>
                <w:color w:val="auto"/>
              </w:rPr>
            </w:pPr>
          </w:p>
        </w:tc>
        <w:tc>
          <w:tcPr>
            <w:tcW w:w="780" w:type="dxa"/>
            <w:vAlign w:val="bottom"/>
            <w:gridSpan w:val="2"/>
            <w:shd w:val="clear" w:color="auto" w:fill="CCECFF"/>
          </w:tcPr>
          <w:p>
            <w:pPr>
              <w:ind w:left="260"/>
              <w:spacing w:after="0"/>
              <w:rPr>
                <w:sz w:val="20"/>
                <w:szCs w:val="20"/>
                <w:color w:val="auto"/>
              </w:rPr>
            </w:pPr>
            <w:r>
              <w:rPr>
                <w:rFonts w:ascii="Arial" w:cs="Arial" w:eastAsia="Arial" w:hAnsi="Arial"/>
                <w:sz w:val="12"/>
                <w:szCs w:val="12"/>
                <w:color w:val="auto"/>
              </w:rPr>
              <w:t>—</w:t>
            </w:r>
          </w:p>
        </w:tc>
        <w:tc>
          <w:tcPr>
            <w:tcW w:w="2460" w:type="dxa"/>
            <w:vAlign w:val="bottom"/>
            <w:gridSpan w:val="2"/>
            <w:shd w:val="clear" w:color="auto" w:fill="CCECFF"/>
          </w:tcPr>
          <w:p>
            <w:pPr>
              <w:jc w:val="center"/>
              <w:ind w:right="120"/>
              <w:spacing w:after="0"/>
              <w:rPr>
                <w:sz w:val="20"/>
                <w:szCs w:val="20"/>
                <w:color w:val="auto"/>
              </w:rPr>
            </w:pPr>
            <w:r>
              <w:rPr>
                <w:rFonts w:ascii="Arial" w:cs="Arial" w:eastAsia="Arial" w:hAnsi="Arial"/>
                <w:sz w:val="12"/>
                <w:szCs w:val="12"/>
                <w:color w:val="auto"/>
                <w:w w:val="89"/>
              </w:rPr>
              <w:t>High Tech Industries</w:t>
            </w:r>
          </w:p>
        </w:tc>
        <w:tc>
          <w:tcPr>
            <w:tcW w:w="960" w:type="dxa"/>
            <w:vAlign w:val="bottom"/>
            <w:gridSpan w:val="2"/>
            <w:shd w:val="clear" w:color="auto" w:fill="CCECFF"/>
          </w:tcPr>
          <w:p>
            <w:pPr>
              <w:jc w:val="right"/>
              <w:ind w:right="300"/>
              <w:spacing w:after="0"/>
              <w:rPr>
                <w:sz w:val="20"/>
                <w:szCs w:val="20"/>
                <w:color w:val="auto"/>
              </w:rPr>
            </w:pPr>
            <w:r>
              <w:rPr>
                <w:rFonts w:ascii="Arial" w:cs="Arial" w:eastAsia="Arial" w:hAnsi="Arial"/>
                <w:sz w:val="12"/>
                <w:szCs w:val="12"/>
                <w:color w:val="auto"/>
              </w:rPr>
              <w:t>—</w:t>
            </w: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450,791</w:t>
            </w:r>
          </w:p>
        </w:tc>
        <w:tc>
          <w:tcPr>
            <w:tcW w:w="240" w:type="dxa"/>
            <w:vAlign w:val="bottom"/>
            <w:shd w:val="clear" w:color="auto" w:fill="CCECFF"/>
          </w:tcPr>
          <w:p>
            <w:pPr>
              <w:spacing w:after="0"/>
              <w:rPr>
                <w:sz w:val="12"/>
                <w:szCs w:val="12"/>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CFF"/>
          </w:tcPr>
          <w:p>
            <w:pPr>
              <w:spacing w:after="0"/>
              <w:rPr>
                <w:sz w:val="12"/>
                <w:szCs w:val="12"/>
                <w:color w:val="auto"/>
              </w:rPr>
            </w:pPr>
          </w:p>
        </w:tc>
        <w:tc>
          <w:tcPr>
            <w:tcW w:w="82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w:t>
            </w:r>
          </w:p>
        </w:tc>
      </w:tr>
      <w:tr>
        <w:trPr>
          <w:trHeight w:val="146"/>
        </w:trPr>
        <w:tc>
          <w:tcPr>
            <w:tcW w:w="3340" w:type="dxa"/>
            <w:vAlign w:val="bottom"/>
          </w:tcPr>
          <w:p>
            <w:pPr>
              <w:spacing w:after="0"/>
              <w:rPr>
                <w:sz w:val="20"/>
                <w:szCs w:val="20"/>
                <w:color w:val="auto"/>
              </w:rPr>
            </w:pPr>
            <w:r>
              <w:rPr>
                <w:rFonts w:ascii="Arial" w:cs="Arial" w:eastAsia="Arial" w:hAnsi="Arial"/>
                <w:sz w:val="12"/>
                <w:szCs w:val="12"/>
                <w:color w:val="auto"/>
              </w:rPr>
              <w:t>Go Dawgs Capital III, LP</w:t>
            </w:r>
          </w:p>
        </w:tc>
        <w:tc>
          <w:tcPr>
            <w:tcW w:w="120" w:type="dxa"/>
            <w:vAlign w:val="bottom"/>
          </w:tcPr>
          <w:p>
            <w:pPr>
              <w:spacing w:after="0"/>
              <w:rPr>
                <w:sz w:val="12"/>
                <w:szCs w:val="12"/>
                <w:color w:val="auto"/>
              </w:rPr>
            </w:pPr>
          </w:p>
        </w:tc>
        <w:tc>
          <w:tcPr>
            <w:tcW w:w="780" w:type="dxa"/>
            <w:vAlign w:val="bottom"/>
            <w:gridSpan w:val="2"/>
          </w:tcPr>
          <w:p>
            <w:pPr>
              <w:ind w:left="260"/>
              <w:spacing w:after="0"/>
              <w:rPr>
                <w:sz w:val="20"/>
                <w:szCs w:val="20"/>
                <w:color w:val="auto"/>
              </w:rPr>
            </w:pPr>
            <w:r>
              <w:rPr>
                <w:rFonts w:ascii="Arial" w:cs="Arial" w:eastAsia="Arial" w:hAnsi="Arial"/>
                <w:sz w:val="12"/>
                <w:szCs w:val="12"/>
                <w:color w:val="auto"/>
              </w:rPr>
              <w:t>—</w:t>
            </w:r>
          </w:p>
        </w:tc>
        <w:tc>
          <w:tcPr>
            <w:tcW w:w="2460" w:type="dxa"/>
            <w:vAlign w:val="bottom"/>
            <w:gridSpan w:val="2"/>
          </w:tcPr>
          <w:p>
            <w:pPr>
              <w:jc w:val="center"/>
              <w:ind w:right="140"/>
              <w:spacing w:after="0"/>
              <w:rPr>
                <w:sz w:val="20"/>
                <w:szCs w:val="20"/>
                <w:color w:val="auto"/>
              </w:rPr>
            </w:pPr>
            <w:r>
              <w:rPr>
                <w:rFonts w:ascii="Arial" w:cs="Arial" w:eastAsia="Arial" w:hAnsi="Arial"/>
                <w:sz w:val="12"/>
                <w:szCs w:val="12"/>
                <w:color w:val="auto"/>
                <w:w w:val="89"/>
              </w:rPr>
              <w:t>Building Products</w:t>
            </w:r>
          </w:p>
        </w:tc>
        <w:tc>
          <w:tcPr>
            <w:tcW w:w="96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9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324,675</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324,675</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331,169</w:t>
            </w:r>
          </w:p>
        </w:tc>
        <w:tc>
          <w:tcPr>
            <w:tcW w:w="120" w:type="dxa"/>
            <w:vAlign w:val="bottom"/>
          </w:tcPr>
          <w:p>
            <w:pPr>
              <w:spacing w:after="0"/>
              <w:rPr>
                <w:sz w:val="12"/>
                <w:szCs w:val="12"/>
                <w:color w:val="auto"/>
              </w:rPr>
            </w:pPr>
          </w:p>
        </w:tc>
      </w:tr>
      <w:tr>
        <w:trPr>
          <w:trHeight w:val="151"/>
        </w:trPr>
        <w:tc>
          <w:tcPr>
            <w:tcW w:w="3340" w:type="dxa"/>
            <w:vAlign w:val="bottom"/>
          </w:tcPr>
          <w:p>
            <w:pPr>
              <w:ind w:left="140"/>
              <w:spacing w:after="0" w:line="150" w:lineRule="exact"/>
              <w:rPr>
                <w:sz w:val="20"/>
                <w:szCs w:val="20"/>
                <w:color w:val="auto"/>
              </w:rPr>
            </w:pPr>
            <w:r>
              <w:rPr>
                <w:rFonts w:ascii="Arial" w:cs="Arial" w:eastAsia="Arial" w:hAnsi="Arial"/>
                <w:sz w:val="11"/>
                <w:szCs w:val="11"/>
                <w:color w:val="auto"/>
              </w:rPr>
              <w:t xml:space="preserve">(American Insulated Glass, LLC) </w:t>
            </w:r>
            <w:r>
              <w:rPr>
                <w:rFonts w:ascii="Arial" w:cs="Arial" w:eastAsia="Arial" w:hAnsi="Arial"/>
                <w:sz w:val="17"/>
                <w:szCs w:val="17"/>
                <w:color w:val="auto"/>
                <w:vertAlign w:val="superscript"/>
              </w:rPr>
              <w:t>(7), (8)</w:t>
            </w: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49"/>
        </w:trPr>
        <w:tc>
          <w:tcPr>
            <w:tcW w:w="3340" w:type="dxa"/>
            <w:vAlign w:val="bottom"/>
            <w:shd w:val="clear" w:color="auto" w:fill="CCECFF"/>
          </w:tcPr>
          <w:p>
            <w:pPr>
              <w:spacing w:after="0"/>
              <w:rPr>
                <w:sz w:val="20"/>
                <w:szCs w:val="20"/>
                <w:color w:val="auto"/>
              </w:rPr>
            </w:pPr>
            <w:r>
              <w:rPr>
                <w:rFonts w:ascii="Arial" w:cs="Arial" w:eastAsia="Arial" w:hAnsi="Arial"/>
                <w:sz w:val="12"/>
                <w:szCs w:val="12"/>
                <w:color w:val="auto"/>
              </w:rPr>
              <w:t>IIN Group Holdings, LLC</w:t>
            </w:r>
          </w:p>
        </w:tc>
        <w:tc>
          <w:tcPr>
            <w:tcW w:w="120" w:type="dxa"/>
            <w:vAlign w:val="bottom"/>
            <w:shd w:val="clear" w:color="auto" w:fill="CCECFF"/>
          </w:tcPr>
          <w:p>
            <w:pPr>
              <w:spacing w:after="0"/>
              <w:rPr>
                <w:sz w:val="12"/>
                <w:szCs w:val="12"/>
                <w:color w:val="auto"/>
              </w:rPr>
            </w:pPr>
          </w:p>
        </w:tc>
        <w:tc>
          <w:tcPr>
            <w:tcW w:w="780" w:type="dxa"/>
            <w:vAlign w:val="bottom"/>
            <w:gridSpan w:val="2"/>
            <w:shd w:val="clear" w:color="auto" w:fill="CCECFF"/>
          </w:tcPr>
          <w:p>
            <w:pPr>
              <w:ind w:left="260"/>
              <w:spacing w:after="0"/>
              <w:rPr>
                <w:sz w:val="20"/>
                <w:szCs w:val="20"/>
                <w:color w:val="auto"/>
              </w:rPr>
            </w:pPr>
            <w:r>
              <w:rPr>
                <w:rFonts w:ascii="Arial" w:cs="Arial" w:eastAsia="Arial" w:hAnsi="Arial"/>
                <w:sz w:val="12"/>
                <w:szCs w:val="12"/>
                <w:color w:val="auto"/>
              </w:rPr>
              <w:t>—</w:t>
            </w:r>
          </w:p>
        </w:tc>
        <w:tc>
          <w:tcPr>
            <w:tcW w:w="246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87"/>
              </w:rPr>
              <w:t>Consumer Services</w:t>
            </w:r>
          </w:p>
        </w:tc>
        <w:tc>
          <w:tcPr>
            <w:tcW w:w="960" w:type="dxa"/>
            <w:vAlign w:val="bottom"/>
            <w:gridSpan w:val="2"/>
            <w:shd w:val="clear" w:color="auto" w:fill="CCECFF"/>
          </w:tcPr>
          <w:p>
            <w:pPr>
              <w:jc w:val="right"/>
              <w:ind w:right="300"/>
              <w:spacing w:after="0"/>
              <w:rPr>
                <w:sz w:val="20"/>
                <w:szCs w:val="20"/>
                <w:color w:val="auto"/>
              </w:rPr>
            </w:pPr>
            <w:r>
              <w:rPr>
                <w:rFonts w:ascii="Arial" w:cs="Arial" w:eastAsia="Arial" w:hAnsi="Arial"/>
                <w:sz w:val="12"/>
                <w:szCs w:val="12"/>
                <w:color w:val="auto"/>
              </w:rPr>
              <w:t>—</w:t>
            </w: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1,000</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1,000,000</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1,392,905</w:t>
            </w:r>
          </w:p>
        </w:tc>
        <w:tc>
          <w:tcPr>
            <w:tcW w:w="120" w:type="dxa"/>
            <w:vAlign w:val="bottom"/>
            <w:shd w:val="clear" w:color="auto" w:fill="CCECFF"/>
          </w:tcPr>
          <w:p>
            <w:pPr>
              <w:spacing w:after="0"/>
              <w:rPr>
                <w:sz w:val="12"/>
                <w:szCs w:val="12"/>
                <w:color w:val="auto"/>
              </w:rPr>
            </w:pPr>
          </w:p>
        </w:tc>
      </w:tr>
      <w:tr>
        <w:trPr>
          <w:trHeight w:val="148"/>
        </w:trPr>
        <w:tc>
          <w:tcPr>
            <w:tcW w:w="3340" w:type="dxa"/>
            <w:vAlign w:val="bottom"/>
            <w:shd w:val="clear" w:color="auto" w:fill="CCECFF"/>
          </w:tcPr>
          <w:p>
            <w:pPr>
              <w:ind w:left="140"/>
              <w:spacing w:after="0" w:line="149" w:lineRule="exact"/>
              <w:rPr>
                <w:sz w:val="20"/>
                <w:szCs w:val="20"/>
                <w:color w:val="auto"/>
              </w:rPr>
            </w:pPr>
            <w:r>
              <w:rPr>
                <w:rFonts w:ascii="Arial" w:cs="Arial" w:eastAsia="Arial" w:hAnsi="Arial"/>
                <w:sz w:val="11"/>
                <w:szCs w:val="11"/>
                <w:color w:val="auto"/>
              </w:rPr>
              <w:t xml:space="preserve">(Integrative Nutrition, LLC) </w:t>
            </w:r>
            <w:r>
              <w:rPr>
                <w:rFonts w:ascii="Arial" w:cs="Arial" w:eastAsia="Arial" w:hAnsi="Arial"/>
                <w:sz w:val="17"/>
                <w:szCs w:val="17"/>
                <w:color w:val="auto"/>
                <w:vertAlign w:val="superscript"/>
              </w:rPr>
              <w:t>(7), (8)</w:t>
            </w:r>
          </w:p>
        </w:tc>
        <w:tc>
          <w:tcPr>
            <w:tcW w:w="120" w:type="dxa"/>
            <w:vAlign w:val="bottom"/>
            <w:shd w:val="clear" w:color="auto" w:fill="CCECFF"/>
          </w:tcPr>
          <w:p>
            <w:pPr>
              <w:spacing w:after="0"/>
              <w:rPr>
                <w:sz w:val="12"/>
                <w:szCs w:val="12"/>
                <w:color w:val="auto"/>
              </w:rPr>
            </w:pPr>
          </w:p>
        </w:tc>
        <w:tc>
          <w:tcPr>
            <w:tcW w:w="54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234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8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70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70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r>
      <w:tr>
        <w:trPr>
          <w:trHeight w:val="148"/>
        </w:trPr>
        <w:tc>
          <w:tcPr>
            <w:tcW w:w="3340" w:type="dxa"/>
            <w:vAlign w:val="bottom"/>
          </w:tcPr>
          <w:p>
            <w:pPr>
              <w:spacing w:after="0" w:line="149" w:lineRule="exact"/>
              <w:rPr>
                <w:sz w:val="20"/>
                <w:szCs w:val="20"/>
                <w:color w:val="auto"/>
              </w:rPr>
            </w:pPr>
            <w:r>
              <w:rPr>
                <w:rFonts w:ascii="Arial" w:cs="Arial" w:eastAsia="Arial" w:hAnsi="Arial"/>
                <w:sz w:val="11"/>
                <w:szCs w:val="11"/>
                <w:color w:val="auto"/>
              </w:rPr>
              <w:t xml:space="preserve">ITC Rumba, LLC (Cano Health, LLC) </w:t>
            </w:r>
            <w:r>
              <w:rPr>
                <w:rFonts w:ascii="Arial" w:cs="Arial" w:eastAsia="Arial" w:hAnsi="Arial"/>
                <w:sz w:val="17"/>
                <w:szCs w:val="17"/>
                <w:color w:val="auto"/>
                <w:vertAlign w:val="superscript"/>
              </w:rPr>
              <w:t>(10)</w:t>
            </w:r>
          </w:p>
        </w:tc>
        <w:tc>
          <w:tcPr>
            <w:tcW w:w="120" w:type="dxa"/>
            <w:vAlign w:val="bottom"/>
          </w:tcPr>
          <w:p>
            <w:pPr>
              <w:spacing w:after="0"/>
              <w:rPr>
                <w:sz w:val="12"/>
                <w:szCs w:val="12"/>
                <w:color w:val="auto"/>
              </w:rPr>
            </w:pPr>
          </w:p>
        </w:tc>
        <w:tc>
          <w:tcPr>
            <w:tcW w:w="780" w:type="dxa"/>
            <w:vAlign w:val="bottom"/>
            <w:gridSpan w:val="2"/>
          </w:tcPr>
          <w:p>
            <w:pPr>
              <w:ind w:left="260"/>
              <w:spacing w:after="0"/>
              <w:rPr>
                <w:sz w:val="20"/>
                <w:szCs w:val="20"/>
                <w:color w:val="auto"/>
              </w:rPr>
            </w:pPr>
            <w:r>
              <w:rPr>
                <w:rFonts w:ascii="Arial" w:cs="Arial" w:eastAsia="Arial" w:hAnsi="Arial"/>
                <w:sz w:val="12"/>
                <w:szCs w:val="12"/>
                <w:color w:val="auto"/>
              </w:rPr>
              <w:t>—</w:t>
            </w:r>
          </w:p>
        </w:tc>
        <w:tc>
          <w:tcPr>
            <w:tcW w:w="2460" w:type="dxa"/>
            <w:vAlign w:val="bottom"/>
            <w:gridSpan w:val="2"/>
          </w:tcPr>
          <w:p>
            <w:pPr>
              <w:jc w:val="center"/>
              <w:ind w:right="120"/>
              <w:spacing w:after="0"/>
              <w:rPr>
                <w:sz w:val="20"/>
                <w:szCs w:val="20"/>
                <w:color w:val="auto"/>
              </w:rPr>
            </w:pPr>
            <w:r>
              <w:rPr>
                <w:rFonts w:ascii="Arial" w:cs="Arial" w:eastAsia="Arial" w:hAnsi="Arial"/>
                <w:sz w:val="12"/>
                <w:szCs w:val="12"/>
                <w:color w:val="auto"/>
                <w:w w:val="86"/>
              </w:rPr>
              <w:t>Healthcare and Pharmaceuticals</w:t>
            </w:r>
          </w:p>
        </w:tc>
        <w:tc>
          <w:tcPr>
            <w:tcW w:w="96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9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21,529</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430,576</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607,059</w:t>
            </w:r>
          </w:p>
        </w:tc>
        <w:tc>
          <w:tcPr>
            <w:tcW w:w="120" w:type="dxa"/>
            <w:vAlign w:val="bottom"/>
          </w:tcPr>
          <w:p>
            <w:pPr>
              <w:spacing w:after="0"/>
              <w:rPr>
                <w:sz w:val="12"/>
                <w:szCs w:val="12"/>
                <w:color w:val="auto"/>
              </w:rPr>
            </w:pPr>
          </w:p>
        </w:tc>
      </w:tr>
      <w:tr>
        <w:trPr>
          <w:trHeight w:val="149"/>
        </w:trPr>
        <w:tc>
          <w:tcPr>
            <w:tcW w:w="3340" w:type="dxa"/>
            <w:vAlign w:val="bottom"/>
            <w:shd w:val="clear" w:color="auto" w:fill="CCECFF"/>
          </w:tcPr>
          <w:p>
            <w:pPr>
              <w:spacing w:after="0" w:line="149" w:lineRule="exact"/>
              <w:rPr>
                <w:sz w:val="20"/>
                <w:szCs w:val="20"/>
                <w:color w:val="auto"/>
              </w:rPr>
            </w:pPr>
            <w:r>
              <w:rPr>
                <w:rFonts w:ascii="Arial" w:cs="Arial" w:eastAsia="Arial" w:hAnsi="Arial"/>
                <w:sz w:val="11"/>
                <w:szCs w:val="11"/>
                <w:color w:val="auto"/>
              </w:rPr>
              <w:t xml:space="preserve">JWC/UMA Holdings, L.P. </w:t>
            </w:r>
            <w:r>
              <w:rPr>
                <w:rFonts w:ascii="Arial" w:cs="Arial" w:eastAsia="Arial" w:hAnsi="Arial"/>
                <w:sz w:val="17"/>
                <w:szCs w:val="17"/>
                <w:color w:val="auto"/>
                <w:vertAlign w:val="superscript"/>
              </w:rPr>
              <w:t>(7)</w:t>
            </w:r>
          </w:p>
        </w:tc>
        <w:tc>
          <w:tcPr>
            <w:tcW w:w="120" w:type="dxa"/>
            <w:vAlign w:val="bottom"/>
            <w:shd w:val="clear" w:color="auto" w:fill="CCECFF"/>
          </w:tcPr>
          <w:p>
            <w:pPr>
              <w:spacing w:after="0"/>
              <w:rPr>
                <w:sz w:val="12"/>
                <w:szCs w:val="12"/>
                <w:color w:val="auto"/>
              </w:rPr>
            </w:pPr>
          </w:p>
        </w:tc>
        <w:tc>
          <w:tcPr>
            <w:tcW w:w="780" w:type="dxa"/>
            <w:vAlign w:val="bottom"/>
            <w:gridSpan w:val="2"/>
            <w:shd w:val="clear" w:color="auto" w:fill="CCECFF"/>
          </w:tcPr>
          <w:p>
            <w:pPr>
              <w:ind w:left="260"/>
              <w:spacing w:after="0"/>
              <w:rPr>
                <w:sz w:val="20"/>
                <w:szCs w:val="20"/>
                <w:color w:val="auto"/>
              </w:rPr>
            </w:pPr>
            <w:r>
              <w:rPr>
                <w:rFonts w:ascii="Arial" w:cs="Arial" w:eastAsia="Arial" w:hAnsi="Arial"/>
                <w:sz w:val="12"/>
                <w:szCs w:val="12"/>
                <w:color w:val="auto"/>
              </w:rPr>
              <w:t>—</w:t>
            </w:r>
          </w:p>
        </w:tc>
        <w:tc>
          <w:tcPr>
            <w:tcW w:w="2460" w:type="dxa"/>
            <w:vAlign w:val="bottom"/>
            <w:gridSpan w:val="2"/>
            <w:shd w:val="clear" w:color="auto" w:fill="CCECFF"/>
          </w:tcPr>
          <w:p>
            <w:pPr>
              <w:jc w:val="center"/>
              <w:ind w:right="120"/>
              <w:spacing w:after="0"/>
              <w:rPr>
                <w:sz w:val="20"/>
                <w:szCs w:val="20"/>
                <w:color w:val="auto"/>
              </w:rPr>
            </w:pPr>
            <w:r>
              <w:rPr>
                <w:rFonts w:ascii="Arial" w:cs="Arial" w:eastAsia="Arial" w:hAnsi="Arial"/>
                <w:sz w:val="12"/>
                <w:szCs w:val="12"/>
                <w:color w:val="auto"/>
                <w:w w:val="86"/>
              </w:rPr>
              <w:t>Healthcare and Pharmaceuticals</w:t>
            </w:r>
          </w:p>
        </w:tc>
        <w:tc>
          <w:tcPr>
            <w:tcW w:w="960" w:type="dxa"/>
            <w:vAlign w:val="bottom"/>
            <w:gridSpan w:val="2"/>
            <w:shd w:val="clear" w:color="auto" w:fill="CCECFF"/>
          </w:tcPr>
          <w:p>
            <w:pPr>
              <w:jc w:val="right"/>
              <w:ind w:right="300"/>
              <w:spacing w:after="0"/>
              <w:rPr>
                <w:sz w:val="20"/>
                <w:szCs w:val="20"/>
                <w:color w:val="auto"/>
              </w:rPr>
            </w:pPr>
            <w:r>
              <w:rPr>
                <w:rFonts w:ascii="Arial" w:cs="Arial" w:eastAsia="Arial" w:hAnsi="Arial"/>
                <w:sz w:val="12"/>
                <w:szCs w:val="12"/>
                <w:color w:val="auto"/>
              </w:rPr>
              <w:t>—</w:t>
            </w: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1,000</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1,000,000</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1,210,541</w:t>
            </w:r>
          </w:p>
        </w:tc>
        <w:tc>
          <w:tcPr>
            <w:tcW w:w="120" w:type="dxa"/>
            <w:vAlign w:val="bottom"/>
            <w:shd w:val="clear" w:color="auto" w:fill="CCECFF"/>
          </w:tcPr>
          <w:p>
            <w:pPr>
              <w:spacing w:after="0"/>
              <w:rPr>
                <w:sz w:val="12"/>
                <w:szCs w:val="12"/>
                <w:color w:val="auto"/>
              </w:rPr>
            </w:pPr>
          </w:p>
        </w:tc>
      </w:tr>
      <w:tr>
        <w:trPr>
          <w:trHeight w:val="146"/>
        </w:trPr>
        <w:tc>
          <w:tcPr>
            <w:tcW w:w="3340" w:type="dxa"/>
            <w:vAlign w:val="bottom"/>
          </w:tcPr>
          <w:p>
            <w:pPr>
              <w:spacing w:after="0"/>
              <w:rPr>
                <w:sz w:val="20"/>
                <w:szCs w:val="20"/>
                <w:color w:val="auto"/>
              </w:rPr>
            </w:pPr>
            <w:r>
              <w:rPr>
                <w:rFonts w:ascii="Arial" w:cs="Arial" w:eastAsia="Arial" w:hAnsi="Arial"/>
                <w:sz w:val="12"/>
                <w:szCs w:val="12"/>
                <w:color w:val="auto"/>
              </w:rPr>
              <w:t>JWC-WE Holdings, L.P.</w:t>
            </w:r>
          </w:p>
        </w:tc>
        <w:tc>
          <w:tcPr>
            <w:tcW w:w="120" w:type="dxa"/>
            <w:vAlign w:val="bottom"/>
          </w:tcPr>
          <w:p>
            <w:pPr>
              <w:spacing w:after="0"/>
              <w:rPr>
                <w:sz w:val="12"/>
                <w:szCs w:val="12"/>
                <w:color w:val="auto"/>
              </w:rPr>
            </w:pPr>
          </w:p>
        </w:tc>
        <w:tc>
          <w:tcPr>
            <w:tcW w:w="780" w:type="dxa"/>
            <w:vAlign w:val="bottom"/>
            <w:gridSpan w:val="2"/>
          </w:tcPr>
          <w:p>
            <w:pPr>
              <w:ind w:left="260"/>
              <w:spacing w:after="0"/>
              <w:rPr>
                <w:sz w:val="20"/>
                <w:szCs w:val="20"/>
                <w:color w:val="auto"/>
              </w:rPr>
            </w:pPr>
            <w:r>
              <w:rPr>
                <w:rFonts w:ascii="Arial" w:cs="Arial" w:eastAsia="Arial" w:hAnsi="Arial"/>
                <w:sz w:val="12"/>
                <w:szCs w:val="12"/>
                <w:color w:val="auto"/>
              </w:rPr>
              <w:t>—</w:t>
            </w:r>
          </w:p>
        </w:tc>
        <w:tc>
          <w:tcPr>
            <w:tcW w:w="2460" w:type="dxa"/>
            <w:vAlign w:val="bottom"/>
            <w:gridSpan w:val="2"/>
          </w:tcPr>
          <w:p>
            <w:pPr>
              <w:jc w:val="center"/>
              <w:ind w:right="140"/>
              <w:spacing w:after="0"/>
              <w:rPr>
                <w:sz w:val="20"/>
                <w:szCs w:val="20"/>
                <w:color w:val="auto"/>
              </w:rPr>
            </w:pPr>
            <w:r>
              <w:rPr>
                <w:rFonts w:ascii="Arial" w:cs="Arial" w:eastAsia="Arial" w:hAnsi="Arial"/>
                <w:sz w:val="12"/>
                <w:szCs w:val="12"/>
                <w:color w:val="auto"/>
                <w:w w:val="85"/>
              </w:rPr>
              <w:t>Wholesale</w:t>
            </w:r>
          </w:p>
        </w:tc>
        <w:tc>
          <w:tcPr>
            <w:tcW w:w="96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9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1,381,741</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1,381,741</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3,595,627</w:t>
            </w:r>
          </w:p>
        </w:tc>
        <w:tc>
          <w:tcPr>
            <w:tcW w:w="120" w:type="dxa"/>
            <w:vAlign w:val="bottom"/>
          </w:tcPr>
          <w:p>
            <w:pPr>
              <w:spacing w:after="0"/>
              <w:rPr>
                <w:sz w:val="12"/>
                <w:szCs w:val="12"/>
                <w:color w:val="auto"/>
              </w:rPr>
            </w:pPr>
          </w:p>
        </w:tc>
      </w:tr>
      <w:tr>
        <w:trPr>
          <w:trHeight w:val="151"/>
        </w:trPr>
        <w:tc>
          <w:tcPr>
            <w:tcW w:w="3340" w:type="dxa"/>
            <w:vAlign w:val="bottom"/>
          </w:tcPr>
          <w:p>
            <w:pPr>
              <w:ind w:left="140"/>
              <w:spacing w:after="0" w:line="150" w:lineRule="exact"/>
              <w:rPr>
                <w:sz w:val="20"/>
                <w:szCs w:val="20"/>
                <w:color w:val="auto"/>
              </w:rPr>
            </w:pPr>
            <w:r>
              <w:rPr>
                <w:rFonts w:ascii="Arial" w:cs="Arial" w:eastAsia="Arial" w:hAnsi="Arial"/>
                <w:sz w:val="11"/>
                <w:szCs w:val="11"/>
                <w:color w:val="auto"/>
              </w:rPr>
              <w:t xml:space="preserve">(Walker Edison Furniture Company LLC) </w:t>
            </w:r>
            <w:r>
              <w:rPr>
                <w:rFonts w:ascii="Arial" w:cs="Arial" w:eastAsia="Arial" w:hAnsi="Arial"/>
                <w:sz w:val="17"/>
                <w:szCs w:val="17"/>
                <w:color w:val="auto"/>
                <w:vertAlign w:val="superscript"/>
              </w:rPr>
              <w:t>(7), (8)</w:t>
            </w: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48"/>
        </w:trPr>
        <w:tc>
          <w:tcPr>
            <w:tcW w:w="3340" w:type="dxa"/>
            <w:vAlign w:val="bottom"/>
            <w:shd w:val="clear" w:color="auto" w:fill="CCECFF"/>
          </w:tcPr>
          <w:p>
            <w:pPr>
              <w:spacing w:after="0" w:line="149" w:lineRule="exact"/>
              <w:rPr>
                <w:sz w:val="20"/>
                <w:szCs w:val="20"/>
                <w:color w:val="auto"/>
              </w:rPr>
            </w:pPr>
            <w:r>
              <w:rPr>
                <w:rFonts w:ascii="Arial" w:cs="Arial" w:eastAsia="Arial" w:hAnsi="Arial"/>
                <w:sz w:val="11"/>
                <w:szCs w:val="11"/>
                <w:color w:val="auto"/>
              </w:rPr>
              <w:t xml:space="preserve">Kentucky Racing Holdco, LLC (Warrants) </w:t>
            </w:r>
            <w:r>
              <w:rPr>
                <w:rFonts w:ascii="Arial" w:cs="Arial" w:eastAsia="Arial" w:hAnsi="Arial"/>
                <w:sz w:val="17"/>
                <w:szCs w:val="17"/>
                <w:color w:val="auto"/>
                <w:vertAlign w:val="superscript"/>
              </w:rPr>
              <w:t>(7), (8)</w:t>
            </w:r>
          </w:p>
        </w:tc>
        <w:tc>
          <w:tcPr>
            <w:tcW w:w="120" w:type="dxa"/>
            <w:vAlign w:val="bottom"/>
            <w:shd w:val="clear" w:color="auto" w:fill="CCECFF"/>
          </w:tcPr>
          <w:p>
            <w:pPr>
              <w:spacing w:after="0"/>
              <w:rPr>
                <w:sz w:val="12"/>
                <w:szCs w:val="12"/>
                <w:color w:val="auto"/>
              </w:rPr>
            </w:pPr>
          </w:p>
        </w:tc>
        <w:tc>
          <w:tcPr>
            <w:tcW w:w="54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246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86"/>
              </w:rPr>
              <w:t>Hotels, Restaurants and Leisure</w:t>
            </w:r>
          </w:p>
        </w:tc>
        <w:tc>
          <w:tcPr>
            <w:tcW w:w="680" w:type="dxa"/>
            <w:vAlign w:val="bottom"/>
            <w:shd w:val="clear" w:color="auto" w:fill="CCECFF"/>
          </w:tcPr>
          <w:p>
            <w:pPr>
              <w:spacing w:after="0"/>
              <w:rPr>
                <w:sz w:val="12"/>
                <w:szCs w:val="12"/>
                <w:color w:val="auto"/>
              </w:rPr>
            </w:pPr>
          </w:p>
        </w:tc>
        <w:tc>
          <w:tcPr>
            <w:tcW w:w="28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87,345</w:t>
            </w:r>
          </w:p>
        </w:tc>
        <w:tc>
          <w:tcPr>
            <w:tcW w:w="240" w:type="dxa"/>
            <w:vAlign w:val="bottom"/>
            <w:shd w:val="clear" w:color="auto" w:fill="CCECFF"/>
          </w:tcPr>
          <w:p>
            <w:pPr>
              <w:spacing w:after="0"/>
              <w:rPr>
                <w:sz w:val="12"/>
                <w:szCs w:val="12"/>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166,773</w:t>
            </w:r>
          </w:p>
        </w:tc>
        <w:tc>
          <w:tcPr>
            <w:tcW w:w="120" w:type="dxa"/>
            <w:vAlign w:val="bottom"/>
            <w:shd w:val="clear" w:color="auto" w:fill="CCECFF"/>
          </w:tcPr>
          <w:p>
            <w:pPr>
              <w:spacing w:after="0"/>
              <w:rPr>
                <w:sz w:val="12"/>
                <w:szCs w:val="12"/>
                <w:color w:val="auto"/>
              </w:rPr>
            </w:pPr>
          </w:p>
        </w:tc>
      </w:tr>
      <w:tr>
        <w:trPr>
          <w:trHeight w:val="148"/>
        </w:trPr>
        <w:tc>
          <w:tcPr>
            <w:tcW w:w="3340" w:type="dxa"/>
            <w:vAlign w:val="bottom"/>
          </w:tcPr>
          <w:p>
            <w:pPr>
              <w:spacing w:after="0" w:line="149" w:lineRule="exact"/>
              <w:rPr>
                <w:sz w:val="20"/>
                <w:szCs w:val="20"/>
                <w:color w:val="auto"/>
              </w:rPr>
            </w:pPr>
            <w:r>
              <w:rPr>
                <w:rFonts w:ascii="Arial" w:cs="Arial" w:eastAsia="Arial" w:hAnsi="Arial"/>
                <w:sz w:val="11"/>
                <w:szCs w:val="11"/>
                <w:color w:val="auto"/>
              </w:rPr>
              <w:t xml:space="preserve">MeritDirect Holdings, LP </w:t>
            </w:r>
            <w:r>
              <w:rPr>
                <w:rFonts w:ascii="Arial" w:cs="Arial" w:eastAsia="Arial" w:hAnsi="Arial"/>
                <w:sz w:val="17"/>
                <w:szCs w:val="17"/>
                <w:color w:val="auto"/>
                <w:vertAlign w:val="superscript"/>
              </w:rPr>
              <w:t>(7), (8)</w:t>
            </w:r>
          </w:p>
        </w:tc>
        <w:tc>
          <w:tcPr>
            <w:tcW w:w="120" w:type="dxa"/>
            <w:vAlign w:val="bottom"/>
          </w:tcPr>
          <w:p>
            <w:pPr>
              <w:spacing w:after="0"/>
              <w:rPr>
                <w:sz w:val="12"/>
                <w:szCs w:val="12"/>
                <w:color w:val="auto"/>
              </w:rPr>
            </w:pPr>
          </w:p>
        </w:tc>
        <w:tc>
          <w:tcPr>
            <w:tcW w:w="780" w:type="dxa"/>
            <w:vAlign w:val="bottom"/>
            <w:gridSpan w:val="2"/>
          </w:tcPr>
          <w:p>
            <w:pPr>
              <w:ind w:left="260"/>
              <w:spacing w:after="0"/>
              <w:rPr>
                <w:sz w:val="20"/>
                <w:szCs w:val="20"/>
                <w:color w:val="auto"/>
              </w:rPr>
            </w:pPr>
            <w:r>
              <w:rPr>
                <w:rFonts w:ascii="Arial" w:cs="Arial" w:eastAsia="Arial" w:hAnsi="Arial"/>
                <w:sz w:val="12"/>
                <w:szCs w:val="12"/>
                <w:color w:val="auto"/>
              </w:rPr>
              <w:t>—</w:t>
            </w:r>
          </w:p>
        </w:tc>
        <w:tc>
          <w:tcPr>
            <w:tcW w:w="2460" w:type="dxa"/>
            <w:vAlign w:val="bottom"/>
            <w:gridSpan w:val="2"/>
          </w:tcPr>
          <w:p>
            <w:pPr>
              <w:jc w:val="center"/>
              <w:ind w:right="120"/>
              <w:spacing w:after="0"/>
              <w:rPr>
                <w:sz w:val="20"/>
                <w:szCs w:val="20"/>
                <w:color w:val="auto"/>
              </w:rPr>
            </w:pPr>
            <w:r>
              <w:rPr>
                <w:rFonts w:ascii="Arial" w:cs="Arial" w:eastAsia="Arial" w:hAnsi="Arial"/>
                <w:sz w:val="12"/>
                <w:szCs w:val="12"/>
                <w:color w:val="auto"/>
                <w:w w:val="91"/>
              </w:rPr>
              <w:t>Media</w:t>
            </w:r>
          </w:p>
        </w:tc>
        <w:tc>
          <w:tcPr>
            <w:tcW w:w="96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9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960</w:t>
            </w:r>
          </w:p>
        </w:tc>
        <w:tc>
          <w:tcPr>
            <w:tcW w:w="24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98,635</w:t>
            </w:r>
          </w:p>
        </w:tc>
        <w:tc>
          <w:tcPr>
            <w:tcW w:w="120" w:type="dxa"/>
            <w:vAlign w:val="bottom"/>
          </w:tcPr>
          <w:p>
            <w:pPr>
              <w:spacing w:after="0"/>
              <w:rPr>
                <w:sz w:val="12"/>
                <w:szCs w:val="12"/>
                <w:color w:val="auto"/>
              </w:rPr>
            </w:pPr>
          </w:p>
        </w:tc>
      </w:tr>
      <w:tr>
        <w:trPr>
          <w:trHeight w:val="149"/>
        </w:trPr>
        <w:tc>
          <w:tcPr>
            <w:tcW w:w="3340" w:type="dxa"/>
            <w:vAlign w:val="bottom"/>
            <w:shd w:val="clear" w:color="auto" w:fill="CCECFF"/>
          </w:tcPr>
          <w:p>
            <w:pPr>
              <w:spacing w:after="0" w:line="149" w:lineRule="exact"/>
              <w:rPr>
                <w:sz w:val="20"/>
                <w:szCs w:val="20"/>
                <w:color w:val="auto"/>
              </w:rPr>
            </w:pPr>
            <w:r>
              <w:rPr>
                <w:rFonts w:ascii="Arial" w:cs="Arial" w:eastAsia="Arial" w:hAnsi="Arial"/>
                <w:sz w:val="11"/>
                <w:szCs w:val="11"/>
                <w:color w:val="auto"/>
              </w:rPr>
              <w:t xml:space="preserve">NXOF Holdings, Inc. (NextiraOne Federal, LLC) </w:t>
            </w:r>
            <w:r>
              <w:rPr>
                <w:rFonts w:ascii="Arial" w:cs="Arial" w:eastAsia="Arial" w:hAnsi="Arial"/>
                <w:sz w:val="17"/>
                <w:szCs w:val="17"/>
                <w:color w:val="auto"/>
                <w:vertAlign w:val="superscript"/>
              </w:rPr>
              <w:t>(7)</w:t>
            </w:r>
          </w:p>
        </w:tc>
        <w:tc>
          <w:tcPr>
            <w:tcW w:w="120" w:type="dxa"/>
            <w:vAlign w:val="bottom"/>
            <w:shd w:val="clear" w:color="auto" w:fill="CCECFF"/>
          </w:tcPr>
          <w:p>
            <w:pPr>
              <w:spacing w:after="0"/>
              <w:rPr>
                <w:sz w:val="12"/>
                <w:szCs w:val="12"/>
                <w:color w:val="auto"/>
              </w:rPr>
            </w:pPr>
          </w:p>
        </w:tc>
        <w:tc>
          <w:tcPr>
            <w:tcW w:w="780" w:type="dxa"/>
            <w:vAlign w:val="bottom"/>
            <w:gridSpan w:val="2"/>
            <w:shd w:val="clear" w:color="auto" w:fill="CCECFF"/>
          </w:tcPr>
          <w:p>
            <w:pPr>
              <w:ind w:left="260"/>
              <w:spacing w:after="0"/>
              <w:rPr>
                <w:sz w:val="20"/>
                <w:szCs w:val="20"/>
                <w:color w:val="auto"/>
              </w:rPr>
            </w:pPr>
            <w:r>
              <w:rPr>
                <w:rFonts w:ascii="Arial" w:cs="Arial" w:eastAsia="Arial" w:hAnsi="Arial"/>
                <w:sz w:val="12"/>
                <w:szCs w:val="12"/>
                <w:color w:val="auto"/>
              </w:rPr>
              <w:t>—</w:t>
            </w:r>
          </w:p>
        </w:tc>
        <w:tc>
          <w:tcPr>
            <w:tcW w:w="246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86"/>
              </w:rPr>
              <w:t>Aerospace and Defense</w:t>
            </w:r>
          </w:p>
        </w:tc>
        <w:tc>
          <w:tcPr>
            <w:tcW w:w="960" w:type="dxa"/>
            <w:vAlign w:val="bottom"/>
            <w:gridSpan w:val="2"/>
            <w:shd w:val="clear" w:color="auto" w:fill="CCECFF"/>
          </w:tcPr>
          <w:p>
            <w:pPr>
              <w:jc w:val="right"/>
              <w:ind w:right="300"/>
              <w:spacing w:after="0"/>
              <w:rPr>
                <w:sz w:val="20"/>
                <w:szCs w:val="20"/>
                <w:color w:val="auto"/>
              </w:rPr>
            </w:pPr>
            <w:r>
              <w:rPr>
                <w:rFonts w:ascii="Arial" w:cs="Arial" w:eastAsia="Arial" w:hAnsi="Arial"/>
                <w:sz w:val="12"/>
                <w:szCs w:val="12"/>
                <w:color w:val="auto"/>
              </w:rPr>
              <w:t>—</w:t>
            </w: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10,000</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10,000</w:t>
            </w:r>
          </w:p>
        </w:tc>
        <w:tc>
          <w:tcPr>
            <w:tcW w:w="240" w:type="dxa"/>
            <w:vAlign w:val="bottom"/>
            <w:shd w:val="clear" w:color="auto" w:fill="CCECFF"/>
          </w:tcPr>
          <w:p>
            <w:pPr>
              <w:spacing w:after="0"/>
              <w:rPr>
                <w:sz w:val="12"/>
                <w:szCs w:val="12"/>
                <w:color w:val="auto"/>
              </w:rPr>
            </w:pPr>
          </w:p>
        </w:tc>
        <w:tc>
          <w:tcPr>
            <w:tcW w:w="82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w:t>
            </w:r>
          </w:p>
        </w:tc>
      </w:tr>
      <w:tr>
        <w:trPr>
          <w:trHeight w:val="148"/>
        </w:trPr>
        <w:tc>
          <w:tcPr>
            <w:tcW w:w="3340" w:type="dxa"/>
            <w:vAlign w:val="bottom"/>
          </w:tcPr>
          <w:p>
            <w:pPr>
              <w:spacing w:after="0" w:line="149" w:lineRule="exact"/>
              <w:rPr>
                <w:sz w:val="20"/>
                <w:szCs w:val="20"/>
                <w:color w:val="auto"/>
              </w:rPr>
            </w:pPr>
            <w:r>
              <w:rPr>
                <w:rFonts w:ascii="Arial" w:cs="Arial" w:eastAsia="Arial" w:hAnsi="Arial"/>
                <w:sz w:val="11"/>
                <w:szCs w:val="11"/>
                <w:color w:val="auto"/>
              </w:rPr>
              <w:t xml:space="preserve">PT Network Intermediate Holdings, LLC </w:t>
            </w:r>
            <w:r>
              <w:rPr>
                <w:rFonts w:ascii="Arial" w:cs="Arial" w:eastAsia="Arial" w:hAnsi="Arial"/>
                <w:sz w:val="17"/>
                <w:szCs w:val="17"/>
                <w:color w:val="auto"/>
                <w:vertAlign w:val="superscript"/>
              </w:rPr>
              <w:t>(7), (8)</w:t>
            </w: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60" w:type="dxa"/>
            <w:vAlign w:val="bottom"/>
            <w:gridSpan w:val="2"/>
          </w:tcPr>
          <w:p>
            <w:pPr>
              <w:jc w:val="center"/>
              <w:ind w:right="120"/>
              <w:spacing w:after="0"/>
              <w:rPr>
                <w:sz w:val="20"/>
                <w:szCs w:val="20"/>
                <w:color w:val="auto"/>
              </w:rPr>
            </w:pPr>
            <w:r>
              <w:rPr>
                <w:rFonts w:ascii="Arial" w:cs="Arial" w:eastAsia="Arial" w:hAnsi="Arial"/>
                <w:sz w:val="12"/>
                <w:szCs w:val="12"/>
                <w:color w:val="auto"/>
                <w:w w:val="86"/>
              </w:rPr>
              <w:t>Healthcare and Pharmaceuticals</w:t>
            </w: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25</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239,333</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680,580</w:t>
            </w:r>
          </w:p>
        </w:tc>
        <w:tc>
          <w:tcPr>
            <w:tcW w:w="120" w:type="dxa"/>
            <w:vAlign w:val="bottom"/>
          </w:tcPr>
          <w:p>
            <w:pPr>
              <w:spacing w:after="0"/>
              <w:rPr>
                <w:sz w:val="12"/>
                <w:szCs w:val="12"/>
                <w:color w:val="auto"/>
              </w:rPr>
            </w:pPr>
          </w:p>
        </w:tc>
      </w:tr>
      <w:tr>
        <w:trPr>
          <w:trHeight w:val="148"/>
        </w:trPr>
        <w:tc>
          <w:tcPr>
            <w:tcW w:w="3340" w:type="dxa"/>
            <w:vAlign w:val="bottom"/>
            <w:shd w:val="clear" w:color="auto" w:fill="CCECFF"/>
          </w:tcPr>
          <w:p>
            <w:pPr>
              <w:spacing w:after="0" w:line="149" w:lineRule="exact"/>
              <w:rPr>
                <w:sz w:val="20"/>
                <w:szCs w:val="20"/>
                <w:color w:val="auto"/>
              </w:rPr>
            </w:pPr>
            <w:r>
              <w:rPr>
                <w:rFonts w:ascii="Arial" w:cs="Arial" w:eastAsia="Arial" w:hAnsi="Arial"/>
                <w:sz w:val="11"/>
                <w:szCs w:val="11"/>
                <w:color w:val="auto"/>
              </w:rPr>
              <w:t xml:space="preserve">Signature CR Intermediate Holdco, Inc. </w:t>
            </w:r>
            <w:r>
              <w:rPr>
                <w:rFonts w:ascii="Arial" w:cs="Arial" w:eastAsia="Arial" w:hAnsi="Arial"/>
                <w:sz w:val="17"/>
                <w:szCs w:val="17"/>
                <w:color w:val="auto"/>
                <w:vertAlign w:val="superscript"/>
              </w:rPr>
              <w:t>(7)</w:t>
            </w:r>
          </w:p>
        </w:tc>
        <w:tc>
          <w:tcPr>
            <w:tcW w:w="120" w:type="dxa"/>
            <w:vAlign w:val="bottom"/>
            <w:shd w:val="clear" w:color="auto" w:fill="CCECFF"/>
          </w:tcPr>
          <w:p>
            <w:pPr>
              <w:spacing w:after="0"/>
              <w:rPr>
                <w:sz w:val="12"/>
                <w:szCs w:val="12"/>
                <w:color w:val="auto"/>
              </w:rPr>
            </w:pPr>
          </w:p>
        </w:tc>
        <w:tc>
          <w:tcPr>
            <w:tcW w:w="780" w:type="dxa"/>
            <w:vAlign w:val="bottom"/>
            <w:gridSpan w:val="2"/>
            <w:shd w:val="clear" w:color="auto" w:fill="CCECFF"/>
          </w:tcPr>
          <w:p>
            <w:pPr>
              <w:ind w:left="260"/>
              <w:spacing w:after="0"/>
              <w:rPr>
                <w:sz w:val="20"/>
                <w:szCs w:val="20"/>
                <w:color w:val="auto"/>
              </w:rPr>
            </w:pPr>
            <w:r>
              <w:rPr>
                <w:rFonts w:ascii="Arial" w:cs="Arial" w:eastAsia="Arial" w:hAnsi="Arial"/>
                <w:sz w:val="12"/>
                <w:szCs w:val="12"/>
                <w:color w:val="auto"/>
              </w:rPr>
              <w:t>—</w:t>
            </w:r>
          </w:p>
        </w:tc>
        <w:tc>
          <w:tcPr>
            <w:tcW w:w="246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89"/>
              </w:rPr>
              <w:t>Commercial Services &amp; Supplies</w:t>
            </w:r>
          </w:p>
        </w:tc>
        <w:tc>
          <w:tcPr>
            <w:tcW w:w="960" w:type="dxa"/>
            <w:vAlign w:val="bottom"/>
            <w:gridSpan w:val="2"/>
            <w:shd w:val="clear" w:color="auto" w:fill="CCECFF"/>
          </w:tcPr>
          <w:p>
            <w:pPr>
              <w:jc w:val="right"/>
              <w:ind w:right="300"/>
              <w:spacing w:after="0"/>
              <w:rPr>
                <w:sz w:val="20"/>
                <w:szCs w:val="20"/>
                <w:color w:val="auto"/>
              </w:rPr>
            </w:pPr>
            <w:r>
              <w:rPr>
                <w:rFonts w:ascii="Arial" w:cs="Arial" w:eastAsia="Arial" w:hAnsi="Arial"/>
                <w:sz w:val="12"/>
                <w:szCs w:val="12"/>
                <w:color w:val="auto"/>
              </w:rPr>
              <w:t>—</w:t>
            </w: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61</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61,421</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29,886</w:t>
            </w:r>
          </w:p>
        </w:tc>
        <w:tc>
          <w:tcPr>
            <w:tcW w:w="120" w:type="dxa"/>
            <w:vAlign w:val="bottom"/>
            <w:shd w:val="clear" w:color="auto" w:fill="CCECFF"/>
          </w:tcPr>
          <w:p>
            <w:pPr>
              <w:spacing w:after="0"/>
              <w:rPr>
                <w:sz w:val="12"/>
                <w:szCs w:val="12"/>
                <w:color w:val="auto"/>
              </w:rPr>
            </w:pPr>
          </w:p>
        </w:tc>
      </w:tr>
      <w:tr>
        <w:trPr>
          <w:trHeight w:val="146"/>
        </w:trPr>
        <w:tc>
          <w:tcPr>
            <w:tcW w:w="3340" w:type="dxa"/>
            <w:vAlign w:val="bottom"/>
          </w:tcPr>
          <w:p>
            <w:pPr>
              <w:spacing w:after="0"/>
              <w:rPr>
                <w:sz w:val="20"/>
                <w:szCs w:val="20"/>
                <w:color w:val="auto"/>
              </w:rPr>
            </w:pPr>
            <w:r>
              <w:rPr>
                <w:rFonts w:ascii="Arial" w:cs="Arial" w:eastAsia="Arial" w:hAnsi="Arial"/>
                <w:sz w:val="12"/>
                <w:szCs w:val="12"/>
                <w:color w:val="auto"/>
              </w:rPr>
              <w:t>SSC Dominion Holdings, LLC</w:t>
            </w:r>
          </w:p>
        </w:tc>
        <w:tc>
          <w:tcPr>
            <w:tcW w:w="120" w:type="dxa"/>
            <w:vAlign w:val="bottom"/>
          </w:tcPr>
          <w:p>
            <w:pPr>
              <w:spacing w:after="0"/>
              <w:rPr>
                <w:sz w:val="12"/>
                <w:szCs w:val="12"/>
                <w:color w:val="auto"/>
              </w:rPr>
            </w:pPr>
          </w:p>
        </w:tc>
        <w:tc>
          <w:tcPr>
            <w:tcW w:w="780" w:type="dxa"/>
            <w:vAlign w:val="bottom"/>
            <w:gridSpan w:val="2"/>
          </w:tcPr>
          <w:p>
            <w:pPr>
              <w:ind w:left="260"/>
              <w:spacing w:after="0"/>
              <w:rPr>
                <w:sz w:val="20"/>
                <w:szCs w:val="20"/>
                <w:color w:val="auto"/>
              </w:rPr>
            </w:pPr>
            <w:r>
              <w:rPr>
                <w:rFonts w:ascii="Arial" w:cs="Arial" w:eastAsia="Arial" w:hAnsi="Arial"/>
                <w:sz w:val="12"/>
                <w:szCs w:val="12"/>
                <w:color w:val="auto"/>
              </w:rPr>
              <w:t>—</w:t>
            </w:r>
          </w:p>
        </w:tc>
        <w:tc>
          <w:tcPr>
            <w:tcW w:w="2460" w:type="dxa"/>
            <w:vAlign w:val="bottom"/>
            <w:gridSpan w:val="2"/>
          </w:tcPr>
          <w:p>
            <w:pPr>
              <w:jc w:val="center"/>
              <w:ind w:right="140"/>
              <w:spacing w:after="0"/>
              <w:rPr>
                <w:sz w:val="20"/>
                <w:szCs w:val="20"/>
                <w:color w:val="auto"/>
              </w:rPr>
            </w:pPr>
            <w:r>
              <w:rPr>
                <w:rFonts w:ascii="Arial" w:cs="Arial" w:eastAsia="Arial" w:hAnsi="Arial"/>
                <w:sz w:val="12"/>
                <w:szCs w:val="12"/>
                <w:color w:val="auto"/>
                <w:w w:val="89"/>
              </w:rPr>
              <w:t>Capital Equipment</w:t>
            </w:r>
          </w:p>
        </w:tc>
        <w:tc>
          <w:tcPr>
            <w:tcW w:w="96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9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500</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500,000</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540,000</w:t>
            </w:r>
          </w:p>
        </w:tc>
        <w:tc>
          <w:tcPr>
            <w:tcW w:w="120" w:type="dxa"/>
            <w:vAlign w:val="bottom"/>
          </w:tcPr>
          <w:p>
            <w:pPr>
              <w:spacing w:after="0"/>
              <w:rPr>
                <w:sz w:val="12"/>
                <w:szCs w:val="12"/>
                <w:color w:val="auto"/>
              </w:rPr>
            </w:pPr>
          </w:p>
        </w:tc>
      </w:tr>
      <w:tr>
        <w:trPr>
          <w:trHeight w:val="151"/>
        </w:trPr>
        <w:tc>
          <w:tcPr>
            <w:tcW w:w="3340" w:type="dxa"/>
            <w:vAlign w:val="bottom"/>
          </w:tcPr>
          <w:p>
            <w:pPr>
              <w:ind w:left="140"/>
              <w:spacing w:after="0" w:line="150" w:lineRule="exact"/>
              <w:rPr>
                <w:sz w:val="20"/>
                <w:szCs w:val="20"/>
                <w:color w:val="auto"/>
              </w:rPr>
            </w:pPr>
            <w:r>
              <w:rPr>
                <w:rFonts w:ascii="Arial" w:cs="Arial" w:eastAsia="Arial" w:hAnsi="Arial"/>
                <w:sz w:val="11"/>
                <w:szCs w:val="11"/>
                <w:color w:val="auto"/>
              </w:rPr>
              <w:t xml:space="preserve">Class A (US Dominion, Inc.) </w:t>
            </w:r>
            <w:r>
              <w:rPr>
                <w:rFonts w:ascii="Arial" w:cs="Arial" w:eastAsia="Arial" w:hAnsi="Arial"/>
                <w:sz w:val="17"/>
                <w:szCs w:val="17"/>
                <w:color w:val="auto"/>
                <w:vertAlign w:val="superscript"/>
              </w:rPr>
              <w:t>(7)</w:t>
            </w: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49"/>
        </w:trPr>
        <w:tc>
          <w:tcPr>
            <w:tcW w:w="3340" w:type="dxa"/>
            <w:vAlign w:val="bottom"/>
            <w:shd w:val="clear" w:color="auto" w:fill="CCECFF"/>
          </w:tcPr>
          <w:p>
            <w:pPr>
              <w:spacing w:after="0"/>
              <w:rPr>
                <w:sz w:val="20"/>
                <w:szCs w:val="20"/>
                <w:color w:val="auto"/>
              </w:rPr>
            </w:pPr>
            <w:r>
              <w:rPr>
                <w:rFonts w:ascii="Arial" w:cs="Arial" w:eastAsia="Arial" w:hAnsi="Arial"/>
                <w:sz w:val="12"/>
                <w:szCs w:val="12"/>
                <w:color w:val="auto"/>
              </w:rPr>
              <w:t>SSC Dominion Holdings, LLC</w:t>
            </w:r>
          </w:p>
        </w:tc>
        <w:tc>
          <w:tcPr>
            <w:tcW w:w="120" w:type="dxa"/>
            <w:vAlign w:val="bottom"/>
            <w:shd w:val="clear" w:color="auto" w:fill="CCECFF"/>
          </w:tcPr>
          <w:p>
            <w:pPr>
              <w:spacing w:after="0"/>
              <w:rPr>
                <w:sz w:val="12"/>
                <w:szCs w:val="12"/>
                <w:color w:val="auto"/>
              </w:rPr>
            </w:pPr>
          </w:p>
        </w:tc>
        <w:tc>
          <w:tcPr>
            <w:tcW w:w="780" w:type="dxa"/>
            <w:vAlign w:val="bottom"/>
            <w:gridSpan w:val="2"/>
            <w:shd w:val="clear" w:color="auto" w:fill="CCECFF"/>
          </w:tcPr>
          <w:p>
            <w:pPr>
              <w:ind w:left="260"/>
              <w:spacing w:after="0"/>
              <w:rPr>
                <w:sz w:val="20"/>
                <w:szCs w:val="20"/>
                <w:color w:val="auto"/>
              </w:rPr>
            </w:pPr>
            <w:r>
              <w:rPr>
                <w:rFonts w:ascii="Arial" w:cs="Arial" w:eastAsia="Arial" w:hAnsi="Arial"/>
                <w:sz w:val="12"/>
                <w:szCs w:val="12"/>
                <w:color w:val="auto"/>
              </w:rPr>
              <w:t>—</w:t>
            </w:r>
          </w:p>
        </w:tc>
        <w:tc>
          <w:tcPr>
            <w:tcW w:w="246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89"/>
              </w:rPr>
              <w:t>Capital Equipment</w:t>
            </w:r>
          </w:p>
        </w:tc>
        <w:tc>
          <w:tcPr>
            <w:tcW w:w="960" w:type="dxa"/>
            <w:vAlign w:val="bottom"/>
            <w:gridSpan w:val="2"/>
            <w:shd w:val="clear" w:color="auto" w:fill="CCECFF"/>
          </w:tcPr>
          <w:p>
            <w:pPr>
              <w:jc w:val="right"/>
              <w:ind w:right="300"/>
              <w:spacing w:after="0"/>
              <w:rPr>
                <w:sz w:val="20"/>
                <w:szCs w:val="20"/>
                <w:color w:val="auto"/>
              </w:rPr>
            </w:pPr>
            <w:r>
              <w:rPr>
                <w:rFonts w:ascii="Arial" w:cs="Arial" w:eastAsia="Arial" w:hAnsi="Arial"/>
                <w:sz w:val="12"/>
                <w:szCs w:val="12"/>
                <w:color w:val="auto"/>
              </w:rPr>
              <w:t>—</w:t>
            </w: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500</w:t>
            </w:r>
          </w:p>
        </w:tc>
        <w:tc>
          <w:tcPr>
            <w:tcW w:w="240" w:type="dxa"/>
            <w:vAlign w:val="bottom"/>
            <w:shd w:val="clear" w:color="auto" w:fill="CCECFF"/>
          </w:tcPr>
          <w:p>
            <w:pPr>
              <w:spacing w:after="0"/>
              <w:rPr>
                <w:sz w:val="12"/>
                <w:szCs w:val="12"/>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728,601</w:t>
            </w:r>
          </w:p>
        </w:tc>
        <w:tc>
          <w:tcPr>
            <w:tcW w:w="120" w:type="dxa"/>
            <w:vAlign w:val="bottom"/>
            <w:shd w:val="clear" w:color="auto" w:fill="CCECFF"/>
          </w:tcPr>
          <w:p>
            <w:pPr>
              <w:spacing w:after="0"/>
              <w:rPr>
                <w:sz w:val="12"/>
                <w:szCs w:val="12"/>
                <w:color w:val="auto"/>
              </w:rPr>
            </w:pPr>
          </w:p>
        </w:tc>
      </w:tr>
      <w:tr>
        <w:trPr>
          <w:trHeight w:val="148"/>
        </w:trPr>
        <w:tc>
          <w:tcPr>
            <w:tcW w:w="3340" w:type="dxa"/>
            <w:vAlign w:val="bottom"/>
            <w:shd w:val="clear" w:color="auto" w:fill="CCECFF"/>
          </w:tcPr>
          <w:p>
            <w:pPr>
              <w:ind w:left="140"/>
              <w:spacing w:after="0" w:line="149" w:lineRule="exact"/>
              <w:rPr>
                <w:sz w:val="20"/>
                <w:szCs w:val="20"/>
                <w:color w:val="auto"/>
              </w:rPr>
            </w:pPr>
            <w:r>
              <w:rPr>
                <w:rFonts w:ascii="Arial" w:cs="Arial" w:eastAsia="Arial" w:hAnsi="Arial"/>
                <w:sz w:val="11"/>
                <w:szCs w:val="11"/>
                <w:color w:val="auto"/>
              </w:rPr>
              <w:t xml:space="preserve">Class B (US Dominion, Inc.) </w:t>
            </w:r>
            <w:r>
              <w:rPr>
                <w:rFonts w:ascii="Arial" w:cs="Arial" w:eastAsia="Arial" w:hAnsi="Arial"/>
                <w:sz w:val="17"/>
                <w:szCs w:val="17"/>
                <w:color w:val="auto"/>
                <w:vertAlign w:val="superscript"/>
              </w:rPr>
              <w:t>(7)</w:t>
            </w:r>
          </w:p>
        </w:tc>
        <w:tc>
          <w:tcPr>
            <w:tcW w:w="120" w:type="dxa"/>
            <w:vAlign w:val="bottom"/>
            <w:shd w:val="clear" w:color="auto" w:fill="CCECFF"/>
          </w:tcPr>
          <w:p>
            <w:pPr>
              <w:spacing w:after="0"/>
              <w:rPr>
                <w:sz w:val="12"/>
                <w:szCs w:val="12"/>
                <w:color w:val="auto"/>
              </w:rPr>
            </w:pPr>
          </w:p>
        </w:tc>
        <w:tc>
          <w:tcPr>
            <w:tcW w:w="54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234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8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70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70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r>
      <w:tr>
        <w:trPr>
          <w:trHeight w:val="148"/>
        </w:trPr>
        <w:tc>
          <w:tcPr>
            <w:tcW w:w="3340" w:type="dxa"/>
            <w:vAlign w:val="bottom"/>
          </w:tcPr>
          <w:p>
            <w:pPr>
              <w:spacing w:after="0" w:line="149" w:lineRule="exact"/>
              <w:rPr>
                <w:sz w:val="20"/>
                <w:szCs w:val="20"/>
                <w:color w:val="auto"/>
              </w:rPr>
            </w:pPr>
            <w:r>
              <w:rPr>
                <w:rFonts w:ascii="Arial" w:cs="Arial" w:eastAsia="Arial" w:hAnsi="Arial"/>
                <w:sz w:val="11"/>
                <w:szCs w:val="11"/>
                <w:color w:val="auto"/>
              </w:rPr>
              <w:t xml:space="preserve">TPC Broadband Investors, LP </w:t>
            </w:r>
            <w:r>
              <w:rPr>
                <w:rFonts w:ascii="Arial" w:cs="Arial" w:eastAsia="Arial" w:hAnsi="Arial"/>
                <w:sz w:val="17"/>
                <w:szCs w:val="17"/>
                <w:color w:val="auto"/>
                <w:vertAlign w:val="superscript"/>
              </w:rPr>
              <w:t>(7)</w:t>
            </w:r>
          </w:p>
        </w:tc>
        <w:tc>
          <w:tcPr>
            <w:tcW w:w="120" w:type="dxa"/>
            <w:vAlign w:val="bottom"/>
          </w:tcPr>
          <w:p>
            <w:pPr>
              <w:spacing w:after="0"/>
              <w:rPr>
                <w:sz w:val="12"/>
                <w:szCs w:val="12"/>
                <w:color w:val="auto"/>
              </w:rPr>
            </w:pPr>
          </w:p>
        </w:tc>
        <w:tc>
          <w:tcPr>
            <w:tcW w:w="780" w:type="dxa"/>
            <w:vAlign w:val="bottom"/>
            <w:gridSpan w:val="2"/>
          </w:tcPr>
          <w:p>
            <w:pPr>
              <w:ind w:left="260"/>
              <w:spacing w:after="0"/>
              <w:rPr>
                <w:sz w:val="20"/>
                <w:szCs w:val="20"/>
                <w:color w:val="auto"/>
              </w:rPr>
            </w:pPr>
            <w:r>
              <w:rPr>
                <w:rFonts w:ascii="Arial" w:cs="Arial" w:eastAsia="Arial" w:hAnsi="Arial"/>
                <w:sz w:val="12"/>
                <w:szCs w:val="12"/>
                <w:color w:val="auto"/>
              </w:rPr>
              <w:t>—</w:t>
            </w:r>
          </w:p>
        </w:tc>
        <w:tc>
          <w:tcPr>
            <w:tcW w:w="2460" w:type="dxa"/>
            <w:vAlign w:val="bottom"/>
            <w:gridSpan w:val="2"/>
          </w:tcPr>
          <w:p>
            <w:pPr>
              <w:jc w:val="center"/>
              <w:ind w:right="140"/>
              <w:spacing w:after="0"/>
              <w:rPr>
                <w:sz w:val="20"/>
                <w:szCs w:val="20"/>
                <w:color w:val="auto"/>
              </w:rPr>
            </w:pPr>
            <w:r>
              <w:rPr>
                <w:rFonts w:ascii="Arial" w:cs="Arial" w:eastAsia="Arial" w:hAnsi="Arial"/>
                <w:sz w:val="12"/>
                <w:szCs w:val="12"/>
                <w:color w:val="auto"/>
                <w:w w:val="87"/>
              </w:rPr>
              <w:t>Telecommunications</w:t>
            </w:r>
          </w:p>
        </w:tc>
        <w:tc>
          <w:tcPr>
            <w:tcW w:w="96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9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754,821</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754,820</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1,589,878</w:t>
            </w:r>
          </w:p>
        </w:tc>
        <w:tc>
          <w:tcPr>
            <w:tcW w:w="120" w:type="dxa"/>
            <w:vAlign w:val="bottom"/>
          </w:tcPr>
          <w:p>
            <w:pPr>
              <w:spacing w:after="0"/>
              <w:rPr>
                <w:sz w:val="12"/>
                <w:szCs w:val="12"/>
                <w:color w:val="auto"/>
              </w:rPr>
            </w:pPr>
          </w:p>
        </w:tc>
      </w:tr>
      <w:tr>
        <w:trPr>
          <w:trHeight w:val="149"/>
        </w:trPr>
        <w:tc>
          <w:tcPr>
            <w:tcW w:w="3340" w:type="dxa"/>
            <w:vAlign w:val="bottom"/>
            <w:shd w:val="clear" w:color="auto" w:fill="CCECFF"/>
          </w:tcPr>
          <w:p>
            <w:pPr>
              <w:spacing w:after="0" w:line="149" w:lineRule="exact"/>
              <w:rPr>
                <w:sz w:val="20"/>
                <w:szCs w:val="20"/>
                <w:color w:val="auto"/>
              </w:rPr>
            </w:pPr>
            <w:r>
              <w:rPr>
                <w:rFonts w:ascii="Arial" w:cs="Arial" w:eastAsia="Arial" w:hAnsi="Arial"/>
                <w:sz w:val="11"/>
                <w:szCs w:val="11"/>
                <w:color w:val="auto"/>
              </w:rPr>
              <w:t xml:space="preserve">TPC Broadband Investors, LP </w:t>
            </w:r>
            <w:r>
              <w:rPr>
                <w:rFonts w:ascii="Arial" w:cs="Arial" w:eastAsia="Arial" w:hAnsi="Arial"/>
                <w:sz w:val="17"/>
                <w:szCs w:val="17"/>
                <w:color w:val="auto"/>
                <w:vertAlign w:val="superscript"/>
              </w:rPr>
              <w:t>(7), (8), (9)</w:t>
            </w:r>
          </w:p>
        </w:tc>
        <w:tc>
          <w:tcPr>
            <w:tcW w:w="120" w:type="dxa"/>
            <w:vAlign w:val="bottom"/>
            <w:shd w:val="clear" w:color="auto" w:fill="CCECFF"/>
          </w:tcPr>
          <w:p>
            <w:pPr>
              <w:spacing w:after="0"/>
              <w:rPr>
                <w:sz w:val="12"/>
                <w:szCs w:val="12"/>
                <w:color w:val="auto"/>
              </w:rPr>
            </w:pPr>
          </w:p>
        </w:tc>
        <w:tc>
          <w:tcPr>
            <w:tcW w:w="780" w:type="dxa"/>
            <w:vAlign w:val="bottom"/>
            <w:gridSpan w:val="2"/>
            <w:shd w:val="clear" w:color="auto" w:fill="CCECFF"/>
          </w:tcPr>
          <w:p>
            <w:pPr>
              <w:ind w:left="260"/>
              <w:spacing w:after="0"/>
              <w:rPr>
                <w:sz w:val="20"/>
                <w:szCs w:val="20"/>
                <w:color w:val="auto"/>
              </w:rPr>
            </w:pPr>
            <w:r>
              <w:rPr>
                <w:rFonts w:ascii="Arial" w:cs="Arial" w:eastAsia="Arial" w:hAnsi="Arial"/>
                <w:sz w:val="12"/>
                <w:szCs w:val="12"/>
                <w:color w:val="auto"/>
              </w:rPr>
              <w:t>—</w:t>
            </w:r>
          </w:p>
        </w:tc>
        <w:tc>
          <w:tcPr>
            <w:tcW w:w="246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87"/>
              </w:rPr>
              <w:t>Telecommunications</w:t>
            </w:r>
          </w:p>
        </w:tc>
        <w:tc>
          <w:tcPr>
            <w:tcW w:w="960" w:type="dxa"/>
            <w:vAlign w:val="bottom"/>
            <w:gridSpan w:val="2"/>
            <w:shd w:val="clear" w:color="auto" w:fill="CCECFF"/>
          </w:tcPr>
          <w:p>
            <w:pPr>
              <w:jc w:val="right"/>
              <w:ind w:right="300"/>
              <w:spacing w:after="0"/>
              <w:rPr>
                <w:sz w:val="20"/>
                <w:szCs w:val="20"/>
                <w:color w:val="auto"/>
              </w:rPr>
            </w:pPr>
            <w:r>
              <w:rPr>
                <w:rFonts w:ascii="Arial" w:cs="Arial" w:eastAsia="Arial" w:hAnsi="Arial"/>
                <w:sz w:val="12"/>
                <w:szCs w:val="12"/>
                <w:color w:val="auto"/>
              </w:rPr>
              <w:t>—</w:t>
            </w: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245,179</w:t>
            </w:r>
          </w:p>
        </w:tc>
        <w:tc>
          <w:tcPr>
            <w:tcW w:w="240" w:type="dxa"/>
            <w:vAlign w:val="bottom"/>
            <w:shd w:val="clear" w:color="auto" w:fill="CCECFF"/>
          </w:tcPr>
          <w:p>
            <w:pPr>
              <w:spacing w:after="0"/>
              <w:rPr>
                <w:sz w:val="12"/>
                <w:szCs w:val="12"/>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CFF"/>
          </w:tcPr>
          <w:p>
            <w:pPr>
              <w:spacing w:after="0"/>
              <w:rPr>
                <w:sz w:val="12"/>
                <w:szCs w:val="12"/>
                <w:color w:val="auto"/>
              </w:rPr>
            </w:pPr>
          </w:p>
        </w:tc>
        <w:tc>
          <w:tcPr>
            <w:tcW w:w="82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w:t>
            </w:r>
          </w:p>
        </w:tc>
      </w:tr>
      <w:tr>
        <w:trPr>
          <w:trHeight w:val="148"/>
        </w:trPr>
        <w:tc>
          <w:tcPr>
            <w:tcW w:w="3340" w:type="dxa"/>
            <w:vAlign w:val="bottom"/>
          </w:tcPr>
          <w:p>
            <w:pPr>
              <w:spacing w:after="0" w:line="149" w:lineRule="exact"/>
              <w:rPr>
                <w:sz w:val="20"/>
                <w:szCs w:val="20"/>
                <w:color w:val="auto"/>
              </w:rPr>
            </w:pPr>
            <w:r>
              <w:rPr>
                <w:rFonts w:ascii="Arial" w:cs="Arial" w:eastAsia="Arial" w:hAnsi="Arial"/>
                <w:sz w:val="11"/>
                <w:szCs w:val="11"/>
                <w:color w:val="auto"/>
              </w:rPr>
              <w:t xml:space="preserve">UniTek Global Services, Inc. </w:t>
            </w:r>
            <w:r>
              <w:rPr>
                <w:rFonts w:ascii="Arial" w:cs="Arial" w:eastAsia="Arial" w:hAnsi="Arial"/>
                <w:sz w:val="17"/>
                <w:szCs w:val="17"/>
                <w:color w:val="auto"/>
                <w:vertAlign w:val="superscript"/>
              </w:rPr>
              <w:t>(7)</w:t>
            </w:r>
          </w:p>
        </w:tc>
        <w:tc>
          <w:tcPr>
            <w:tcW w:w="120" w:type="dxa"/>
            <w:vAlign w:val="bottom"/>
          </w:tcPr>
          <w:p>
            <w:pPr>
              <w:spacing w:after="0"/>
              <w:rPr>
                <w:sz w:val="12"/>
                <w:szCs w:val="12"/>
                <w:color w:val="auto"/>
              </w:rPr>
            </w:pPr>
          </w:p>
        </w:tc>
        <w:tc>
          <w:tcPr>
            <w:tcW w:w="780" w:type="dxa"/>
            <w:vAlign w:val="bottom"/>
            <w:gridSpan w:val="2"/>
          </w:tcPr>
          <w:p>
            <w:pPr>
              <w:ind w:left="260"/>
              <w:spacing w:after="0"/>
              <w:rPr>
                <w:sz w:val="20"/>
                <w:szCs w:val="20"/>
                <w:color w:val="auto"/>
              </w:rPr>
            </w:pPr>
            <w:r>
              <w:rPr>
                <w:rFonts w:ascii="Arial" w:cs="Arial" w:eastAsia="Arial" w:hAnsi="Arial"/>
                <w:sz w:val="12"/>
                <w:szCs w:val="12"/>
                <w:color w:val="auto"/>
              </w:rPr>
              <w:t>—</w:t>
            </w:r>
          </w:p>
        </w:tc>
        <w:tc>
          <w:tcPr>
            <w:tcW w:w="2460" w:type="dxa"/>
            <w:vAlign w:val="bottom"/>
            <w:gridSpan w:val="2"/>
          </w:tcPr>
          <w:p>
            <w:pPr>
              <w:jc w:val="center"/>
              <w:ind w:right="140"/>
              <w:spacing w:after="0"/>
              <w:rPr>
                <w:sz w:val="20"/>
                <w:szCs w:val="20"/>
                <w:color w:val="auto"/>
              </w:rPr>
            </w:pPr>
            <w:r>
              <w:rPr>
                <w:rFonts w:ascii="Arial" w:cs="Arial" w:eastAsia="Arial" w:hAnsi="Arial"/>
                <w:sz w:val="12"/>
                <w:szCs w:val="12"/>
                <w:color w:val="auto"/>
                <w:w w:val="87"/>
              </w:rPr>
              <w:t>Telecommunications</w:t>
            </w:r>
          </w:p>
        </w:tc>
        <w:tc>
          <w:tcPr>
            <w:tcW w:w="96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9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213,739</w:t>
            </w:r>
          </w:p>
        </w:tc>
        <w:tc>
          <w:tcPr>
            <w:tcW w:w="24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r>
      <w:tr>
        <w:trPr>
          <w:trHeight w:val="148"/>
        </w:trPr>
        <w:tc>
          <w:tcPr>
            <w:tcW w:w="3340" w:type="dxa"/>
            <w:vAlign w:val="bottom"/>
            <w:shd w:val="clear" w:color="auto" w:fill="CCECFF"/>
          </w:tcPr>
          <w:p>
            <w:pPr>
              <w:spacing w:after="0" w:line="149" w:lineRule="exact"/>
              <w:rPr>
                <w:sz w:val="20"/>
                <w:szCs w:val="20"/>
                <w:color w:val="auto"/>
              </w:rPr>
            </w:pPr>
            <w:r>
              <w:rPr>
                <w:rFonts w:ascii="Arial" w:cs="Arial" w:eastAsia="Arial" w:hAnsi="Arial"/>
                <w:sz w:val="11"/>
                <w:szCs w:val="11"/>
                <w:color w:val="auto"/>
              </w:rPr>
              <w:t xml:space="preserve">UniTek Global Services, Inc. (Warrants) </w:t>
            </w:r>
            <w:r>
              <w:rPr>
                <w:rFonts w:ascii="Arial" w:cs="Arial" w:eastAsia="Arial" w:hAnsi="Arial"/>
                <w:sz w:val="17"/>
                <w:szCs w:val="17"/>
                <w:color w:val="auto"/>
                <w:vertAlign w:val="superscript"/>
              </w:rPr>
              <w:t>(7)</w:t>
            </w:r>
          </w:p>
        </w:tc>
        <w:tc>
          <w:tcPr>
            <w:tcW w:w="120" w:type="dxa"/>
            <w:vAlign w:val="bottom"/>
            <w:shd w:val="clear" w:color="auto" w:fill="CCECFF"/>
          </w:tcPr>
          <w:p>
            <w:pPr>
              <w:spacing w:after="0"/>
              <w:rPr>
                <w:sz w:val="12"/>
                <w:szCs w:val="12"/>
                <w:color w:val="auto"/>
              </w:rPr>
            </w:pPr>
          </w:p>
        </w:tc>
        <w:tc>
          <w:tcPr>
            <w:tcW w:w="780" w:type="dxa"/>
            <w:vAlign w:val="bottom"/>
            <w:gridSpan w:val="2"/>
            <w:shd w:val="clear" w:color="auto" w:fill="CCECFF"/>
          </w:tcPr>
          <w:p>
            <w:pPr>
              <w:ind w:left="260"/>
              <w:spacing w:after="0"/>
              <w:rPr>
                <w:sz w:val="20"/>
                <w:szCs w:val="20"/>
                <w:color w:val="auto"/>
              </w:rPr>
            </w:pPr>
            <w:r>
              <w:rPr>
                <w:rFonts w:ascii="Arial" w:cs="Arial" w:eastAsia="Arial" w:hAnsi="Arial"/>
                <w:sz w:val="12"/>
                <w:szCs w:val="12"/>
                <w:color w:val="auto"/>
              </w:rPr>
              <w:t>—</w:t>
            </w:r>
          </w:p>
        </w:tc>
        <w:tc>
          <w:tcPr>
            <w:tcW w:w="246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87"/>
              </w:rPr>
              <w:t>Telecommunications</w:t>
            </w:r>
          </w:p>
        </w:tc>
        <w:tc>
          <w:tcPr>
            <w:tcW w:w="960" w:type="dxa"/>
            <w:vAlign w:val="bottom"/>
            <w:gridSpan w:val="2"/>
            <w:shd w:val="clear" w:color="auto" w:fill="CCECFF"/>
          </w:tcPr>
          <w:p>
            <w:pPr>
              <w:jc w:val="right"/>
              <w:ind w:right="300"/>
              <w:spacing w:after="0"/>
              <w:rPr>
                <w:sz w:val="20"/>
                <w:szCs w:val="20"/>
                <w:color w:val="auto"/>
              </w:rPr>
            </w:pPr>
            <w:r>
              <w:rPr>
                <w:rFonts w:ascii="Arial" w:cs="Arial" w:eastAsia="Arial" w:hAnsi="Arial"/>
                <w:sz w:val="12"/>
                <w:szCs w:val="12"/>
                <w:color w:val="auto"/>
              </w:rPr>
              <w:t>—</w:t>
            </w: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23,889</w:t>
            </w:r>
          </w:p>
        </w:tc>
        <w:tc>
          <w:tcPr>
            <w:tcW w:w="240" w:type="dxa"/>
            <w:vAlign w:val="bottom"/>
            <w:shd w:val="clear" w:color="auto" w:fill="CCECFF"/>
          </w:tcPr>
          <w:p>
            <w:pPr>
              <w:spacing w:after="0"/>
              <w:rPr>
                <w:sz w:val="12"/>
                <w:szCs w:val="12"/>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CFF"/>
          </w:tcPr>
          <w:p>
            <w:pPr>
              <w:spacing w:after="0"/>
              <w:rPr>
                <w:sz w:val="12"/>
                <w:szCs w:val="12"/>
                <w:color w:val="auto"/>
              </w:rPr>
            </w:pPr>
          </w:p>
        </w:tc>
        <w:tc>
          <w:tcPr>
            <w:tcW w:w="82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w:t>
            </w:r>
          </w:p>
        </w:tc>
      </w:tr>
      <w:tr>
        <w:trPr>
          <w:trHeight w:val="149"/>
        </w:trPr>
        <w:tc>
          <w:tcPr>
            <w:tcW w:w="3340" w:type="dxa"/>
            <w:vAlign w:val="bottom"/>
            <w:tcBorders>
              <w:bottom w:val="single" w:sz="8" w:color="CCECFF"/>
            </w:tcBorders>
          </w:tcPr>
          <w:p>
            <w:pPr>
              <w:spacing w:after="0" w:line="149" w:lineRule="exact"/>
              <w:rPr>
                <w:sz w:val="20"/>
                <w:szCs w:val="20"/>
                <w:color w:val="auto"/>
              </w:rPr>
            </w:pPr>
            <w:r>
              <w:rPr>
                <w:rFonts w:ascii="Arial" w:cs="Arial" w:eastAsia="Arial" w:hAnsi="Arial"/>
                <w:sz w:val="11"/>
                <w:szCs w:val="11"/>
                <w:color w:val="auto"/>
              </w:rPr>
              <w:t xml:space="preserve">WBB Equity, LLC </w:t>
            </w:r>
            <w:r>
              <w:rPr>
                <w:rFonts w:ascii="Arial" w:cs="Arial" w:eastAsia="Arial" w:hAnsi="Arial"/>
                <w:sz w:val="17"/>
                <w:szCs w:val="17"/>
                <w:color w:val="auto"/>
                <w:vertAlign w:val="superscript"/>
              </w:rPr>
              <w:t>(7), (8)</w:t>
            </w:r>
          </w:p>
        </w:tc>
        <w:tc>
          <w:tcPr>
            <w:tcW w:w="120" w:type="dxa"/>
            <w:vAlign w:val="bottom"/>
            <w:tcBorders>
              <w:bottom w:val="single" w:sz="8" w:color="CCECFF"/>
            </w:tcBorders>
          </w:tcPr>
          <w:p>
            <w:pPr>
              <w:spacing w:after="0"/>
              <w:rPr>
                <w:sz w:val="12"/>
                <w:szCs w:val="12"/>
                <w:color w:val="auto"/>
              </w:rPr>
            </w:pPr>
          </w:p>
        </w:tc>
        <w:tc>
          <w:tcPr>
            <w:tcW w:w="780" w:type="dxa"/>
            <w:vAlign w:val="bottom"/>
            <w:tcBorders>
              <w:bottom w:val="single" w:sz="8" w:color="CCECFF"/>
            </w:tcBorders>
            <w:gridSpan w:val="2"/>
          </w:tcPr>
          <w:p>
            <w:pPr>
              <w:ind w:left="260"/>
              <w:spacing w:after="0"/>
              <w:rPr>
                <w:sz w:val="20"/>
                <w:szCs w:val="20"/>
                <w:color w:val="auto"/>
              </w:rPr>
            </w:pPr>
            <w:r>
              <w:rPr>
                <w:rFonts w:ascii="Arial" w:cs="Arial" w:eastAsia="Arial" w:hAnsi="Arial"/>
                <w:sz w:val="12"/>
                <w:szCs w:val="12"/>
                <w:color w:val="auto"/>
              </w:rPr>
              <w:t>—</w:t>
            </w:r>
          </w:p>
        </w:tc>
        <w:tc>
          <w:tcPr>
            <w:tcW w:w="2460" w:type="dxa"/>
            <w:vAlign w:val="bottom"/>
            <w:tcBorders>
              <w:bottom w:val="single" w:sz="8" w:color="CCECFF"/>
            </w:tcBorders>
            <w:gridSpan w:val="2"/>
          </w:tcPr>
          <w:p>
            <w:pPr>
              <w:jc w:val="center"/>
              <w:ind w:right="140"/>
              <w:spacing w:after="0"/>
              <w:rPr>
                <w:sz w:val="20"/>
                <w:szCs w:val="20"/>
                <w:color w:val="auto"/>
              </w:rPr>
            </w:pPr>
            <w:r>
              <w:rPr>
                <w:rFonts w:ascii="Arial" w:cs="Arial" w:eastAsia="Arial" w:hAnsi="Arial"/>
                <w:sz w:val="12"/>
                <w:szCs w:val="12"/>
                <w:color w:val="auto"/>
                <w:w w:val="86"/>
              </w:rPr>
              <w:t>Aerospace and Defense</w:t>
            </w:r>
          </w:p>
        </w:tc>
        <w:tc>
          <w:tcPr>
            <w:tcW w:w="960" w:type="dxa"/>
            <w:vAlign w:val="bottom"/>
            <w:tcBorders>
              <w:bottom w:val="single" w:sz="8" w:color="CCECFF"/>
            </w:tcBorders>
            <w:gridSpan w:val="2"/>
          </w:tcPr>
          <w:p>
            <w:pPr>
              <w:jc w:val="right"/>
              <w:ind w:right="300"/>
              <w:spacing w:after="0"/>
              <w:rPr>
                <w:sz w:val="20"/>
                <w:szCs w:val="20"/>
                <w:color w:val="auto"/>
              </w:rPr>
            </w:pPr>
            <w:r>
              <w:rPr>
                <w:rFonts w:ascii="Arial" w:cs="Arial" w:eastAsia="Arial" w:hAnsi="Arial"/>
                <w:sz w:val="12"/>
                <w:szCs w:val="12"/>
                <w:color w:val="auto"/>
              </w:rPr>
              <w:t>—</w:t>
            </w:r>
          </w:p>
        </w:tc>
        <w:tc>
          <w:tcPr>
            <w:tcW w:w="900" w:type="dxa"/>
            <w:vAlign w:val="bottom"/>
            <w:tcBorders>
              <w:bottom w:val="single" w:sz="8" w:color="CCECFF"/>
            </w:tcBorders>
            <w:gridSpan w:val="2"/>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tcBorders>
              <w:bottom w:val="single" w:sz="8" w:color="CCECFF"/>
            </w:tcBorders>
          </w:tcPr>
          <w:p>
            <w:pPr>
              <w:jc w:val="right"/>
              <w:spacing w:after="0"/>
              <w:rPr>
                <w:sz w:val="20"/>
                <w:szCs w:val="20"/>
                <w:color w:val="auto"/>
              </w:rPr>
            </w:pPr>
            <w:r>
              <w:rPr>
                <w:rFonts w:ascii="Arial" w:cs="Arial" w:eastAsia="Arial" w:hAnsi="Arial"/>
                <w:sz w:val="12"/>
                <w:szCs w:val="12"/>
                <w:color w:val="auto"/>
              </w:rPr>
              <w:t>142,857</w:t>
            </w:r>
          </w:p>
        </w:tc>
        <w:tc>
          <w:tcPr>
            <w:tcW w:w="240" w:type="dxa"/>
            <w:vAlign w:val="bottom"/>
            <w:tcBorders>
              <w:bottom w:val="single" w:sz="8" w:color="CCECFF"/>
            </w:tcBorders>
          </w:tcPr>
          <w:p>
            <w:pPr>
              <w:spacing w:after="0"/>
              <w:rPr>
                <w:sz w:val="12"/>
                <w:szCs w:val="1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142,857</w:t>
            </w:r>
          </w:p>
        </w:tc>
        <w:tc>
          <w:tcPr>
            <w:tcW w:w="240" w:type="dxa"/>
            <w:vAlign w:val="bottom"/>
            <w:tcBorders>
              <w:bottom w:val="single" w:sz="8" w:color="CCECFF"/>
            </w:tcBorders>
          </w:tcPr>
          <w:p>
            <w:pPr>
              <w:spacing w:after="0"/>
              <w:rPr>
                <w:sz w:val="12"/>
                <w:szCs w:val="1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498,572</w:t>
            </w:r>
          </w:p>
        </w:tc>
        <w:tc>
          <w:tcPr>
            <w:tcW w:w="120" w:type="dxa"/>
            <w:vAlign w:val="bottom"/>
            <w:tcBorders>
              <w:bottom w:val="single" w:sz="8" w:color="CCECFF"/>
            </w:tcBorders>
          </w:tcPr>
          <w:p>
            <w:pPr>
              <w:spacing w:after="0"/>
              <w:rPr>
                <w:sz w:val="12"/>
                <w:szCs w:val="12"/>
                <w:color w:val="auto"/>
              </w:rPr>
            </w:pPr>
          </w:p>
        </w:tc>
      </w:tr>
      <w:tr>
        <w:trPr>
          <w:trHeight w:val="142"/>
        </w:trPr>
        <w:tc>
          <w:tcPr>
            <w:tcW w:w="3340" w:type="dxa"/>
            <w:vAlign w:val="bottom"/>
            <w:shd w:val="clear" w:color="auto" w:fill="CCECFF"/>
          </w:tcPr>
          <w:p>
            <w:pPr>
              <w:spacing w:after="0"/>
              <w:rPr>
                <w:sz w:val="20"/>
                <w:szCs w:val="20"/>
                <w:color w:val="auto"/>
              </w:rPr>
            </w:pPr>
            <w:r>
              <w:rPr>
                <w:rFonts w:ascii="Arial" w:cs="Arial" w:eastAsia="Arial" w:hAnsi="Arial"/>
                <w:sz w:val="12"/>
                <w:szCs w:val="12"/>
                <w:b w:val="1"/>
                <w:bCs w:val="1"/>
                <w:color w:val="auto"/>
              </w:rPr>
              <w:t>Total Common Equity/Warrants</w:t>
            </w:r>
          </w:p>
        </w:tc>
        <w:tc>
          <w:tcPr>
            <w:tcW w:w="120" w:type="dxa"/>
            <w:vAlign w:val="bottom"/>
            <w:shd w:val="clear" w:color="auto" w:fill="CCECFF"/>
          </w:tcPr>
          <w:p>
            <w:pPr>
              <w:spacing w:after="0"/>
              <w:rPr>
                <w:sz w:val="12"/>
                <w:szCs w:val="12"/>
                <w:color w:val="auto"/>
              </w:rPr>
            </w:pPr>
          </w:p>
        </w:tc>
        <w:tc>
          <w:tcPr>
            <w:tcW w:w="54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234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8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7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rPr>
              <w:t>17,218,314</w:t>
            </w:r>
          </w:p>
        </w:tc>
        <w:tc>
          <w:tcPr>
            <w:tcW w:w="240" w:type="dxa"/>
            <w:vAlign w:val="bottom"/>
            <w:shd w:val="clear" w:color="auto" w:fill="CCECFF"/>
          </w:tcPr>
          <w:p>
            <w:pPr>
              <w:spacing w:after="0"/>
              <w:rPr>
                <w:sz w:val="12"/>
                <w:szCs w:val="12"/>
                <w:color w:val="auto"/>
              </w:rPr>
            </w:pPr>
          </w:p>
        </w:tc>
        <w:tc>
          <w:tcPr>
            <w:tcW w:w="7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rPr>
              <w:t>32,301,030</w:t>
            </w:r>
          </w:p>
        </w:tc>
        <w:tc>
          <w:tcPr>
            <w:tcW w:w="120" w:type="dxa"/>
            <w:vAlign w:val="bottom"/>
            <w:shd w:val="clear" w:color="auto" w:fill="CCECFF"/>
          </w:tcPr>
          <w:p>
            <w:pPr>
              <w:spacing w:after="0"/>
              <w:rPr>
                <w:sz w:val="12"/>
                <w:szCs w:val="12"/>
                <w:color w:val="auto"/>
              </w:rPr>
            </w:pPr>
          </w:p>
        </w:tc>
      </w:tr>
      <w:tr>
        <w:trPr>
          <w:trHeight w:val="142"/>
        </w:trPr>
        <w:tc>
          <w:tcPr>
            <w:tcW w:w="4240" w:type="dxa"/>
            <w:vAlign w:val="bottom"/>
            <w:gridSpan w:val="4"/>
          </w:tcPr>
          <w:p>
            <w:pPr>
              <w:spacing w:after="0"/>
              <w:rPr>
                <w:sz w:val="20"/>
                <w:szCs w:val="20"/>
                <w:color w:val="auto"/>
              </w:rPr>
            </w:pPr>
            <w:r>
              <w:rPr>
                <w:rFonts w:ascii="Arial" w:cs="Arial" w:eastAsia="Arial" w:hAnsi="Arial"/>
                <w:sz w:val="12"/>
                <w:szCs w:val="12"/>
                <w:b w:val="1"/>
                <w:bCs w:val="1"/>
                <w:color w:val="auto"/>
              </w:rPr>
              <w:t>Total Investments in Non-Controlled, Non-Affiliated Portfolio Companies</w:t>
            </w:r>
          </w:p>
        </w:tc>
        <w:tc>
          <w:tcPr>
            <w:tcW w:w="2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886,955,156</w:t>
            </w:r>
          </w:p>
        </w:tc>
        <w:tc>
          <w:tcPr>
            <w:tcW w:w="240" w:type="dxa"/>
            <w:vAlign w:val="bottom"/>
          </w:tcPr>
          <w:p>
            <w:pPr>
              <w:spacing w:after="0"/>
              <w:rPr>
                <w:sz w:val="12"/>
                <w:szCs w:val="1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98"/>
              </w:rPr>
              <w:t>889,113,264</w:t>
            </w:r>
          </w:p>
        </w:tc>
        <w:tc>
          <w:tcPr>
            <w:tcW w:w="120" w:type="dxa"/>
            <w:vAlign w:val="bottom"/>
          </w:tcPr>
          <w:p>
            <w:pPr>
              <w:spacing w:after="0"/>
              <w:rPr>
                <w:sz w:val="12"/>
                <w:szCs w:val="12"/>
                <w:color w:val="auto"/>
              </w:rPr>
            </w:pPr>
          </w:p>
        </w:tc>
      </w:tr>
    </w:tbl>
    <w:p>
      <w:pPr>
        <w:spacing w:after="0" w:line="35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SEE NOTES TO CONSOLIDATED FINANCIAL STATEMENTS</w:t>
      </w:r>
    </w:p>
    <w:p>
      <w:pPr>
        <w:spacing w:after="0" w:line="5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149465"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4" w:name="page15"/>
    <w:bookmarkEnd w:id="14"/>
    <w:p>
      <w:pPr>
        <w:jc w:val="center"/>
        <w:spacing w:after="0"/>
        <w:rPr>
          <w:sz w:val="20"/>
          <w:szCs w:val="20"/>
          <w:color w:val="auto"/>
        </w:rPr>
      </w:pPr>
      <w:r>
        <w:rPr>
          <w:rFonts w:ascii="Arial" w:cs="Arial" w:eastAsia="Arial" w:hAnsi="Arial"/>
          <w:sz w:val="14"/>
          <w:szCs w:val="14"/>
          <w:b w:val="1"/>
          <w:bCs w:val="1"/>
          <w:color w:val="auto"/>
        </w:rPr>
        <w:t>PENNANTPARK FLOATING RATE CAPITAL LTD. AND SUBSIDIARIES</w:t>
      </w:r>
    </w:p>
    <w:p>
      <w:pPr>
        <w:jc w:val="center"/>
        <w:spacing w:after="0" w:line="225" w:lineRule="auto"/>
        <w:rPr>
          <w:sz w:val="20"/>
          <w:szCs w:val="20"/>
          <w:color w:val="auto"/>
        </w:rPr>
      </w:pPr>
      <w:r>
        <w:rPr>
          <w:rFonts w:ascii="Arial" w:cs="Arial" w:eastAsia="Arial" w:hAnsi="Arial"/>
          <w:sz w:val="14"/>
          <w:szCs w:val="14"/>
          <w:b w:val="1"/>
          <w:bCs w:val="1"/>
          <w:color w:val="auto"/>
        </w:rPr>
        <w:t>CONSOLIDATED SCHEDULE OF INVESTMENTS—(Continued)</w:t>
      </w:r>
    </w:p>
    <w:p>
      <w:pPr>
        <w:jc w:val="center"/>
        <w:spacing w:after="0"/>
        <w:rPr>
          <w:sz w:val="20"/>
          <w:szCs w:val="20"/>
          <w:color w:val="auto"/>
        </w:rPr>
      </w:pPr>
      <w:r>
        <w:rPr>
          <w:rFonts w:ascii="Arial" w:cs="Arial" w:eastAsia="Arial" w:hAnsi="Arial"/>
          <w:sz w:val="14"/>
          <w:szCs w:val="14"/>
          <w:b w:val="1"/>
          <w:bCs w:val="1"/>
          <w:color w:val="auto"/>
        </w:rPr>
        <w:t>SEPTEMBER 30, 2019</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3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0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82"/>
              </w:rPr>
              <w:t>Basis Point</w:t>
            </w: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00" w:type="dxa"/>
            <w:vAlign w:val="bottom"/>
            <w:gridSpan w:val="2"/>
          </w:tcPr>
          <w:p>
            <w:pPr>
              <w:jc w:val="center"/>
              <w:ind w:right="240"/>
              <w:spacing w:after="0" w:line="135" w:lineRule="exact"/>
              <w:rPr>
                <w:sz w:val="20"/>
                <w:szCs w:val="20"/>
                <w:color w:val="auto"/>
              </w:rPr>
            </w:pPr>
            <w:r>
              <w:rPr>
                <w:rFonts w:ascii="Arial" w:cs="Arial" w:eastAsia="Arial" w:hAnsi="Arial"/>
                <w:sz w:val="12"/>
                <w:szCs w:val="12"/>
                <w:b w:val="1"/>
                <w:bCs w:val="1"/>
                <w:color w:val="auto"/>
                <w:w w:val="83"/>
              </w:rPr>
              <w:t>Spread</w:t>
            </w: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32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gridSpan w:val="2"/>
          </w:tcPr>
          <w:p>
            <w:pPr>
              <w:jc w:val="right"/>
              <w:ind w:right="420"/>
              <w:spacing w:after="0" w:line="126" w:lineRule="exact"/>
              <w:rPr>
                <w:sz w:val="20"/>
                <w:szCs w:val="20"/>
                <w:color w:val="auto"/>
              </w:rPr>
            </w:pPr>
            <w:r>
              <w:rPr>
                <w:rFonts w:ascii="Arial" w:cs="Arial" w:eastAsia="Arial" w:hAnsi="Arial"/>
                <w:sz w:val="12"/>
                <w:szCs w:val="12"/>
                <w:b w:val="1"/>
                <w:bCs w:val="1"/>
                <w:color w:val="auto"/>
              </w:rPr>
              <w:t>Current</w:t>
            </w:r>
          </w:p>
        </w:tc>
        <w:tc>
          <w:tcPr>
            <w:tcW w:w="900" w:type="dxa"/>
            <w:vAlign w:val="bottom"/>
            <w:gridSpan w:val="2"/>
          </w:tcPr>
          <w:p>
            <w:pPr>
              <w:jc w:val="center"/>
              <w:ind w:right="240"/>
              <w:spacing w:after="0" w:line="126" w:lineRule="exact"/>
              <w:rPr>
                <w:sz w:val="20"/>
                <w:szCs w:val="20"/>
                <w:color w:val="auto"/>
              </w:rPr>
            </w:pPr>
            <w:r>
              <w:rPr>
                <w:rFonts w:ascii="Arial" w:cs="Arial" w:eastAsia="Arial" w:hAnsi="Arial"/>
                <w:sz w:val="12"/>
                <w:szCs w:val="12"/>
                <w:b w:val="1"/>
                <w:bCs w:val="1"/>
                <w:color w:val="auto"/>
                <w:w w:val="81"/>
              </w:rPr>
              <w:t>Above</w:t>
            </w:r>
          </w:p>
        </w:tc>
        <w:tc>
          <w:tcPr>
            <w:tcW w:w="720" w:type="dxa"/>
            <w:vAlign w:val="bottom"/>
          </w:tcPr>
          <w:p>
            <w:pPr>
              <w:jc w:val="right"/>
              <w:ind w:right="182"/>
              <w:spacing w:after="0" w:line="126" w:lineRule="exact"/>
              <w:rPr>
                <w:sz w:val="20"/>
                <w:szCs w:val="20"/>
                <w:color w:val="auto"/>
              </w:rPr>
            </w:pPr>
            <w:r>
              <w:rPr>
                <w:rFonts w:ascii="Arial" w:cs="Arial" w:eastAsia="Arial" w:hAnsi="Arial"/>
                <w:sz w:val="12"/>
                <w:szCs w:val="12"/>
                <w:b w:val="1"/>
                <w:bCs w:val="1"/>
                <w:color w:val="auto"/>
              </w:rPr>
              <w:t>Par /</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3220" w:type="dxa"/>
            <w:vAlign w:val="bottom"/>
          </w:tcPr>
          <w:p>
            <w:pPr>
              <w:spacing w:after="0"/>
              <w:rPr>
                <w:sz w:val="20"/>
                <w:szCs w:val="20"/>
                <w:color w:val="auto"/>
              </w:rPr>
            </w:pPr>
            <w:r>
              <w:rPr>
                <w:rFonts w:ascii="Arial" w:cs="Arial" w:eastAsia="Arial" w:hAnsi="Arial"/>
                <w:sz w:val="12"/>
                <w:szCs w:val="12"/>
                <w:b w:val="1"/>
                <w:bCs w:val="1"/>
                <w:color w:val="auto"/>
              </w:rPr>
              <w:t>Issuer Name</w:t>
            </w:r>
          </w:p>
        </w:tc>
        <w:tc>
          <w:tcPr>
            <w:tcW w:w="1000" w:type="dxa"/>
            <w:vAlign w:val="bottom"/>
          </w:tcPr>
          <w:p>
            <w:pPr>
              <w:jc w:val="center"/>
              <w:ind w:right="162"/>
              <w:spacing w:after="0"/>
              <w:rPr>
                <w:sz w:val="20"/>
                <w:szCs w:val="20"/>
                <w:color w:val="auto"/>
              </w:rPr>
            </w:pPr>
            <w:r>
              <w:rPr>
                <w:rFonts w:ascii="Arial" w:cs="Arial" w:eastAsia="Arial" w:hAnsi="Arial"/>
                <w:sz w:val="12"/>
                <w:szCs w:val="12"/>
                <w:b w:val="1"/>
                <w:bCs w:val="1"/>
                <w:color w:val="auto"/>
                <w:w w:val="98"/>
              </w:rPr>
              <w:t>Maturity</w:t>
            </w:r>
          </w:p>
        </w:tc>
        <w:tc>
          <w:tcPr>
            <w:tcW w:w="228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92"/>
              </w:rPr>
              <w:t>Industry</w:t>
            </w:r>
          </w:p>
        </w:tc>
        <w:tc>
          <w:tcPr>
            <w:tcW w:w="960" w:type="dxa"/>
            <w:vAlign w:val="bottom"/>
            <w:gridSpan w:val="2"/>
          </w:tcPr>
          <w:p>
            <w:pPr>
              <w:jc w:val="right"/>
              <w:ind w:right="420"/>
              <w:spacing w:after="0"/>
              <w:rPr>
                <w:sz w:val="20"/>
                <w:szCs w:val="20"/>
                <w:color w:val="auto"/>
              </w:rPr>
            </w:pPr>
            <w:r>
              <w:rPr>
                <w:rFonts w:ascii="Arial" w:cs="Arial" w:eastAsia="Arial" w:hAnsi="Arial"/>
                <w:sz w:val="12"/>
                <w:szCs w:val="12"/>
                <w:b w:val="1"/>
                <w:bCs w:val="1"/>
                <w:color w:val="auto"/>
              </w:rPr>
              <w:t>Coupon</w:t>
            </w:r>
          </w:p>
        </w:tc>
        <w:tc>
          <w:tcPr>
            <w:tcW w:w="900" w:type="dxa"/>
            <w:vAlign w:val="bottom"/>
            <w:gridSpan w:val="2"/>
          </w:tcPr>
          <w:p>
            <w:pPr>
              <w:jc w:val="center"/>
              <w:ind w:right="240"/>
              <w:spacing w:after="0" w:line="153" w:lineRule="exact"/>
              <w:rPr>
                <w:sz w:val="20"/>
                <w:szCs w:val="20"/>
                <w:color w:val="auto"/>
              </w:rPr>
            </w:pPr>
            <w:r>
              <w:rPr>
                <w:rFonts w:ascii="Arial" w:cs="Arial" w:eastAsia="Arial" w:hAnsi="Arial"/>
                <w:sz w:val="11"/>
                <w:szCs w:val="11"/>
                <w:b w:val="1"/>
                <w:bCs w:val="1"/>
                <w:color w:val="auto"/>
                <w:w w:val="91"/>
              </w:rPr>
              <w:t xml:space="preserve">Index </w:t>
            </w:r>
            <w:r>
              <w:rPr>
                <w:rFonts w:ascii="Arial" w:cs="Arial" w:eastAsia="Arial" w:hAnsi="Arial"/>
                <w:sz w:val="17"/>
                <w:szCs w:val="17"/>
                <w:b w:val="1"/>
                <w:bCs w:val="1"/>
                <w:color w:val="auto"/>
                <w:w w:val="91"/>
                <w:vertAlign w:val="superscript"/>
              </w:rPr>
              <w:t>(1)</w:t>
            </w:r>
          </w:p>
        </w:tc>
        <w:tc>
          <w:tcPr>
            <w:tcW w:w="720" w:type="dxa"/>
            <w:vAlign w:val="bottom"/>
          </w:tcPr>
          <w:p>
            <w:pPr>
              <w:jc w:val="right"/>
              <w:ind w:right="142"/>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jc w:val="right"/>
              <w:ind w:right="222"/>
              <w:spacing w:after="0"/>
              <w:rPr>
                <w:sz w:val="20"/>
                <w:szCs w:val="20"/>
                <w:color w:val="auto"/>
              </w:rPr>
            </w:pPr>
            <w:r>
              <w:rPr>
                <w:rFonts w:ascii="Arial" w:cs="Arial" w:eastAsia="Arial" w:hAnsi="Arial"/>
                <w:sz w:val="12"/>
                <w:szCs w:val="12"/>
                <w:b w:val="1"/>
                <w:bCs w:val="1"/>
                <w:color w:val="auto"/>
              </w:rPr>
              <w:t>Cost</w:t>
            </w: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gridSpan w:val="2"/>
          </w:tcPr>
          <w:p>
            <w:pPr>
              <w:jc w:val="right"/>
              <w:ind w:right="180"/>
              <w:spacing w:after="0" w:line="153" w:lineRule="exact"/>
              <w:rPr>
                <w:sz w:val="20"/>
                <w:szCs w:val="20"/>
                <w:color w:val="auto"/>
              </w:rPr>
            </w:pPr>
            <w:r>
              <w:rPr>
                <w:rFonts w:ascii="Arial" w:cs="Arial" w:eastAsia="Arial" w:hAnsi="Arial"/>
                <w:sz w:val="11"/>
                <w:szCs w:val="11"/>
                <w:b w:val="1"/>
                <w:bCs w:val="1"/>
                <w:color w:val="auto"/>
                <w:w w:val="92"/>
              </w:rPr>
              <w:t xml:space="preserve">Fair Value </w:t>
            </w:r>
            <w:r>
              <w:rPr>
                <w:rFonts w:ascii="Arial" w:cs="Arial" w:eastAsia="Arial" w:hAnsi="Arial"/>
                <w:sz w:val="17"/>
                <w:szCs w:val="17"/>
                <w:b w:val="1"/>
                <w:bCs w:val="1"/>
                <w:color w:val="auto"/>
                <w:w w:val="92"/>
                <w:vertAlign w:val="superscript"/>
              </w:rPr>
              <w:t>(2)</w:t>
            </w:r>
          </w:p>
        </w:tc>
        <w:tc>
          <w:tcPr>
            <w:tcW w:w="0" w:type="dxa"/>
            <w:vAlign w:val="bottom"/>
          </w:tcPr>
          <w:p>
            <w:pPr>
              <w:spacing w:after="0"/>
              <w:rPr>
                <w:sz w:val="1"/>
                <w:szCs w:val="1"/>
                <w:color w:val="auto"/>
              </w:rPr>
            </w:pPr>
          </w:p>
        </w:tc>
      </w:tr>
      <w:tr>
        <w:trPr>
          <w:trHeight w:val="142"/>
        </w:trPr>
        <w:tc>
          <w:tcPr>
            <w:tcW w:w="4220" w:type="dxa"/>
            <w:vAlign w:val="bottom"/>
            <w:tcBorders>
              <w:top w:val="single" w:sz="8" w:color="auto"/>
            </w:tcBorders>
            <w:gridSpan w:val="2"/>
            <w:shd w:val="clear" w:color="auto" w:fill="CFF0FC"/>
          </w:tcPr>
          <w:p>
            <w:pPr>
              <w:spacing w:after="0" w:line="142" w:lineRule="exact"/>
              <w:rPr>
                <w:sz w:val="20"/>
                <w:szCs w:val="20"/>
                <w:color w:val="auto"/>
              </w:rPr>
            </w:pPr>
            <w:r>
              <w:rPr>
                <w:rFonts w:ascii="Arial" w:cs="Arial" w:eastAsia="Arial" w:hAnsi="Arial"/>
                <w:sz w:val="10"/>
                <w:szCs w:val="10"/>
                <w:b w:val="1"/>
                <w:bCs w:val="1"/>
                <w:color w:val="auto"/>
              </w:rPr>
              <w:t xml:space="preserve">Investments in Non-Controlled, Affiliated Portfolio Companies—4.1% </w:t>
            </w:r>
            <w:r>
              <w:rPr>
                <w:rFonts w:ascii="Arial" w:cs="Arial" w:eastAsia="Arial" w:hAnsi="Arial"/>
                <w:sz w:val="16"/>
                <w:szCs w:val="16"/>
                <w:b w:val="1"/>
                <w:bCs w:val="1"/>
                <w:color w:val="auto"/>
                <w:vertAlign w:val="superscript"/>
              </w:rPr>
              <w:t>(3), (4)</w:t>
            </w:r>
          </w:p>
        </w:tc>
        <w:tc>
          <w:tcPr>
            <w:tcW w:w="2160" w:type="dxa"/>
            <w:vAlign w:val="bottom"/>
            <w:tcBorders>
              <w:top w:val="single" w:sz="8" w:color="auto"/>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c>
          <w:tcPr>
            <w:tcW w:w="680" w:type="dxa"/>
            <w:vAlign w:val="bottom"/>
            <w:tcBorders>
              <w:top w:val="single" w:sz="8" w:color="auto"/>
            </w:tcBorders>
            <w:shd w:val="clear" w:color="auto" w:fill="CFF0FC"/>
          </w:tcPr>
          <w:p>
            <w:pPr>
              <w:spacing w:after="0"/>
              <w:rPr>
                <w:sz w:val="12"/>
                <w:szCs w:val="12"/>
                <w:color w:val="auto"/>
              </w:rPr>
            </w:pPr>
          </w:p>
        </w:tc>
        <w:tc>
          <w:tcPr>
            <w:tcW w:w="280" w:type="dxa"/>
            <w:vAlign w:val="bottom"/>
            <w:tcBorders>
              <w:top w:val="single" w:sz="8" w:color="CFF0FC"/>
            </w:tcBorders>
            <w:shd w:val="clear" w:color="auto" w:fill="CFF0FC"/>
          </w:tcPr>
          <w:p>
            <w:pPr>
              <w:spacing w:after="0"/>
              <w:rPr>
                <w:sz w:val="12"/>
                <w:szCs w:val="12"/>
                <w:color w:val="auto"/>
              </w:rPr>
            </w:pPr>
          </w:p>
        </w:tc>
        <w:tc>
          <w:tcPr>
            <w:tcW w:w="680" w:type="dxa"/>
            <w:vAlign w:val="bottom"/>
            <w:tcBorders>
              <w:top w:val="single" w:sz="8" w:color="auto"/>
            </w:tcBorders>
            <w:shd w:val="clear" w:color="auto" w:fill="CFF0FC"/>
          </w:tcPr>
          <w:p>
            <w:pPr>
              <w:spacing w:after="0"/>
              <w:rPr>
                <w:sz w:val="12"/>
                <w:szCs w:val="12"/>
                <w:color w:val="auto"/>
              </w:rPr>
            </w:pPr>
          </w:p>
        </w:tc>
        <w:tc>
          <w:tcPr>
            <w:tcW w:w="220" w:type="dxa"/>
            <w:vAlign w:val="bottom"/>
            <w:tcBorders>
              <w:top w:val="single" w:sz="8" w:color="CFF0FC"/>
            </w:tcBorders>
            <w:shd w:val="clear" w:color="auto" w:fill="CFF0FC"/>
          </w:tcPr>
          <w:p>
            <w:pPr>
              <w:spacing w:after="0"/>
              <w:rPr>
                <w:sz w:val="12"/>
                <w:szCs w:val="12"/>
                <w:color w:val="auto"/>
              </w:rPr>
            </w:pPr>
          </w:p>
        </w:tc>
        <w:tc>
          <w:tcPr>
            <w:tcW w:w="720" w:type="dxa"/>
            <w:vAlign w:val="bottom"/>
            <w:tcBorders>
              <w:top w:val="single" w:sz="8" w:color="auto"/>
            </w:tcBorders>
            <w:shd w:val="clear" w:color="auto" w:fill="CFF0FC"/>
          </w:tcPr>
          <w:p>
            <w:pPr>
              <w:spacing w:after="0"/>
              <w:rPr>
                <w:sz w:val="12"/>
                <w:szCs w:val="12"/>
                <w:color w:val="auto"/>
              </w:rPr>
            </w:pPr>
          </w:p>
        </w:tc>
        <w:tc>
          <w:tcPr>
            <w:tcW w:w="22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spacing w:after="0"/>
              <w:rPr>
                <w:sz w:val="12"/>
                <w:szCs w:val="12"/>
                <w:color w:val="auto"/>
              </w:rPr>
            </w:pPr>
          </w:p>
        </w:tc>
        <w:tc>
          <w:tcPr>
            <w:tcW w:w="700" w:type="dxa"/>
            <w:vAlign w:val="bottom"/>
            <w:tcBorders>
              <w:top w:val="single" w:sz="8" w:color="auto"/>
            </w:tcBorders>
            <w:shd w:val="clear" w:color="auto" w:fill="CFF0FC"/>
          </w:tcPr>
          <w:p>
            <w:pPr>
              <w:spacing w:after="0"/>
              <w:rPr>
                <w:sz w:val="12"/>
                <w:szCs w:val="12"/>
                <w:color w:val="auto"/>
              </w:rPr>
            </w:pPr>
          </w:p>
        </w:tc>
        <w:tc>
          <w:tcPr>
            <w:tcW w:w="240" w:type="dxa"/>
            <w:vAlign w:val="bottom"/>
            <w:tcBorders>
              <w:top w:val="single" w:sz="8" w:color="CFF0FC"/>
            </w:tcBorders>
            <w:shd w:val="clear" w:color="auto" w:fill="CFF0FC"/>
          </w:tcPr>
          <w:p>
            <w:pPr>
              <w:spacing w:after="0"/>
              <w:rPr>
                <w:sz w:val="12"/>
                <w:szCs w:val="12"/>
                <w:color w:val="auto"/>
              </w:rPr>
            </w:pPr>
          </w:p>
        </w:tc>
        <w:tc>
          <w:tcPr>
            <w:tcW w:w="60" w:type="dxa"/>
            <w:vAlign w:val="bottom"/>
            <w:tcBorders>
              <w:top w:val="single" w:sz="8" w:color="auto"/>
            </w:tcBorders>
            <w:shd w:val="clear" w:color="auto" w:fill="CFF0FC"/>
          </w:tcPr>
          <w:p>
            <w:pPr>
              <w:spacing w:after="0"/>
              <w:rPr>
                <w:sz w:val="12"/>
                <w:szCs w:val="12"/>
                <w:color w:val="auto"/>
              </w:rPr>
            </w:pPr>
          </w:p>
        </w:tc>
        <w:tc>
          <w:tcPr>
            <w:tcW w:w="740" w:type="dxa"/>
            <w:vAlign w:val="bottom"/>
            <w:tcBorders>
              <w:top w:val="single" w:sz="8" w:color="auto"/>
            </w:tcBorders>
            <w:shd w:val="clear" w:color="auto" w:fill="CFF0FC"/>
          </w:tcPr>
          <w:p>
            <w:pPr>
              <w:spacing w:after="0"/>
              <w:rPr>
                <w:sz w:val="12"/>
                <w:szCs w:val="12"/>
                <w:color w:val="auto"/>
              </w:rPr>
            </w:pPr>
          </w:p>
        </w:tc>
        <w:tc>
          <w:tcPr>
            <w:tcW w:w="10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20" w:type="dxa"/>
            <w:vAlign w:val="bottom"/>
          </w:tcPr>
          <w:p>
            <w:pPr>
              <w:spacing w:after="0"/>
              <w:rPr>
                <w:sz w:val="20"/>
                <w:szCs w:val="20"/>
                <w:color w:val="auto"/>
              </w:rPr>
            </w:pPr>
            <w:r>
              <w:rPr>
                <w:rFonts w:ascii="Arial" w:cs="Arial" w:eastAsia="Arial" w:hAnsi="Arial"/>
                <w:sz w:val="12"/>
                <w:szCs w:val="12"/>
                <w:b w:val="1"/>
                <w:bCs w:val="1"/>
                <w:color w:val="auto"/>
              </w:rPr>
              <w:t>First Lien Secured Debt—0.9%</w:t>
            </w:r>
          </w:p>
        </w:tc>
        <w:tc>
          <w:tcPr>
            <w:tcW w:w="100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20" w:type="dxa"/>
            <w:vAlign w:val="bottom"/>
            <w:shd w:val="clear" w:color="auto" w:fill="CFF0FC"/>
          </w:tcPr>
          <w:p>
            <w:pPr>
              <w:spacing w:after="0" w:line="149" w:lineRule="exact"/>
              <w:rPr>
                <w:sz w:val="20"/>
                <w:szCs w:val="20"/>
                <w:color w:val="auto"/>
              </w:rPr>
            </w:pPr>
            <w:r>
              <w:rPr>
                <w:rFonts w:ascii="Arial" w:cs="Arial" w:eastAsia="Arial" w:hAnsi="Arial"/>
                <w:sz w:val="11"/>
                <w:szCs w:val="11"/>
                <w:color w:val="auto"/>
              </w:rPr>
              <w:t xml:space="preserve">Country Fresh Holdings, LLC </w:t>
            </w:r>
            <w:r>
              <w:rPr>
                <w:rFonts w:ascii="Arial" w:cs="Arial" w:eastAsia="Arial" w:hAnsi="Arial"/>
                <w:sz w:val="17"/>
                <w:szCs w:val="17"/>
                <w:color w:val="auto"/>
                <w:vertAlign w:val="superscript"/>
              </w:rPr>
              <w:t>(7)</w:t>
            </w:r>
          </w:p>
        </w:tc>
        <w:tc>
          <w:tcPr>
            <w:tcW w:w="1000" w:type="dxa"/>
            <w:vAlign w:val="bottom"/>
            <w:shd w:val="clear" w:color="auto" w:fill="CFF0FC"/>
          </w:tcPr>
          <w:p>
            <w:pPr>
              <w:jc w:val="center"/>
              <w:ind w:right="162"/>
              <w:spacing w:after="0"/>
              <w:rPr>
                <w:sz w:val="20"/>
                <w:szCs w:val="20"/>
                <w:color w:val="auto"/>
              </w:rPr>
            </w:pPr>
            <w:r>
              <w:rPr>
                <w:rFonts w:ascii="Arial" w:cs="Arial" w:eastAsia="Arial" w:hAnsi="Arial"/>
                <w:sz w:val="12"/>
                <w:szCs w:val="12"/>
                <w:color w:val="auto"/>
                <w:w w:val="89"/>
              </w:rPr>
              <w:t>05/01/2023</w:t>
            </w:r>
          </w:p>
        </w:tc>
        <w:tc>
          <w:tcPr>
            <w:tcW w:w="2280" w:type="dxa"/>
            <w:vAlign w:val="bottom"/>
            <w:gridSpan w:val="2"/>
            <w:shd w:val="clear" w:color="auto" w:fill="CFF0FC"/>
          </w:tcPr>
          <w:p>
            <w:pPr>
              <w:jc w:val="center"/>
              <w:ind w:right="240"/>
              <w:spacing w:after="0"/>
              <w:rPr>
                <w:sz w:val="20"/>
                <w:szCs w:val="20"/>
                <w:color w:val="auto"/>
              </w:rPr>
            </w:pPr>
            <w:r>
              <w:rPr>
                <w:rFonts w:ascii="Arial" w:cs="Arial" w:eastAsia="Arial" w:hAnsi="Arial"/>
                <w:sz w:val="12"/>
                <w:szCs w:val="12"/>
                <w:color w:val="auto"/>
                <w:w w:val="85"/>
              </w:rPr>
              <w:t>Beverage, Food and Tobacco</w:t>
            </w:r>
          </w:p>
        </w:tc>
        <w:tc>
          <w:tcPr>
            <w:tcW w:w="960" w:type="dxa"/>
            <w:vAlign w:val="bottom"/>
            <w:gridSpan w:val="2"/>
            <w:shd w:val="clear" w:color="auto" w:fill="CFF0FC"/>
          </w:tcPr>
          <w:p>
            <w:pPr>
              <w:jc w:val="right"/>
              <w:ind w:right="180"/>
              <w:spacing w:after="0"/>
              <w:rPr>
                <w:sz w:val="20"/>
                <w:szCs w:val="20"/>
                <w:color w:val="auto"/>
              </w:rPr>
            </w:pPr>
            <w:r>
              <w:rPr>
                <w:rFonts w:ascii="Arial" w:cs="Arial" w:eastAsia="Arial" w:hAnsi="Arial"/>
                <w:sz w:val="12"/>
                <w:szCs w:val="12"/>
                <w:color w:val="auto"/>
              </w:rPr>
              <w:t>7.10%</w:t>
            </w:r>
          </w:p>
        </w:tc>
        <w:tc>
          <w:tcPr>
            <w:tcW w:w="900" w:type="dxa"/>
            <w:vAlign w:val="bottom"/>
            <w:gridSpan w:val="2"/>
            <w:shd w:val="clear" w:color="auto" w:fill="CFF0FC"/>
          </w:tcPr>
          <w:p>
            <w:pPr>
              <w:jc w:val="right"/>
              <w:ind w:right="240"/>
              <w:spacing w:after="0"/>
              <w:rPr>
                <w:sz w:val="20"/>
                <w:szCs w:val="20"/>
                <w:color w:val="auto"/>
              </w:rPr>
            </w:pPr>
            <w:r>
              <w:rPr>
                <w:rFonts w:ascii="Arial" w:cs="Arial" w:eastAsia="Arial" w:hAnsi="Arial"/>
                <w:sz w:val="12"/>
                <w:szCs w:val="12"/>
                <w:color w:val="auto"/>
              </w:rPr>
              <w:t>3M L+500</w:t>
            </w:r>
          </w:p>
        </w:tc>
        <w:tc>
          <w:tcPr>
            <w:tcW w:w="7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1,544,161</w:t>
            </w: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1,505,589</w:t>
            </w: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1,544,161</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20" w:type="dxa"/>
            <w:vAlign w:val="bottom"/>
          </w:tcPr>
          <w:p>
            <w:pPr>
              <w:spacing w:after="0" w:line="149" w:lineRule="exact"/>
              <w:rPr>
                <w:sz w:val="20"/>
                <w:szCs w:val="20"/>
                <w:color w:val="auto"/>
              </w:rPr>
            </w:pPr>
            <w:r>
              <w:rPr>
                <w:rFonts w:ascii="Arial" w:cs="Arial" w:eastAsia="Arial" w:hAnsi="Arial"/>
                <w:sz w:val="11"/>
                <w:szCs w:val="11"/>
                <w:color w:val="auto"/>
              </w:rPr>
              <w:t xml:space="preserve">Country Fresh Holdings, LLC (Revolver) </w:t>
            </w:r>
            <w:r>
              <w:rPr>
                <w:rFonts w:ascii="Arial" w:cs="Arial" w:eastAsia="Arial" w:hAnsi="Arial"/>
                <w:sz w:val="17"/>
                <w:szCs w:val="17"/>
                <w:color w:val="auto"/>
                <w:vertAlign w:val="superscript"/>
              </w:rPr>
              <w:t>(7)</w:t>
            </w:r>
          </w:p>
        </w:tc>
        <w:tc>
          <w:tcPr>
            <w:tcW w:w="1000" w:type="dxa"/>
            <w:vAlign w:val="bottom"/>
          </w:tcPr>
          <w:p>
            <w:pPr>
              <w:jc w:val="center"/>
              <w:ind w:right="162"/>
              <w:spacing w:after="0"/>
              <w:rPr>
                <w:sz w:val="20"/>
                <w:szCs w:val="20"/>
                <w:color w:val="auto"/>
              </w:rPr>
            </w:pPr>
            <w:r>
              <w:rPr>
                <w:rFonts w:ascii="Arial" w:cs="Arial" w:eastAsia="Arial" w:hAnsi="Arial"/>
                <w:sz w:val="12"/>
                <w:szCs w:val="12"/>
                <w:color w:val="auto"/>
                <w:w w:val="89"/>
              </w:rPr>
              <w:t>05/01/2023</w:t>
            </w:r>
          </w:p>
        </w:tc>
        <w:tc>
          <w:tcPr>
            <w:tcW w:w="2280" w:type="dxa"/>
            <w:vAlign w:val="bottom"/>
            <w:gridSpan w:val="2"/>
          </w:tcPr>
          <w:p>
            <w:pPr>
              <w:jc w:val="center"/>
              <w:ind w:right="240"/>
              <w:spacing w:after="0"/>
              <w:rPr>
                <w:sz w:val="20"/>
                <w:szCs w:val="20"/>
                <w:color w:val="auto"/>
              </w:rPr>
            </w:pPr>
            <w:r>
              <w:rPr>
                <w:rFonts w:ascii="Arial" w:cs="Arial" w:eastAsia="Arial" w:hAnsi="Arial"/>
                <w:sz w:val="12"/>
                <w:szCs w:val="12"/>
                <w:color w:val="auto"/>
                <w:w w:val="85"/>
              </w:rPr>
              <w:t>Beverage, Food and Tobacco</w:t>
            </w:r>
          </w:p>
        </w:tc>
        <w:tc>
          <w:tcPr>
            <w:tcW w:w="960" w:type="dxa"/>
            <w:vAlign w:val="bottom"/>
            <w:gridSpan w:val="2"/>
          </w:tcPr>
          <w:p>
            <w:pPr>
              <w:jc w:val="right"/>
              <w:ind w:right="180"/>
              <w:spacing w:after="0"/>
              <w:rPr>
                <w:sz w:val="20"/>
                <w:szCs w:val="20"/>
                <w:color w:val="auto"/>
              </w:rPr>
            </w:pPr>
            <w:r>
              <w:rPr>
                <w:rFonts w:ascii="Arial" w:cs="Arial" w:eastAsia="Arial" w:hAnsi="Arial"/>
                <w:sz w:val="12"/>
                <w:szCs w:val="12"/>
                <w:color w:val="auto"/>
              </w:rPr>
              <w:t>7.10%</w:t>
            </w:r>
          </w:p>
        </w:tc>
        <w:tc>
          <w:tcPr>
            <w:tcW w:w="900" w:type="dxa"/>
            <w:vAlign w:val="bottom"/>
            <w:gridSpan w:val="2"/>
          </w:tcPr>
          <w:p>
            <w:pPr>
              <w:jc w:val="right"/>
              <w:ind w:right="240"/>
              <w:spacing w:after="0"/>
              <w:rPr>
                <w:sz w:val="20"/>
                <w:szCs w:val="20"/>
                <w:color w:val="auto"/>
              </w:rPr>
            </w:pPr>
            <w:r>
              <w:rPr>
                <w:rFonts w:ascii="Arial" w:cs="Arial" w:eastAsia="Arial" w:hAnsi="Arial"/>
                <w:sz w:val="12"/>
                <w:szCs w:val="12"/>
                <w:color w:val="auto"/>
              </w:rPr>
              <w:t>3M L+500</w:t>
            </w:r>
          </w:p>
        </w:tc>
        <w:tc>
          <w:tcPr>
            <w:tcW w:w="720" w:type="dxa"/>
            <w:vAlign w:val="bottom"/>
          </w:tcPr>
          <w:p>
            <w:pPr>
              <w:jc w:val="right"/>
              <w:spacing w:after="0"/>
              <w:rPr>
                <w:sz w:val="20"/>
                <w:szCs w:val="20"/>
                <w:color w:val="auto"/>
              </w:rPr>
            </w:pPr>
            <w:r>
              <w:rPr>
                <w:rFonts w:ascii="Arial" w:cs="Arial" w:eastAsia="Arial" w:hAnsi="Arial"/>
                <w:sz w:val="12"/>
                <w:szCs w:val="12"/>
                <w:color w:val="auto"/>
              </w:rPr>
              <w:t>769,038</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769,038</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769,038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20" w:type="dxa"/>
            <w:vAlign w:val="bottom"/>
            <w:shd w:val="clear" w:color="auto" w:fill="CFF0FC"/>
          </w:tcPr>
          <w:p>
            <w:pPr>
              <w:spacing w:after="0" w:line="149" w:lineRule="exact"/>
              <w:rPr>
                <w:sz w:val="20"/>
                <w:szCs w:val="20"/>
                <w:color w:val="auto"/>
              </w:rPr>
            </w:pPr>
            <w:r>
              <w:rPr>
                <w:rFonts w:ascii="Arial" w:cs="Arial" w:eastAsia="Arial" w:hAnsi="Arial"/>
                <w:sz w:val="11"/>
                <w:szCs w:val="11"/>
                <w:color w:val="auto"/>
              </w:rPr>
              <w:t xml:space="preserve">Country Fresh Holdings, LLC (Revolver) </w:t>
            </w:r>
            <w:r>
              <w:rPr>
                <w:rFonts w:ascii="Arial" w:cs="Arial" w:eastAsia="Arial" w:hAnsi="Arial"/>
                <w:sz w:val="17"/>
                <w:szCs w:val="17"/>
                <w:color w:val="auto"/>
                <w:vertAlign w:val="superscript"/>
              </w:rPr>
              <w:t>(7), (9)</w:t>
            </w:r>
          </w:p>
        </w:tc>
        <w:tc>
          <w:tcPr>
            <w:tcW w:w="1000" w:type="dxa"/>
            <w:vAlign w:val="bottom"/>
            <w:shd w:val="clear" w:color="auto" w:fill="CFF0FC"/>
          </w:tcPr>
          <w:p>
            <w:pPr>
              <w:jc w:val="center"/>
              <w:ind w:right="162"/>
              <w:spacing w:after="0"/>
              <w:rPr>
                <w:sz w:val="20"/>
                <w:szCs w:val="20"/>
                <w:color w:val="auto"/>
              </w:rPr>
            </w:pPr>
            <w:r>
              <w:rPr>
                <w:rFonts w:ascii="Arial" w:cs="Arial" w:eastAsia="Arial" w:hAnsi="Arial"/>
                <w:sz w:val="12"/>
                <w:szCs w:val="12"/>
                <w:color w:val="auto"/>
                <w:w w:val="89"/>
              </w:rPr>
              <w:t>05/01/2023</w:t>
            </w:r>
          </w:p>
        </w:tc>
        <w:tc>
          <w:tcPr>
            <w:tcW w:w="2280" w:type="dxa"/>
            <w:vAlign w:val="bottom"/>
            <w:gridSpan w:val="2"/>
            <w:shd w:val="clear" w:color="auto" w:fill="CFF0FC"/>
          </w:tcPr>
          <w:p>
            <w:pPr>
              <w:jc w:val="center"/>
              <w:ind w:right="240"/>
              <w:spacing w:after="0"/>
              <w:rPr>
                <w:sz w:val="20"/>
                <w:szCs w:val="20"/>
                <w:color w:val="auto"/>
              </w:rPr>
            </w:pPr>
            <w:r>
              <w:rPr>
                <w:rFonts w:ascii="Arial" w:cs="Arial" w:eastAsia="Arial" w:hAnsi="Arial"/>
                <w:sz w:val="12"/>
                <w:szCs w:val="12"/>
                <w:color w:val="auto"/>
                <w:w w:val="85"/>
              </w:rPr>
              <w:t>Beverage, Food and Tobacco</w:t>
            </w:r>
          </w:p>
        </w:tc>
        <w:tc>
          <w:tcPr>
            <w:tcW w:w="960" w:type="dxa"/>
            <w:vAlign w:val="bottom"/>
            <w:gridSpan w:val="2"/>
            <w:shd w:val="clear" w:color="auto" w:fill="CFF0FC"/>
          </w:tcPr>
          <w:p>
            <w:pPr>
              <w:jc w:val="right"/>
              <w:ind w:right="300"/>
              <w:spacing w:after="0"/>
              <w:rPr>
                <w:sz w:val="20"/>
                <w:szCs w:val="20"/>
                <w:color w:val="auto"/>
              </w:rPr>
            </w:pPr>
            <w:r>
              <w:rPr>
                <w:rFonts w:ascii="Arial" w:cs="Arial" w:eastAsia="Arial" w:hAnsi="Arial"/>
                <w:sz w:val="12"/>
                <w:szCs w:val="12"/>
                <w:color w:val="auto"/>
              </w:rPr>
              <w:t>—</w:t>
            </w:r>
          </w:p>
        </w:tc>
        <w:tc>
          <w:tcPr>
            <w:tcW w:w="900" w:type="dxa"/>
            <w:vAlign w:val="bottom"/>
            <w:gridSpan w:val="2"/>
            <w:shd w:val="clear" w:color="auto" w:fill="CFF0FC"/>
          </w:tcPr>
          <w:p>
            <w:pPr>
              <w:jc w:val="right"/>
              <w:ind w:right="240"/>
              <w:spacing w:after="0"/>
              <w:rPr>
                <w:sz w:val="20"/>
                <w:szCs w:val="20"/>
                <w:color w:val="auto"/>
              </w:rPr>
            </w:pPr>
            <w:r>
              <w:rPr>
                <w:rFonts w:ascii="Arial" w:cs="Arial" w:eastAsia="Arial" w:hAnsi="Arial"/>
                <w:sz w:val="12"/>
                <w:szCs w:val="12"/>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1,977,526</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84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8"/>
        </w:trPr>
        <w:tc>
          <w:tcPr>
            <w:tcW w:w="3220" w:type="dxa"/>
            <w:vAlign w:val="bottom"/>
            <w:tcBorders>
              <w:bottom w:val="single" w:sz="8" w:color="CCECFF"/>
            </w:tcBorders>
          </w:tcPr>
          <w:p>
            <w:pPr>
              <w:spacing w:after="0" w:line="149" w:lineRule="exact"/>
              <w:rPr>
                <w:sz w:val="20"/>
                <w:szCs w:val="20"/>
                <w:color w:val="auto"/>
              </w:rPr>
            </w:pPr>
            <w:r>
              <w:rPr>
                <w:rFonts w:ascii="Arial" w:cs="Arial" w:eastAsia="Arial" w:hAnsi="Arial"/>
                <w:sz w:val="11"/>
                <w:szCs w:val="11"/>
                <w:color w:val="auto"/>
              </w:rPr>
              <w:t xml:space="preserve">Quick Weight Loss Centers, LLC </w:t>
            </w:r>
            <w:r>
              <w:rPr>
                <w:rFonts w:ascii="Arial" w:cs="Arial" w:eastAsia="Arial" w:hAnsi="Arial"/>
                <w:sz w:val="17"/>
                <w:szCs w:val="17"/>
                <w:color w:val="auto"/>
                <w:vertAlign w:val="superscript"/>
              </w:rPr>
              <w:t>(7)</w:t>
            </w:r>
          </w:p>
        </w:tc>
        <w:tc>
          <w:tcPr>
            <w:tcW w:w="1000" w:type="dxa"/>
            <w:vAlign w:val="bottom"/>
            <w:tcBorders>
              <w:bottom w:val="single" w:sz="8" w:color="CCECFF"/>
            </w:tcBorders>
          </w:tcPr>
          <w:p>
            <w:pPr>
              <w:jc w:val="center"/>
              <w:ind w:right="162"/>
              <w:spacing w:after="0"/>
              <w:rPr>
                <w:sz w:val="20"/>
                <w:szCs w:val="20"/>
                <w:color w:val="auto"/>
              </w:rPr>
            </w:pPr>
            <w:r>
              <w:rPr>
                <w:rFonts w:ascii="Arial" w:cs="Arial" w:eastAsia="Arial" w:hAnsi="Arial"/>
                <w:sz w:val="12"/>
                <w:szCs w:val="12"/>
                <w:color w:val="auto"/>
                <w:w w:val="89"/>
              </w:rPr>
              <w:t>10/12/2023</w:t>
            </w:r>
          </w:p>
        </w:tc>
        <w:tc>
          <w:tcPr>
            <w:tcW w:w="2280" w:type="dxa"/>
            <w:vAlign w:val="bottom"/>
            <w:tcBorders>
              <w:bottom w:val="single" w:sz="8" w:color="CCECFF"/>
            </w:tcBorders>
            <w:gridSpan w:val="2"/>
          </w:tcPr>
          <w:p>
            <w:pPr>
              <w:jc w:val="center"/>
              <w:ind w:right="240"/>
              <w:spacing w:after="0"/>
              <w:rPr>
                <w:sz w:val="20"/>
                <w:szCs w:val="20"/>
                <w:color w:val="auto"/>
              </w:rPr>
            </w:pPr>
            <w:r>
              <w:rPr>
                <w:rFonts w:ascii="Arial" w:cs="Arial" w:eastAsia="Arial" w:hAnsi="Arial"/>
                <w:sz w:val="12"/>
                <w:szCs w:val="12"/>
                <w:color w:val="auto"/>
                <w:w w:val="85"/>
              </w:rPr>
              <w:t>Beverage, Food and Tobacco</w:t>
            </w:r>
          </w:p>
        </w:tc>
        <w:tc>
          <w:tcPr>
            <w:tcW w:w="960" w:type="dxa"/>
            <w:vAlign w:val="bottom"/>
            <w:tcBorders>
              <w:bottom w:val="single" w:sz="8" w:color="CCECFF"/>
            </w:tcBorders>
            <w:gridSpan w:val="2"/>
          </w:tcPr>
          <w:p>
            <w:pPr>
              <w:jc w:val="right"/>
              <w:ind w:right="180"/>
              <w:spacing w:after="0"/>
              <w:rPr>
                <w:sz w:val="20"/>
                <w:szCs w:val="20"/>
                <w:color w:val="auto"/>
              </w:rPr>
            </w:pPr>
            <w:r>
              <w:rPr>
                <w:rFonts w:ascii="Arial" w:cs="Arial" w:eastAsia="Arial" w:hAnsi="Arial"/>
                <w:sz w:val="12"/>
                <w:szCs w:val="12"/>
                <w:color w:val="auto"/>
              </w:rPr>
              <w:t>4.00%</w:t>
            </w:r>
          </w:p>
        </w:tc>
        <w:tc>
          <w:tcPr>
            <w:tcW w:w="900" w:type="dxa"/>
            <w:vAlign w:val="bottom"/>
            <w:tcBorders>
              <w:bottom w:val="single" w:sz="8" w:color="CCECFF"/>
            </w:tcBorders>
            <w:gridSpan w:val="2"/>
          </w:tcPr>
          <w:p>
            <w:pPr>
              <w:jc w:val="right"/>
              <w:ind w:right="240"/>
              <w:spacing w:after="0"/>
              <w:rPr>
                <w:sz w:val="20"/>
                <w:szCs w:val="20"/>
                <w:color w:val="auto"/>
              </w:rPr>
            </w:pPr>
            <w:r>
              <w:rPr>
                <w:rFonts w:ascii="Arial" w:cs="Arial" w:eastAsia="Arial" w:hAnsi="Arial"/>
                <w:sz w:val="12"/>
                <w:szCs w:val="12"/>
                <w:color w:val="auto"/>
              </w:rPr>
              <w:t>—</w:t>
            </w:r>
          </w:p>
        </w:tc>
        <w:tc>
          <w:tcPr>
            <w:tcW w:w="720" w:type="dxa"/>
            <w:vAlign w:val="bottom"/>
            <w:tcBorders>
              <w:bottom w:val="single" w:sz="8" w:color="CCECFF"/>
            </w:tcBorders>
          </w:tcPr>
          <w:p>
            <w:pPr>
              <w:jc w:val="right"/>
              <w:spacing w:after="0"/>
              <w:rPr>
                <w:sz w:val="20"/>
                <w:szCs w:val="20"/>
                <w:color w:val="auto"/>
              </w:rPr>
            </w:pPr>
            <w:r>
              <w:rPr>
                <w:rFonts w:ascii="Arial" w:cs="Arial" w:eastAsia="Arial" w:hAnsi="Arial"/>
                <w:sz w:val="12"/>
                <w:szCs w:val="12"/>
                <w:color w:val="auto"/>
              </w:rPr>
              <w:t>2,016,667</w:t>
            </w:r>
          </w:p>
        </w:tc>
        <w:tc>
          <w:tcPr>
            <w:tcW w:w="220" w:type="dxa"/>
            <w:vAlign w:val="bottom"/>
            <w:tcBorders>
              <w:bottom w:val="single" w:sz="8" w:color="CCEC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2,016,667</w:t>
            </w:r>
          </w:p>
        </w:tc>
        <w:tc>
          <w:tcPr>
            <w:tcW w:w="240" w:type="dxa"/>
            <w:vAlign w:val="bottom"/>
            <w:tcBorders>
              <w:bottom w:val="single" w:sz="8" w:color="CCECFF"/>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2,036,833</w:t>
            </w:r>
          </w:p>
        </w:tc>
        <w:tc>
          <w:tcPr>
            <w:tcW w:w="100" w:type="dxa"/>
            <w:vAlign w:val="bottom"/>
            <w:tcBorders>
              <w:bottom w:val="single" w:sz="8" w:color="CCEC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220" w:type="dxa"/>
            <w:vAlign w:val="bottom"/>
            <w:shd w:val="clear" w:color="auto" w:fill="CCECFF"/>
          </w:tcPr>
          <w:p>
            <w:pPr>
              <w:spacing w:after="0"/>
              <w:rPr>
                <w:sz w:val="20"/>
                <w:szCs w:val="20"/>
                <w:color w:val="auto"/>
              </w:rPr>
            </w:pPr>
            <w:r>
              <w:rPr>
                <w:rFonts w:ascii="Arial" w:cs="Arial" w:eastAsia="Arial" w:hAnsi="Arial"/>
                <w:sz w:val="12"/>
                <w:szCs w:val="12"/>
                <w:b w:val="1"/>
                <w:bCs w:val="1"/>
                <w:color w:val="auto"/>
              </w:rPr>
              <w:t>Total First Lien Secured Debt</w:t>
            </w:r>
          </w:p>
        </w:tc>
        <w:tc>
          <w:tcPr>
            <w:tcW w:w="1000" w:type="dxa"/>
            <w:vAlign w:val="bottom"/>
            <w:shd w:val="clear" w:color="auto" w:fill="CCECFF"/>
          </w:tcPr>
          <w:p>
            <w:pPr>
              <w:spacing w:after="0"/>
              <w:rPr>
                <w:sz w:val="12"/>
                <w:szCs w:val="12"/>
                <w:color w:val="auto"/>
              </w:rPr>
            </w:pPr>
          </w:p>
        </w:tc>
        <w:tc>
          <w:tcPr>
            <w:tcW w:w="216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96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(PIK 4.00%)</w:t>
            </w:r>
          </w:p>
        </w:tc>
        <w:tc>
          <w:tcPr>
            <w:tcW w:w="68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72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4,291,294</w:t>
            </w:r>
          </w:p>
        </w:tc>
        <w:tc>
          <w:tcPr>
            <w:tcW w:w="240" w:type="dxa"/>
            <w:vAlign w:val="bottom"/>
            <w:shd w:val="clear" w:color="auto" w:fill="CCECFF"/>
          </w:tcPr>
          <w:p>
            <w:pPr>
              <w:spacing w:after="0"/>
              <w:rPr>
                <w:sz w:val="12"/>
                <w:szCs w:val="12"/>
                <w:color w:val="auto"/>
              </w:rPr>
            </w:pPr>
          </w:p>
        </w:tc>
        <w:tc>
          <w:tcPr>
            <w:tcW w:w="60" w:type="dxa"/>
            <w:vAlign w:val="bottom"/>
            <w:shd w:val="clear" w:color="auto" w:fill="CCECFF"/>
          </w:tcPr>
          <w:p>
            <w:pPr>
              <w:spacing w:after="0"/>
              <w:rPr>
                <w:sz w:val="12"/>
                <w:szCs w:val="12"/>
                <w:color w:val="auto"/>
              </w:rPr>
            </w:pPr>
          </w:p>
        </w:tc>
        <w:tc>
          <w:tcPr>
            <w:tcW w:w="7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4,350,032</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20" w:type="dxa"/>
            <w:vAlign w:val="bottom"/>
          </w:tcPr>
          <w:p>
            <w:pPr>
              <w:spacing w:after="0"/>
              <w:rPr>
                <w:sz w:val="20"/>
                <w:szCs w:val="20"/>
                <w:color w:val="auto"/>
              </w:rPr>
            </w:pPr>
            <w:r>
              <w:rPr>
                <w:rFonts w:ascii="Arial" w:cs="Arial" w:eastAsia="Arial" w:hAnsi="Arial"/>
                <w:sz w:val="12"/>
                <w:szCs w:val="12"/>
                <w:b w:val="1"/>
                <w:bCs w:val="1"/>
                <w:color w:val="auto"/>
              </w:rPr>
              <w:t>Second Lien Secured Debt—1.1%</w:t>
            </w:r>
          </w:p>
        </w:tc>
        <w:tc>
          <w:tcPr>
            <w:tcW w:w="100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20" w:type="dxa"/>
            <w:vAlign w:val="bottom"/>
            <w:shd w:val="clear" w:color="auto" w:fill="CCECFF"/>
          </w:tcPr>
          <w:p>
            <w:pPr>
              <w:spacing w:after="0" w:line="149" w:lineRule="exact"/>
              <w:rPr>
                <w:sz w:val="20"/>
                <w:szCs w:val="20"/>
                <w:color w:val="auto"/>
              </w:rPr>
            </w:pPr>
            <w:r>
              <w:rPr>
                <w:rFonts w:ascii="Arial" w:cs="Arial" w:eastAsia="Arial" w:hAnsi="Arial"/>
                <w:sz w:val="11"/>
                <w:szCs w:val="11"/>
                <w:color w:val="auto"/>
              </w:rPr>
              <w:t xml:space="preserve">Country Fresh Holdings, LLC </w:t>
            </w:r>
            <w:r>
              <w:rPr>
                <w:rFonts w:ascii="Arial" w:cs="Arial" w:eastAsia="Arial" w:hAnsi="Arial"/>
                <w:sz w:val="17"/>
                <w:szCs w:val="17"/>
                <w:color w:val="auto"/>
                <w:vertAlign w:val="superscript"/>
              </w:rPr>
              <w:t>(7)</w:t>
            </w:r>
          </w:p>
        </w:tc>
        <w:tc>
          <w:tcPr>
            <w:tcW w:w="1000" w:type="dxa"/>
            <w:vAlign w:val="bottom"/>
            <w:shd w:val="clear" w:color="auto" w:fill="CCECFF"/>
          </w:tcPr>
          <w:p>
            <w:pPr>
              <w:jc w:val="center"/>
              <w:ind w:right="162"/>
              <w:spacing w:after="0"/>
              <w:rPr>
                <w:sz w:val="20"/>
                <w:szCs w:val="20"/>
                <w:color w:val="auto"/>
              </w:rPr>
            </w:pPr>
            <w:r>
              <w:rPr>
                <w:rFonts w:ascii="Arial" w:cs="Arial" w:eastAsia="Arial" w:hAnsi="Arial"/>
                <w:sz w:val="12"/>
                <w:szCs w:val="12"/>
                <w:color w:val="auto"/>
                <w:w w:val="89"/>
              </w:rPr>
              <w:t>04/29/2024</w:t>
            </w:r>
          </w:p>
        </w:tc>
        <w:tc>
          <w:tcPr>
            <w:tcW w:w="2280" w:type="dxa"/>
            <w:vAlign w:val="bottom"/>
            <w:gridSpan w:val="2"/>
            <w:shd w:val="clear" w:color="auto" w:fill="CCECFF"/>
          </w:tcPr>
          <w:p>
            <w:pPr>
              <w:jc w:val="center"/>
              <w:ind w:right="240"/>
              <w:spacing w:after="0"/>
              <w:rPr>
                <w:sz w:val="20"/>
                <w:szCs w:val="20"/>
                <w:color w:val="auto"/>
              </w:rPr>
            </w:pPr>
            <w:r>
              <w:rPr>
                <w:rFonts w:ascii="Arial" w:cs="Arial" w:eastAsia="Arial" w:hAnsi="Arial"/>
                <w:sz w:val="12"/>
                <w:szCs w:val="12"/>
                <w:color w:val="auto"/>
                <w:w w:val="85"/>
              </w:rPr>
              <w:t>Beverage, Food and Tobacco</w:t>
            </w:r>
          </w:p>
        </w:tc>
        <w:tc>
          <w:tcPr>
            <w:tcW w:w="96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10.60%</w:t>
            </w: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1M L+850</w:t>
            </w:r>
          </w:p>
        </w:tc>
        <w:tc>
          <w:tcPr>
            <w:tcW w:w="7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5,314,125</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5,314,125</w:t>
            </w:r>
          </w:p>
        </w:tc>
        <w:tc>
          <w:tcPr>
            <w:tcW w:w="240" w:type="dxa"/>
            <w:vAlign w:val="bottom"/>
            <w:shd w:val="clear" w:color="auto" w:fill="CCECFF"/>
          </w:tcPr>
          <w:p>
            <w:pPr>
              <w:spacing w:after="0"/>
              <w:rPr>
                <w:sz w:val="12"/>
                <w:szCs w:val="12"/>
                <w:color w:val="auto"/>
              </w:rPr>
            </w:pPr>
          </w:p>
        </w:tc>
        <w:tc>
          <w:tcPr>
            <w:tcW w:w="60" w:type="dxa"/>
            <w:vAlign w:val="bottom"/>
            <w:shd w:val="clear" w:color="auto" w:fill="CCECFF"/>
          </w:tcPr>
          <w:p>
            <w:pPr>
              <w:spacing w:after="0"/>
              <w:rPr>
                <w:sz w:val="12"/>
                <w:szCs w:val="12"/>
                <w:color w:val="auto"/>
              </w:rPr>
            </w:pPr>
          </w:p>
        </w:tc>
        <w:tc>
          <w:tcPr>
            <w:tcW w:w="7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5,314,125</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20" w:type="dxa"/>
            <w:vAlign w:val="bottom"/>
            <w:shd w:val="clear" w:color="auto" w:fill="CCECFF"/>
          </w:tcPr>
          <w:p>
            <w:pPr>
              <w:spacing w:after="0"/>
              <w:rPr>
                <w:sz w:val="12"/>
                <w:szCs w:val="12"/>
                <w:color w:val="auto"/>
              </w:rPr>
            </w:pPr>
          </w:p>
        </w:tc>
        <w:tc>
          <w:tcPr>
            <w:tcW w:w="1000" w:type="dxa"/>
            <w:vAlign w:val="bottom"/>
            <w:shd w:val="clear" w:color="auto" w:fill="CCECFF"/>
          </w:tcPr>
          <w:p>
            <w:pPr>
              <w:spacing w:after="0"/>
              <w:rPr>
                <w:sz w:val="12"/>
                <w:szCs w:val="12"/>
                <w:color w:val="auto"/>
              </w:rPr>
            </w:pPr>
          </w:p>
        </w:tc>
        <w:tc>
          <w:tcPr>
            <w:tcW w:w="216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96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(PIK 10.60%)</w:t>
            </w:r>
          </w:p>
        </w:tc>
        <w:tc>
          <w:tcPr>
            <w:tcW w:w="68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72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70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60" w:type="dxa"/>
            <w:vAlign w:val="bottom"/>
            <w:shd w:val="clear" w:color="auto" w:fill="CCECFF"/>
          </w:tcPr>
          <w:p>
            <w:pPr>
              <w:spacing w:after="0"/>
              <w:rPr>
                <w:sz w:val="12"/>
                <w:szCs w:val="12"/>
                <w:color w:val="auto"/>
              </w:rPr>
            </w:pPr>
          </w:p>
        </w:tc>
        <w:tc>
          <w:tcPr>
            <w:tcW w:w="7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20" w:type="dxa"/>
            <w:vAlign w:val="bottom"/>
            <w:tcBorders>
              <w:bottom w:val="single" w:sz="8" w:color="CFF0FC"/>
            </w:tcBorders>
          </w:tcPr>
          <w:p>
            <w:pPr>
              <w:spacing w:after="0" w:line="149" w:lineRule="exact"/>
              <w:rPr>
                <w:sz w:val="20"/>
                <w:szCs w:val="20"/>
                <w:color w:val="auto"/>
              </w:rPr>
            </w:pPr>
            <w:r>
              <w:rPr>
                <w:rFonts w:ascii="Arial" w:cs="Arial" w:eastAsia="Arial" w:hAnsi="Arial"/>
                <w:sz w:val="11"/>
                <w:szCs w:val="11"/>
                <w:color w:val="auto"/>
              </w:rPr>
              <w:t xml:space="preserve">Quick Weight Loss Centers, LLC </w:t>
            </w:r>
            <w:r>
              <w:rPr>
                <w:rFonts w:ascii="Arial" w:cs="Arial" w:eastAsia="Arial" w:hAnsi="Arial"/>
                <w:sz w:val="17"/>
                <w:szCs w:val="17"/>
                <w:color w:val="auto"/>
                <w:vertAlign w:val="superscript"/>
              </w:rPr>
              <w:t>(7)</w:t>
            </w:r>
          </w:p>
        </w:tc>
        <w:tc>
          <w:tcPr>
            <w:tcW w:w="1000" w:type="dxa"/>
            <w:vAlign w:val="bottom"/>
            <w:tcBorders>
              <w:bottom w:val="single" w:sz="8" w:color="CFF0FC"/>
            </w:tcBorders>
          </w:tcPr>
          <w:p>
            <w:pPr>
              <w:jc w:val="center"/>
              <w:ind w:right="162"/>
              <w:spacing w:after="0"/>
              <w:rPr>
                <w:sz w:val="20"/>
                <w:szCs w:val="20"/>
                <w:color w:val="auto"/>
              </w:rPr>
            </w:pPr>
            <w:r>
              <w:rPr>
                <w:rFonts w:ascii="Arial" w:cs="Arial" w:eastAsia="Arial" w:hAnsi="Arial"/>
                <w:sz w:val="12"/>
                <w:szCs w:val="12"/>
                <w:color w:val="auto"/>
                <w:w w:val="89"/>
              </w:rPr>
              <w:t>10/12/2023</w:t>
            </w:r>
          </w:p>
        </w:tc>
        <w:tc>
          <w:tcPr>
            <w:tcW w:w="2280" w:type="dxa"/>
            <w:vAlign w:val="bottom"/>
            <w:tcBorders>
              <w:bottom w:val="single" w:sz="8" w:color="CFF0FC"/>
            </w:tcBorders>
            <w:gridSpan w:val="2"/>
          </w:tcPr>
          <w:p>
            <w:pPr>
              <w:jc w:val="center"/>
              <w:ind w:right="240"/>
              <w:spacing w:after="0"/>
              <w:rPr>
                <w:sz w:val="20"/>
                <w:szCs w:val="20"/>
                <w:color w:val="auto"/>
              </w:rPr>
            </w:pPr>
            <w:r>
              <w:rPr>
                <w:rFonts w:ascii="Arial" w:cs="Arial" w:eastAsia="Arial" w:hAnsi="Arial"/>
                <w:sz w:val="12"/>
                <w:szCs w:val="12"/>
                <w:color w:val="auto"/>
                <w:w w:val="85"/>
              </w:rPr>
              <w:t>Beverage, Food and Tobacco</w:t>
            </w:r>
          </w:p>
        </w:tc>
        <w:tc>
          <w:tcPr>
            <w:tcW w:w="960" w:type="dxa"/>
            <w:vAlign w:val="bottom"/>
            <w:tcBorders>
              <w:bottom w:val="single" w:sz="8" w:color="CFF0FC"/>
            </w:tcBorders>
            <w:gridSpan w:val="2"/>
          </w:tcPr>
          <w:p>
            <w:pPr>
              <w:jc w:val="right"/>
              <w:ind w:right="180"/>
              <w:spacing w:after="0"/>
              <w:rPr>
                <w:sz w:val="20"/>
                <w:szCs w:val="20"/>
                <w:color w:val="auto"/>
              </w:rPr>
            </w:pPr>
            <w:r>
              <w:rPr>
                <w:rFonts w:ascii="Arial" w:cs="Arial" w:eastAsia="Arial" w:hAnsi="Arial"/>
                <w:sz w:val="12"/>
                <w:szCs w:val="12"/>
                <w:color w:val="auto"/>
              </w:rPr>
              <w:t>4.00%</w:t>
            </w:r>
          </w:p>
        </w:tc>
        <w:tc>
          <w:tcPr>
            <w:tcW w:w="900" w:type="dxa"/>
            <w:vAlign w:val="bottom"/>
            <w:tcBorders>
              <w:bottom w:val="single" w:sz="8" w:color="CFF0FC"/>
            </w:tcBorders>
            <w:gridSpan w:val="2"/>
          </w:tcPr>
          <w:p>
            <w:pPr>
              <w:jc w:val="right"/>
              <w:ind w:right="240"/>
              <w:spacing w:after="0"/>
              <w:rPr>
                <w:sz w:val="20"/>
                <w:szCs w:val="20"/>
                <w:color w:val="auto"/>
              </w:rPr>
            </w:pPr>
            <w:r>
              <w:rPr>
                <w:rFonts w:ascii="Arial" w:cs="Arial" w:eastAsia="Arial" w:hAnsi="Arial"/>
                <w:sz w:val="12"/>
                <w:szCs w:val="12"/>
                <w:color w:val="auto"/>
              </w:rPr>
              <w:t>—</w:t>
            </w:r>
          </w:p>
        </w:tc>
        <w:tc>
          <w:tcPr>
            <w:tcW w:w="720" w:type="dxa"/>
            <w:vAlign w:val="bottom"/>
            <w:tcBorders>
              <w:bottom w:val="single" w:sz="8" w:color="CFF0FC"/>
            </w:tcBorders>
          </w:tcPr>
          <w:p>
            <w:pPr>
              <w:jc w:val="right"/>
              <w:spacing w:after="0"/>
              <w:rPr>
                <w:sz w:val="20"/>
                <w:szCs w:val="20"/>
                <w:color w:val="auto"/>
              </w:rPr>
            </w:pPr>
            <w:r>
              <w:rPr>
                <w:rFonts w:ascii="Arial" w:cs="Arial" w:eastAsia="Arial" w:hAnsi="Arial"/>
                <w:sz w:val="12"/>
                <w:szCs w:val="12"/>
                <w:color w:val="auto"/>
              </w:rPr>
              <w:t>233,572</w:t>
            </w:r>
          </w:p>
        </w:tc>
        <w:tc>
          <w:tcPr>
            <w:tcW w:w="220" w:type="dxa"/>
            <w:vAlign w:val="bottom"/>
            <w:tcBorders>
              <w:bottom w:val="single" w:sz="8" w:color="CFF0FC"/>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233,572</w:t>
            </w:r>
          </w:p>
        </w:tc>
        <w:tc>
          <w:tcPr>
            <w:tcW w:w="240" w:type="dxa"/>
            <w:vAlign w:val="bottom"/>
            <w:tcBorders>
              <w:bottom w:val="single" w:sz="8" w:color="CFF0FC"/>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235,908</w:t>
            </w:r>
          </w:p>
        </w:tc>
        <w:tc>
          <w:tcPr>
            <w:tcW w:w="10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220" w:type="dxa"/>
            <w:vAlign w:val="bottom"/>
            <w:shd w:val="clear" w:color="auto" w:fill="CFF0FC"/>
          </w:tcPr>
          <w:p>
            <w:pPr>
              <w:spacing w:after="0"/>
              <w:rPr>
                <w:sz w:val="20"/>
                <w:szCs w:val="20"/>
                <w:color w:val="auto"/>
              </w:rPr>
            </w:pPr>
            <w:r>
              <w:rPr>
                <w:rFonts w:ascii="Arial" w:cs="Arial" w:eastAsia="Arial" w:hAnsi="Arial"/>
                <w:sz w:val="12"/>
                <w:szCs w:val="12"/>
                <w:b w:val="1"/>
                <w:bCs w:val="1"/>
                <w:color w:val="auto"/>
              </w:rPr>
              <w:t>Total Second Lien Secured Debt</w:t>
            </w:r>
          </w:p>
        </w:tc>
        <w:tc>
          <w:tcPr>
            <w:tcW w:w="1000" w:type="dxa"/>
            <w:vAlign w:val="bottom"/>
            <w:shd w:val="clear" w:color="auto" w:fill="CFF0FC"/>
          </w:tcPr>
          <w:p>
            <w:pPr>
              <w:spacing w:after="0"/>
              <w:rPr>
                <w:sz w:val="12"/>
                <w:szCs w:val="12"/>
                <w:color w:val="auto"/>
              </w:rPr>
            </w:pPr>
          </w:p>
        </w:tc>
        <w:tc>
          <w:tcPr>
            <w:tcW w:w="2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60" w:type="dxa"/>
            <w:vAlign w:val="bottom"/>
            <w:gridSpan w:val="2"/>
            <w:shd w:val="clear" w:color="auto" w:fill="CFF0FC"/>
          </w:tcPr>
          <w:p>
            <w:pPr>
              <w:jc w:val="right"/>
              <w:ind w:right="140"/>
              <w:spacing w:after="0"/>
              <w:rPr>
                <w:sz w:val="20"/>
                <w:szCs w:val="20"/>
                <w:color w:val="auto"/>
              </w:rPr>
            </w:pPr>
            <w:r>
              <w:rPr>
                <w:rFonts w:ascii="Arial" w:cs="Arial" w:eastAsia="Arial" w:hAnsi="Arial"/>
                <w:sz w:val="12"/>
                <w:szCs w:val="12"/>
                <w:color w:val="auto"/>
              </w:rPr>
              <w:t>(PIK 4.00%)</w:t>
            </w:r>
          </w:p>
        </w:tc>
        <w:tc>
          <w:tcPr>
            <w:tcW w:w="6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5,547,697</w:t>
            </w:r>
          </w:p>
        </w:tc>
        <w:tc>
          <w:tcPr>
            <w:tcW w:w="2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5,550,033</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20" w:type="dxa"/>
            <w:vAlign w:val="bottom"/>
          </w:tcPr>
          <w:p>
            <w:pPr>
              <w:spacing w:after="0" w:line="149" w:lineRule="exact"/>
              <w:rPr>
                <w:sz w:val="20"/>
                <w:szCs w:val="20"/>
                <w:color w:val="auto"/>
              </w:rPr>
            </w:pPr>
            <w:r>
              <w:rPr>
                <w:rFonts w:ascii="Arial" w:cs="Arial" w:eastAsia="Arial" w:hAnsi="Arial"/>
                <w:sz w:val="11"/>
                <w:szCs w:val="11"/>
                <w:b w:val="1"/>
                <w:bCs w:val="1"/>
                <w:color w:val="auto"/>
              </w:rPr>
              <w:t xml:space="preserve">Preferred Equity—0.2% </w:t>
            </w:r>
            <w:r>
              <w:rPr>
                <w:rFonts w:ascii="Arial" w:cs="Arial" w:eastAsia="Arial" w:hAnsi="Arial"/>
                <w:sz w:val="17"/>
                <w:szCs w:val="17"/>
                <w:b w:val="1"/>
                <w:bCs w:val="1"/>
                <w:color w:val="auto"/>
                <w:vertAlign w:val="superscript"/>
              </w:rPr>
              <w:t>(6)</w:t>
            </w:r>
          </w:p>
        </w:tc>
        <w:tc>
          <w:tcPr>
            <w:tcW w:w="100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20" w:type="dxa"/>
            <w:vAlign w:val="bottom"/>
            <w:shd w:val="clear" w:color="auto" w:fill="CFF0FC"/>
          </w:tcPr>
          <w:p>
            <w:pPr>
              <w:spacing w:after="0" w:line="149" w:lineRule="exact"/>
              <w:rPr>
                <w:sz w:val="20"/>
                <w:szCs w:val="20"/>
                <w:color w:val="auto"/>
              </w:rPr>
            </w:pPr>
            <w:r>
              <w:rPr>
                <w:rFonts w:ascii="Arial" w:cs="Arial" w:eastAsia="Arial" w:hAnsi="Arial"/>
                <w:sz w:val="11"/>
                <w:szCs w:val="11"/>
                <w:color w:val="auto"/>
              </w:rPr>
              <w:t xml:space="preserve">Quick Weight Loss Centers Holdings, LLC </w:t>
            </w:r>
            <w:r>
              <w:rPr>
                <w:rFonts w:ascii="Arial" w:cs="Arial" w:eastAsia="Arial" w:hAnsi="Arial"/>
                <w:sz w:val="17"/>
                <w:szCs w:val="17"/>
                <w:color w:val="auto"/>
                <w:vertAlign w:val="superscript"/>
              </w:rPr>
              <w:t>(7), (8)</w:t>
            </w:r>
          </w:p>
        </w:tc>
        <w:tc>
          <w:tcPr>
            <w:tcW w:w="1000" w:type="dxa"/>
            <w:vAlign w:val="bottom"/>
            <w:shd w:val="clear" w:color="auto" w:fill="CFF0FC"/>
          </w:tcPr>
          <w:p>
            <w:pPr>
              <w:ind w:left="380"/>
              <w:spacing w:after="0"/>
              <w:rPr>
                <w:sz w:val="20"/>
                <w:szCs w:val="20"/>
                <w:color w:val="auto"/>
              </w:rPr>
            </w:pPr>
            <w:r>
              <w:rPr>
                <w:rFonts w:ascii="Arial" w:cs="Arial" w:eastAsia="Arial" w:hAnsi="Arial"/>
                <w:sz w:val="12"/>
                <w:szCs w:val="12"/>
                <w:color w:val="auto"/>
              </w:rPr>
              <w:t>—</w:t>
            </w:r>
          </w:p>
        </w:tc>
        <w:tc>
          <w:tcPr>
            <w:tcW w:w="2280" w:type="dxa"/>
            <w:vAlign w:val="bottom"/>
            <w:gridSpan w:val="2"/>
            <w:shd w:val="clear" w:color="auto" w:fill="CFF0FC"/>
          </w:tcPr>
          <w:p>
            <w:pPr>
              <w:jc w:val="center"/>
              <w:ind w:right="240"/>
              <w:spacing w:after="0"/>
              <w:rPr>
                <w:sz w:val="20"/>
                <w:szCs w:val="20"/>
                <w:color w:val="auto"/>
              </w:rPr>
            </w:pPr>
            <w:r>
              <w:rPr>
                <w:rFonts w:ascii="Arial" w:cs="Arial" w:eastAsia="Arial" w:hAnsi="Arial"/>
                <w:sz w:val="12"/>
                <w:szCs w:val="12"/>
                <w:color w:val="auto"/>
                <w:w w:val="85"/>
              </w:rPr>
              <w:t>Beverage, Food and Tobacco</w:t>
            </w:r>
          </w:p>
        </w:tc>
        <w:tc>
          <w:tcPr>
            <w:tcW w:w="960" w:type="dxa"/>
            <w:vAlign w:val="bottom"/>
            <w:gridSpan w:val="2"/>
            <w:shd w:val="clear" w:color="auto" w:fill="CFF0FC"/>
          </w:tcPr>
          <w:p>
            <w:pPr>
              <w:jc w:val="right"/>
              <w:ind w:right="300"/>
              <w:spacing w:after="0"/>
              <w:rPr>
                <w:sz w:val="20"/>
                <w:szCs w:val="20"/>
                <w:color w:val="auto"/>
              </w:rPr>
            </w:pPr>
            <w:r>
              <w:rPr>
                <w:rFonts w:ascii="Arial" w:cs="Arial" w:eastAsia="Arial" w:hAnsi="Arial"/>
                <w:sz w:val="12"/>
                <w:szCs w:val="12"/>
                <w:color w:val="auto"/>
              </w:rPr>
              <w:t>—</w:t>
            </w:r>
          </w:p>
        </w:tc>
        <w:tc>
          <w:tcPr>
            <w:tcW w:w="900" w:type="dxa"/>
            <w:vAlign w:val="bottom"/>
            <w:gridSpan w:val="2"/>
            <w:shd w:val="clear" w:color="auto" w:fill="CFF0FC"/>
          </w:tcPr>
          <w:p>
            <w:pPr>
              <w:jc w:val="right"/>
              <w:ind w:right="240"/>
              <w:spacing w:after="0"/>
              <w:rPr>
                <w:sz w:val="20"/>
                <w:szCs w:val="20"/>
                <w:color w:val="auto"/>
              </w:rPr>
            </w:pPr>
            <w:r>
              <w:rPr>
                <w:rFonts w:ascii="Arial" w:cs="Arial" w:eastAsia="Arial" w:hAnsi="Arial"/>
                <w:sz w:val="12"/>
                <w:szCs w:val="12"/>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9,568,216</w:t>
            </w:r>
          </w:p>
        </w:tc>
        <w:tc>
          <w:tcPr>
            <w:tcW w:w="220" w:type="dxa"/>
            <w:vAlign w:val="bottom"/>
            <w:shd w:val="clear" w:color="auto" w:fill="CFF0FC"/>
          </w:tcPr>
          <w:p>
            <w:pPr>
              <w:spacing w:after="0"/>
              <w:rPr>
                <w:sz w:val="12"/>
                <w:szCs w:val="12"/>
                <w:color w:val="auto"/>
              </w:rPr>
            </w:pPr>
          </w:p>
        </w:tc>
        <w:tc>
          <w:tcPr>
            <w:tcW w:w="100" w:type="dxa"/>
            <w:vAlign w:val="bottom"/>
            <w:tcBorders>
              <w:bottom w:val="single" w:sz="8" w:color="auto"/>
            </w:tcBorders>
            <w:shd w:val="clear" w:color="auto" w:fill="CFF0FC"/>
          </w:tcPr>
          <w:p>
            <w:pPr>
              <w:spacing w:after="0"/>
              <w:rPr>
                <w:sz w:val="12"/>
                <w:szCs w:val="12"/>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842,352</w:t>
            </w:r>
          </w:p>
        </w:tc>
        <w:tc>
          <w:tcPr>
            <w:tcW w:w="240" w:type="dxa"/>
            <w:vAlign w:val="bottom"/>
            <w:shd w:val="clear" w:color="auto" w:fill="CFF0FC"/>
          </w:tcPr>
          <w:p>
            <w:pPr>
              <w:spacing w:after="0"/>
              <w:rPr>
                <w:sz w:val="12"/>
                <w:szCs w:val="12"/>
                <w:color w:val="auto"/>
              </w:rPr>
            </w:pPr>
          </w:p>
        </w:tc>
        <w:tc>
          <w:tcPr>
            <w:tcW w:w="60" w:type="dxa"/>
            <w:vAlign w:val="bottom"/>
            <w:tcBorders>
              <w:bottom w:val="single" w:sz="8" w:color="auto"/>
            </w:tcBorders>
            <w:shd w:val="clear" w:color="auto" w:fill="CFF0FC"/>
          </w:tcPr>
          <w:p>
            <w:pPr>
              <w:spacing w:after="0"/>
              <w:rPr>
                <w:sz w:val="12"/>
                <w:szCs w:val="12"/>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891,816</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220" w:type="dxa"/>
            <w:vAlign w:val="bottom"/>
          </w:tcPr>
          <w:p>
            <w:pPr>
              <w:spacing w:after="0"/>
              <w:rPr>
                <w:sz w:val="20"/>
                <w:szCs w:val="20"/>
                <w:color w:val="auto"/>
              </w:rPr>
            </w:pPr>
            <w:r>
              <w:rPr>
                <w:rFonts w:ascii="Arial" w:cs="Arial" w:eastAsia="Arial" w:hAnsi="Arial"/>
                <w:sz w:val="12"/>
                <w:szCs w:val="12"/>
                <w:b w:val="1"/>
                <w:bCs w:val="1"/>
                <w:color w:val="auto"/>
              </w:rPr>
              <w:t>Total Preferred Equity</w:t>
            </w:r>
          </w:p>
        </w:tc>
        <w:tc>
          <w:tcPr>
            <w:tcW w:w="100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842,352</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891,816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20" w:type="dxa"/>
            <w:vAlign w:val="bottom"/>
            <w:shd w:val="clear" w:color="auto" w:fill="CFF0FC"/>
          </w:tcPr>
          <w:p>
            <w:pPr>
              <w:spacing w:after="0" w:line="149" w:lineRule="exact"/>
              <w:rPr>
                <w:sz w:val="20"/>
                <w:szCs w:val="20"/>
                <w:color w:val="auto"/>
              </w:rPr>
            </w:pPr>
            <w:r>
              <w:rPr>
                <w:rFonts w:ascii="Arial" w:cs="Arial" w:eastAsia="Arial" w:hAnsi="Arial"/>
                <w:sz w:val="11"/>
                <w:szCs w:val="11"/>
                <w:b w:val="1"/>
                <w:bCs w:val="1"/>
                <w:color w:val="auto"/>
              </w:rPr>
              <w:t xml:space="preserve">Common Equity/Warrants—1.9% </w:t>
            </w:r>
            <w:r>
              <w:rPr>
                <w:rFonts w:ascii="Arial" w:cs="Arial" w:eastAsia="Arial" w:hAnsi="Arial"/>
                <w:sz w:val="17"/>
                <w:szCs w:val="17"/>
                <w:b w:val="1"/>
                <w:bCs w:val="1"/>
                <w:color w:val="auto"/>
                <w:vertAlign w:val="superscript"/>
              </w:rPr>
              <w:t>(6)</w:t>
            </w:r>
          </w:p>
        </w:tc>
        <w:tc>
          <w:tcPr>
            <w:tcW w:w="1000" w:type="dxa"/>
            <w:vAlign w:val="bottom"/>
            <w:shd w:val="clear" w:color="auto" w:fill="CFF0FC"/>
          </w:tcPr>
          <w:p>
            <w:pPr>
              <w:spacing w:after="0"/>
              <w:rPr>
                <w:sz w:val="12"/>
                <w:szCs w:val="12"/>
                <w:color w:val="auto"/>
              </w:rPr>
            </w:pPr>
          </w:p>
        </w:tc>
        <w:tc>
          <w:tcPr>
            <w:tcW w:w="2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20" w:type="dxa"/>
            <w:vAlign w:val="bottom"/>
          </w:tcPr>
          <w:p>
            <w:pPr>
              <w:spacing w:after="0" w:line="149" w:lineRule="exact"/>
              <w:rPr>
                <w:sz w:val="20"/>
                <w:szCs w:val="20"/>
                <w:color w:val="auto"/>
              </w:rPr>
            </w:pPr>
            <w:r>
              <w:rPr>
                <w:rFonts w:ascii="Arial" w:cs="Arial" w:eastAsia="Arial" w:hAnsi="Arial"/>
                <w:sz w:val="11"/>
                <w:szCs w:val="11"/>
                <w:color w:val="auto"/>
              </w:rPr>
              <w:t xml:space="preserve">Country Fresh Holding Company Inc. </w:t>
            </w:r>
            <w:r>
              <w:rPr>
                <w:rFonts w:ascii="Arial" w:cs="Arial" w:eastAsia="Arial" w:hAnsi="Arial"/>
                <w:sz w:val="17"/>
                <w:szCs w:val="17"/>
                <w:color w:val="auto"/>
                <w:vertAlign w:val="superscript"/>
              </w:rPr>
              <w:t>(7)</w:t>
            </w:r>
          </w:p>
        </w:tc>
        <w:tc>
          <w:tcPr>
            <w:tcW w:w="1000" w:type="dxa"/>
            <w:vAlign w:val="bottom"/>
          </w:tcPr>
          <w:p>
            <w:pPr>
              <w:ind w:left="380"/>
              <w:spacing w:after="0"/>
              <w:rPr>
                <w:sz w:val="20"/>
                <w:szCs w:val="20"/>
                <w:color w:val="auto"/>
              </w:rPr>
            </w:pPr>
            <w:r>
              <w:rPr>
                <w:rFonts w:ascii="Arial" w:cs="Arial" w:eastAsia="Arial" w:hAnsi="Arial"/>
                <w:sz w:val="12"/>
                <w:szCs w:val="12"/>
                <w:color w:val="auto"/>
              </w:rPr>
              <w:t>—</w:t>
            </w:r>
          </w:p>
        </w:tc>
        <w:tc>
          <w:tcPr>
            <w:tcW w:w="2280" w:type="dxa"/>
            <w:vAlign w:val="bottom"/>
            <w:gridSpan w:val="2"/>
          </w:tcPr>
          <w:p>
            <w:pPr>
              <w:jc w:val="center"/>
              <w:ind w:right="240"/>
              <w:spacing w:after="0"/>
              <w:rPr>
                <w:sz w:val="20"/>
                <w:szCs w:val="20"/>
                <w:color w:val="auto"/>
              </w:rPr>
            </w:pPr>
            <w:r>
              <w:rPr>
                <w:rFonts w:ascii="Arial" w:cs="Arial" w:eastAsia="Arial" w:hAnsi="Arial"/>
                <w:sz w:val="12"/>
                <w:szCs w:val="12"/>
                <w:color w:val="auto"/>
                <w:w w:val="85"/>
              </w:rPr>
              <w:t>Beverage, Food and Tobacco</w:t>
            </w:r>
          </w:p>
        </w:tc>
        <w:tc>
          <w:tcPr>
            <w:tcW w:w="96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9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720" w:type="dxa"/>
            <w:vAlign w:val="bottom"/>
          </w:tcPr>
          <w:p>
            <w:pPr>
              <w:jc w:val="right"/>
              <w:spacing w:after="0"/>
              <w:rPr>
                <w:sz w:val="20"/>
                <w:szCs w:val="20"/>
                <w:color w:val="auto"/>
              </w:rPr>
            </w:pPr>
            <w:r>
              <w:rPr>
                <w:rFonts w:ascii="Arial" w:cs="Arial" w:eastAsia="Arial" w:hAnsi="Arial"/>
                <w:sz w:val="12"/>
                <w:szCs w:val="12"/>
                <w:color w:val="auto"/>
              </w:rPr>
              <w:t>8,034</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10,453,350</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6,864,302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20" w:type="dxa"/>
            <w:vAlign w:val="bottom"/>
            <w:shd w:val="clear" w:color="auto" w:fill="CFF0FC"/>
          </w:tcPr>
          <w:p>
            <w:pPr>
              <w:spacing w:after="0" w:line="149" w:lineRule="exact"/>
              <w:rPr>
                <w:sz w:val="20"/>
                <w:szCs w:val="20"/>
                <w:color w:val="auto"/>
              </w:rPr>
            </w:pPr>
            <w:r>
              <w:rPr>
                <w:rFonts w:ascii="Arial" w:cs="Arial" w:eastAsia="Arial" w:hAnsi="Arial"/>
                <w:sz w:val="11"/>
                <w:szCs w:val="11"/>
                <w:color w:val="auto"/>
              </w:rPr>
              <w:t xml:space="preserve">Quick Weight Loss Centers, LLC </w:t>
            </w:r>
            <w:r>
              <w:rPr>
                <w:rFonts w:ascii="Arial" w:cs="Arial" w:eastAsia="Arial" w:hAnsi="Arial"/>
                <w:sz w:val="17"/>
                <w:szCs w:val="17"/>
                <w:color w:val="auto"/>
                <w:vertAlign w:val="superscript"/>
              </w:rPr>
              <w:t>(7), (8)</w:t>
            </w:r>
          </w:p>
        </w:tc>
        <w:tc>
          <w:tcPr>
            <w:tcW w:w="1000" w:type="dxa"/>
            <w:vAlign w:val="bottom"/>
            <w:shd w:val="clear" w:color="auto" w:fill="CFF0FC"/>
          </w:tcPr>
          <w:p>
            <w:pPr>
              <w:ind w:left="380"/>
              <w:spacing w:after="0"/>
              <w:rPr>
                <w:sz w:val="20"/>
                <w:szCs w:val="20"/>
                <w:color w:val="auto"/>
              </w:rPr>
            </w:pPr>
            <w:r>
              <w:rPr>
                <w:rFonts w:ascii="Arial" w:cs="Arial" w:eastAsia="Arial" w:hAnsi="Arial"/>
                <w:sz w:val="12"/>
                <w:szCs w:val="12"/>
                <w:color w:val="auto"/>
              </w:rPr>
              <w:t>—</w:t>
            </w:r>
          </w:p>
        </w:tc>
        <w:tc>
          <w:tcPr>
            <w:tcW w:w="2280" w:type="dxa"/>
            <w:vAlign w:val="bottom"/>
            <w:gridSpan w:val="2"/>
            <w:shd w:val="clear" w:color="auto" w:fill="CFF0FC"/>
          </w:tcPr>
          <w:p>
            <w:pPr>
              <w:jc w:val="center"/>
              <w:ind w:right="240"/>
              <w:spacing w:after="0"/>
              <w:rPr>
                <w:sz w:val="20"/>
                <w:szCs w:val="20"/>
                <w:color w:val="auto"/>
              </w:rPr>
            </w:pPr>
            <w:r>
              <w:rPr>
                <w:rFonts w:ascii="Arial" w:cs="Arial" w:eastAsia="Arial" w:hAnsi="Arial"/>
                <w:sz w:val="12"/>
                <w:szCs w:val="12"/>
                <w:color w:val="auto"/>
                <w:w w:val="85"/>
              </w:rPr>
              <w:t>Beverage, Food and Tobacco</w:t>
            </w:r>
          </w:p>
        </w:tc>
        <w:tc>
          <w:tcPr>
            <w:tcW w:w="960" w:type="dxa"/>
            <w:vAlign w:val="bottom"/>
            <w:gridSpan w:val="2"/>
            <w:shd w:val="clear" w:color="auto" w:fill="CFF0FC"/>
          </w:tcPr>
          <w:p>
            <w:pPr>
              <w:jc w:val="right"/>
              <w:ind w:right="300"/>
              <w:spacing w:after="0"/>
              <w:rPr>
                <w:sz w:val="20"/>
                <w:szCs w:val="20"/>
                <w:color w:val="auto"/>
              </w:rPr>
            </w:pPr>
            <w:r>
              <w:rPr>
                <w:rFonts w:ascii="Arial" w:cs="Arial" w:eastAsia="Arial" w:hAnsi="Arial"/>
                <w:sz w:val="12"/>
                <w:szCs w:val="12"/>
                <w:color w:val="auto"/>
              </w:rPr>
              <w:t>—</w:t>
            </w:r>
          </w:p>
        </w:tc>
        <w:tc>
          <w:tcPr>
            <w:tcW w:w="900" w:type="dxa"/>
            <w:vAlign w:val="bottom"/>
            <w:gridSpan w:val="2"/>
            <w:shd w:val="clear" w:color="auto" w:fill="CFF0FC"/>
          </w:tcPr>
          <w:p>
            <w:pPr>
              <w:jc w:val="right"/>
              <w:ind w:right="240"/>
              <w:spacing w:after="0"/>
              <w:rPr>
                <w:sz w:val="20"/>
                <w:szCs w:val="20"/>
                <w:color w:val="auto"/>
              </w:rPr>
            </w:pPr>
            <w:r>
              <w:rPr>
                <w:rFonts w:ascii="Arial" w:cs="Arial" w:eastAsia="Arial" w:hAnsi="Arial"/>
                <w:sz w:val="12"/>
                <w:szCs w:val="12"/>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60</w:t>
            </w:r>
          </w:p>
        </w:tc>
        <w:tc>
          <w:tcPr>
            <w:tcW w:w="220" w:type="dxa"/>
            <w:vAlign w:val="bottom"/>
            <w:shd w:val="clear" w:color="auto" w:fill="CFF0FC"/>
          </w:tcPr>
          <w:p>
            <w:pPr>
              <w:spacing w:after="0"/>
              <w:rPr>
                <w:sz w:val="12"/>
                <w:szCs w:val="12"/>
                <w:color w:val="auto"/>
              </w:rPr>
            </w:pPr>
          </w:p>
        </w:tc>
        <w:tc>
          <w:tcPr>
            <w:tcW w:w="100" w:type="dxa"/>
            <w:vAlign w:val="bottom"/>
            <w:tcBorders>
              <w:bottom w:val="single" w:sz="8" w:color="auto"/>
            </w:tcBorders>
            <w:shd w:val="clear" w:color="auto" w:fill="CFF0FC"/>
          </w:tcPr>
          <w:p>
            <w:pPr>
              <w:spacing w:after="0"/>
              <w:rPr>
                <w:sz w:val="12"/>
                <w:szCs w:val="12"/>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2,520,000</w:t>
            </w:r>
          </w:p>
        </w:tc>
        <w:tc>
          <w:tcPr>
            <w:tcW w:w="240" w:type="dxa"/>
            <w:vAlign w:val="bottom"/>
            <w:shd w:val="clear" w:color="auto" w:fill="CFF0FC"/>
          </w:tcPr>
          <w:p>
            <w:pPr>
              <w:spacing w:after="0"/>
              <w:rPr>
                <w:sz w:val="12"/>
                <w:szCs w:val="12"/>
                <w:color w:val="auto"/>
              </w:rPr>
            </w:pPr>
          </w:p>
        </w:tc>
        <w:tc>
          <w:tcPr>
            <w:tcW w:w="60" w:type="dxa"/>
            <w:vAlign w:val="bottom"/>
            <w:tcBorders>
              <w:bottom w:val="single" w:sz="8" w:color="auto"/>
            </w:tcBorders>
            <w:shd w:val="clear" w:color="auto" w:fill="CFF0FC"/>
          </w:tcPr>
          <w:p>
            <w:pPr>
              <w:spacing w:after="0"/>
              <w:rPr>
                <w:sz w:val="12"/>
                <w:szCs w:val="12"/>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2,774,382</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220" w:type="dxa"/>
            <w:vAlign w:val="bottom"/>
            <w:tcBorders>
              <w:bottom w:val="single" w:sz="8" w:color="CFF0FC"/>
            </w:tcBorders>
          </w:tcPr>
          <w:p>
            <w:pPr>
              <w:spacing w:after="0"/>
              <w:rPr>
                <w:sz w:val="20"/>
                <w:szCs w:val="20"/>
                <w:color w:val="auto"/>
              </w:rPr>
            </w:pPr>
            <w:r>
              <w:rPr>
                <w:rFonts w:ascii="Arial" w:cs="Arial" w:eastAsia="Arial" w:hAnsi="Arial"/>
                <w:sz w:val="12"/>
                <w:szCs w:val="12"/>
                <w:b w:val="1"/>
                <w:bCs w:val="1"/>
                <w:color w:val="auto"/>
              </w:rPr>
              <w:t>Total Common Equity/Warrants</w:t>
            </w:r>
          </w:p>
        </w:tc>
        <w:tc>
          <w:tcPr>
            <w:tcW w:w="1000" w:type="dxa"/>
            <w:vAlign w:val="bottom"/>
            <w:tcBorders>
              <w:bottom w:val="single" w:sz="8" w:color="CFF0FC"/>
            </w:tcBorders>
          </w:tcPr>
          <w:p>
            <w:pPr>
              <w:spacing w:after="0"/>
              <w:rPr>
                <w:sz w:val="12"/>
                <w:szCs w:val="12"/>
                <w:color w:val="auto"/>
              </w:rPr>
            </w:pPr>
          </w:p>
        </w:tc>
        <w:tc>
          <w:tcPr>
            <w:tcW w:w="2160" w:type="dxa"/>
            <w:vAlign w:val="bottom"/>
            <w:tcBorders>
              <w:bottom w:val="single" w:sz="8" w:color="CFF0FC"/>
            </w:tcBorders>
          </w:tcPr>
          <w:p>
            <w:pPr>
              <w:spacing w:after="0"/>
              <w:rPr>
                <w:sz w:val="12"/>
                <w:szCs w:val="12"/>
                <w:color w:val="auto"/>
              </w:rPr>
            </w:pPr>
          </w:p>
        </w:tc>
        <w:tc>
          <w:tcPr>
            <w:tcW w:w="120" w:type="dxa"/>
            <w:vAlign w:val="bottom"/>
            <w:tcBorders>
              <w:bottom w:val="single" w:sz="8" w:color="CFF0FC"/>
            </w:tcBorders>
          </w:tcPr>
          <w:p>
            <w:pPr>
              <w:spacing w:after="0"/>
              <w:rPr>
                <w:sz w:val="12"/>
                <w:szCs w:val="12"/>
                <w:color w:val="auto"/>
              </w:rPr>
            </w:pPr>
          </w:p>
        </w:tc>
        <w:tc>
          <w:tcPr>
            <w:tcW w:w="680" w:type="dxa"/>
            <w:vAlign w:val="bottom"/>
            <w:tcBorders>
              <w:bottom w:val="single" w:sz="8" w:color="CFF0FC"/>
            </w:tcBorders>
          </w:tcPr>
          <w:p>
            <w:pPr>
              <w:spacing w:after="0"/>
              <w:rPr>
                <w:sz w:val="12"/>
                <w:szCs w:val="12"/>
                <w:color w:val="auto"/>
              </w:rPr>
            </w:pPr>
          </w:p>
        </w:tc>
        <w:tc>
          <w:tcPr>
            <w:tcW w:w="280" w:type="dxa"/>
            <w:vAlign w:val="bottom"/>
            <w:tcBorders>
              <w:bottom w:val="single" w:sz="8" w:color="CFF0FC"/>
            </w:tcBorders>
          </w:tcPr>
          <w:p>
            <w:pPr>
              <w:spacing w:after="0"/>
              <w:rPr>
                <w:sz w:val="12"/>
                <w:szCs w:val="12"/>
                <w:color w:val="auto"/>
              </w:rPr>
            </w:pPr>
          </w:p>
        </w:tc>
        <w:tc>
          <w:tcPr>
            <w:tcW w:w="680" w:type="dxa"/>
            <w:vAlign w:val="bottom"/>
            <w:tcBorders>
              <w:bottom w:val="single" w:sz="8" w:color="CFF0FC"/>
            </w:tcBorders>
          </w:tcPr>
          <w:p>
            <w:pPr>
              <w:spacing w:after="0"/>
              <w:rPr>
                <w:sz w:val="12"/>
                <w:szCs w:val="12"/>
                <w:color w:val="auto"/>
              </w:rPr>
            </w:pPr>
          </w:p>
        </w:tc>
        <w:tc>
          <w:tcPr>
            <w:tcW w:w="220" w:type="dxa"/>
            <w:vAlign w:val="bottom"/>
            <w:tcBorders>
              <w:bottom w:val="single" w:sz="8" w:color="CFF0FC"/>
            </w:tcBorders>
          </w:tcPr>
          <w:p>
            <w:pPr>
              <w:spacing w:after="0"/>
              <w:rPr>
                <w:sz w:val="12"/>
                <w:szCs w:val="12"/>
                <w:color w:val="auto"/>
              </w:rPr>
            </w:pPr>
          </w:p>
        </w:tc>
        <w:tc>
          <w:tcPr>
            <w:tcW w:w="720" w:type="dxa"/>
            <w:vAlign w:val="bottom"/>
            <w:tcBorders>
              <w:bottom w:val="single" w:sz="8" w:color="CFF0FC"/>
            </w:tcBorders>
          </w:tcPr>
          <w:p>
            <w:pPr>
              <w:spacing w:after="0"/>
              <w:rPr>
                <w:sz w:val="12"/>
                <w:szCs w:val="12"/>
                <w:color w:val="auto"/>
              </w:rPr>
            </w:pPr>
          </w:p>
        </w:tc>
        <w:tc>
          <w:tcPr>
            <w:tcW w:w="220" w:type="dxa"/>
            <w:vAlign w:val="bottom"/>
            <w:tcBorders>
              <w:bottom w:val="single" w:sz="8" w:color="CFF0FC"/>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12,973,350</w:t>
            </w:r>
          </w:p>
        </w:tc>
        <w:tc>
          <w:tcPr>
            <w:tcW w:w="240" w:type="dxa"/>
            <w:vAlign w:val="bottom"/>
            <w:tcBorders>
              <w:bottom w:val="single" w:sz="8" w:color="CFF0FC"/>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9,638,684</w:t>
            </w:r>
          </w:p>
        </w:tc>
        <w:tc>
          <w:tcPr>
            <w:tcW w:w="10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220" w:type="dxa"/>
            <w:vAlign w:val="bottom"/>
            <w:gridSpan w:val="2"/>
            <w:shd w:val="clear" w:color="auto" w:fill="CFF0FC"/>
          </w:tcPr>
          <w:p>
            <w:pPr>
              <w:spacing w:after="0"/>
              <w:rPr>
                <w:sz w:val="20"/>
                <w:szCs w:val="20"/>
                <w:color w:val="auto"/>
              </w:rPr>
            </w:pPr>
            <w:r>
              <w:rPr>
                <w:rFonts w:ascii="Arial" w:cs="Arial" w:eastAsia="Arial" w:hAnsi="Arial"/>
                <w:sz w:val="12"/>
                <w:szCs w:val="12"/>
                <w:b w:val="1"/>
                <w:bCs w:val="1"/>
                <w:color w:val="auto"/>
              </w:rPr>
              <w:t>Total Investments in Non-Controlled, Affiliated Portfolio Companies</w:t>
            </w:r>
          </w:p>
        </w:tc>
        <w:tc>
          <w:tcPr>
            <w:tcW w:w="2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tcBorders>
              <w:bottom w:val="single" w:sz="8" w:color="auto"/>
            </w:tcBorders>
            <w:shd w:val="clear" w:color="auto" w:fill="CFF0FC"/>
          </w:tcPr>
          <w:p>
            <w:pPr>
              <w:spacing w:after="0"/>
              <w:rPr>
                <w:sz w:val="12"/>
                <w:szCs w:val="12"/>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23,654,693</w:t>
            </w:r>
          </w:p>
        </w:tc>
        <w:tc>
          <w:tcPr>
            <w:tcW w:w="240" w:type="dxa"/>
            <w:vAlign w:val="bottom"/>
            <w:shd w:val="clear" w:color="auto" w:fill="CFF0FC"/>
          </w:tcPr>
          <w:p>
            <w:pPr>
              <w:spacing w:after="0"/>
              <w:rPr>
                <w:sz w:val="12"/>
                <w:szCs w:val="12"/>
                <w:color w:val="auto"/>
              </w:rPr>
            </w:pPr>
          </w:p>
        </w:tc>
        <w:tc>
          <w:tcPr>
            <w:tcW w:w="60" w:type="dxa"/>
            <w:vAlign w:val="bottom"/>
            <w:tcBorders>
              <w:bottom w:val="single" w:sz="8" w:color="auto"/>
            </w:tcBorders>
            <w:shd w:val="clear" w:color="auto" w:fill="CFF0FC"/>
          </w:tcPr>
          <w:p>
            <w:pPr>
              <w:spacing w:after="0"/>
              <w:rPr>
                <w:sz w:val="12"/>
                <w:szCs w:val="12"/>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20,430,565</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220" w:type="dxa"/>
            <w:vAlign w:val="bottom"/>
            <w:gridSpan w:val="2"/>
          </w:tcPr>
          <w:p>
            <w:pPr>
              <w:spacing w:after="0" w:line="142" w:lineRule="exact"/>
              <w:rPr>
                <w:sz w:val="20"/>
                <w:szCs w:val="20"/>
                <w:color w:val="auto"/>
              </w:rPr>
            </w:pPr>
            <w:r>
              <w:rPr>
                <w:rFonts w:ascii="Arial" w:cs="Arial" w:eastAsia="Arial" w:hAnsi="Arial"/>
                <w:sz w:val="10"/>
                <w:szCs w:val="10"/>
                <w:b w:val="1"/>
                <w:bCs w:val="1"/>
                <w:color w:val="auto"/>
              </w:rPr>
              <w:t xml:space="preserve">Investments in Controlled, Affiliated Portfolio Companies—34.2% </w:t>
            </w:r>
            <w:r>
              <w:rPr>
                <w:rFonts w:ascii="Arial" w:cs="Arial" w:eastAsia="Arial" w:hAnsi="Arial"/>
                <w:sz w:val="16"/>
                <w:szCs w:val="16"/>
                <w:b w:val="1"/>
                <w:bCs w:val="1"/>
                <w:color w:val="auto"/>
                <w:vertAlign w:val="superscript"/>
              </w:rPr>
              <w:t>(3), (4)</w:t>
            </w:r>
          </w:p>
        </w:tc>
        <w:tc>
          <w:tcPr>
            <w:tcW w:w="2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20" w:type="dxa"/>
            <w:vAlign w:val="bottom"/>
            <w:shd w:val="clear" w:color="auto" w:fill="CFF0FC"/>
          </w:tcPr>
          <w:p>
            <w:pPr>
              <w:spacing w:after="0"/>
              <w:rPr>
                <w:sz w:val="20"/>
                <w:szCs w:val="20"/>
                <w:color w:val="auto"/>
              </w:rPr>
            </w:pPr>
            <w:r>
              <w:rPr>
                <w:rFonts w:ascii="Arial" w:cs="Arial" w:eastAsia="Arial" w:hAnsi="Arial"/>
                <w:sz w:val="12"/>
                <w:szCs w:val="12"/>
                <w:b w:val="1"/>
                <w:bCs w:val="1"/>
                <w:color w:val="auto"/>
              </w:rPr>
              <w:t>First Lien Secured Debt—24.3%</w:t>
            </w:r>
          </w:p>
        </w:tc>
        <w:tc>
          <w:tcPr>
            <w:tcW w:w="1000" w:type="dxa"/>
            <w:vAlign w:val="bottom"/>
            <w:shd w:val="clear" w:color="auto" w:fill="CFF0FC"/>
          </w:tcPr>
          <w:p>
            <w:pPr>
              <w:spacing w:after="0"/>
              <w:rPr>
                <w:sz w:val="12"/>
                <w:szCs w:val="12"/>
                <w:color w:val="auto"/>
              </w:rPr>
            </w:pPr>
          </w:p>
        </w:tc>
        <w:tc>
          <w:tcPr>
            <w:tcW w:w="2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20" w:type="dxa"/>
            <w:vAlign w:val="bottom"/>
            <w:tcBorders>
              <w:bottom w:val="single" w:sz="8" w:color="CFF0FC"/>
            </w:tcBorders>
          </w:tcPr>
          <w:p>
            <w:pPr>
              <w:spacing w:after="0" w:line="149" w:lineRule="exact"/>
              <w:rPr>
                <w:sz w:val="20"/>
                <w:szCs w:val="20"/>
                <w:color w:val="auto"/>
              </w:rPr>
            </w:pPr>
            <w:r>
              <w:rPr>
                <w:rFonts w:ascii="Arial" w:cs="Arial" w:eastAsia="Arial" w:hAnsi="Arial"/>
                <w:sz w:val="11"/>
                <w:szCs w:val="11"/>
                <w:color w:val="auto"/>
              </w:rPr>
              <w:t xml:space="preserve">PennantPark Senior Secured Loan Fund I LLC </w:t>
            </w:r>
            <w:r>
              <w:rPr>
                <w:rFonts w:ascii="Arial" w:cs="Arial" w:eastAsia="Arial" w:hAnsi="Arial"/>
                <w:sz w:val="17"/>
                <w:szCs w:val="17"/>
                <w:color w:val="auto"/>
                <w:vertAlign w:val="superscript"/>
              </w:rPr>
              <w:t>(7), (9), (10)</w:t>
            </w:r>
          </w:p>
        </w:tc>
        <w:tc>
          <w:tcPr>
            <w:tcW w:w="1000" w:type="dxa"/>
            <w:vAlign w:val="bottom"/>
            <w:tcBorders>
              <w:bottom w:val="single" w:sz="8" w:color="CFF0FC"/>
            </w:tcBorders>
          </w:tcPr>
          <w:p>
            <w:pPr>
              <w:jc w:val="center"/>
              <w:ind w:right="162"/>
              <w:spacing w:after="0"/>
              <w:rPr>
                <w:sz w:val="20"/>
                <w:szCs w:val="20"/>
                <w:color w:val="auto"/>
              </w:rPr>
            </w:pPr>
            <w:r>
              <w:rPr>
                <w:rFonts w:ascii="Arial" w:cs="Arial" w:eastAsia="Arial" w:hAnsi="Arial"/>
                <w:sz w:val="12"/>
                <w:szCs w:val="12"/>
                <w:color w:val="auto"/>
                <w:w w:val="89"/>
              </w:rPr>
              <w:t>05/06/2024</w:t>
            </w:r>
          </w:p>
        </w:tc>
        <w:tc>
          <w:tcPr>
            <w:tcW w:w="2280" w:type="dxa"/>
            <w:vAlign w:val="bottom"/>
            <w:tcBorders>
              <w:bottom w:val="single" w:sz="8" w:color="CFF0FC"/>
            </w:tcBorders>
            <w:gridSpan w:val="2"/>
          </w:tcPr>
          <w:p>
            <w:pPr>
              <w:jc w:val="center"/>
              <w:ind w:right="260"/>
              <w:spacing w:after="0"/>
              <w:rPr>
                <w:sz w:val="20"/>
                <w:szCs w:val="20"/>
                <w:color w:val="auto"/>
              </w:rPr>
            </w:pPr>
            <w:r>
              <w:rPr>
                <w:rFonts w:ascii="Arial" w:cs="Arial" w:eastAsia="Arial" w:hAnsi="Arial"/>
                <w:sz w:val="12"/>
                <w:szCs w:val="12"/>
                <w:color w:val="auto"/>
                <w:w w:val="88"/>
              </w:rPr>
              <w:t>Financial Services</w:t>
            </w:r>
          </w:p>
        </w:tc>
        <w:tc>
          <w:tcPr>
            <w:tcW w:w="960" w:type="dxa"/>
            <w:vAlign w:val="bottom"/>
            <w:tcBorders>
              <w:bottom w:val="single" w:sz="8" w:color="CFF0FC"/>
            </w:tcBorders>
            <w:gridSpan w:val="2"/>
          </w:tcPr>
          <w:p>
            <w:pPr>
              <w:jc w:val="right"/>
              <w:ind w:right="180"/>
              <w:spacing w:after="0"/>
              <w:rPr>
                <w:sz w:val="20"/>
                <w:szCs w:val="20"/>
                <w:color w:val="auto"/>
              </w:rPr>
            </w:pPr>
            <w:r>
              <w:rPr>
                <w:rFonts w:ascii="Arial" w:cs="Arial" w:eastAsia="Arial" w:hAnsi="Arial"/>
                <w:sz w:val="12"/>
                <w:szCs w:val="12"/>
                <w:color w:val="auto"/>
              </w:rPr>
              <w:t>10.10%</w:t>
            </w:r>
          </w:p>
        </w:tc>
        <w:tc>
          <w:tcPr>
            <w:tcW w:w="900" w:type="dxa"/>
            <w:vAlign w:val="bottom"/>
            <w:tcBorders>
              <w:bottom w:val="single" w:sz="8" w:color="CFF0FC"/>
            </w:tcBorders>
            <w:gridSpan w:val="2"/>
          </w:tcPr>
          <w:p>
            <w:pPr>
              <w:jc w:val="right"/>
              <w:ind w:right="240"/>
              <w:spacing w:after="0"/>
              <w:rPr>
                <w:sz w:val="20"/>
                <w:szCs w:val="20"/>
                <w:color w:val="auto"/>
              </w:rPr>
            </w:pPr>
            <w:r>
              <w:rPr>
                <w:rFonts w:ascii="Arial" w:cs="Arial" w:eastAsia="Arial" w:hAnsi="Arial"/>
                <w:sz w:val="12"/>
                <w:szCs w:val="12"/>
                <w:color w:val="auto"/>
              </w:rPr>
              <w:t>3M L+800</w:t>
            </w:r>
          </w:p>
        </w:tc>
        <w:tc>
          <w:tcPr>
            <w:tcW w:w="720" w:type="dxa"/>
            <w:vAlign w:val="bottom"/>
            <w:tcBorders>
              <w:bottom w:val="single" w:sz="8" w:color="CFF0FC"/>
            </w:tcBorders>
          </w:tcPr>
          <w:p>
            <w:pPr>
              <w:jc w:val="right"/>
              <w:spacing w:after="0"/>
              <w:rPr>
                <w:sz w:val="20"/>
                <w:szCs w:val="20"/>
                <w:color w:val="auto"/>
              </w:rPr>
            </w:pPr>
            <w:r>
              <w:rPr>
                <w:rFonts w:ascii="Arial" w:cs="Arial" w:eastAsia="Arial" w:hAnsi="Arial"/>
                <w:sz w:val="12"/>
                <w:szCs w:val="12"/>
                <w:color w:val="auto"/>
              </w:rPr>
              <w:t>122,193,750</w:t>
            </w:r>
          </w:p>
        </w:tc>
        <w:tc>
          <w:tcPr>
            <w:tcW w:w="220" w:type="dxa"/>
            <w:vAlign w:val="bottom"/>
            <w:tcBorders>
              <w:bottom w:val="single" w:sz="8" w:color="CFF0FC"/>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122,193,750</w:t>
            </w:r>
          </w:p>
        </w:tc>
        <w:tc>
          <w:tcPr>
            <w:tcW w:w="240" w:type="dxa"/>
            <w:vAlign w:val="bottom"/>
            <w:tcBorders>
              <w:bottom w:val="single" w:sz="8" w:color="CFF0FC"/>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122,193,750</w:t>
            </w:r>
          </w:p>
        </w:tc>
        <w:tc>
          <w:tcPr>
            <w:tcW w:w="10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220" w:type="dxa"/>
            <w:vAlign w:val="bottom"/>
            <w:shd w:val="clear" w:color="auto" w:fill="CFF0FC"/>
          </w:tcPr>
          <w:p>
            <w:pPr>
              <w:spacing w:after="0"/>
              <w:rPr>
                <w:sz w:val="20"/>
                <w:szCs w:val="20"/>
                <w:color w:val="auto"/>
              </w:rPr>
            </w:pPr>
            <w:r>
              <w:rPr>
                <w:rFonts w:ascii="Arial" w:cs="Arial" w:eastAsia="Arial" w:hAnsi="Arial"/>
                <w:sz w:val="12"/>
                <w:szCs w:val="12"/>
                <w:b w:val="1"/>
                <w:bCs w:val="1"/>
                <w:color w:val="auto"/>
              </w:rPr>
              <w:t>Total First Lien Secured Debt</w:t>
            </w:r>
          </w:p>
        </w:tc>
        <w:tc>
          <w:tcPr>
            <w:tcW w:w="1000" w:type="dxa"/>
            <w:vAlign w:val="bottom"/>
            <w:shd w:val="clear" w:color="auto" w:fill="CFF0FC"/>
          </w:tcPr>
          <w:p>
            <w:pPr>
              <w:spacing w:after="0"/>
              <w:rPr>
                <w:sz w:val="12"/>
                <w:szCs w:val="12"/>
                <w:color w:val="auto"/>
              </w:rPr>
            </w:pPr>
          </w:p>
        </w:tc>
        <w:tc>
          <w:tcPr>
            <w:tcW w:w="2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122,193,750</w:t>
            </w:r>
          </w:p>
        </w:tc>
        <w:tc>
          <w:tcPr>
            <w:tcW w:w="2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122,193,750</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20" w:type="dxa"/>
            <w:vAlign w:val="bottom"/>
          </w:tcPr>
          <w:p>
            <w:pPr>
              <w:spacing w:after="0"/>
              <w:rPr>
                <w:sz w:val="20"/>
                <w:szCs w:val="20"/>
                <w:color w:val="auto"/>
              </w:rPr>
            </w:pPr>
            <w:r>
              <w:rPr>
                <w:rFonts w:ascii="Arial" w:cs="Arial" w:eastAsia="Arial" w:hAnsi="Arial"/>
                <w:sz w:val="12"/>
                <w:szCs w:val="12"/>
                <w:b w:val="1"/>
                <w:bCs w:val="1"/>
                <w:color w:val="auto"/>
              </w:rPr>
              <w:t>Equity Interests—9.9%</w:t>
            </w:r>
          </w:p>
        </w:tc>
        <w:tc>
          <w:tcPr>
            <w:tcW w:w="100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20" w:type="dxa"/>
            <w:vAlign w:val="bottom"/>
            <w:shd w:val="clear" w:color="auto" w:fill="CFF0FC"/>
          </w:tcPr>
          <w:p>
            <w:pPr>
              <w:spacing w:after="0" w:line="149" w:lineRule="exact"/>
              <w:rPr>
                <w:sz w:val="20"/>
                <w:szCs w:val="20"/>
                <w:color w:val="auto"/>
              </w:rPr>
            </w:pPr>
            <w:r>
              <w:rPr>
                <w:rFonts w:ascii="Arial" w:cs="Arial" w:eastAsia="Arial" w:hAnsi="Arial"/>
                <w:sz w:val="11"/>
                <w:szCs w:val="11"/>
                <w:color w:val="auto"/>
              </w:rPr>
              <w:t xml:space="preserve">PennantPark Senior Secured Loan Fund I LLC </w:t>
            </w:r>
            <w:r>
              <w:rPr>
                <w:rFonts w:ascii="Arial" w:cs="Arial" w:eastAsia="Arial" w:hAnsi="Arial"/>
                <w:sz w:val="17"/>
                <w:szCs w:val="17"/>
                <w:color w:val="auto"/>
                <w:vertAlign w:val="superscript"/>
              </w:rPr>
              <w:t>(7), (9), (10)</w:t>
            </w:r>
          </w:p>
        </w:tc>
        <w:tc>
          <w:tcPr>
            <w:tcW w:w="1000" w:type="dxa"/>
            <w:vAlign w:val="bottom"/>
            <w:shd w:val="clear" w:color="auto" w:fill="CFF0FC"/>
          </w:tcPr>
          <w:p>
            <w:pPr>
              <w:ind w:left="380"/>
              <w:spacing w:after="0"/>
              <w:rPr>
                <w:sz w:val="20"/>
                <w:szCs w:val="20"/>
                <w:color w:val="auto"/>
              </w:rPr>
            </w:pPr>
            <w:r>
              <w:rPr>
                <w:rFonts w:ascii="Arial" w:cs="Arial" w:eastAsia="Arial" w:hAnsi="Arial"/>
                <w:sz w:val="12"/>
                <w:szCs w:val="12"/>
                <w:color w:val="auto"/>
              </w:rPr>
              <w:t>—</w:t>
            </w:r>
          </w:p>
        </w:tc>
        <w:tc>
          <w:tcPr>
            <w:tcW w:w="2280" w:type="dxa"/>
            <w:vAlign w:val="bottom"/>
            <w:gridSpan w:val="2"/>
            <w:shd w:val="clear" w:color="auto" w:fill="CFF0FC"/>
          </w:tcPr>
          <w:p>
            <w:pPr>
              <w:jc w:val="center"/>
              <w:ind w:right="260"/>
              <w:spacing w:after="0"/>
              <w:rPr>
                <w:sz w:val="20"/>
                <w:szCs w:val="20"/>
                <w:color w:val="auto"/>
              </w:rPr>
            </w:pPr>
            <w:r>
              <w:rPr>
                <w:rFonts w:ascii="Arial" w:cs="Arial" w:eastAsia="Arial" w:hAnsi="Arial"/>
                <w:sz w:val="12"/>
                <w:szCs w:val="12"/>
                <w:color w:val="auto"/>
                <w:w w:val="88"/>
              </w:rPr>
              <w:t>Financial Services</w:t>
            </w:r>
          </w:p>
        </w:tc>
        <w:tc>
          <w:tcPr>
            <w:tcW w:w="960" w:type="dxa"/>
            <w:vAlign w:val="bottom"/>
            <w:gridSpan w:val="2"/>
            <w:shd w:val="clear" w:color="auto" w:fill="CFF0FC"/>
          </w:tcPr>
          <w:p>
            <w:pPr>
              <w:jc w:val="right"/>
              <w:ind w:right="300"/>
              <w:spacing w:after="0"/>
              <w:rPr>
                <w:sz w:val="20"/>
                <w:szCs w:val="20"/>
                <w:color w:val="auto"/>
              </w:rPr>
            </w:pPr>
            <w:r>
              <w:rPr>
                <w:rFonts w:ascii="Arial" w:cs="Arial" w:eastAsia="Arial" w:hAnsi="Arial"/>
                <w:sz w:val="12"/>
                <w:szCs w:val="12"/>
                <w:color w:val="auto"/>
              </w:rPr>
              <w:t>—</w:t>
            </w:r>
          </w:p>
        </w:tc>
        <w:tc>
          <w:tcPr>
            <w:tcW w:w="900" w:type="dxa"/>
            <w:vAlign w:val="bottom"/>
            <w:gridSpan w:val="2"/>
            <w:shd w:val="clear" w:color="auto" w:fill="CFF0FC"/>
          </w:tcPr>
          <w:p>
            <w:pPr>
              <w:jc w:val="right"/>
              <w:ind w:right="240"/>
              <w:spacing w:after="0"/>
              <w:rPr>
                <w:sz w:val="20"/>
                <w:szCs w:val="20"/>
                <w:color w:val="auto"/>
              </w:rPr>
            </w:pPr>
            <w:r>
              <w:rPr>
                <w:rFonts w:ascii="Arial" w:cs="Arial" w:eastAsia="Arial" w:hAnsi="Arial"/>
                <w:sz w:val="12"/>
                <w:szCs w:val="12"/>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52,369</w:t>
            </w:r>
          </w:p>
        </w:tc>
        <w:tc>
          <w:tcPr>
            <w:tcW w:w="220" w:type="dxa"/>
            <w:vAlign w:val="bottom"/>
            <w:shd w:val="clear" w:color="auto" w:fill="CFF0FC"/>
          </w:tcPr>
          <w:p>
            <w:pPr>
              <w:spacing w:after="0"/>
              <w:rPr>
                <w:sz w:val="12"/>
                <w:szCs w:val="12"/>
                <w:color w:val="auto"/>
              </w:rPr>
            </w:pPr>
          </w:p>
        </w:tc>
        <w:tc>
          <w:tcPr>
            <w:tcW w:w="100" w:type="dxa"/>
            <w:vAlign w:val="bottom"/>
            <w:tcBorders>
              <w:bottom w:val="single" w:sz="8" w:color="auto"/>
            </w:tcBorders>
            <w:shd w:val="clear" w:color="auto" w:fill="CFF0FC"/>
          </w:tcPr>
          <w:p>
            <w:pPr>
              <w:spacing w:after="0"/>
              <w:rPr>
                <w:sz w:val="12"/>
                <w:szCs w:val="12"/>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52,368,750</w:t>
            </w:r>
          </w:p>
        </w:tc>
        <w:tc>
          <w:tcPr>
            <w:tcW w:w="240" w:type="dxa"/>
            <w:vAlign w:val="bottom"/>
            <w:shd w:val="clear" w:color="auto" w:fill="CFF0FC"/>
          </w:tcPr>
          <w:p>
            <w:pPr>
              <w:spacing w:after="0"/>
              <w:rPr>
                <w:sz w:val="12"/>
                <w:szCs w:val="12"/>
                <w:color w:val="auto"/>
              </w:rPr>
            </w:pPr>
          </w:p>
        </w:tc>
        <w:tc>
          <w:tcPr>
            <w:tcW w:w="60" w:type="dxa"/>
            <w:vAlign w:val="bottom"/>
            <w:tcBorders>
              <w:bottom w:val="single" w:sz="8" w:color="auto"/>
            </w:tcBorders>
            <w:shd w:val="clear" w:color="auto" w:fill="CFF0FC"/>
          </w:tcPr>
          <w:p>
            <w:pPr>
              <w:spacing w:after="0"/>
              <w:rPr>
                <w:sz w:val="12"/>
                <w:szCs w:val="12"/>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49,969,330</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220" w:type="dxa"/>
            <w:vAlign w:val="bottom"/>
            <w:tcBorders>
              <w:bottom w:val="single" w:sz="8" w:color="CFF0FC"/>
            </w:tcBorders>
          </w:tcPr>
          <w:p>
            <w:pPr>
              <w:spacing w:after="0"/>
              <w:rPr>
                <w:sz w:val="20"/>
                <w:szCs w:val="20"/>
                <w:color w:val="auto"/>
              </w:rPr>
            </w:pPr>
            <w:r>
              <w:rPr>
                <w:rFonts w:ascii="Arial" w:cs="Arial" w:eastAsia="Arial" w:hAnsi="Arial"/>
                <w:sz w:val="12"/>
                <w:szCs w:val="12"/>
                <w:b w:val="1"/>
                <w:bCs w:val="1"/>
                <w:color w:val="auto"/>
              </w:rPr>
              <w:t>Total Equity Interests</w:t>
            </w:r>
          </w:p>
        </w:tc>
        <w:tc>
          <w:tcPr>
            <w:tcW w:w="1000" w:type="dxa"/>
            <w:vAlign w:val="bottom"/>
            <w:tcBorders>
              <w:bottom w:val="single" w:sz="8" w:color="CFF0FC"/>
            </w:tcBorders>
          </w:tcPr>
          <w:p>
            <w:pPr>
              <w:spacing w:after="0"/>
              <w:rPr>
                <w:sz w:val="12"/>
                <w:szCs w:val="12"/>
                <w:color w:val="auto"/>
              </w:rPr>
            </w:pPr>
          </w:p>
        </w:tc>
        <w:tc>
          <w:tcPr>
            <w:tcW w:w="2160" w:type="dxa"/>
            <w:vAlign w:val="bottom"/>
            <w:tcBorders>
              <w:bottom w:val="single" w:sz="8" w:color="CFF0FC"/>
            </w:tcBorders>
          </w:tcPr>
          <w:p>
            <w:pPr>
              <w:spacing w:after="0"/>
              <w:rPr>
                <w:sz w:val="12"/>
                <w:szCs w:val="12"/>
                <w:color w:val="auto"/>
              </w:rPr>
            </w:pPr>
          </w:p>
        </w:tc>
        <w:tc>
          <w:tcPr>
            <w:tcW w:w="120" w:type="dxa"/>
            <w:vAlign w:val="bottom"/>
            <w:tcBorders>
              <w:bottom w:val="single" w:sz="8" w:color="CFF0FC"/>
            </w:tcBorders>
          </w:tcPr>
          <w:p>
            <w:pPr>
              <w:spacing w:after="0"/>
              <w:rPr>
                <w:sz w:val="12"/>
                <w:szCs w:val="12"/>
                <w:color w:val="auto"/>
              </w:rPr>
            </w:pPr>
          </w:p>
        </w:tc>
        <w:tc>
          <w:tcPr>
            <w:tcW w:w="680" w:type="dxa"/>
            <w:vAlign w:val="bottom"/>
            <w:tcBorders>
              <w:bottom w:val="single" w:sz="8" w:color="CFF0FC"/>
            </w:tcBorders>
          </w:tcPr>
          <w:p>
            <w:pPr>
              <w:spacing w:after="0"/>
              <w:rPr>
                <w:sz w:val="12"/>
                <w:szCs w:val="12"/>
                <w:color w:val="auto"/>
              </w:rPr>
            </w:pPr>
          </w:p>
        </w:tc>
        <w:tc>
          <w:tcPr>
            <w:tcW w:w="280" w:type="dxa"/>
            <w:vAlign w:val="bottom"/>
            <w:tcBorders>
              <w:bottom w:val="single" w:sz="8" w:color="CFF0FC"/>
            </w:tcBorders>
          </w:tcPr>
          <w:p>
            <w:pPr>
              <w:spacing w:after="0"/>
              <w:rPr>
                <w:sz w:val="12"/>
                <w:szCs w:val="12"/>
                <w:color w:val="auto"/>
              </w:rPr>
            </w:pPr>
          </w:p>
        </w:tc>
        <w:tc>
          <w:tcPr>
            <w:tcW w:w="680" w:type="dxa"/>
            <w:vAlign w:val="bottom"/>
            <w:tcBorders>
              <w:bottom w:val="single" w:sz="8" w:color="CFF0FC"/>
            </w:tcBorders>
          </w:tcPr>
          <w:p>
            <w:pPr>
              <w:spacing w:after="0"/>
              <w:rPr>
                <w:sz w:val="12"/>
                <w:szCs w:val="12"/>
                <w:color w:val="auto"/>
              </w:rPr>
            </w:pPr>
          </w:p>
        </w:tc>
        <w:tc>
          <w:tcPr>
            <w:tcW w:w="220" w:type="dxa"/>
            <w:vAlign w:val="bottom"/>
            <w:tcBorders>
              <w:bottom w:val="single" w:sz="8" w:color="CFF0FC"/>
            </w:tcBorders>
          </w:tcPr>
          <w:p>
            <w:pPr>
              <w:spacing w:after="0"/>
              <w:rPr>
                <w:sz w:val="12"/>
                <w:szCs w:val="12"/>
                <w:color w:val="auto"/>
              </w:rPr>
            </w:pPr>
          </w:p>
        </w:tc>
        <w:tc>
          <w:tcPr>
            <w:tcW w:w="720" w:type="dxa"/>
            <w:vAlign w:val="bottom"/>
            <w:tcBorders>
              <w:bottom w:val="single" w:sz="8" w:color="CFF0FC"/>
            </w:tcBorders>
          </w:tcPr>
          <w:p>
            <w:pPr>
              <w:spacing w:after="0"/>
              <w:rPr>
                <w:sz w:val="12"/>
                <w:szCs w:val="12"/>
                <w:color w:val="auto"/>
              </w:rPr>
            </w:pPr>
          </w:p>
        </w:tc>
        <w:tc>
          <w:tcPr>
            <w:tcW w:w="220" w:type="dxa"/>
            <w:vAlign w:val="bottom"/>
            <w:tcBorders>
              <w:bottom w:val="single" w:sz="8" w:color="CFF0FC"/>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52,368,750</w:t>
            </w:r>
          </w:p>
        </w:tc>
        <w:tc>
          <w:tcPr>
            <w:tcW w:w="240" w:type="dxa"/>
            <w:vAlign w:val="bottom"/>
            <w:tcBorders>
              <w:bottom w:val="single" w:sz="8" w:color="CFF0FC"/>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49,969,330</w:t>
            </w:r>
          </w:p>
        </w:tc>
        <w:tc>
          <w:tcPr>
            <w:tcW w:w="10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220" w:type="dxa"/>
            <w:vAlign w:val="bottom"/>
            <w:shd w:val="clear" w:color="auto" w:fill="CFF0FC"/>
          </w:tcPr>
          <w:p>
            <w:pPr>
              <w:spacing w:after="0"/>
              <w:rPr>
                <w:sz w:val="20"/>
                <w:szCs w:val="20"/>
                <w:color w:val="auto"/>
              </w:rPr>
            </w:pPr>
            <w:r>
              <w:rPr>
                <w:rFonts w:ascii="Arial" w:cs="Arial" w:eastAsia="Arial" w:hAnsi="Arial"/>
                <w:sz w:val="12"/>
                <w:szCs w:val="12"/>
                <w:b w:val="1"/>
                <w:bCs w:val="1"/>
                <w:color w:val="auto"/>
                <w:w w:val="89"/>
              </w:rPr>
              <w:t>Total Investments in Controlled, Affiliated Portfolio Companies</w:t>
            </w:r>
          </w:p>
        </w:tc>
        <w:tc>
          <w:tcPr>
            <w:tcW w:w="1000" w:type="dxa"/>
            <w:vAlign w:val="bottom"/>
            <w:shd w:val="clear" w:color="auto" w:fill="CFF0FC"/>
          </w:tcPr>
          <w:p>
            <w:pPr>
              <w:spacing w:after="0"/>
              <w:rPr>
                <w:sz w:val="12"/>
                <w:szCs w:val="12"/>
                <w:color w:val="auto"/>
              </w:rPr>
            </w:pPr>
          </w:p>
        </w:tc>
        <w:tc>
          <w:tcPr>
            <w:tcW w:w="2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tcBorders>
              <w:bottom w:val="single" w:sz="8" w:color="auto"/>
            </w:tcBorders>
            <w:shd w:val="clear" w:color="auto" w:fill="CFF0FC"/>
          </w:tcPr>
          <w:p>
            <w:pPr>
              <w:spacing w:after="0"/>
              <w:rPr>
                <w:sz w:val="12"/>
                <w:szCs w:val="12"/>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174,562,500</w:t>
            </w:r>
          </w:p>
        </w:tc>
        <w:tc>
          <w:tcPr>
            <w:tcW w:w="240" w:type="dxa"/>
            <w:vAlign w:val="bottom"/>
            <w:shd w:val="clear" w:color="auto" w:fill="CFF0FC"/>
          </w:tcPr>
          <w:p>
            <w:pPr>
              <w:spacing w:after="0"/>
              <w:rPr>
                <w:sz w:val="12"/>
                <w:szCs w:val="12"/>
                <w:color w:val="auto"/>
              </w:rPr>
            </w:pPr>
          </w:p>
        </w:tc>
        <w:tc>
          <w:tcPr>
            <w:tcW w:w="60" w:type="dxa"/>
            <w:vAlign w:val="bottom"/>
            <w:tcBorders>
              <w:bottom w:val="single" w:sz="8" w:color="auto"/>
            </w:tcBorders>
            <w:shd w:val="clear" w:color="auto" w:fill="CFF0FC"/>
          </w:tcPr>
          <w:p>
            <w:pPr>
              <w:spacing w:after="0"/>
              <w:rPr>
                <w:sz w:val="12"/>
                <w:szCs w:val="12"/>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172,163,080</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220" w:type="dxa"/>
            <w:vAlign w:val="bottom"/>
            <w:tcBorders>
              <w:bottom w:val="single" w:sz="8" w:color="CFF0FC"/>
            </w:tcBorders>
          </w:tcPr>
          <w:p>
            <w:pPr>
              <w:spacing w:after="0"/>
              <w:rPr>
                <w:sz w:val="20"/>
                <w:szCs w:val="20"/>
                <w:color w:val="auto"/>
              </w:rPr>
            </w:pPr>
            <w:r>
              <w:rPr>
                <w:rFonts w:ascii="Arial" w:cs="Arial" w:eastAsia="Arial" w:hAnsi="Arial"/>
                <w:sz w:val="12"/>
                <w:szCs w:val="12"/>
                <w:b w:val="1"/>
                <w:bCs w:val="1"/>
                <w:color w:val="auto"/>
              </w:rPr>
              <w:t>Total Investments—215.0%</w:t>
            </w:r>
          </w:p>
        </w:tc>
        <w:tc>
          <w:tcPr>
            <w:tcW w:w="1000" w:type="dxa"/>
            <w:vAlign w:val="bottom"/>
            <w:tcBorders>
              <w:bottom w:val="single" w:sz="8" w:color="CFF0FC"/>
            </w:tcBorders>
          </w:tcPr>
          <w:p>
            <w:pPr>
              <w:spacing w:after="0"/>
              <w:rPr>
                <w:sz w:val="12"/>
                <w:szCs w:val="12"/>
                <w:color w:val="auto"/>
              </w:rPr>
            </w:pPr>
          </w:p>
        </w:tc>
        <w:tc>
          <w:tcPr>
            <w:tcW w:w="2160" w:type="dxa"/>
            <w:vAlign w:val="bottom"/>
            <w:tcBorders>
              <w:bottom w:val="single" w:sz="8" w:color="CFF0FC"/>
            </w:tcBorders>
          </w:tcPr>
          <w:p>
            <w:pPr>
              <w:spacing w:after="0"/>
              <w:rPr>
                <w:sz w:val="12"/>
                <w:szCs w:val="12"/>
                <w:color w:val="auto"/>
              </w:rPr>
            </w:pPr>
          </w:p>
        </w:tc>
        <w:tc>
          <w:tcPr>
            <w:tcW w:w="120" w:type="dxa"/>
            <w:vAlign w:val="bottom"/>
            <w:tcBorders>
              <w:bottom w:val="single" w:sz="8" w:color="CFF0FC"/>
            </w:tcBorders>
          </w:tcPr>
          <w:p>
            <w:pPr>
              <w:spacing w:after="0"/>
              <w:rPr>
                <w:sz w:val="12"/>
                <w:szCs w:val="12"/>
                <w:color w:val="auto"/>
              </w:rPr>
            </w:pPr>
          </w:p>
        </w:tc>
        <w:tc>
          <w:tcPr>
            <w:tcW w:w="680" w:type="dxa"/>
            <w:vAlign w:val="bottom"/>
            <w:tcBorders>
              <w:bottom w:val="single" w:sz="8" w:color="CFF0FC"/>
            </w:tcBorders>
          </w:tcPr>
          <w:p>
            <w:pPr>
              <w:spacing w:after="0"/>
              <w:rPr>
                <w:sz w:val="12"/>
                <w:szCs w:val="12"/>
                <w:color w:val="auto"/>
              </w:rPr>
            </w:pPr>
          </w:p>
        </w:tc>
        <w:tc>
          <w:tcPr>
            <w:tcW w:w="280" w:type="dxa"/>
            <w:vAlign w:val="bottom"/>
            <w:tcBorders>
              <w:bottom w:val="single" w:sz="8" w:color="CFF0FC"/>
            </w:tcBorders>
          </w:tcPr>
          <w:p>
            <w:pPr>
              <w:spacing w:after="0"/>
              <w:rPr>
                <w:sz w:val="12"/>
                <w:szCs w:val="12"/>
                <w:color w:val="auto"/>
              </w:rPr>
            </w:pPr>
          </w:p>
        </w:tc>
        <w:tc>
          <w:tcPr>
            <w:tcW w:w="680" w:type="dxa"/>
            <w:vAlign w:val="bottom"/>
            <w:tcBorders>
              <w:bottom w:val="single" w:sz="8" w:color="CFF0FC"/>
            </w:tcBorders>
          </w:tcPr>
          <w:p>
            <w:pPr>
              <w:spacing w:after="0"/>
              <w:rPr>
                <w:sz w:val="12"/>
                <w:szCs w:val="12"/>
                <w:color w:val="auto"/>
              </w:rPr>
            </w:pPr>
          </w:p>
        </w:tc>
        <w:tc>
          <w:tcPr>
            <w:tcW w:w="220" w:type="dxa"/>
            <w:vAlign w:val="bottom"/>
            <w:tcBorders>
              <w:bottom w:val="single" w:sz="8" w:color="CFF0FC"/>
            </w:tcBorders>
          </w:tcPr>
          <w:p>
            <w:pPr>
              <w:spacing w:after="0"/>
              <w:rPr>
                <w:sz w:val="12"/>
                <w:szCs w:val="12"/>
                <w:color w:val="auto"/>
              </w:rPr>
            </w:pPr>
          </w:p>
        </w:tc>
        <w:tc>
          <w:tcPr>
            <w:tcW w:w="720" w:type="dxa"/>
            <w:vAlign w:val="bottom"/>
            <w:tcBorders>
              <w:bottom w:val="single" w:sz="8" w:color="CFF0FC"/>
            </w:tcBorders>
          </w:tcPr>
          <w:p>
            <w:pPr>
              <w:spacing w:after="0"/>
              <w:rPr>
                <w:sz w:val="12"/>
                <w:szCs w:val="12"/>
                <w:color w:val="auto"/>
              </w:rPr>
            </w:pPr>
          </w:p>
        </w:tc>
        <w:tc>
          <w:tcPr>
            <w:tcW w:w="220" w:type="dxa"/>
            <w:vAlign w:val="bottom"/>
            <w:tcBorders>
              <w:bottom w:val="single" w:sz="8" w:color="CFF0FC"/>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88"/>
              </w:rPr>
              <w:t>1,085,172,349</w:t>
            </w:r>
          </w:p>
        </w:tc>
        <w:tc>
          <w:tcPr>
            <w:tcW w:w="240" w:type="dxa"/>
            <w:vAlign w:val="bottom"/>
            <w:tcBorders>
              <w:bottom w:val="single" w:sz="8" w:color="CFF0FC"/>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91"/>
              </w:rPr>
              <w:t>1,081,706,909</w:t>
            </w:r>
          </w:p>
        </w:tc>
        <w:tc>
          <w:tcPr>
            <w:tcW w:w="10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220" w:type="dxa"/>
            <w:vAlign w:val="bottom"/>
            <w:shd w:val="clear" w:color="auto" w:fill="CFF0FC"/>
          </w:tcPr>
          <w:p>
            <w:pPr>
              <w:spacing w:after="0"/>
              <w:rPr>
                <w:sz w:val="20"/>
                <w:szCs w:val="20"/>
                <w:color w:val="auto"/>
              </w:rPr>
            </w:pPr>
            <w:r>
              <w:rPr>
                <w:rFonts w:ascii="Arial" w:cs="Arial" w:eastAsia="Arial" w:hAnsi="Arial"/>
                <w:sz w:val="12"/>
                <w:szCs w:val="12"/>
                <w:b w:val="1"/>
                <w:bCs w:val="1"/>
                <w:color w:val="auto"/>
              </w:rPr>
              <w:t>Cash and Cash Equivalents—12.6%</w:t>
            </w:r>
          </w:p>
        </w:tc>
        <w:tc>
          <w:tcPr>
            <w:tcW w:w="1000" w:type="dxa"/>
            <w:vAlign w:val="bottom"/>
            <w:shd w:val="clear" w:color="auto" w:fill="CFF0FC"/>
          </w:tcPr>
          <w:p>
            <w:pPr>
              <w:spacing w:after="0"/>
              <w:rPr>
                <w:sz w:val="12"/>
                <w:szCs w:val="12"/>
                <w:color w:val="auto"/>
              </w:rPr>
            </w:pPr>
          </w:p>
        </w:tc>
        <w:tc>
          <w:tcPr>
            <w:tcW w:w="2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20" w:type="dxa"/>
            <w:vAlign w:val="bottom"/>
          </w:tcPr>
          <w:p>
            <w:pPr>
              <w:spacing w:after="0"/>
              <w:rPr>
                <w:sz w:val="20"/>
                <w:szCs w:val="20"/>
                <w:color w:val="auto"/>
              </w:rPr>
            </w:pPr>
            <w:r>
              <w:rPr>
                <w:rFonts w:ascii="Arial" w:cs="Arial" w:eastAsia="Arial" w:hAnsi="Arial"/>
                <w:sz w:val="12"/>
                <w:szCs w:val="12"/>
                <w:color w:val="auto"/>
              </w:rPr>
              <w:t>BlackRock Federal FD Institutional 30</w:t>
            </w:r>
          </w:p>
        </w:tc>
        <w:tc>
          <w:tcPr>
            <w:tcW w:w="100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18,053,873</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18,053,873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20" w:type="dxa"/>
            <w:vAlign w:val="bottom"/>
            <w:shd w:val="clear" w:color="auto" w:fill="CFF0FC"/>
          </w:tcPr>
          <w:p>
            <w:pPr>
              <w:spacing w:after="0"/>
              <w:rPr>
                <w:sz w:val="20"/>
                <w:szCs w:val="20"/>
                <w:color w:val="auto"/>
              </w:rPr>
            </w:pPr>
            <w:r>
              <w:rPr>
                <w:rFonts w:ascii="Arial" w:cs="Arial" w:eastAsia="Arial" w:hAnsi="Arial"/>
                <w:sz w:val="12"/>
                <w:szCs w:val="12"/>
                <w:color w:val="auto"/>
              </w:rPr>
              <w:t>BNY Mellon Cash</w:t>
            </w:r>
          </w:p>
        </w:tc>
        <w:tc>
          <w:tcPr>
            <w:tcW w:w="1000" w:type="dxa"/>
            <w:vAlign w:val="bottom"/>
            <w:shd w:val="clear" w:color="auto" w:fill="CFF0FC"/>
          </w:tcPr>
          <w:p>
            <w:pPr>
              <w:spacing w:after="0"/>
              <w:rPr>
                <w:sz w:val="12"/>
                <w:szCs w:val="12"/>
                <w:color w:val="auto"/>
              </w:rPr>
            </w:pPr>
          </w:p>
        </w:tc>
        <w:tc>
          <w:tcPr>
            <w:tcW w:w="2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tcBorders>
              <w:bottom w:val="single" w:sz="8" w:color="auto"/>
            </w:tcBorders>
            <w:shd w:val="clear" w:color="auto" w:fill="CFF0FC"/>
          </w:tcPr>
          <w:p>
            <w:pPr>
              <w:spacing w:after="0"/>
              <w:rPr>
                <w:sz w:val="12"/>
                <w:szCs w:val="12"/>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45,313,364</w:t>
            </w:r>
          </w:p>
        </w:tc>
        <w:tc>
          <w:tcPr>
            <w:tcW w:w="240" w:type="dxa"/>
            <w:vAlign w:val="bottom"/>
            <w:shd w:val="clear" w:color="auto" w:fill="CFF0FC"/>
          </w:tcPr>
          <w:p>
            <w:pPr>
              <w:spacing w:after="0"/>
              <w:rPr>
                <w:sz w:val="12"/>
                <w:szCs w:val="12"/>
                <w:color w:val="auto"/>
              </w:rPr>
            </w:pPr>
          </w:p>
        </w:tc>
        <w:tc>
          <w:tcPr>
            <w:tcW w:w="60" w:type="dxa"/>
            <w:vAlign w:val="bottom"/>
            <w:tcBorders>
              <w:bottom w:val="single" w:sz="8" w:color="auto"/>
            </w:tcBorders>
            <w:shd w:val="clear" w:color="auto" w:fill="CFF0FC"/>
          </w:tcPr>
          <w:p>
            <w:pPr>
              <w:spacing w:after="0"/>
              <w:rPr>
                <w:sz w:val="12"/>
                <w:szCs w:val="12"/>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45,283,855</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220" w:type="dxa"/>
            <w:vAlign w:val="bottom"/>
            <w:tcBorders>
              <w:bottom w:val="single" w:sz="8" w:color="CFF0FC"/>
            </w:tcBorders>
          </w:tcPr>
          <w:p>
            <w:pPr>
              <w:spacing w:after="0"/>
              <w:rPr>
                <w:sz w:val="20"/>
                <w:szCs w:val="20"/>
                <w:color w:val="auto"/>
              </w:rPr>
            </w:pPr>
            <w:r>
              <w:rPr>
                <w:rFonts w:ascii="Arial" w:cs="Arial" w:eastAsia="Arial" w:hAnsi="Arial"/>
                <w:sz w:val="12"/>
                <w:szCs w:val="12"/>
                <w:b w:val="1"/>
                <w:bCs w:val="1"/>
                <w:color w:val="auto"/>
              </w:rPr>
              <w:t>Total Cash and Cash Equivalents</w:t>
            </w:r>
          </w:p>
        </w:tc>
        <w:tc>
          <w:tcPr>
            <w:tcW w:w="1000" w:type="dxa"/>
            <w:vAlign w:val="bottom"/>
            <w:tcBorders>
              <w:bottom w:val="single" w:sz="8" w:color="CFF0FC"/>
            </w:tcBorders>
          </w:tcPr>
          <w:p>
            <w:pPr>
              <w:spacing w:after="0"/>
              <w:rPr>
                <w:sz w:val="12"/>
                <w:szCs w:val="12"/>
                <w:color w:val="auto"/>
              </w:rPr>
            </w:pPr>
          </w:p>
        </w:tc>
        <w:tc>
          <w:tcPr>
            <w:tcW w:w="2160" w:type="dxa"/>
            <w:vAlign w:val="bottom"/>
            <w:tcBorders>
              <w:bottom w:val="single" w:sz="8" w:color="CFF0FC"/>
            </w:tcBorders>
          </w:tcPr>
          <w:p>
            <w:pPr>
              <w:spacing w:after="0"/>
              <w:rPr>
                <w:sz w:val="12"/>
                <w:szCs w:val="12"/>
                <w:color w:val="auto"/>
              </w:rPr>
            </w:pPr>
          </w:p>
        </w:tc>
        <w:tc>
          <w:tcPr>
            <w:tcW w:w="120" w:type="dxa"/>
            <w:vAlign w:val="bottom"/>
            <w:tcBorders>
              <w:bottom w:val="single" w:sz="8" w:color="CFF0FC"/>
            </w:tcBorders>
          </w:tcPr>
          <w:p>
            <w:pPr>
              <w:spacing w:after="0"/>
              <w:rPr>
                <w:sz w:val="12"/>
                <w:szCs w:val="12"/>
                <w:color w:val="auto"/>
              </w:rPr>
            </w:pPr>
          </w:p>
        </w:tc>
        <w:tc>
          <w:tcPr>
            <w:tcW w:w="680" w:type="dxa"/>
            <w:vAlign w:val="bottom"/>
            <w:tcBorders>
              <w:bottom w:val="single" w:sz="8" w:color="CFF0FC"/>
            </w:tcBorders>
          </w:tcPr>
          <w:p>
            <w:pPr>
              <w:spacing w:after="0"/>
              <w:rPr>
                <w:sz w:val="12"/>
                <w:szCs w:val="12"/>
                <w:color w:val="auto"/>
              </w:rPr>
            </w:pPr>
          </w:p>
        </w:tc>
        <w:tc>
          <w:tcPr>
            <w:tcW w:w="280" w:type="dxa"/>
            <w:vAlign w:val="bottom"/>
            <w:tcBorders>
              <w:bottom w:val="single" w:sz="8" w:color="CFF0FC"/>
            </w:tcBorders>
          </w:tcPr>
          <w:p>
            <w:pPr>
              <w:spacing w:after="0"/>
              <w:rPr>
                <w:sz w:val="12"/>
                <w:szCs w:val="12"/>
                <w:color w:val="auto"/>
              </w:rPr>
            </w:pPr>
          </w:p>
        </w:tc>
        <w:tc>
          <w:tcPr>
            <w:tcW w:w="680" w:type="dxa"/>
            <w:vAlign w:val="bottom"/>
            <w:tcBorders>
              <w:bottom w:val="single" w:sz="8" w:color="CFF0FC"/>
            </w:tcBorders>
          </w:tcPr>
          <w:p>
            <w:pPr>
              <w:spacing w:after="0"/>
              <w:rPr>
                <w:sz w:val="12"/>
                <w:szCs w:val="12"/>
                <w:color w:val="auto"/>
              </w:rPr>
            </w:pPr>
          </w:p>
        </w:tc>
        <w:tc>
          <w:tcPr>
            <w:tcW w:w="220" w:type="dxa"/>
            <w:vAlign w:val="bottom"/>
            <w:tcBorders>
              <w:bottom w:val="single" w:sz="8" w:color="CFF0FC"/>
            </w:tcBorders>
          </w:tcPr>
          <w:p>
            <w:pPr>
              <w:spacing w:after="0"/>
              <w:rPr>
                <w:sz w:val="12"/>
                <w:szCs w:val="12"/>
                <w:color w:val="auto"/>
              </w:rPr>
            </w:pPr>
          </w:p>
        </w:tc>
        <w:tc>
          <w:tcPr>
            <w:tcW w:w="720" w:type="dxa"/>
            <w:vAlign w:val="bottom"/>
            <w:tcBorders>
              <w:bottom w:val="single" w:sz="8" w:color="CFF0FC"/>
            </w:tcBorders>
          </w:tcPr>
          <w:p>
            <w:pPr>
              <w:spacing w:after="0"/>
              <w:rPr>
                <w:sz w:val="12"/>
                <w:szCs w:val="12"/>
                <w:color w:val="auto"/>
              </w:rPr>
            </w:pPr>
          </w:p>
        </w:tc>
        <w:tc>
          <w:tcPr>
            <w:tcW w:w="220" w:type="dxa"/>
            <w:vAlign w:val="bottom"/>
            <w:tcBorders>
              <w:bottom w:val="single" w:sz="8" w:color="CFF0FC"/>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63,367,237</w:t>
            </w:r>
          </w:p>
        </w:tc>
        <w:tc>
          <w:tcPr>
            <w:tcW w:w="240" w:type="dxa"/>
            <w:vAlign w:val="bottom"/>
            <w:tcBorders>
              <w:bottom w:val="single" w:sz="8" w:color="CFF0FC"/>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63,337,728</w:t>
            </w:r>
          </w:p>
        </w:tc>
        <w:tc>
          <w:tcPr>
            <w:tcW w:w="10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220" w:type="dxa"/>
            <w:vAlign w:val="bottom"/>
            <w:shd w:val="clear" w:color="auto" w:fill="CFF0FC"/>
          </w:tcPr>
          <w:p>
            <w:pPr>
              <w:spacing w:after="0"/>
              <w:rPr>
                <w:sz w:val="20"/>
                <w:szCs w:val="20"/>
                <w:color w:val="auto"/>
              </w:rPr>
            </w:pPr>
            <w:r>
              <w:rPr>
                <w:rFonts w:ascii="Arial" w:cs="Arial" w:eastAsia="Arial" w:hAnsi="Arial"/>
                <w:sz w:val="12"/>
                <w:szCs w:val="12"/>
                <w:b w:val="1"/>
                <w:bCs w:val="1"/>
                <w:color w:val="auto"/>
              </w:rPr>
              <w:t>Total Investments and Cash Equivalents—227.6%</w:t>
            </w:r>
          </w:p>
        </w:tc>
        <w:tc>
          <w:tcPr>
            <w:tcW w:w="1000" w:type="dxa"/>
            <w:vAlign w:val="bottom"/>
            <w:shd w:val="clear" w:color="auto" w:fill="CFF0FC"/>
          </w:tcPr>
          <w:p>
            <w:pPr>
              <w:spacing w:after="0"/>
              <w:rPr>
                <w:sz w:val="12"/>
                <w:szCs w:val="12"/>
                <w:color w:val="auto"/>
              </w:rPr>
            </w:pPr>
          </w:p>
        </w:tc>
        <w:tc>
          <w:tcPr>
            <w:tcW w:w="2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9"/>
                <w:szCs w:val="9"/>
                <w:color w:val="auto"/>
                <w:w w:val="78"/>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2"/>
                <w:szCs w:val="12"/>
                <w:color w:val="auto"/>
                <w:w w:val="88"/>
              </w:rPr>
              <w:t>1,148,539,586</w:t>
            </w: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2"/>
                <w:szCs w:val="12"/>
                <w:color w:val="auto"/>
                <w:w w:val="91"/>
              </w:rPr>
              <w:t>1,145,044,637</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22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2"/>
                <w:szCs w:val="12"/>
                <w:b w:val="1"/>
                <w:bCs w:val="1"/>
                <w:color w:val="auto"/>
              </w:rPr>
              <w:t>Liabilities in Excess of Other Assets—(127.6)%</w:t>
            </w:r>
          </w:p>
        </w:tc>
        <w:tc>
          <w:tcPr>
            <w:tcW w:w="1000" w:type="dxa"/>
            <w:vAlign w:val="bottom"/>
            <w:tcBorders>
              <w:top w:val="single" w:sz="8" w:color="CFF0FC"/>
            </w:tcBorders>
          </w:tcPr>
          <w:p>
            <w:pPr>
              <w:spacing w:after="0" w:line="20" w:lineRule="exact"/>
              <w:rPr>
                <w:sz w:val="1"/>
                <w:szCs w:val="1"/>
                <w:color w:val="auto"/>
              </w:rPr>
            </w:pPr>
          </w:p>
        </w:tc>
        <w:tc>
          <w:tcPr>
            <w:tcW w:w="216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68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68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72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3220" w:type="dxa"/>
            <w:vAlign w:val="bottom"/>
            <w:vMerge w:val="continue"/>
          </w:tcPr>
          <w:p>
            <w:pPr>
              <w:spacing w:after="0"/>
              <w:rPr>
                <w:sz w:val="11"/>
                <w:szCs w:val="11"/>
                <w:color w:val="auto"/>
              </w:rPr>
            </w:pPr>
          </w:p>
        </w:tc>
        <w:tc>
          <w:tcPr>
            <w:tcW w:w="1000" w:type="dxa"/>
            <w:vAlign w:val="bottom"/>
          </w:tcPr>
          <w:p>
            <w:pPr>
              <w:spacing w:after="0"/>
              <w:rPr>
                <w:sz w:val="11"/>
                <w:szCs w:val="11"/>
                <w:color w:val="auto"/>
              </w:rPr>
            </w:pPr>
          </w:p>
        </w:tc>
        <w:tc>
          <w:tcPr>
            <w:tcW w:w="2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2"/>
          </w:tcPr>
          <w:p>
            <w:pPr>
              <w:jc w:val="right"/>
              <w:ind w:right="60"/>
              <w:spacing w:after="0" w:line="129" w:lineRule="exact"/>
              <w:rPr>
                <w:sz w:val="20"/>
                <w:szCs w:val="20"/>
                <w:color w:val="auto"/>
              </w:rPr>
            </w:pPr>
            <w:r>
              <w:rPr>
                <w:rFonts w:ascii="Arial" w:cs="Arial" w:eastAsia="Arial" w:hAnsi="Arial"/>
                <w:sz w:val="12"/>
                <w:szCs w:val="12"/>
                <w:color w:val="auto"/>
              </w:rPr>
              <w:t>(641,987,126)</w:t>
            </w:r>
          </w:p>
        </w:tc>
        <w:tc>
          <w:tcPr>
            <w:tcW w:w="0" w:type="dxa"/>
            <w:vAlign w:val="bottom"/>
          </w:tcPr>
          <w:p>
            <w:pPr>
              <w:spacing w:after="0"/>
              <w:rPr>
                <w:sz w:val="1"/>
                <w:szCs w:val="1"/>
                <w:color w:val="auto"/>
              </w:rPr>
            </w:pPr>
          </w:p>
        </w:tc>
      </w:tr>
      <w:tr>
        <w:trPr>
          <w:trHeight w:val="148"/>
        </w:trPr>
        <w:tc>
          <w:tcPr>
            <w:tcW w:w="3220" w:type="dxa"/>
            <w:vAlign w:val="bottom"/>
            <w:shd w:val="clear" w:color="auto" w:fill="CFF0FC"/>
          </w:tcPr>
          <w:p>
            <w:pPr>
              <w:spacing w:after="0"/>
              <w:rPr>
                <w:sz w:val="20"/>
                <w:szCs w:val="20"/>
                <w:color w:val="auto"/>
              </w:rPr>
            </w:pPr>
            <w:r>
              <w:rPr>
                <w:rFonts w:ascii="Arial" w:cs="Arial" w:eastAsia="Arial" w:hAnsi="Arial"/>
                <w:sz w:val="12"/>
                <w:szCs w:val="12"/>
                <w:b w:val="1"/>
                <w:bCs w:val="1"/>
                <w:color w:val="auto"/>
              </w:rPr>
              <w:t>Net Assets—100.0%</w:t>
            </w:r>
          </w:p>
        </w:tc>
        <w:tc>
          <w:tcPr>
            <w:tcW w:w="1000" w:type="dxa"/>
            <w:vAlign w:val="bottom"/>
            <w:shd w:val="clear" w:color="auto" w:fill="CFF0FC"/>
          </w:tcPr>
          <w:p>
            <w:pPr>
              <w:spacing w:after="0"/>
              <w:rPr>
                <w:sz w:val="12"/>
                <w:szCs w:val="12"/>
                <w:color w:val="auto"/>
              </w:rPr>
            </w:pPr>
          </w:p>
        </w:tc>
        <w:tc>
          <w:tcPr>
            <w:tcW w:w="2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503,057,511</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220" w:type="dxa"/>
            <w:vAlign w:val="bottom"/>
            <w:tcBorders>
              <w:top w:val="single" w:sz="8" w:color="CFF0FC"/>
            </w:tcBorders>
          </w:tcPr>
          <w:p>
            <w:pPr>
              <w:spacing w:after="0" w:line="20" w:lineRule="exact"/>
              <w:rPr>
                <w:sz w:val="1"/>
                <w:szCs w:val="1"/>
                <w:color w:val="auto"/>
              </w:rPr>
            </w:pPr>
          </w:p>
        </w:tc>
        <w:tc>
          <w:tcPr>
            <w:tcW w:w="1000" w:type="dxa"/>
            <w:vAlign w:val="bottom"/>
            <w:tcBorders>
              <w:top w:val="single" w:sz="8" w:color="CFF0FC"/>
            </w:tcBorders>
          </w:tcPr>
          <w:p>
            <w:pPr>
              <w:spacing w:after="0" w:line="20" w:lineRule="exact"/>
              <w:rPr>
                <w:sz w:val="1"/>
                <w:szCs w:val="1"/>
                <w:color w:val="auto"/>
              </w:rPr>
            </w:pPr>
          </w:p>
        </w:tc>
        <w:tc>
          <w:tcPr>
            <w:tcW w:w="216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68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68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72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70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185991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859915" cy="8890"/>
                    </a:xfrm>
                    <a:prstGeom prst="rect">
                      <a:avLst/>
                    </a:prstGeom>
                    <a:noFill/>
                  </pic:spPr>
                </pic:pic>
              </a:graphicData>
            </a:graphic>
          </wp:anchor>
        </w:drawing>
      </w:r>
    </w:p>
    <w:p>
      <w:pPr>
        <w:spacing w:after="0" w:line="163" w:lineRule="exact"/>
        <w:rPr>
          <w:sz w:val="20"/>
          <w:szCs w:val="20"/>
          <w:color w:val="auto"/>
        </w:rPr>
      </w:pPr>
    </w:p>
    <w:p>
      <w:pPr>
        <w:ind w:left="380" w:right="40" w:hanging="372"/>
        <w:spacing w:after="0" w:line="344" w:lineRule="auto"/>
        <w:tabs>
          <w:tab w:leader="none" w:pos="380" w:val="left"/>
        </w:tabs>
        <w:numPr>
          <w:ilvl w:val="0"/>
          <w:numId w:val="4"/>
        </w:numPr>
        <w:rPr>
          <w:rFonts w:ascii="Arial" w:cs="Arial" w:eastAsia="Arial" w:hAnsi="Arial"/>
          <w:sz w:val="9"/>
          <w:szCs w:val="9"/>
          <w:color w:val="auto"/>
        </w:rPr>
      </w:pPr>
      <w:r>
        <w:rPr>
          <w:rFonts w:ascii="Arial" w:cs="Arial" w:eastAsia="Arial" w:hAnsi="Arial"/>
          <w:sz w:val="9"/>
          <w:szCs w:val="9"/>
          <w:color w:val="auto"/>
        </w:rPr>
        <w:t>Represents floating rate instruments that accrue interest at a predetermined spread relative to an index, typically the applicable LIBOR or “L” or Prime rate, or “P.” The spread may change based on the type of rate used. The terms in the Schedule of Investments disclose the actual interest rate in effect as of the reporting period. LIBOR loans are typically indexed to a 30-day, 60-day, 90-day or 180-day LIBOR rate (1M L, 2M L, 3M L, or 6M L, respectively), at the borrower’s option. All securities are subject to a LIBOR or Prime rate floor where a spread is provided, unless noted. The spread provided includes payment-in-kind, or PIK, interest and other fee rates, if any.</w:t>
      </w:r>
    </w:p>
    <w:p>
      <w:pPr>
        <w:ind w:left="380" w:hanging="372"/>
        <w:spacing w:after="0"/>
        <w:tabs>
          <w:tab w:leader="none" w:pos="380" w:val="left"/>
        </w:tabs>
        <w:numPr>
          <w:ilvl w:val="0"/>
          <w:numId w:val="4"/>
        </w:numPr>
        <w:rPr>
          <w:rFonts w:ascii="Arial" w:cs="Arial" w:eastAsia="Arial" w:hAnsi="Arial"/>
          <w:sz w:val="12"/>
          <w:szCs w:val="12"/>
          <w:color w:val="auto"/>
        </w:rPr>
      </w:pPr>
      <w:r>
        <w:rPr>
          <w:rFonts w:ascii="Arial" w:cs="Arial" w:eastAsia="Arial" w:hAnsi="Arial"/>
          <w:sz w:val="12"/>
          <w:szCs w:val="12"/>
          <w:color w:val="auto"/>
        </w:rPr>
        <w:t>Valued based on our accounting policy (See Note 2). The value of all securities was determined using significant unobservable inputs (See Note 5).</w:t>
      </w:r>
    </w:p>
    <w:p>
      <w:pPr>
        <w:spacing w:after="0" w:line="37" w:lineRule="exact"/>
        <w:rPr>
          <w:rFonts w:ascii="Arial" w:cs="Arial" w:eastAsia="Arial" w:hAnsi="Arial"/>
          <w:sz w:val="12"/>
          <w:szCs w:val="12"/>
          <w:color w:val="auto"/>
        </w:rPr>
      </w:pPr>
    </w:p>
    <w:p>
      <w:pPr>
        <w:ind w:left="380" w:hanging="372"/>
        <w:spacing w:after="0" w:line="252" w:lineRule="auto"/>
        <w:tabs>
          <w:tab w:leader="none" w:pos="380" w:val="left"/>
        </w:tabs>
        <w:numPr>
          <w:ilvl w:val="0"/>
          <w:numId w:val="4"/>
        </w:numPr>
        <w:rPr>
          <w:rFonts w:ascii="Arial" w:cs="Arial" w:eastAsia="Arial" w:hAnsi="Arial"/>
          <w:sz w:val="12"/>
          <w:szCs w:val="12"/>
          <w:color w:val="auto"/>
        </w:rPr>
      </w:pPr>
      <w:r>
        <w:rPr>
          <w:rFonts w:ascii="Arial" w:cs="Arial" w:eastAsia="Arial" w:hAnsi="Arial"/>
          <w:sz w:val="12"/>
          <w:szCs w:val="12"/>
          <w:color w:val="auto"/>
        </w:rPr>
        <w:t>The provisions of the 1940 Act classify investments based on the level of control that we maintain in a particular portfolio company. As defined in the 1940 Act, a company is generally presumed to be “non-controlled” when we own 25% or less of the portfolio company’s voting securities and “controlled” when we own more than 25% of the portfolio company’s voting securities.</w:t>
      </w:r>
    </w:p>
    <w:p>
      <w:pPr>
        <w:spacing w:after="0" w:line="20" w:lineRule="exact"/>
        <w:rPr>
          <w:rFonts w:ascii="Arial" w:cs="Arial" w:eastAsia="Arial" w:hAnsi="Arial"/>
          <w:sz w:val="12"/>
          <w:szCs w:val="12"/>
          <w:color w:val="auto"/>
        </w:rPr>
      </w:pPr>
    </w:p>
    <w:p>
      <w:pPr>
        <w:ind w:left="380" w:hanging="372"/>
        <w:spacing w:after="0" w:line="252" w:lineRule="auto"/>
        <w:tabs>
          <w:tab w:leader="none" w:pos="380" w:val="left"/>
        </w:tabs>
        <w:numPr>
          <w:ilvl w:val="0"/>
          <w:numId w:val="4"/>
        </w:numPr>
        <w:rPr>
          <w:rFonts w:ascii="Arial" w:cs="Arial" w:eastAsia="Arial" w:hAnsi="Arial"/>
          <w:sz w:val="12"/>
          <w:szCs w:val="12"/>
          <w:color w:val="auto"/>
        </w:rPr>
      </w:pPr>
      <w:r>
        <w:rPr>
          <w:rFonts w:ascii="Arial" w:cs="Arial" w:eastAsia="Arial" w:hAnsi="Arial"/>
          <w:sz w:val="12"/>
          <w:szCs w:val="12"/>
          <w:color w:val="auto"/>
        </w:rPr>
        <w:t>The provisions of the 1940 Act classify investments further based on the level of ownership that we maintain in a particular portfolio company. As defined in the 1940 Act, a company is generally deemed as “non-affiliated” when we own less than 5% of a portfolio company’s voting securities and “affiliated” when we own 5% or more of a portfolio company’s voting securities.</w:t>
      </w:r>
    </w:p>
    <w:p>
      <w:pPr>
        <w:spacing w:after="0" w:line="20" w:lineRule="exact"/>
        <w:rPr>
          <w:rFonts w:ascii="Arial" w:cs="Arial" w:eastAsia="Arial" w:hAnsi="Arial"/>
          <w:sz w:val="12"/>
          <w:szCs w:val="12"/>
          <w:color w:val="auto"/>
        </w:rPr>
      </w:pPr>
    </w:p>
    <w:p>
      <w:pPr>
        <w:ind w:left="380" w:hanging="372"/>
        <w:spacing w:after="0"/>
        <w:tabs>
          <w:tab w:leader="none" w:pos="380" w:val="left"/>
        </w:tabs>
        <w:numPr>
          <w:ilvl w:val="0"/>
          <w:numId w:val="4"/>
        </w:numPr>
        <w:rPr>
          <w:rFonts w:ascii="Arial" w:cs="Arial" w:eastAsia="Arial" w:hAnsi="Arial"/>
          <w:sz w:val="12"/>
          <w:szCs w:val="12"/>
          <w:color w:val="auto"/>
        </w:rPr>
      </w:pPr>
      <w:r>
        <w:rPr>
          <w:rFonts w:ascii="Arial" w:cs="Arial" w:eastAsia="Arial" w:hAnsi="Arial"/>
          <w:sz w:val="12"/>
          <w:szCs w:val="12"/>
          <w:color w:val="auto"/>
        </w:rPr>
        <w:t>Non-U.S. company or principal place of business outside the United States.</w:t>
      </w:r>
    </w:p>
    <w:p>
      <w:pPr>
        <w:spacing w:after="0" w:line="37" w:lineRule="exact"/>
        <w:rPr>
          <w:rFonts w:ascii="Arial" w:cs="Arial" w:eastAsia="Arial" w:hAnsi="Arial"/>
          <w:sz w:val="12"/>
          <w:szCs w:val="12"/>
          <w:color w:val="auto"/>
        </w:rPr>
      </w:pPr>
    </w:p>
    <w:p>
      <w:pPr>
        <w:ind w:left="380" w:hanging="372"/>
        <w:spacing w:after="0"/>
        <w:tabs>
          <w:tab w:leader="none" w:pos="380" w:val="left"/>
        </w:tabs>
        <w:numPr>
          <w:ilvl w:val="0"/>
          <w:numId w:val="4"/>
        </w:numPr>
        <w:rPr>
          <w:rFonts w:ascii="Arial" w:cs="Arial" w:eastAsia="Arial" w:hAnsi="Arial"/>
          <w:sz w:val="12"/>
          <w:szCs w:val="12"/>
          <w:color w:val="auto"/>
        </w:rPr>
      </w:pPr>
      <w:r>
        <w:rPr>
          <w:rFonts w:ascii="Arial" w:cs="Arial" w:eastAsia="Arial" w:hAnsi="Arial"/>
          <w:sz w:val="12"/>
          <w:szCs w:val="12"/>
          <w:color w:val="auto"/>
        </w:rPr>
        <w:t>Non-income producing securities.</w:t>
      </w:r>
    </w:p>
    <w:p>
      <w:pPr>
        <w:spacing w:after="0" w:line="37" w:lineRule="exact"/>
        <w:rPr>
          <w:rFonts w:ascii="Arial" w:cs="Arial" w:eastAsia="Arial" w:hAnsi="Arial"/>
          <w:sz w:val="12"/>
          <w:szCs w:val="12"/>
          <w:color w:val="auto"/>
        </w:rPr>
      </w:pPr>
    </w:p>
    <w:p>
      <w:pPr>
        <w:ind w:left="380" w:hanging="372"/>
        <w:spacing w:after="0"/>
        <w:tabs>
          <w:tab w:leader="none" w:pos="380" w:val="left"/>
        </w:tabs>
        <w:numPr>
          <w:ilvl w:val="0"/>
          <w:numId w:val="4"/>
        </w:numPr>
        <w:rPr>
          <w:rFonts w:ascii="Arial" w:cs="Arial" w:eastAsia="Arial" w:hAnsi="Arial"/>
          <w:sz w:val="11"/>
          <w:szCs w:val="11"/>
          <w:color w:val="auto"/>
        </w:rPr>
      </w:pPr>
      <w:r>
        <w:rPr>
          <w:rFonts w:ascii="Arial" w:cs="Arial" w:eastAsia="Arial" w:hAnsi="Arial"/>
          <w:sz w:val="11"/>
          <w:szCs w:val="11"/>
          <w:color w:val="auto"/>
        </w:rPr>
        <w:t>The securities, or a portion thereof, are not 1) pledged as collateral under the Credit Facility and held through Funding I; or, 2) securing the 2031 Asset-Backed Debt (See Note 10) and held through PennantPark CLO I, Ltd.</w:t>
      </w:r>
    </w:p>
    <w:p>
      <w:pPr>
        <w:spacing w:after="0" w:line="49" w:lineRule="exact"/>
        <w:rPr>
          <w:rFonts w:ascii="Arial" w:cs="Arial" w:eastAsia="Arial" w:hAnsi="Arial"/>
          <w:sz w:val="11"/>
          <w:szCs w:val="11"/>
          <w:color w:val="auto"/>
        </w:rPr>
      </w:pPr>
    </w:p>
    <w:p>
      <w:pPr>
        <w:ind w:left="380" w:hanging="372"/>
        <w:spacing w:after="0"/>
        <w:tabs>
          <w:tab w:leader="none" w:pos="380" w:val="left"/>
        </w:tabs>
        <w:numPr>
          <w:ilvl w:val="0"/>
          <w:numId w:val="4"/>
        </w:numPr>
        <w:rPr>
          <w:rFonts w:ascii="Arial" w:cs="Arial" w:eastAsia="Arial" w:hAnsi="Arial"/>
          <w:sz w:val="12"/>
          <w:szCs w:val="12"/>
          <w:color w:val="auto"/>
        </w:rPr>
      </w:pPr>
      <w:r>
        <w:rPr>
          <w:rFonts w:ascii="Arial" w:cs="Arial" w:eastAsia="Arial" w:hAnsi="Arial"/>
          <w:sz w:val="12"/>
          <w:szCs w:val="12"/>
          <w:color w:val="auto"/>
        </w:rPr>
        <w:t>Investment is held through our Taxable Subsidiary (See Note 1).</w:t>
      </w:r>
    </w:p>
    <w:p>
      <w:pPr>
        <w:spacing w:after="0" w:line="37" w:lineRule="exact"/>
        <w:rPr>
          <w:rFonts w:ascii="Arial" w:cs="Arial" w:eastAsia="Arial" w:hAnsi="Arial"/>
          <w:sz w:val="12"/>
          <w:szCs w:val="12"/>
          <w:color w:val="auto"/>
        </w:rPr>
      </w:pPr>
    </w:p>
    <w:p>
      <w:pPr>
        <w:ind w:left="380" w:hanging="372"/>
        <w:spacing w:after="0"/>
        <w:tabs>
          <w:tab w:leader="none" w:pos="380" w:val="left"/>
        </w:tabs>
        <w:numPr>
          <w:ilvl w:val="0"/>
          <w:numId w:val="4"/>
        </w:numPr>
        <w:rPr>
          <w:rFonts w:ascii="Arial" w:cs="Arial" w:eastAsia="Arial" w:hAnsi="Arial"/>
          <w:sz w:val="11"/>
          <w:szCs w:val="11"/>
          <w:color w:val="auto"/>
        </w:rPr>
      </w:pPr>
      <w:r>
        <w:rPr>
          <w:rFonts w:ascii="Arial" w:cs="Arial" w:eastAsia="Arial" w:hAnsi="Arial"/>
          <w:sz w:val="11"/>
          <w:szCs w:val="11"/>
          <w:color w:val="auto"/>
        </w:rPr>
        <w:t>Represents the purchase of a security with delayed settlement or a revolving line of credit that is currently an unfunded investment. This security does not earn a basis point spread above an index while it is unfunded.</w:t>
      </w:r>
    </w:p>
    <w:p>
      <w:pPr>
        <w:spacing w:after="0" w:line="49" w:lineRule="exact"/>
        <w:rPr>
          <w:rFonts w:ascii="Arial" w:cs="Arial" w:eastAsia="Arial" w:hAnsi="Arial"/>
          <w:sz w:val="11"/>
          <w:szCs w:val="11"/>
          <w:color w:val="auto"/>
        </w:rPr>
      </w:pPr>
    </w:p>
    <w:p>
      <w:pPr>
        <w:ind w:left="380" w:right="20" w:hanging="372"/>
        <w:spacing w:after="0" w:line="252" w:lineRule="auto"/>
        <w:tabs>
          <w:tab w:leader="none" w:pos="380" w:val="left"/>
        </w:tabs>
        <w:numPr>
          <w:ilvl w:val="0"/>
          <w:numId w:val="4"/>
        </w:numPr>
        <w:rPr>
          <w:rFonts w:ascii="Arial" w:cs="Arial" w:eastAsia="Arial" w:hAnsi="Arial"/>
          <w:sz w:val="12"/>
          <w:szCs w:val="12"/>
          <w:color w:val="auto"/>
        </w:rPr>
      </w:pPr>
      <w:r>
        <w:rPr>
          <w:rFonts w:ascii="Arial" w:cs="Arial" w:eastAsia="Arial" w:hAnsi="Arial"/>
          <w:sz w:val="12"/>
          <w:szCs w:val="12"/>
          <w:color w:val="auto"/>
        </w:rPr>
        <w:t>The investment is treated as a non-qualifying asset under Section 55(a) of the 1940 Act. Under the 1940 Act, we may not acquire any non-qualifying asset unless, at the time the acquisition is made, qualifying assets represent at least 70% of our total assets. As of September 30, 2019, qualifying assets represent 79% of our total assets and non-qualifying assets represent 21% of our total assets.</w:t>
      </w:r>
    </w:p>
    <w:p>
      <w:pPr>
        <w:spacing w:after="0" w:line="20" w:lineRule="exact"/>
        <w:rPr>
          <w:rFonts w:ascii="Arial" w:cs="Arial" w:eastAsia="Arial" w:hAnsi="Arial"/>
          <w:sz w:val="12"/>
          <w:szCs w:val="12"/>
          <w:color w:val="auto"/>
        </w:rPr>
      </w:pPr>
    </w:p>
    <w:p>
      <w:pPr>
        <w:ind w:left="380" w:hanging="372"/>
        <w:spacing w:after="0"/>
        <w:tabs>
          <w:tab w:leader="none" w:pos="380" w:val="left"/>
        </w:tabs>
        <w:numPr>
          <w:ilvl w:val="0"/>
          <w:numId w:val="4"/>
        </w:numPr>
        <w:rPr>
          <w:rFonts w:ascii="Arial" w:cs="Arial" w:eastAsia="Arial" w:hAnsi="Arial"/>
          <w:sz w:val="12"/>
          <w:szCs w:val="12"/>
          <w:color w:val="auto"/>
        </w:rPr>
      </w:pPr>
      <w:r>
        <w:rPr>
          <w:rFonts w:ascii="Arial" w:cs="Arial" w:eastAsia="Arial" w:hAnsi="Arial"/>
          <w:sz w:val="12"/>
          <w:szCs w:val="12"/>
          <w:color w:val="auto"/>
        </w:rPr>
        <w:t>Par amount is denominated in Canadian Dollars (C$) as denoted.</w:t>
      </w: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SEE NOTES TO CONSOLIDATED FINANCIAL STATEMENTS</w:t>
      </w:r>
    </w:p>
    <w:p>
      <w:pPr>
        <w:spacing w:after="0" w:line="5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149465"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5" w:name="page16"/>
    <w:bookmarkEnd w:id="15"/>
    <w:p>
      <w:pPr>
        <w:jc w:val="center"/>
        <w:ind w:right="-19"/>
        <w:spacing w:after="0"/>
        <w:rPr>
          <w:sz w:val="20"/>
          <w:szCs w:val="20"/>
          <w:color w:val="auto"/>
        </w:rPr>
      </w:pPr>
      <w:r>
        <w:rPr>
          <w:rFonts w:ascii="Arial" w:cs="Arial" w:eastAsia="Arial" w:hAnsi="Arial"/>
          <w:sz w:val="14"/>
          <w:szCs w:val="14"/>
          <w:b w:val="1"/>
          <w:bCs w:val="1"/>
          <w:color w:val="auto"/>
        </w:rPr>
        <w:t>PENNANTPARK FLOATING RATE CAPITAL LTD. AND SUBSIDIARIES</w:t>
      </w:r>
    </w:p>
    <w:p>
      <w:pPr>
        <w:jc w:val="center"/>
        <w:ind w:right="-19"/>
        <w:spacing w:after="0" w:line="226" w:lineRule="auto"/>
        <w:rPr>
          <w:sz w:val="20"/>
          <w:szCs w:val="20"/>
          <w:color w:val="auto"/>
        </w:rPr>
      </w:pPr>
      <w:r>
        <w:rPr>
          <w:rFonts w:ascii="Arial" w:cs="Arial" w:eastAsia="Arial" w:hAnsi="Arial"/>
          <w:sz w:val="14"/>
          <w:szCs w:val="14"/>
          <w:b w:val="1"/>
          <w:bCs w:val="1"/>
          <w:color w:val="auto"/>
        </w:rPr>
        <w:t>NOTES TO CONSOLIDATED FINANCIAL STATEMENTS</w:t>
      </w:r>
    </w:p>
    <w:p>
      <w:pPr>
        <w:jc w:val="center"/>
        <w:ind w:right="-19"/>
        <w:spacing w:after="0" w:line="221" w:lineRule="auto"/>
        <w:rPr>
          <w:sz w:val="20"/>
          <w:szCs w:val="20"/>
          <w:color w:val="auto"/>
        </w:rPr>
      </w:pPr>
      <w:r>
        <w:rPr>
          <w:rFonts w:ascii="Arial" w:cs="Arial" w:eastAsia="Arial" w:hAnsi="Arial"/>
          <w:sz w:val="14"/>
          <w:szCs w:val="14"/>
          <w:b w:val="1"/>
          <w:bCs w:val="1"/>
          <w:color w:val="auto"/>
        </w:rPr>
        <w:t>DECEMBER 31, 2019</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 ORGANIZATION</w:t>
      </w:r>
    </w:p>
    <w:p>
      <w:pPr>
        <w:spacing w:after="0" w:line="140" w:lineRule="exact"/>
        <w:rPr>
          <w:sz w:val="20"/>
          <w:szCs w:val="20"/>
          <w:color w:val="auto"/>
        </w:rPr>
      </w:pPr>
    </w:p>
    <w:p>
      <w:pPr>
        <w:ind w:right="60" w:firstLine="438"/>
        <w:spacing w:after="0" w:line="253" w:lineRule="auto"/>
        <w:rPr>
          <w:sz w:val="20"/>
          <w:szCs w:val="20"/>
          <w:color w:val="auto"/>
        </w:rPr>
      </w:pPr>
      <w:r>
        <w:rPr>
          <w:rFonts w:ascii="Arial" w:cs="Arial" w:eastAsia="Arial" w:hAnsi="Arial"/>
          <w:sz w:val="14"/>
          <w:szCs w:val="14"/>
          <w:color w:val="auto"/>
        </w:rPr>
        <w:t>PennantPark Floating Rate Capital Ltd. was organized as a Maryland corporation in October 2010. We are a closed-end, externally managed, non-diversified investment company that has elected to be treated as a BDC under the 1940 Act.</w:t>
      </w:r>
    </w:p>
    <w:p>
      <w:pPr>
        <w:spacing w:after="0" w:line="106" w:lineRule="exact"/>
        <w:rPr>
          <w:sz w:val="20"/>
          <w:szCs w:val="20"/>
          <w:color w:val="auto"/>
        </w:rPr>
      </w:pPr>
    </w:p>
    <w:p>
      <w:pPr>
        <w:ind w:right="40" w:firstLine="438"/>
        <w:spacing w:after="0" w:line="228" w:lineRule="auto"/>
        <w:rPr>
          <w:sz w:val="20"/>
          <w:szCs w:val="20"/>
          <w:color w:val="auto"/>
        </w:rPr>
      </w:pPr>
      <w:r>
        <w:rPr>
          <w:rFonts w:ascii="Arial" w:cs="Arial" w:eastAsia="Arial" w:hAnsi="Arial"/>
          <w:sz w:val="14"/>
          <w:szCs w:val="14"/>
          <w:color w:val="auto"/>
        </w:rPr>
        <w:t>Our investment objectives are to generate both current income and capital appreciation while seeking to preserve capital. We seek to achieve our investment objective by investing primarily in loans bearing variable rates of interest, or Floating Rate Loans, and other investments made to U.S. middle-market private companies whose debt is rated below investment grade. Interest on Floating Rate Loans is determined periodically, on the basis of a floating base lending rate such as LIBOR, with or without a floor, plus a fixed spread. Under normal market conditions, we generally expect that at least 80% of the value of our Managed Assets, which means our net assets plus any borrowings for investment purposes, will be invested in Floating Rate Loans and other investments bearing a variable rate of interest, which may include, from time to time, variable rate derivative instruments. We generally expect that first lien secured debt will represent at least 65% of our overall portfolio. We generally expect to invest up to 35% of our overall portfolio opportunistically in other types of investments, including second lien secured debt, subordinated debt, and, to a lesser extent, equity investments.</w:t>
      </w:r>
    </w:p>
    <w:p>
      <w:pPr>
        <w:spacing w:after="0" w:line="117" w:lineRule="exact"/>
        <w:rPr>
          <w:sz w:val="20"/>
          <w:szCs w:val="20"/>
          <w:color w:val="auto"/>
        </w:rPr>
      </w:pPr>
    </w:p>
    <w:p>
      <w:pPr>
        <w:ind w:right="260" w:firstLine="438"/>
        <w:spacing w:after="0" w:line="238" w:lineRule="auto"/>
        <w:rPr>
          <w:sz w:val="20"/>
          <w:szCs w:val="20"/>
          <w:color w:val="auto"/>
        </w:rPr>
      </w:pPr>
      <w:r>
        <w:rPr>
          <w:rFonts w:ascii="Arial" w:cs="Arial" w:eastAsia="Arial" w:hAnsi="Arial"/>
          <w:sz w:val="14"/>
          <w:szCs w:val="14"/>
          <w:color w:val="auto"/>
        </w:rPr>
        <w:t>We have entered into an investment management agreement, or the Investment Management Agreement, with the Investment Adviser, an external adviser that manages our day-to-day operations. We have also entered into an administration agreement, or the Administration Agreement, with the Administrator, which provides the administrative services necessary for us to operate.</w:t>
      </w:r>
    </w:p>
    <w:p>
      <w:pPr>
        <w:spacing w:after="0" w:line="115" w:lineRule="exact"/>
        <w:rPr>
          <w:sz w:val="20"/>
          <w:szCs w:val="20"/>
          <w:color w:val="auto"/>
        </w:rPr>
      </w:pPr>
    </w:p>
    <w:p>
      <w:pPr>
        <w:ind w:right="20" w:firstLine="438"/>
        <w:spacing w:after="0" w:line="255" w:lineRule="auto"/>
        <w:rPr>
          <w:sz w:val="20"/>
          <w:szCs w:val="20"/>
          <w:color w:val="auto"/>
        </w:rPr>
      </w:pPr>
      <w:r>
        <w:rPr>
          <w:rFonts w:ascii="Arial" w:cs="Arial" w:eastAsia="Arial" w:hAnsi="Arial"/>
          <w:sz w:val="13"/>
          <w:szCs w:val="13"/>
          <w:color w:val="auto"/>
        </w:rPr>
        <w:t>Funding I, our wholly owned subsidiary and a special purpose entity, was organized in Delaware as a limited liability company in May 2011. We formed Funding I in order to establish the Credit Facility. The Investment Adviser serves as the collateral manager to Funding I and has irrevocably directed that the management fee owed with respect to such services is to be paid to us so long as the Investment Adviser remains the collateral manager. This arrangement does not increase our consolidated management fee. The Credit Facility allows Funding I to borrow up to $520 million at LIBOR plus 200 basis points during the revolving period. The Credit Facility is secured by all of the assets held by Funding I. See Note 10.</w:t>
      </w:r>
    </w:p>
    <w:p>
      <w:pPr>
        <w:spacing w:after="0" w:line="107" w:lineRule="exact"/>
        <w:rPr>
          <w:sz w:val="20"/>
          <w:szCs w:val="20"/>
          <w:color w:val="auto"/>
        </w:rPr>
      </w:pPr>
    </w:p>
    <w:p>
      <w:pPr>
        <w:ind w:right="40" w:firstLine="438"/>
        <w:spacing w:after="0" w:line="290" w:lineRule="auto"/>
        <w:rPr>
          <w:sz w:val="20"/>
          <w:szCs w:val="20"/>
          <w:color w:val="auto"/>
        </w:rPr>
      </w:pPr>
      <w:r>
        <w:rPr>
          <w:rFonts w:ascii="Arial" w:cs="Arial" w:eastAsia="Arial" w:hAnsi="Arial"/>
          <w:sz w:val="13"/>
          <w:szCs w:val="13"/>
          <w:color w:val="auto"/>
        </w:rPr>
        <w:t>We have formed and expect to continue to form certain taxable subsidiaries, including the Taxable Subsidiary, which are subject to tax as corporations. These taxable subsidiaries allow us to hold equity securities of certain portfolio companies treated as pass-through entities for U.S. federal income tax purposes while facilitating our ability to qualify as a RIC under the Code.</w:t>
      </w:r>
    </w:p>
    <w:p>
      <w:pPr>
        <w:spacing w:after="0" w:line="84" w:lineRule="exact"/>
        <w:rPr>
          <w:sz w:val="20"/>
          <w:szCs w:val="20"/>
          <w:color w:val="auto"/>
        </w:rPr>
      </w:pPr>
    </w:p>
    <w:p>
      <w:pPr>
        <w:ind w:right="400" w:firstLine="438"/>
        <w:spacing w:after="0" w:line="290" w:lineRule="auto"/>
        <w:rPr>
          <w:sz w:val="20"/>
          <w:szCs w:val="20"/>
          <w:color w:val="auto"/>
        </w:rPr>
      </w:pPr>
      <w:r>
        <w:rPr>
          <w:rFonts w:ascii="Arial" w:cs="Arial" w:eastAsia="Arial" w:hAnsi="Arial"/>
          <w:sz w:val="13"/>
          <w:szCs w:val="13"/>
          <w:color w:val="auto"/>
        </w:rPr>
        <w:t>In May 2017, we and a subsidiary of Kemper Corporation (NYSE: KMPR), Trinity Universal Insurance Company, or Kemper, formed PSSL, an unconsolidated joint venture. PSSL invests primarily in middle-market and other corporate debt securities consistent with our strategy. PSSL was formed as a Delaware limited liability company. See Note 4.</w:t>
      </w:r>
    </w:p>
    <w:p>
      <w:pPr>
        <w:spacing w:after="0" w:line="84" w:lineRule="exact"/>
        <w:rPr>
          <w:sz w:val="20"/>
          <w:szCs w:val="20"/>
          <w:color w:val="auto"/>
        </w:rPr>
      </w:pPr>
    </w:p>
    <w:p>
      <w:pPr>
        <w:ind w:right="180" w:firstLine="438"/>
        <w:spacing w:after="0" w:line="233" w:lineRule="auto"/>
        <w:rPr>
          <w:sz w:val="20"/>
          <w:szCs w:val="20"/>
          <w:color w:val="auto"/>
        </w:rPr>
      </w:pPr>
      <w:r>
        <w:rPr>
          <w:rFonts w:ascii="Arial" w:cs="Arial" w:eastAsia="Arial" w:hAnsi="Arial"/>
          <w:sz w:val="14"/>
          <w:szCs w:val="14"/>
          <w:color w:val="auto"/>
        </w:rPr>
        <w:t>In November 2017, we issued $138.6 million of our 2023 Notes. The principal on the 2023 Notes will be payable in four annual installments as follows: 15% of the original principal amount on December 15, 2020, 15% of the original principal amount on December 15, 2021, 15% of the original principal amount on December 15, 2022 and 55% on December 15, 2023. The 2023 Notes are general, unsecured obligations and rank equal in right of payment with all of our existing and future senior unsecured indebtedness. The 2023 Notes are listed on the Tel Aviv Stock Exchange, or the TASE. In connection with this offering, we have dual listed our common stock on the TASE.</w:t>
      </w:r>
    </w:p>
    <w:p>
      <w:pPr>
        <w:spacing w:after="0" w:line="117" w:lineRule="exact"/>
        <w:rPr>
          <w:sz w:val="20"/>
          <w:szCs w:val="20"/>
          <w:color w:val="auto"/>
        </w:rPr>
      </w:pPr>
    </w:p>
    <w:p>
      <w:pPr>
        <w:ind w:right="140" w:firstLine="438"/>
        <w:spacing w:after="0" w:line="231" w:lineRule="auto"/>
        <w:rPr>
          <w:sz w:val="20"/>
          <w:szCs w:val="20"/>
          <w:color w:val="auto"/>
        </w:rPr>
      </w:pPr>
      <w:r>
        <w:rPr>
          <w:rFonts w:ascii="Arial" w:cs="Arial" w:eastAsia="Arial" w:hAnsi="Arial"/>
          <w:sz w:val="14"/>
          <w:szCs w:val="14"/>
          <w:color w:val="auto"/>
        </w:rPr>
        <w:t>In September 2019, the Securitization Issuers completed the Debt Securitization. The 2031 Asset-Backed Debt is secured by a diversified portfolio of the Securitization Issuer consisting primarily of middle market loans and participation interests in middle market loans. The 2031 Asset-Backed Debt is scheduled to mature on October 15, 2031. On the closing date of the Debt Securitization, in consideration of our transfer to the Securitization Issuer of the initial closing date loan portfolio, which included loans distributed to us by certain of our wholly owned subsidiaries, the Securitization Issuer transferred to us 100% of the Preferred Shares of the Securitization Issuer, 100% of the Class D Secured Deferrable Floating Rate Notes issued by the Securitization Issuer, and a portion of the net cash proceeds received from the sale of the 2031 Asset-Backed Debt. See Note 10.</w:t>
      </w:r>
    </w:p>
    <w:p>
      <w:pPr>
        <w:spacing w:after="0" w:line="49" w:lineRule="exact"/>
        <w:rPr>
          <w:sz w:val="20"/>
          <w:szCs w:val="20"/>
          <w:color w:val="auto"/>
        </w:rPr>
      </w:pPr>
    </w:p>
    <w:p>
      <w:pPr>
        <w:ind w:right="20" w:firstLine="438"/>
        <w:spacing w:after="0" w:line="253" w:lineRule="auto"/>
        <w:rPr>
          <w:sz w:val="20"/>
          <w:szCs w:val="20"/>
          <w:color w:val="auto"/>
        </w:rPr>
      </w:pPr>
      <w:r>
        <w:rPr>
          <w:rFonts w:ascii="Arial" w:cs="Arial" w:eastAsia="Arial" w:hAnsi="Arial"/>
          <w:sz w:val="14"/>
          <w:szCs w:val="14"/>
          <w:color w:val="auto"/>
        </w:rPr>
        <w:t>We are operated by a person who has claimed an exclusion from the definition of the term “commodity pool operator” under the Commodity Exchange Act and, therefore, is not subject to registration or regulation as a commodity pool operator under the Commodity Exchange Act.</w:t>
      </w:r>
    </w:p>
    <w:p>
      <w:pPr>
        <w:spacing w:after="0" w:line="3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2. SIGNIFICANT ACCOUNTING POLICIES</w:t>
      </w:r>
    </w:p>
    <w:p>
      <w:pPr>
        <w:spacing w:after="0" w:line="140" w:lineRule="exact"/>
        <w:rPr>
          <w:sz w:val="20"/>
          <w:szCs w:val="20"/>
          <w:color w:val="auto"/>
        </w:rPr>
      </w:pPr>
    </w:p>
    <w:p>
      <w:pPr>
        <w:ind w:right="60" w:firstLine="438"/>
        <w:spacing w:after="0" w:line="247" w:lineRule="auto"/>
        <w:rPr>
          <w:sz w:val="20"/>
          <w:szCs w:val="20"/>
          <w:color w:val="auto"/>
        </w:rPr>
      </w:pPr>
      <w:r>
        <w:rPr>
          <w:rFonts w:ascii="Arial" w:cs="Arial" w:eastAsia="Arial" w:hAnsi="Arial"/>
          <w:sz w:val="13"/>
          <w:szCs w:val="13"/>
          <w:color w:val="auto"/>
        </w:rPr>
        <w:t>The preparation of our Consolidated Financial Statements in conformity with U.S. generally accepted accounting principles, or GAAP, requires management to make estimates and assumptions that affect the reported amount of our assets and liabilities at the date of the Consolidated Financial Statements and the reported amounts of income and expenses during the reported periods. In the opinion of management, all adjustments, which are of a normal recurring nature, considered necessary for the fair presentation of financial statements have been included. Actual results could differ from these estimates due to changes in the economic and regulatory environment, financial markets and any other parameters used in determining such estimates and assumptions. We may reclassify certain prior period amounts to conform to the current period presentation. We have eliminated all intercompany balances and transactions. References to the Financial Accounting Standards Board’s, or FASB’s, Accounting Standards Codification, as amended, or ASC, serve as a single source of accounting literature. Subsequent events are evaluated and disclosed as appropriate for events occurring through the date the Consolidated Financial Statements are issued.</w:t>
      </w:r>
    </w:p>
    <w:p>
      <w:pPr>
        <w:spacing w:after="0" w:line="111" w:lineRule="exact"/>
        <w:rPr>
          <w:sz w:val="20"/>
          <w:szCs w:val="20"/>
          <w:color w:val="auto"/>
        </w:rPr>
      </w:pPr>
    </w:p>
    <w:p>
      <w:pPr>
        <w:ind w:right="280" w:firstLine="438"/>
        <w:spacing w:after="0" w:line="238" w:lineRule="auto"/>
        <w:rPr>
          <w:sz w:val="20"/>
          <w:szCs w:val="20"/>
          <w:color w:val="auto"/>
        </w:rPr>
      </w:pPr>
      <w:r>
        <w:rPr>
          <w:rFonts w:ascii="Arial" w:cs="Arial" w:eastAsia="Arial" w:hAnsi="Arial"/>
          <w:sz w:val="14"/>
          <w:szCs w:val="14"/>
          <w:color w:val="auto"/>
        </w:rPr>
        <w:t>Our Consolidated Financial Statements are prepared in accordance with GAAP, consistent with ASC Topic 946, Financial Services – Investment Companies, and pursuant to the requirements for reporting on Form 10-K/Q and Articles 6, 10 and 12 of Regulation S-X, as appropriate. In accordance with Article 6-09 of Regulation S-X, we have provided a Consolidated Statement of Changes in Net Assets in lieu of a Consolidated Statement of Changes in Stockholders’ Equity.</w:t>
      </w:r>
    </w:p>
    <w:p>
      <w:pPr>
        <w:spacing w:after="0" w:line="115" w:lineRule="exact"/>
        <w:rPr>
          <w:sz w:val="20"/>
          <w:szCs w:val="20"/>
          <w:color w:val="auto"/>
        </w:rPr>
      </w:pPr>
    </w:p>
    <w:p>
      <w:pPr>
        <w:ind w:left="440"/>
        <w:spacing w:after="0"/>
        <w:rPr>
          <w:sz w:val="20"/>
          <w:szCs w:val="20"/>
          <w:color w:val="auto"/>
        </w:rPr>
      </w:pPr>
      <w:r>
        <w:rPr>
          <w:rFonts w:ascii="Arial" w:cs="Arial" w:eastAsia="Arial" w:hAnsi="Arial"/>
          <w:sz w:val="14"/>
          <w:szCs w:val="14"/>
          <w:color w:val="auto"/>
        </w:rPr>
        <w:t>Our significant accounting policies consistently applied are as follows:</w:t>
      </w:r>
    </w:p>
    <w:p>
      <w:pPr>
        <w:spacing w:after="0" w:line="136"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(a) Investment Valuations</w:t>
      </w:r>
    </w:p>
    <w:p>
      <w:pPr>
        <w:spacing w:after="0" w:line="136" w:lineRule="exact"/>
        <w:rPr>
          <w:sz w:val="20"/>
          <w:szCs w:val="20"/>
          <w:color w:val="auto"/>
        </w:rPr>
      </w:pPr>
    </w:p>
    <w:p>
      <w:pPr>
        <w:ind w:firstLine="438"/>
        <w:spacing w:after="0" w:line="229" w:lineRule="auto"/>
        <w:rPr>
          <w:sz w:val="20"/>
          <w:szCs w:val="20"/>
          <w:color w:val="auto"/>
        </w:rPr>
      </w:pPr>
      <w:r>
        <w:rPr>
          <w:rFonts w:ascii="Arial" w:cs="Arial" w:eastAsia="Arial" w:hAnsi="Arial"/>
          <w:sz w:val="14"/>
          <w:szCs w:val="14"/>
          <w:color w:val="auto"/>
        </w:rPr>
        <w:t>We expect that there may not be readily available market values for many of the investments, which are or will be in our portfolio, and we value such investments at fair value as determined in good faith by or under the direction of our board of directors using a documented valuation policy and a consistently applied valuation process, as described in this Report. With respect to investments for which there is no readily available market value, the factors that the board of directors may take into account in pricing our investments at fair value include, as relevant, the nature and realizable value of any collateral, the portfolio company’s ability to make payments and its earnings and discounted cash flow, the markets in which the portfolio company does business, comparison to publicly traded securities and other relevant factors. When an external event such as a purchase transaction, public offering or subsequent equity sale occurs, we consider the pricing indicated by the external event to corroborate or revise our</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265" w:right="339" w:bottom="1440" w:gutter="0" w:footer="0" w:header="0"/>
        </w:sectPr>
      </w:pPr>
    </w:p>
    <w:bookmarkStart w:id="16" w:name="page17"/>
    <w:bookmarkEnd w:id="16"/>
    <w:p>
      <w:pPr>
        <w:ind w:right="220"/>
        <w:spacing w:after="0" w:line="253" w:lineRule="auto"/>
        <w:rPr>
          <w:sz w:val="20"/>
          <w:szCs w:val="20"/>
          <w:color w:val="auto"/>
        </w:rPr>
      </w:pPr>
      <w:r>
        <w:rPr>
          <w:rFonts w:ascii="Arial" w:cs="Arial" w:eastAsia="Arial" w:hAnsi="Arial"/>
          <w:sz w:val="14"/>
          <w:szCs w:val="14"/>
          <w:color w:val="auto"/>
        </w:rPr>
        <w:t>valuation. Due to the inherent uncertainty of determining the fair value of investments that do not have a readily available market value, the price used in an actual transaction may be different than our valuation and the difference may be material. See Note 5.</w:t>
      </w:r>
    </w:p>
    <w:p>
      <w:pPr>
        <w:spacing w:after="0" w:line="255" w:lineRule="exact"/>
        <w:rPr>
          <w:sz w:val="20"/>
          <w:szCs w:val="20"/>
          <w:color w:val="auto"/>
        </w:rPr>
      </w:pPr>
    </w:p>
    <w:p>
      <w:pPr>
        <w:ind w:right="380" w:firstLine="438"/>
        <w:spacing w:after="0" w:line="290" w:lineRule="auto"/>
        <w:rPr>
          <w:sz w:val="20"/>
          <w:szCs w:val="20"/>
          <w:color w:val="auto"/>
        </w:rPr>
      </w:pPr>
      <w:r>
        <w:rPr>
          <w:rFonts w:ascii="Arial" w:cs="Arial" w:eastAsia="Arial" w:hAnsi="Arial"/>
          <w:sz w:val="13"/>
          <w:szCs w:val="13"/>
          <w:color w:val="auto"/>
        </w:rPr>
        <w:t>Our portfolio generally consists of illiquid securities, including debt and equity investments. With respect to investments for which market quotations are not readily available, or for which market quotations are deemed not reflective of the fair value, our board of directors undertakes a multi-step valuation process each quarter, as described below:</w:t>
      </w:r>
    </w:p>
    <w:p>
      <w:pPr>
        <w:spacing w:after="0" w:line="84" w:lineRule="exact"/>
        <w:rPr>
          <w:sz w:val="20"/>
          <w:szCs w:val="20"/>
          <w:color w:val="auto"/>
        </w:rPr>
      </w:pPr>
    </w:p>
    <w:p>
      <w:pPr>
        <w:ind w:left="800" w:right="420" w:hanging="360"/>
        <w:spacing w:after="0" w:line="253" w:lineRule="auto"/>
        <w:tabs>
          <w:tab w:leader="none" w:pos="800" w:val="left"/>
        </w:tabs>
        <w:numPr>
          <w:ilvl w:val="0"/>
          <w:numId w:val="5"/>
        </w:numPr>
        <w:rPr>
          <w:rFonts w:ascii="Arial" w:cs="Arial" w:eastAsia="Arial" w:hAnsi="Arial"/>
          <w:sz w:val="14"/>
          <w:szCs w:val="14"/>
          <w:color w:val="auto"/>
        </w:rPr>
      </w:pPr>
      <w:r>
        <w:rPr>
          <w:rFonts w:ascii="Arial" w:cs="Arial" w:eastAsia="Arial" w:hAnsi="Arial"/>
          <w:sz w:val="14"/>
          <w:szCs w:val="14"/>
          <w:color w:val="auto"/>
        </w:rPr>
        <w:t>Our quarterly valuation process begins with each portfolio company or investment being initially valued by the investment professionals of the Investment Adviser responsible for the portfolio investment;</w:t>
      </w:r>
    </w:p>
    <w:p>
      <w:pPr>
        <w:spacing w:after="0" w:line="106" w:lineRule="exact"/>
        <w:rPr>
          <w:rFonts w:ascii="Arial" w:cs="Arial" w:eastAsia="Arial" w:hAnsi="Arial"/>
          <w:sz w:val="14"/>
          <w:szCs w:val="14"/>
          <w:color w:val="auto"/>
        </w:rPr>
      </w:pPr>
    </w:p>
    <w:p>
      <w:pPr>
        <w:ind w:left="800" w:hanging="360"/>
        <w:spacing w:after="0"/>
        <w:tabs>
          <w:tab w:leader="none" w:pos="800" w:val="left"/>
        </w:tabs>
        <w:numPr>
          <w:ilvl w:val="0"/>
          <w:numId w:val="5"/>
        </w:numPr>
        <w:rPr>
          <w:rFonts w:ascii="Arial" w:cs="Arial" w:eastAsia="Arial" w:hAnsi="Arial"/>
          <w:sz w:val="14"/>
          <w:szCs w:val="14"/>
          <w:color w:val="auto"/>
        </w:rPr>
      </w:pPr>
      <w:r>
        <w:rPr>
          <w:rFonts w:ascii="Arial" w:cs="Arial" w:eastAsia="Arial" w:hAnsi="Arial"/>
          <w:sz w:val="14"/>
          <w:szCs w:val="14"/>
          <w:color w:val="auto"/>
        </w:rPr>
        <w:t>Preliminary valuation conclusions are then documented and discussed with the management of the Investment Adviser;</w:t>
      </w:r>
    </w:p>
    <w:p>
      <w:pPr>
        <w:spacing w:after="0" w:line="136" w:lineRule="exact"/>
        <w:rPr>
          <w:rFonts w:ascii="Arial" w:cs="Arial" w:eastAsia="Arial" w:hAnsi="Arial"/>
          <w:sz w:val="14"/>
          <w:szCs w:val="14"/>
          <w:color w:val="auto"/>
        </w:rPr>
      </w:pPr>
    </w:p>
    <w:p>
      <w:pPr>
        <w:jc w:val="both"/>
        <w:ind w:left="800" w:right="180" w:hanging="360"/>
        <w:spacing w:after="0" w:line="264" w:lineRule="auto"/>
        <w:tabs>
          <w:tab w:leader="none" w:pos="800" w:val="left"/>
        </w:tabs>
        <w:numPr>
          <w:ilvl w:val="0"/>
          <w:numId w:val="5"/>
        </w:numPr>
        <w:rPr>
          <w:rFonts w:ascii="Arial" w:cs="Arial" w:eastAsia="Arial" w:hAnsi="Arial"/>
          <w:sz w:val="13"/>
          <w:szCs w:val="13"/>
          <w:color w:val="auto"/>
        </w:rPr>
      </w:pPr>
      <w:r>
        <w:rPr>
          <w:rFonts w:ascii="Arial" w:cs="Arial" w:eastAsia="Arial" w:hAnsi="Arial"/>
          <w:sz w:val="13"/>
          <w:szCs w:val="13"/>
          <w:color w:val="auto"/>
        </w:rPr>
        <w:t>Our board of directors also engages independent valuation firms to conduct independent appraisals of our investments for which market quotations are not readily available or are readily available but deemed not reflective of the fair value of the investment. The independent valuation firms review management’s preliminary valuations in light of their own independent assessment and also in light of any market quotations obtained from an independent pricing service, broker, dealer or market maker;</w:t>
      </w:r>
    </w:p>
    <w:p>
      <w:pPr>
        <w:spacing w:after="0" w:line="100" w:lineRule="exact"/>
        <w:rPr>
          <w:rFonts w:ascii="Arial" w:cs="Arial" w:eastAsia="Arial" w:hAnsi="Arial"/>
          <w:sz w:val="13"/>
          <w:szCs w:val="13"/>
          <w:color w:val="auto"/>
        </w:rPr>
      </w:pPr>
    </w:p>
    <w:p>
      <w:pPr>
        <w:ind w:left="800" w:right="60" w:hanging="360"/>
        <w:spacing w:after="0" w:line="238" w:lineRule="auto"/>
        <w:tabs>
          <w:tab w:leader="none" w:pos="800" w:val="left"/>
        </w:tabs>
        <w:numPr>
          <w:ilvl w:val="0"/>
          <w:numId w:val="5"/>
        </w:numPr>
        <w:rPr>
          <w:rFonts w:ascii="Arial" w:cs="Arial" w:eastAsia="Arial" w:hAnsi="Arial"/>
          <w:sz w:val="14"/>
          <w:szCs w:val="14"/>
          <w:color w:val="auto"/>
        </w:rPr>
      </w:pPr>
      <w:r>
        <w:rPr>
          <w:rFonts w:ascii="Arial" w:cs="Arial" w:eastAsia="Arial" w:hAnsi="Arial"/>
          <w:sz w:val="14"/>
          <w:szCs w:val="14"/>
          <w:color w:val="auto"/>
        </w:rPr>
        <w:t>The audit committee of our board of directors reviews the preliminary valuations of the Investment Adviser and those of the independent valuation firms on a quarterly basis, periodically assesses the valuation methodologies of the independent valuation firms, and responds to and supplements the valuation recommendations of the independent valuation firms to reflect any comments; and</w:t>
      </w:r>
    </w:p>
    <w:p>
      <w:pPr>
        <w:spacing w:after="0" w:line="115" w:lineRule="exact"/>
        <w:rPr>
          <w:rFonts w:ascii="Arial" w:cs="Arial" w:eastAsia="Arial" w:hAnsi="Arial"/>
          <w:sz w:val="14"/>
          <w:szCs w:val="14"/>
          <w:color w:val="auto"/>
        </w:rPr>
      </w:pPr>
    </w:p>
    <w:p>
      <w:pPr>
        <w:ind w:left="800" w:right="200" w:hanging="360"/>
        <w:spacing w:after="0" w:line="253" w:lineRule="auto"/>
        <w:tabs>
          <w:tab w:leader="none" w:pos="800" w:val="left"/>
        </w:tabs>
        <w:numPr>
          <w:ilvl w:val="0"/>
          <w:numId w:val="5"/>
        </w:numPr>
        <w:rPr>
          <w:rFonts w:ascii="Arial" w:cs="Arial" w:eastAsia="Arial" w:hAnsi="Arial"/>
          <w:sz w:val="14"/>
          <w:szCs w:val="14"/>
          <w:color w:val="auto"/>
        </w:rPr>
      </w:pPr>
      <w:r>
        <w:rPr>
          <w:rFonts w:ascii="Arial" w:cs="Arial" w:eastAsia="Arial" w:hAnsi="Arial"/>
          <w:sz w:val="14"/>
          <w:szCs w:val="14"/>
          <w:color w:val="auto"/>
        </w:rPr>
        <w:t>Our board of directors discusses these valuations and determines the fair value of each investment in our portfolio in good faith, based on the input of our Investment Adviser, the respective independent valuation firms and the audit committee.</w:t>
      </w:r>
    </w:p>
    <w:p>
      <w:pPr>
        <w:spacing w:after="0" w:line="106" w:lineRule="exact"/>
        <w:rPr>
          <w:sz w:val="20"/>
          <w:szCs w:val="20"/>
          <w:color w:val="auto"/>
        </w:rPr>
      </w:pPr>
    </w:p>
    <w:p>
      <w:pPr>
        <w:ind w:right="40" w:firstLine="438"/>
        <w:spacing w:after="0" w:line="255" w:lineRule="auto"/>
        <w:rPr>
          <w:sz w:val="20"/>
          <w:szCs w:val="20"/>
          <w:color w:val="auto"/>
        </w:rPr>
      </w:pPr>
      <w:r>
        <w:rPr>
          <w:rFonts w:ascii="Arial" w:cs="Arial" w:eastAsia="Arial" w:hAnsi="Arial"/>
          <w:sz w:val="13"/>
          <w:szCs w:val="13"/>
          <w:color w:val="auto"/>
        </w:rPr>
        <w:t>Our board of directors generally uses market quotations to assess the value of our investments for which market quotations are readily available. We obtain these market values from independent pricing services or at the bid prices obtained from at least two brokers or dealers, if available, or otherwise from a principal market maker or a primary market dealer. The Investment Adviser assesses the source and reliability of bids from brokers or dealers. If the board of directors has a bona fide reason to believe any such market quote does not reflect the fair value of an investment, it may independently value such investments by using the valuation procedure that it uses with respect to assets for which market quotations are not readily available.</w:t>
      </w:r>
    </w:p>
    <w:p>
      <w:pPr>
        <w:spacing w:after="0" w:line="107"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(b) Security Transactions, Revenue Recognition, and Realized/Unrealized Gains or Losses</w:t>
      </w:r>
    </w:p>
    <w:p>
      <w:pPr>
        <w:spacing w:after="0" w:line="136" w:lineRule="exact"/>
        <w:rPr>
          <w:sz w:val="20"/>
          <w:szCs w:val="20"/>
          <w:color w:val="auto"/>
        </w:rPr>
      </w:pPr>
    </w:p>
    <w:p>
      <w:pPr>
        <w:ind w:right="80" w:firstLine="438"/>
        <w:spacing w:after="0" w:line="233" w:lineRule="auto"/>
        <w:rPr>
          <w:sz w:val="20"/>
          <w:szCs w:val="20"/>
          <w:color w:val="auto"/>
        </w:rPr>
      </w:pPr>
      <w:r>
        <w:rPr>
          <w:rFonts w:ascii="Arial" w:cs="Arial" w:eastAsia="Arial" w:hAnsi="Arial"/>
          <w:sz w:val="14"/>
          <w:szCs w:val="14"/>
          <w:color w:val="auto"/>
        </w:rPr>
        <w:t>Security transactions are recorded on a trade-date basis. We measure realized gains or losses by the difference between the net proceeds from the repayment or sale and the amortized cost basis of the investment, using the specific identification method, without regard to unrealized appreciation or depreciation previously recognized, but considering prepayment penalties. Net change in unrealized appreciation or depreciation reflects, as applicable, the change in the fair values of our portfolio investments, the Credit Facility and the 2023 Notes during the reporting period, including any reversal of previously recorded unrealized appreciation or depreciation, when gains or losses are realized.</w:t>
      </w:r>
    </w:p>
    <w:p>
      <w:pPr>
        <w:spacing w:after="0" w:line="117" w:lineRule="exact"/>
        <w:rPr>
          <w:sz w:val="20"/>
          <w:szCs w:val="20"/>
          <w:color w:val="auto"/>
        </w:rPr>
      </w:pPr>
    </w:p>
    <w:p>
      <w:pPr>
        <w:ind w:right="100" w:firstLine="438"/>
        <w:spacing w:after="0" w:line="245" w:lineRule="auto"/>
        <w:rPr>
          <w:sz w:val="20"/>
          <w:szCs w:val="20"/>
          <w:color w:val="auto"/>
        </w:rPr>
      </w:pPr>
      <w:r>
        <w:rPr>
          <w:rFonts w:ascii="Arial" w:cs="Arial" w:eastAsia="Arial" w:hAnsi="Arial"/>
          <w:sz w:val="13"/>
          <w:szCs w:val="13"/>
          <w:color w:val="auto"/>
        </w:rPr>
        <w:t>We record interest income on an accrual basis to the extent that we expect to collect such amounts. For loans and debt investments with contractual PIK interest, which represents interest accrued and added to the loan balance that generally becomes due at maturity, we will generally not accrue PIK interest when the portfolio company valuation indicates that such PIK interest is not collectable. We do not accrue as a receivable interest on loans and debt investments if we have reason to doubt our ability to collect such interest. Loan origination fees, original issue discount, or OID, market discount or premium and deferred financing costs on liabilities, which we do not fair value, are capitalized and then accreted or amortized using the effective interest method as interest income or, in the case of deferred financing costs, as interest expense. We record prepayment penalties earned on loans and debt investments as income. Dividend income, if any, is recognized on an accrual basis on the ex-dividend date to the extent that we expect to collect such amounts. From time to time, the Company receives certain fees from portfolio companies, which are non-recurring in nature. Such fees include loan prepayment penalties, structuring fees and amendment fees, and are recorded as other investment income when earned. Litigation settlements are accounted for in accordance with the gain contingency provisions of ASC Subtopic 450-30, Gain Contingencies, or ASC 450-30.</w:t>
      </w:r>
    </w:p>
    <w:p>
      <w:pPr>
        <w:spacing w:after="0" w:line="116" w:lineRule="exact"/>
        <w:rPr>
          <w:sz w:val="20"/>
          <w:szCs w:val="20"/>
          <w:color w:val="auto"/>
        </w:rPr>
      </w:pPr>
    </w:p>
    <w:p>
      <w:pPr>
        <w:ind w:right="340" w:firstLine="438"/>
        <w:spacing w:after="0" w:line="255" w:lineRule="auto"/>
        <w:rPr>
          <w:sz w:val="20"/>
          <w:szCs w:val="20"/>
          <w:color w:val="auto"/>
        </w:rPr>
      </w:pPr>
      <w:r>
        <w:rPr>
          <w:rFonts w:ascii="Arial" w:cs="Arial" w:eastAsia="Arial" w:hAnsi="Arial"/>
          <w:sz w:val="13"/>
          <w:szCs w:val="13"/>
          <w:color w:val="auto"/>
        </w:rPr>
        <w:t>Loans are placed on non-accrual status when principal or interest payments are past due 30 days or more and/or if there is reasonable doubt that principal or interest will be collected. Accrued interest is generally reversed when a loan is placed on non-accrual status. Interest payments received on non-accrual loans may be recognized as income or applied to principal depending upon management’s judgment. Non-accrual loans are restored to accrual status when past due principal and interest is paid and, in management’s judgment, are likely to remain current. As of December 31, 2019, we had one portfolio company on non-accrual, representing 0.4% and zero of our overall portfolio on a cost and fair value basis, respectively.</w:t>
      </w:r>
    </w:p>
    <w:p>
      <w:pPr>
        <w:spacing w:after="0" w:line="107"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(c) Income Taxes</w:t>
      </w:r>
    </w:p>
    <w:p>
      <w:pPr>
        <w:spacing w:after="0" w:line="136" w:lineRule="exact"/>
        <w:rPr>
          <w:sz w:val="20"/>
          <w:szCs w:val="20"/>
          <w:color w:val="auto"/>
        </w:rPr>
      </w:pPr>
    </w:p>
    <w:p>
      <w:pPr>
        <w:ind w:firstLine="438"/>
        <w:spacing w:after="0" w:line="248" w:lineRule="auto"/>
        <w:rPr>
          <w:sz w:val="20"/>
          <w:szCs w:val="20"/>
          <w:color w:val="auto"/>
        </w:rPr>
      </w:pPr>
      <w:r>
        <w:rPr>
          <w:rFonts w:ascii="Arial" w:cs="Arial" w:eastAsia="Arial" w:hAnsi="Arial"/>
          <w:sz w:val="13"/>
          <w:szCs w:val="13"/>
          <w:color w:val="auto"/>
        </w:rPr>
        <w:t>We have complied with the requirements of Subchapter M of the Code and have qualified to be treated as a RIC for federal income tax purposes. In this regard, we account for income taxes using the asset and liability method prescribed by ASC Topic 740, Income Taxes, or ASC 740. Under this method, income taxes are provided for amounts currently payable and for amounts deferred as tax assets and liabilities based on differences between the financial statement carrying amounts and the tax basis of existing assets and liabilities. Based upon our qualification and election to be treated as a RIC for U.S. federal income tax purposes, we typically do not incur material U.S. federal income taxes. However, we may choose to retain a portion of our calendar year income, which may result in the imposition of a U.S. federal excise tax, or we may incur taxes through our taxable subsidiaries, including the Taxable Subsidiary. For the three months ended December 31, 2019 and 2018, we recorded a provision for taxes of $0.1 million and zero, respectively, pertaining to U.S. federal excise tax.</w:t>
      </w:r>
    </w:p>
    <w:p>
      <w:pPr>
        <w:spacing w:after="0" w:line="113" w:lineRule="exact"/>
        <w:rPr>
          <w:sz w:val="20"/>
          <w:szCs w:val="20"/>
          <w:color w:val="auto"/>
        </w:rPr>
      </w:pPr>
    </w:p>
    <w:p>
      <w:pPr>
        <w:jc w:val="both"/>
        <w:ind w:right="220" w:firstLine="438"/>
        <w:spacing w:after="0" w:line="248" w:lineRule="auto"/>
        <w:rPr>
          <w:sz w:val="20"/>
          <w:szCs w:val="20"/>
          <w:color w:val="auto"/>
        </w:rPr>
      </w:pPr>
      <w:r>
        <w:rPr>
          <w:rFonts w:ascii="Arial" w:cs="Arial" w:eastAsia="Arial" w:hAnsi="Arial"/>
          <w:sz w:val="13"/>
          <w:szCs w:val="13"/>
          <w:color w:val="auto"/>
        </w:rPr>
        <w:t>We recognize the effect of a tax position in our Consolidated Financial Statements in accordance with ASC 740 when it is more likely than not, based on the technical merits, that the position will be sustained upon examination by the applicable tax authority. Tax positions not considered to satisfy the “more-likely-than-not” threshold would be recorded as a tax expense or benefit. Penalties or interest, if applicable, that may be assessed relating to income taxes would be classified as other operating expenses in the financial statements. There were no tax accruals relating to uncertain tax positions and no amounts accrued for any related interest or penalties with respect to the periods presented herein. The Company’s determinations regarding ASC 740 may be subject to review and adjustment at a later date based upon factors including, but not limited to, an on-going analysis of tax laws, regulations and interpretations thereof. Although the Company files both federal and state income tax returns, the Company’s major tax jurisdiction is federal.</w:t>
      </w:r>
    </w:p>
    <w:p>
      <w:pPr>
        <w:spacing w:after="0" w:line="113" w:lineRule="exact"/>
        <w:rPr>
          <w:sz w:val="20"/>
          <w:szCs w:val="20"/>
          <w:color w:val="auto"/>
        </w:rPr>
      </w:pPr>
    </w:p>
    <w:p>
      <w:pPr>
        <w:ind w:right="320" w:firstLine="438"/>
        <w:spacing w:after="0" w:line="253" w:lineRule="auto"/>
        <w:rPr>
          <w:sz w:val="20"/>
          <w:szCs w:val="20"/>
          <w:color w:val="auto"/>
        </w:rPr>
      </w:pPr>
      <w:r>
        <w:rPr>
          <w:rFonts w:ascii="Arial" w:cs="Arial" w:eastAsia="Arial" w:hAnsi="Arial"/>
          <w:sz w:val="14"/>
          <w:szCs w:val="14"/>
          <w:color w:val="auto"/>
        </w:rPr>
        <w:t>Because U.S. federal income tax regulations differ from GAAP, distributions characterized in accordance with tax regulations may differ from net investment income and net realized gains recognized for financial reporting purposes. Differences between tax regulations and GAAP may be permanent or temporary. Permanent differences</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269" w:right="339" w:bottom="1440" w:gutter="0" w:footer="0" w:header="0"/>
        </w:sectPr>
      </w:pPr>
    </w:p>
    <w:bookmarkStart w:id="17" w:name="page18"/>
    <w:bookmarkEnd w:id="17"/>
    <w:p>
      <w:pPr>
        <w:jc w:val="center"/>
        <w:ind w:right="-19"/>
        <w:spacing w:after="0"/>
        <w:rPr>
          <w:sz w:val="20"/>
          <w:szCs w:val="20"/>
          <w:color w:val="auto"/>
        </w:rPr>
      </w:pPr>
      <w:r>
        <w:rPr>
          <w:rFonts w:ascii="Arial" w:cs="Arial" w:eastAsia="Arial" w:hAnsi="Arial"/>
          <w:sz w:val="14"/>
          <w:szCs w:val="14"/>
          <w:b w:val="1"/>
          <w:bCs w:val="1"/>
          <w:color w:val="auto"/>
        </w:rPr>
        <w:t>PENNANTPARK FLOATING RATE CAPITAL LTD. AND SUBSIDIARIES</w:t>
      </w:r>
    </w:p>
    <w:p>
      <w:pPr>
        <w:jc w:val="center"/>
        <w:ind w:right="-19"/>
        <w:spacing w:after="0" w:line="225" w:lineRule="auto"/>
        <w:rPr>
          <w:sz w:val="20"/>
          <w:szCs w:val="20"/>
          <w:color w:val="auto"/>
        </w:rPr>
      </w:pPr>
      <w:r>
        <w:rPr>
          <w:rFonts w:ascii="Arial" w:cs="Arial" w:eastAsia="Arial" w:hAnsi="Arial"/>
          <w:sz w:val="14"/>
          <w:szCs w:val="14"/>
          <w:b w:val="1"/>
          <w:bCs w:val="1"/>
          <w:color w:val="auto"/>
        </w:rPr>
        <w:t>NOTES TO CONSOLIDATED FINANCIAL STATEMENTS-(Continued)</w:t>
      </w:r>
    </w:p>
    <w:p>
      <w:pPr>
        <w:jc w:val="center"/>
        <w:ind w:right="-19"/>
        <w:spacing w:after="0" w:line="221" w:lineRule="auto"/>
        <w:rPr>
          <w:sz w:val="20"/>
          <w:szCs w:val="20"/>
          <w:color w:val="auto"/>
        </w:rPr>
      </w:pPr>
      <w:r>
        <w:rPr>
          <w:rFonts w:ascii="Arial" w:cs="Arial" w:eastAsia="Arial" w:hAnsi="Arial"/>
          <w:sz w:val="14"/>
          <w:szCs w:val="14"/>
          <w:b w:val="1"/>
          <w:bCs w:val="1"/>
          <w:color w:val="auto"/>
        </w:rPr>
        <w:t>DECEMBER 31, 2019</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(Unaudited)</w:t>
      </w:r>
    </w:p>
    <w:p>
      <w:pPr>
        <w:spacing w:after="0" w:line="124" w:lineRule="exact"/>
        <w:rPr>
          <w:sz w:val="20"/>
          <w:szCs w:val="20"/>
          <w:color w:val="auto"/>
        </w:rPr>
      </w:pPr>
    </w:p>
    <w:p>
      <w:pPr>
        <w:ind w:right="60"/>
        <w:spacing w:after="0" w:line="253" w:lineRule="auto"/>
        <w:rPr>
          <w:sz w:val="20"/>
          <w:szCs w:val="20"/>
          <w:color w:val="auto"/>
        </w:rPr>
      </w:pPr>
      <w:r>
        <w:rPr>
          <w:rFonts w:ascii="Arial" w:cs="Arial" w:eastAsia="Arial" w:hAnsi="Arial"/>
          <w:sz w:val="14"/>
          <w:szCs w:val="14"/>
          <w:color w:val="auto"/>
        </w:rPr>
        <w:t>are reclassified among capital accounts in the Consolidated Financial Statements to reflect their tax character. Temporary differences arise when certain items of income, expense, gain or loss are recognized at some time in the future.</w:t>
      </w:r>
    </w:p>
    <w:p>
      <w:pPr>
        <w:spacing w:after="0" w:line="106"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(d) Distributions and Capital Transactions</w:t>
      </w:r>
    </w:p>
    <w:p>
      <w:pPr>
        <w:spacing w:after="0" w:line="136" w:lineRule="exact"/>
        <w:rPr>
          <w:sz w:val="20"/>
          <w:szCs w:val="20"/>
          <w:color w:val="auto"/>
        </w:rPr>
      </w:pPr>
    </w:p>
    <w:p>
      <w:pPr>
        <w:ind w:right="100" w:firstLine="438"/>
        <w:spacing w:after="0" w:line="238" w:lineRule="auto"/>
        <w:rPr>
          <w:sz w:val="20"/>
          <w:szCs w:val="20"/>
          <w:color w:val="auto"/>
        </w:rPr>
      </w:pPr>
      <w:r>
        <w:rPr>
          <w:rFonts w:ascii="Arial" w:cs="Arial" w:eastAsia="Arial" w:hAnsi="Arial"/>
          <w:sz w:val="14"/>
          <w:szCs w:val="14"/>
          <w:color w:val="auto"/>
        </w:rPr>
        <w:t>Distributions to common stockholders are recorded on the ex-dividend date. The amount to be paid, if any, as a distribution is determined by the board of directors each quarter and is generally based upon the earnings estimated by management. Net realized capital gains, if any, are distributed at least annually. The tax attributes for distributions will generally include ordinary income and capital gains, but may also include certain tax-qualified dividends and/or a return of capital.</w:t>
      </w:r>
    </w:p>
    <w:p>
      <w:pPr>
        <w:spacing w:after="0" w:line="115" w:lineRule="exact"/>
        <w:rPr>
          <w:sz w:val="20"/>
          <w:szCs w:val="20"/>
          <w:color w:val="auto"/>
        </w:rPr>
      </w:pPr>
    </w:p>
    <w:p>
      <w:pPr>
        <w:ind w:left="440"/>
        <w:spacing w:after="0"/>
        <w:rPr>
          <w:sz w:val="20"/>
          <w:szCs w:val="20"/>
          <w:color w:val="auto"/>
        </w:rPr>
      </w:pPr>
      <w:r>
        <w:rPr>
          <w:rFonts w:ascii="Arial" w:cs="Arial" w:eastAsia="Arial" w:hAnsi="Arial"/>
          <w:sz w:val="13"/>
          <w:szCs w:val="13"/>
          <w:color w:val="auto"/>
        </w:rPr>
        <w:t>Capital transactions in connection with offerings of our common stock are recorded when issued and offering costs are charged as a reduction of capital upon issuance of our common</w:t>
      </w:r>
    </w:p>
    <w:p>
      <w:pPr>
        <w:spacing w:after="0" w:line="11" w:lineRule="exact"/>
        <w:rPr>
          <w:sz w:val="20"/>
          <w:szCs w:val="20"/>
          <w:color w:val="auto"/>
        </w:rPr>
      </w:pPr>
    </w:p>
    <w:p>
      <w:pPr>
        <w:spacing w:after="0"/>
        <w:rPr>
          <w:sz w:val="20"/>
          <w:szCs w:val="20"/>
          <w:color w:val="auto"/>
        </w:rPr>
      </w:pPr>
      <w:r>
        <w:rPr>
          <w:rFonts w:ascii="Arial" w:cs="Arial" w:eastAsia="Arial" w:hAnsi="Arial"/>
          <w:sz w:val="14"/>
          <w:szCs w:val="14"/>
          <w:color w:val="auto"/>
        </w:rPr>
        <w:t>stock.</w:t>
      </w:r>
    </w:p>
    <w:p>
      <w:pPr>
        <w:spacing w:after="0" w:line="124" w:lineRule="exact"/>
        <w:rPr>
          <w:sz w:val="20"/>
          <w:szCs w:val="20"/>
          <w:color w:val="auto"/>
        </w:rPr>
      </w:pPr>
    </w:p>
    <w:p>
      <w:pPr>
        <w:ind w:left="460" w:hanging="204"/>
        <w:spacing w:after="0"/>
        <w:tabs>
          <w:tab w:leader="none" w:pos="460" w:val="left"/>
        </w:tabs>
        <w:numPr>
          <w:ilvl w:val="0"/>
          <w:numId w:val="6"/>
        </w:numPr>
        <w:rPr>
          <w:rFonts w:ascii="Arial" w:cs="Arial" w:eastAsia="Arial" w:hAnsi="Arial"/>
          <w:sz w:val="14"/>
          <w:szCs w:val="14"/>
          <w:b w:val="1"/>
          <w:bCs w:val="1"/>
          <w:i w:val="1"/>
          <w:iCs w:val="1"/>
          <w:color w:val="auto"/>
        </w:rPr>
      </w:pPr>
      <w:r>
        <w:rPr>
          <w:rFonts w:ascii="Arial" w:cs="Arial" w:eastAsia="Arial" w:hAnsi="Arial"/>
          <w:sz w:val="14"/>
          <w:szCs w:val="14"/>
          <w:b w:val="1"/>
          <w:bCs w:val="1"/>
          <w:i w:val="1"/>
          <w:iCs w:val="1"/>
          <w:color w:val="auto"/>
        </w:rPr>
        <w:t>Foreign Currency Translation</w:t>
      </w:r>
    </w:p>
    <w:p>
      <w:pPr>
        <w:spacing w:after="0" w:line="136" w:lineRule="exact"/>
        <w:rPr>
          <w:rFonts w:ascii="Arial" w:cs="Arial" w:eastAsia="Arial" w:hAnsi="Arial"/>
          <w:sz w:val="14"/>
          <w:szCs w:val="14"/>
          <w:b w:val="1"/>
          <w:bCs w:val="1"/>
          <w:i w:val="1"/>
          <w:iCs w:val="1"/>
          <w:color w:val="auto"/>
        </w:rPr>
      </w:pPr>
    </w:p>
    <w:p>
      <w:pPr>
        <w:ind w:left="440"/>
        <w:spacing w:after="0"/>
        <w:rPr>
          <w:rFonts w:ascii="Arial" w:cs="Arial" w:eastAsia="Arial" w:hAnsi="Arial"/>
          <w:sz w:val="14"/>
          <w:szCs w:val="14"/>
          <w:b w:val="1"/>
          <w:bCs w:val="1"/>
          <w:i w:val="1"/>
          <w:iCs w:val="1"/>
          <w:color w:val="auto"/>
        </w:rPr>
      </w:pPr>
      <w:r>
        <w:rPr>
          <w:rFonts w:ascii="Arial" w:cs="Arial" w:eastAsia="Arial" w:hAnsi="Arial"/>
          <w:sz w:val="14"/>
          <w:szCs w:val="14"/>
          <w:color w:val="auto"/>
        </w:rPr>
        <w:t>Our books and records are maintained in U.S. dollars. Any foreign currency amounts are translated into U.S. dollars on the following basis:</w:t>
      </w:r>
    </w:p>
    <w:p>
      <w:pPr>
        <w:spacing w:after="0" w:line="136" w:lineRule="exact"/>
        <w:rPr>
          <w:rFonts w:ascii="Arial" w:cs="Arial" w:eastAsia="Arial" w:hAnsi="Arial"/>
          <w:sz w:val="14"/>
          <w:szCs w:val="14"/>
          <w:b w:val="1"/>
          <w:bCs w:val="1"/>
          <w:i w:val="1"/>
          <w:iCs w:val="1"/>
          <w:color w:val="auto"/>
        </w:rPr>
      </w:pPr>
    </w:p>
    <w:p>
      <w:pPr>
        <w:ind w:left="820" w:hanging="367"/>
        <w:spacing w:after="0"/>
        <w:tabs>
          <w:tab w:leader="none" w:pos="820" w:val="left"/>
        </w:tabs>
        <w:numPr>
          <w:ilvl w:val="1"/>
          <w:numId w:val="6"/>
        </w:numPr>
        <w:rPr>
          <w:rFonts w:ascii="Arial" w:cs="Arial" w:eastAsia="Arial" w:hAnsi="Arial"/>
          <w:sz w:val="14"/>
          <w:szCs w:val="14"/>
          <w:color w:val="auto"/>
        </w:rPr>
      </w:pPr>
      <w:r>
        <w:rPr>
          <w:rFonts w:ascii="Arial" w:cs="Arial" w:eastAsia="Arial" w:hAnsi="Arial"/>
          <w:sz w:val="14"/>
          <w:szCs w:val="14"/>
          <w:color w:val="auto"/>
        </w:rPr>
        <w:t>Fair value of investment securities, other assets and liabilities – at the exchange rates prevailing at the end of the applicable period; and</w:t>
      </w:r>
    </w:p>
    <w:p>
      <w:pPr>
        <w:spacing w:after="0" w:line="136" w:lineRule="exact"/>
        <w:rPr>
          <w:rFonts w:ascii="Arial" w:cs="Arial" w:eastAsia="Arial" w:hAnsi="Arial"/>
          <w:sz w:val="14"/>
          <w:szCs w:val="14"/>
          <w:color w:val="auto"/>
        </w:rPr>
      </w:pPr>
    </w:p>
    <w:p>
      <w:pPr>
        <w:ind w:left="820" w:hanging="367"/>
        <w:spacing w:after="0"/>
        <w:tabs>
          <w:tab w:leader="none" w:pos="820" w:val="left"/>
        </w:tabs>
        <w:numPr>
          <w:ilvl w:val="1"/>
          <w:numId w:val="6"/>
        </w:numPr>
        <w:rPr>
          <w:rFonts w:ascii="Arial" w:cs="Arial" w:eastAsia="Arial" w:hAnsi="Arial"/>
          <w:sz w:val="14"/>
          <w:szCs w:val="14"/>
          <w:color w:val="auto"/>
        </w:rPr>
      </w:pPr>
      <w:r>
        <w:rPr>
          <w:rFonts w:ascii="Arial" w:cs="Arial" w:eastAsia="Arial" w:hAnsi="Arial"/>
          <w:sz w:val="14"/>
          <w:szCs w:val="14"/>
          <w:color w:val="auto"/>
        </w:rPr>
        <w:t>Purchases and sales of investment securities, income and expenses – at the exchange rates prevailing on the respective dates of such transactions.</w:t>
      </w:r>
    </w:p>
    <w:p>
      <w:pPr>
        <w:spacing w:after="0" w:line="136" w:lineRule="exact"/>
        <w:rPr>
          <w:sz w:val="20"/>
          <w:szCs w:val="20"/>
          <w:color w:val="auto"/>
        </w:rPr>
      </w:pPr>
    </w:p>
    <w:p>
      <w:pPr>
        <w:jc w:val="both"/>
        <w:ind w:right="40" w:firstLine="438"/>
        <w:spacing w:after="0" w:line="238" w:lineRule="auto"/>
        <w:rPr>
          <w:sz w:val="20"/>
          <w:szCs w:val="20"/>
          <w:color w:val="auto"/>
        </w:rPr>
      </w:pPr>
      <w:r>
        <w:rPr>
          <w:rFonts w:ascii="Arial" w:cs="Arial" w:eastAsia="Arial" w:hAnsi="Arial"/>
          <w:sz w:val="14"/>
          <w:szCs w:val="14"/>
          <w:color w:val="auto"/>
        </w:rPr>
        <w:t>Although net assets and fair values are presented based on the applicable foreign exchange rates described above, we do not isolate that portion of the results of operations due to changes in foreign exchange rates on investments, other assets and debt from the fluctuations arising from changes in fair values of investments and liabilities held. Such fluctuations are included with the net realized and unrealized gain or loss from investments and liabilities.</w:t>
      </w:r>
    </w:p>
    <w:p>
      <w:pPr>
        <w:spacing w:after="0" w:line="115" w:lineRule="exact"/>
        <w:rPr>
          <w:sz w:val="20"/>
          <w:szCs w:val="20"/>
          <w:color w:val="auto"/>
        </w:rPr>
      </w:pPr>
    </w:p>
    <w:p>
      <w:pPr>
        <w:jc w:val="both"/>
        <w:ind w:right="160" w:firstLine="438"/>
        <w:spacing w:after="0" w:line="238" w:lineRule="auto"/>
        <w:rPr>
          <w:sz w:val="20"/>
          <w:szCs w:val="20"/>
          <w:color w:val="auto"/>
        </w:rPr>
      </w:pPr>
      <w:r>
        <w:rPr>
          <w:rFonts w:ascii="Arial" w:cs="Arial" w:eastAsia="Arial" w:hAnsi="Arial"/>
          <w:sz w:val="14"/>
          <w:szCs w:val="14"/>
          <w:color w:val="auto"/>
        </w:rPr>
        <w:t>Foreign security and currency translations may involve certain considerations and risks not typically associated with investing in U.S. companies and U.S. government securities. These risks include, but are not limited to, currency fluctuations and revaluations and future adverse political, social and economic developments, which could cause investments in foreign markets to be less liquid and prices to be more volatile than those of comparable U.S. companies or U.S. government securities.</w:t>
      </w:r>
    </w:p>
    <w:p>
      <w:pPr>
        <w:spacing w:after="0" w:line="115"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(f) Consolidation</w:t>
      </w:r>
    </w:p>
    <w:p>
      <w:pPr>
        <w:spacing w:after="0" w:line="136" w:lineRule="exact"/>
        <w:rPr>
          <w:sz w:val="20"/>
          <w:szCs w:val="20"/>
          <w:color w:val="auto"/>
        </w:rPr>
      </w:pPr>
    </w:p>
    <w:p>
      <w:pPr>
        <w:ind w:right="60" w:firstLine="438"/>
        <w:spacing w:after="0" w:line="233" w:lineRule="auto"/>
        <w:rPr>
          <w:sz w:val="20"/>
          <w:szCs w:val="20"/>
          <w:color w:val="auto"/>
        </w:rPr>
      </w:pPr>
      <w:r>
        <w:rPr>
          <w:rFonts w:ascii="Arial" w:cs="Arial" w:eastAsia="Arial" w:hAnsi="Arial"/>
          <w:sz w:val="14"/>
          <w:szCs w:val="14"/>
          <w:color w:val="auto"/>
        </w:rPr>
        <w:t>As permitted under Regulation S-X and as explained by ASC paragraph 946-810-45-3, we will generally not consolidate our investment in a company other than an investment company subsidiary or a controlled operating company whose business consists of providing services to us. Accordingly, we have consolidated the results of our taxable subsidiaries, including the Taxable Subsidiary, Funding I and the Securitization Issuer in our Consolidated Financial Statements. We do not consolidate our non-controlling interest in PSSL. See further description of our investment in PSSL in Note 4.</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(g) Asset Transfers and Servicing</w:t>
      </w:r>
    </w:p>
    <w:p>
      <w:pPr>
        <w:spacing w:after="0" w:line="136" w:lineRule="exact"/>
        <w:rPr>
          <w:sz w:val="20"/>
          <w:szCs w:val="20"/>
          <w:color w:val="auto"/>
        </w:rPr>
      </w:pPr>
    </w:p>
    <w:p>
      <w:pPr>
        <w:ind w:right="80" w:firstLine="438"/>
        <w:spacing w:after="0" w:line="238" w:lineRule="auto"/>
        <w:rPr>
          <w:sz w:val="20"/>
          <w:szCs w:val="20"/>
          <w:color w:val="auto"/>
        </w:rPr>
      </w:pPr>
      <w:r>
        <w:rPr>
          <w:rFonts w:ascii="Arial" w:cs="Arial" w:eastAsia="Arial" w:hAnsi="Arial"/>
          <w:sz w:val="14"/>
          <w:szCs w:val="14"/>
          <w:color w:val="auto"/>
        </w:rPr>
        <w:t>Asset transfers that do not meet ASC Topic 860, Transfers and Servicing, requirements for sale accounting treatment are reflected in the Consolidated Statements of Assets and Liabilities and Consolidated Schedules of Investments as investments. The creditors of Funding I have received a security interest in all its assets and such assets are not intended to be available to the creditors of PennantPark Floating Rate Capital Ltd. or any of its affiliates.</w:t>
      </w:r>
    </w:p>
    <w:p>
      <w:pPr>
        <w:spacing w:after="0" w:line="115"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(h) Recent Accounting Pronouncements</w:t>
      </w:r>
    </w:p>
    <w:p>
      <w:pPr>
        <w:spacing w:after="0" w:line="136" w:lineRule="exact"/>
        <w:rPr>
          <w:sz w:val="20"/>
          <w:szCs w:val="20"/>
          <w:color w:val="auto"/>
        </w:rPr>
      </w:pPr>
    </w:p>
    <w:p>
      <w:pPr>
        <w:ind w:right="40" w:firstLine="438"/>
        <w:spacing w:after="0" w:line="231" w:lineRule="auto"/>
        <w:rPr>
          <w:sz w:val="20"/>
          <w:szCs w:val="20"/>
          <w:color w:val="auto"/>
        </w:rPr>
      </w:pPr>
      <w:r>
        <w:rPr>
          <w:rFonts w:ascii="Arial" w:cs="Arial" w:eastAsia="Arial" w:hAnsi="Arial"/>
          <w:sz w:val="14"/>
          <w:szCs w:val="14"/>
          <w:color w:val="auto"/>
        </w:rPr>
        <w:t>In August 2018, the FASB issued Accounting Standards Update, or ASU, 2018-13, Fair Value Measurement (Topic 820): Disclosure Framework - Changes to the Disclosure Requirements for Fair Value Measurement, or ASU 2018-13, which changed the fair value measurement disclosure requirements of ASC Topic 820, Fair Value Measurements and Disclosures, or ASC 820. The key provisions include new, eliminated and modified disclosure requirements. The new guidance is effective for fiscal years beginning after December 15, 2019, including interim periods therein. Early application is permitted. The Company has adopted this accounting standard update effective October 1, 2019 and the impact its of adoption was not material to the Company’s financial statements and related disclosures.</w:t>
      </w:r>
    </w:p>
    <w:p>
      <w:pPr>
        <w:spacing w:after="0" w:line="11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3. AGREEMENTS AND RELATED PARTY TRANSACTIONS</w:t>
      </w:r>
    </w:p>
    <w:p>
      <w:pPr>
        <w:spacing w:after="0" w:line="140" w:lineRule="exact"/>
        <w:rPr>
          <w:sz w:val="20"/>
          <w:szCs w:val="20"/>
          <w:color w:val="auto"/>
        </w:rPr>
      </w:pPr>
    </w:p>
    <w:p>
      <w:pPr>
        <w:ind w:right="60" w:firstLine="438"/>
        <w:spacing w:after="0" w:line="251" w:lineRule="auto"/>
        <w:rPr>
          <w:sz w:val="20"/>
          <w:szCs w:val="20"/>
          <w:color w:val="auto"/>
        </w:rPr>
      </w:pPr>
      <w:r>
        <w:rPr>
          <w:rFonts w:ascii="Arial" w:cs="Arial" w:eastAsia="Arial" w:hAnsi="Arial"/>
          <w:sz w:val="13"/>
          <w:szCs w:val="13"/>
          <w:color w:val="auto"/>
        </w:rPr>
        <w:t>The Investment Management Agreement with the Investment Adviser was reapproved by our board of directors, including a majority of our directors who are not interested persons of us or the Investment Adviser, in February 2020. Under the Investment Management Agreement, the Investment Adviser, subject to the overall supervision of our board of directors, manages the day-to-day operations of and provides investment advisory services to us. The Investment Adviser serves as the collateral manager to Funding I and has irrevocably directed that the management fee owed with respect to such services is to be paid to the Company so long as the Investment Adviser remains the collateral manager. This arrangement does not increase our consolidated management fee. For providing these services, the Investment Adviser receives a fee from us consisting of two components—a base management fee and an incentive fee.</w:t>
      </w:r>
    </w:p>
    <w:p>
      <w:pPr>
        <w:spacing w:after="0" w:line="109" w:lineRule="exact"/>
        <w:rPr>
          <w:sz w:val="20"/>
          <w:szCs w:val="20"/>
          <w:color w:val="auto"/>
        </w:rPr>
      </w:pPr>
    </w:p>
    <w:p>
      <w:pPr>
        <w:ind w:right="40" w:firstLine="438"/>
        <w:spacing w:after="0" w:line="228" w:lineRule="auto"/>
        <w:rPr>
          <w:sz w:val="20"/>
          <w:szCs w:val="20"/>
          <w:color w:val="auto"/>
        </w:rPr>
      </w:pPr>
      <w:r>
        <w:rPr>
          <w:rFonts w:ascii="Arial" w:cs="Arial" w:eastAsia="Arial" w:hAnsi="Arial"/>
          <w:sz w:val="14"/>
          <w:szCs w:val="14"/>
          <w:color w:val="auto"/>
        </w:rPr>
        <w:t>The base management fee is calculated at an annual rate of 1.00% of our “average adjusted gross assets,” which equals our gross assets (exclusive of U.S. Treasury Bills, temporary draws under any credit facility, cash and cash equivalents, repurchase agreements or other balance sheet transactions undertaken at the end of a fiscal quarter for purposes of preserving investment flexibility for the next quarter and unfunded commitments, if any) and is payable quarterly in arrears. The base management fee is calculated based on the average adjusted gross assets at the end of the two most recently completed calendar quarters, and appropriately adjusted for any share issuances or repurchases during the current calendar quarter. For example, if we sold shares on the 45th day of a quarter and did not use the proceeds from the sale to repay outstanding indebtedness, our gross assets for such quarter would give effect to the net proceeds of the issuance for only 45 days of the quarter during which the additional shares were outstanding. For the three months ended December 31, 2019 and 2018, the Investment Adviser earned a base management fee of $2.8 million and $2.5 million, respectively, from us.</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4"/>
          <w:szCs w:val="14"/>
          <w:color w:val="auto"/>
        </w:rPr>
        <w:t>The incentive fee has two parts, as follows:</w:t>
      </w:r>
    </w:p>
    <w:p>
      <w:pPr>
        <w:spacing w:after="0" w:line="136" w:lineRule="exact"/>
        <w:rPr>
          <w:sz w:val="20"/>
          <w:szCs w:val="20"/>
          <w:color w:val="auto"/>
        </w:rPr>
      </w:pPr>
    </w:p>
    <w:p>
      <w:pPr>
        <w:ind w:firstLine="438"/>
        <w:spacing w:after="0" w:line="228" w:lineRule="auto"/>
        <w:rPr>
          <w:sz w:val="20"/>
          <w:szCs w:val="20"/>
          <w:color w:val="auto"/>
        </w:rPr>
      </w:pPr>
      <w:r>
        <w:rPr>
          <w:rFonts w:ascii="Arial" w:cs="Arial" w:eastAsia="Arial" w:hAnsi="Arial"/>
          <w:sz w:val="14"/>
          <w:szCs w:val="14"/>
          <w:color w:val="auto"/>
        </w:rPr>
        <w:t>One part is calculated and payable quarterly in arrears based on our Pre-Incentive Fee Net Investment Income for the immediately preceding calendar quarter. For this purpose, Pre-Incentive Fee Net Investment Income means interest income, dividend income and any other income, including any other fees (other than fees for providing managerial assistance), such as amendment, commitment, origination, prepayment penalties, structuring, diligence and consulting fees or other fees received from portfolio companies, accrued during the calendar quarter, minus our operating expenses for the quarter (including the base management fee, any expenses payable under the Administration Agreement and any interest expense or amendment fees under any credit facility and distribution paid on any issued and outstanding preferred stock, but excluding the incentive fee). Pre-Incentive Fee Net Investment Income includes, in the case of investments with a deferred interest feature (such as OID, debt instruments with PIK interest and zero coupon securities), accrued income not yet received in cash. Pre-Incentive Fee Net Investment Income does not include any realized capital gains,</w:t>
      </w: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149465"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8" w:name="page19"/>
    <w:bookmarkEnd w:id="18"/>
    <w:p>
      <w:pPr>
        <w:jc w:val="center"/>
        <w:ind w:right="20"/>
        <w:spacing w:after="0"/>
        <w:rPr>
          <w:sz w:val="20"/>
          <w:szCs w:val="20"/>
          <w:color w:val="auto"/>
        </w:rPr>
      </w:pPr>
      <w:r>
        <w:rPr>
          <w:rFonts w:ascii="Arial" w:cs="Arial" w:eastAsia="Arial" w:hAnsi="Arial"/>
          <w:sz w:val="14"/>
          <w:szCs w:val="14"/>
          <w:b w:val="1"/>
          <w:bCs w:val="1"/>
          <w:color w:val="auto"/>
        </w:rPr>
        <w:t>PENNANTPARK FLOATING RATE CAPITAL LTD. AND SUBSIDIARIES</w:t>
      </w:r>
    </w:p>
    <w:p>
      <w:pPr>
        <w:jc w:val="center"/>
        <w:ind w:right="20"/>
        <w:spacing w:after="0" w:line="225" w:lineRule="auto"/>
        <w:rPr>
          <w:sz w:val="20"/>
          <w:szCs w:val="20"/>
          <w:color w:val="auto"/>
        </w:rPr>
      </w:pPr>
      <w:r>
        <w:rPr>
          <w:rFonts w:ascii="Arial" w:cs="Arial" w:eastAsia="Arial" w:hAnsi="Arial"/>
          <w:sz w:val="14"/>
          <w:szCs w:val="14"/>
          <w:b w:val="1"/>
          <w:bCs w:val="1"/>
          <w:color w:val="auto"/>
        </w:rPr>
        <w:t>NOTES TO CONSOLIDATED FINANCIAL STATEMENTS-(Continued)</w:t>
      </w:r>
    </w:p>
    <w:p>
      <w:pPr>
        <w:jc w:val="center"/>
        <w:ind w:right="20"/>
        <w:spacing w:after="0" w:line="221" w:lineRule="auto"/>
        <w:rPr>
          <w:sz w:val="20"/>
          <w:szCs w:val="20"/>
          <w:color w:val="auto"/>
        </w:rPr>
      </w:pPr>
      <w:r>
        <w:rPr>
          <w:rFonts w:ascii="Arial" w:cs="Arial" w:eastAsia="Arial" w:hAnsi="Arial"/>
          <w:sz w:val="14"/>
          <w:szCs w:val="14"/>
          <w:b w:val="1"/>
          <w:bCs w:val="1"/>
          <w:color w:val="auto"/>
        </w:rPr>
        <w:t>DECEMBER 31, 2019</w:t>
      </w:r>
    </w:p>
    <w:p>
      <w:pPr>
        <w:spacing w:after="0" w:line="1"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(Unaudited)</w:t>
      </w:r>
    </w:p>
    <w:p>
      <w:pPr>
        <w:spacing w:after="0" w:line="124" w:lineRule="exact"/>
        <w:rPr>
          <w:sz w:val="20"/>
          <w:szCs w:val="20"/>
          <w:color w:val="auto"/>
        </w:rPr>
      </w:pPr>
    </w:p>
    <w:p>
      <w:pPr>
        <w:ind w:right="40"/>
        <w:spacing w:after="0" w:line="244" w:lineRule="auto"/>
        <w:rPr>
          <w:sz w:val="20"/>
          <w:szCs w:val="20"/>
          <w:color w:val="auto"/>
        </w:rPr>
      </w:pPr>
      <w:r>
        <w:rPr>
          <w:rFonts w:ascii="Arial" w:cs="Arial" w:eastAsia="Arial" w:hAnsi="Arial"/>
          <w:sz w:val="13"/>
          <w:szCs w:val="13"/>
          <w:color w:val="auto"/>
        </w:rPr>
        <w:t>computed net of all realized capital losses or unrealized capital appreciation or depreciation. Pre-Incentive Fee Net Investment Income, expressed as a percentage of the value of our net assets at the end of the immediately preceding calendar quarter, is compared to the hurdle rate of 1.75% per quarter (7.00% annualized). We pay the Investment Adviser an incentive fee with respect to our Pre-Incentive Fee Net Investment Income in each calendar quarter as follows: (1) no incentive fee in any calendar quarter in which our Pre-Incentive Fee Net Investment Income does not exceed the hurdle rate of 1.75%, (2) 50% of our Pre-Incentive Fee Net Investment Income with respect to that portion of such Pre-Incentive Fee Net Investment Income, if any, that exceeds the hurdle rate but is less than 2.9167% in any calendar quarter (11.67% annualized) (we refer to this portion of our Pre-Incentive Fee Net Investment Income (which exceeds the hurdle but is less than 2.9167%) as the “catch-up,” which is meant to provide our Investment Adviser with 20% of our Pre-Incentive Fee Net Investment Income, as if a hurdle did not apply, if this net investment income exceeds 2.9167% in any calendar quarter), and (3) 20% of the amount of our Pre-Incentive Fee Net Investment Income, if any, that exceeds 2.9167% in any calendar quarter. These calculations are pro-rated for any share issuances or repurchases during the relevant quarter, if applicable. For the three months ended December 31, 2019 and 2018, the Investment Adviser earned $2.3 million and $0.2 million, respectively, in incentive fees on net investment income from us.</w:t>
      </w:r>
    </w:p>
    <w:p>
      <w:pPr>
        <w:spacing w:after="0" w:line="117" w:lineRule="exact"/>
        <w:rPr>
          <w:sz w:val="20"/>
          <w:szCs w:val="20"/>
          <w:color w:val="auto"/>
        </w:rPr>
      </w:pPr>
    </w:p>
    <w:p>
      <w:pPr>
        <w:ind w:right="140" w:firstLine="438"/>
        <w:spacing w:after="0" w:line="255" w:lineRule="auto"/>
        <w:rPr>
          <w:sz w:val="20"/>
          <w:szCs w:val="20"/>
          <w:color w:val="auto"/>
        </w:rPr>
      </w:pPr>
      <w:r>
        <w:rPr>
          <w:rFonts w:ascii="Arial" w:cs="Arial" w:eastAsia="Arial" w:hAnsi="Arial"/>
          <w:sz w:val="13"/>
          <w:szCs w:val="13"/>
          <w:color w:val="auto"/>
        </w:rPr>
        <w:t>The second part of the incentive fee is determined and payable in arrears as of the end of each calendar year (or upon termination of the Investment Management Agreement, as of the termination date) and equals 20% of our realized capital gains, if any, on a cumulative basis from inception through the end of each calendar year, computed net of all realized capital losses and unrealized capital depreciation on a cumulative basis, less the aggregate amount of any previously paid capital gain incentive fees. For both periods presented herein, the Investment Adviser did not accrue an incentive fee on capital gains, as calculated under the Investment Management Agreement (as described above).</w:t>
      </w:r>
    </w:p>
    <w:p>
      <w:pPr>
        <w:spacing w:after="0" w:line="107" w:lineRule="exact"/>
        <w:rPr>
          <w:sz w:val="20"/>
          <w:szCs w:val="20"/>
          <w:color w:val="auto"/>
        </w:rPr>
      </w:pPr>
    </w:p>
    <w:p>
      <w:pPr>
        <w:ind w:right="100" w:firstLine="438"/>
        <w:spacing w:after="0" w:line="227" w:lineRule="auto"/>
        <w:rPr>
          <w:sz w:val="20"/>
          <w:szCs w:val="20"/>
          <w:color w:val="auto"/>
        </w:rPr>
      </w:pPr>
      <w:r>
        <w:rPr>
          <w:rFonts w:ascii="Arial" w:cs="Arial" w:eastAsia="Arial" w:hAnsi="Arial"/>
          <w:sz w:val="14"/>
          <w:szCs w:val="14"/>
          <w:color w:val="auto"/>
        </w:rPr>
        <w:t>Under GAAP, we are required to accrue a capital gains incentive fee based upon net realized capital gains and net unrealized capital appreciation and depreciation on investments held at the end of each period. In calculating the capital gains incentive fee accrual, we considered the cumulative aggregate unrealized capital appreciation in the calculation, as a capital gains incentive fee would be payable if such unrealized capital appreciation were realized, even though such unrealized capital appreciation is not permitted to be considered in calculating the fee actually payable under the Investment Management Agreement. This accrual is calculated using the aggregate cumulative realized capital gains and losses and cumulative unrealized capital appreciation or depreciation. If such amount is positive at the end of a period, then we record a capital gains incentive fee equal to 20% of such amount, less the aggregate amount of actual capital gains related to incentive fees paid in all prior years. If such amount is negative, then there is no accrual for such year. There can be no assurance that such unrealized capital appreciation will be realized in the future. The incentive fee accrued for, but not payable, under GAAP on our unrealized and realized capital gains for the three months ended December 31, 2019 and 2018 was zero and $(1.4) million, respectively.</w:t>
      </w:r>
    </w:p>
    <w:p>
      <w:pPr>
        <w:spacing w:after="0" w:line="118" w:lineRule="exact"/>
        <w:rPr>
          <w:sz w:val="20"/>
          <w:szCs w:val="20"/>
          <w:color w:val="auto"/>
        </w:rPr>
      </w:pPr>
    </w:p>
    <w:p>
      <w:pPr>
        <w:ind w:right="80" w:firstLine="438"/>
        <w:spacing w:after="0" w:line="247" w:lineRule="auto"/>
        <w:rPr>
          <w:sz w:val="20"/>
          <w:szCs w:val="20"/>
          <w:color w:val="auto"/>
        </w:rPr>
      </w:pPr>
      <w:r>
        <w:rPr>
          <w:rFonts w:ascii="Arial" w:cs="Arial" w:eastAsia="Arial" w:hAnsi="Arial"/>
          <w:sz w:val="13"/>
          <w:szCs w:val="13"/>
          <w:color w:val="auto"/>
        </w:rPr>
        <w:t>The Administration Agreement with the Administrator was reapproved by our board of directors, including a majority of the directors who are not interested persons of us, in February 2020. Under the Administration Agreement, the Administrator provides administrative services and office facilities to us. For providing these services, facilities and personnel, we have agreed to reimburse the Administrator for its allocable portion of overhead and other expenses incurred by the Administrator in performing its obligations under the Administration Agreement, including rent and our allocable portion of the costs of compensation and related expenses of our Chief Compliance Officer, Chief Financial Officer and their respective staffs. The Administrator also offers, on our behalf, significant managerial assistance to portfolio companies to which we are required to offer such assistance. Reimbursement for certain of these costs is included in administrative services expenses in the Consolidated Statements of Operations. For the three months ended December 31, 2019 and 2018, we reimbursed the Investment Adviser approximately $0.3 million, respectively, including expenses the Investment Adviser incurred on behalf of the Administrator, for services described above.</w:t>
      </w:r>
    </w:p>
    <w:p>
      <w:pPr>
        <w:spacing w:after="0" w:line="111" w:lineRule="exact"/>
        <w:rPr>
          <w:sz w:val="20"/>
          <w:szCs w:val="20"/>
          <w:color w:val="auto"/>
        </w:rPr>
      </w:pPr>
    </w:p>
    <w:p>
      <w:pPr>
        <w:ind w:left="440"/>
        <w:spacing w:after="0"/>
        <w:rPr>
          <w:sz w:val="20"/>
          <w:szCs w:val="20"/>
          <w:color w:val="auto"/>
        </w:rPr>
      </w:pPr>
      <w:r>
        <w:rPr>
          <w:rFonts w:ascii="Arial" w:cs="Arial" w:eastAsia="Arial" w:hAnsi="Arial"/>
          <w:sz w:val="14"/>
          <w:szCs w:val="14"/>
          <w:color w:val="auto"/>
        </w:rPr>
        <w:t>There were no transactions subject to Rule 17a-7 under the 1940 Act during both the three months ended December 31, 2019 and 2018.</w:t>
      </w:r>
    </w:p>
    <w:p>
      <w:pPr>
        <w:spacing w:after="0" w:line="136" w:lineRule="exact"/>
        <w:rPr>
          <w:sz w:val="20"/>
          <w:szCs w:val="20"/>
          <w:color w:val="auto"/>
        </w:rPr>
      </w:pPr>
    </w:p>
    <w:p>
      <w:pPr>
        <w:ind w:right="120" w:firstLine="438"/>
        <w:spacing w:after="0" w:line="253" w:lineRule="auto"/>
        <w:rPr>
          <w:sz w:val="20"/>
          <w:szCs w:val="20"/>
          <w:color w:val="auto"/>
        </w:rPr>
      </w:pPr>
      <w:r>
        <w:rPr>
          <w:rFonts w:ascii="Arial" w:cs="Arial" w:eastAsia="Arial" w:hAnsi="Arial"/>
          <w:sz w:val="14"/>
          <w:szCs w:val="14"/>
          <w:color w:val="auto"/>
        </w:rPr>
        <w:t>For the three months ended December 31, 2019 and 2018, we sold $68.9 and $38.0 million in investments, respectively, to PSSL at fair value and recognized $0.5 and $0.2 million of net realized gains, respectively.</w:t>
      </w:r>
    </w:p>
    <w:p>
      <w:pPr>
        <w:spacing w:after="0" w:line="10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4. INVESTMENTS</w:t>
      </w:r>
    </w:p>
    <w:p>
      <w:pPr>
        <w:spacing w:after="0" w:line="140" w:lineRule="exact"/>
        <w:rPr>
          <w:sz w:val="20"/>
          <w:szCs w:val="20"/>
          <w:color w:val="auto"/>
        </w:rPr>
      </w:pPr>
    </w:p>
    <w:p>
      <w:pPr>
        <w:ind w:right="160" w:firstLine="438"/>
        <w:spacing w:after="0" w:line="253" w:lineRule="auto"/>
        <w:rPr>
          <w:sz w:val="20"/>
          <w:szCs w:val="20"/>
          <w:color w:val="auto"/>
        </w:rPr>
      </w:pPr>
      <w:r>
        <w:rPr>
          <w:rFonts w:ascii="Arial" w:cs="Arial" w:eastAsia="Arial" w:hAnsi="Arial"/>
          <w:sz w:val="14"/>
          <w:szCs w:val="14"/>
          <w:color w:val="auto"/>
        </w:rPr>
        <w:t>Purchases of investments, including PIK interest, for the three months ended December 31, 2019 and 2018 totaled $240.3 million and $180.8 million, respectively. Sales and repayments of investments for the three months ended December 31, 2019 and 2018 totaled $143.7 million and $190.3 million, respectively.</w:t>
      </w:r>
    </w:p>
    <w:p>
      <w:pPr>
        <w:spacing w:after="0" w:line="106" w:lineRule="exact"/>
        <w:rPr>
          <w:sz w:val="20"/>
          <w:szCs w:val="20"/>
          <w:color w:val="auto"/>
        </w:rPr>
      </w:pPr>
    </w:p>
    <w:p>
      <w:pPr>
        <w:ind w:left="440"/>
        <w:spacing w:after="0"/>
        <w:rPr>
          <w:sz w:val="20"/>
          <w:szCs w:val="20"/>
          <w:color w:val="auto"/>
        </w:rPr>
      </w:pPr>
      <w:r>
        <w:rPr>
          <w:rFonts w:ascii="Arial" w:cs="Arial" w:eastAsia="Arial" w:hAnsi="Arial"/>
          <w:sz w:val="14"/>
          <w:szCs w:val="14"/>
          <w:color w:val="auto"/>
        </w:rPr>
        <w:t>Investments, cash and cash equivalents consisted of the following:</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5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Investment Classification</w:t>
            </w:r>
          </w:p>
        </w:tc>
        <w:tc>
          <w:tcPr>
            <w:tcW w:w="320" w:type="dxa"/>
            <w:vAlign w:val="bottom"/>
          </w:tcPr>
          <w:p>
            <w:pPr>
              <w:spacing w:after="0"/>
              <w:rPr>
                <w:sz w:val="14"/>
                <w:szCs w:val="14"/>
                <w:color w:val="auto"/>
              </w:rPr>
            </w:pPr>
          </w:p>
        </w:tc>
        <w:tc>
          <w:tcPr>
            <w:tcW w:w="3120" w:type="dxa"/>
            <w:vAlign w:val="bottom"/>
            <w:gridSpan w:val="5"/>
          </w:tcPr>
          <w:p>
            <w:pPr>
              <w:ind w:left="680"/>
              <w:spacing w:after="0"/>
              <w:rPr>
                <w:sz w:val="20"/>
                <w:szCs w:val="20"/>
                <w:color w:val="auto"/>
              </w:rPr>
            </w:pPr>
            <w:r>
              <w:rPr>
                <w:rFonts w:ascii="Arial" w:cs="Arial" w:eastAsia="Arial" w:hAnsi="Arial"/>
                <w:sz w:val="14"/>
                <w:szCs w:val="14"/>
                <w:b w:val="1"/>
                <w:bCs w:val="1"/>
                <w:color w:val="auto"/>
              </w:rPr>
              <w:t>December 31, 2019</w:t>
            </w:r>
          </w:p>
        </w:tc>
        <w:tc>
          <w:tcPr>
            <w:tcW w:w="320" w:type="dxa"/>
            <w:vAlign w:val="bottom"/>
          </w:tcPr>
          <w:p>
            <w:pPr>
              <w:spacing w:after="0"/>
              <w:rPr>
                <w:sz w:val="14"/>
                <w:szCs w:val="14"/>
                <w:color w:val="auto"/>
              </w:rPr>
            </w:pPr>
          </w:p>
        </w:tc>
        <w:tc>
          <w:tcPr>
            <w:tcW w:w="2940" w:type="dxa"/>
            <w:vAlign w:val="bottom"/>
            <w:gridSpan w:val="5"/>
          </w:tcPr>
          <w:p>
            <w:pPr>
              <w:ind w:left="640"/>
              <w:spacing w:after="0"/>
              <w:rPr>
                <w:sz w:val="20"/>
                <w:szCs w:val="20"/>
                <w:color w:val="auto"/>
              </w:rPr>
            </w:pPr>
            <w:r>
              <w:rPr>
                <w:rFonts w:ascii="Arial" w:cs="Arial" w:eastAsia="Arial" w:hAnsi="Arial"/>
                <w:sz w:val="14"/>
                <w:szCs w:val="14"/>
                <w:b w:val="1"/>
                <w:bCs w:val="1"/>
                <w:color w:val="auto"/>
              </w:rPr>
              <w:t>September 30, 2019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540" w:type="dxa"/>
            <w:vAlign w:val="bottom"/>
            <w:gridSpan w:val="2"/>
            <w:vMerge w:val="continue"/>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tcPr>
          <w:p>
            <w:pPr>
              <w:jc w:val="right"/>
              <w:ind w:right="509"/>
              <w:spacing w:after="0" w:line="155" w:lineRule="exact"/>
              <w:rPr>
                <w:sz w:val="20"/>
                <w:szCs w:val="20"/>
                <w:color w:val="auto"/>
              </w:rPr>
            </w:pPr>
            <w:r>
              <w:rPr>
                <w:rFonts w:ascii="Arial" w:cs="Arial" w:eastAsia="Arial" w:hAnsi="Arial"/>
                <w:sz w:val="14"/>
                <w:szCs w:val="14"/>
                <w:b w:val="1"/>
                <w:bCs w:val="1"/>
                <w:color w:val="auto"/>
              </w:rPr>
              <w:t>Cost</w:t>
            </w:r>
          </w:p>
        </w:tc>
        <w:tc>
          <w:tcPr>
            <w:tcW w:w="28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tcPr>
          <w:p>
            <w:pPr>
              <w:jc w:val="right"/>
              <w:ind w:right="328"/>
              <w:spacing w:after="0" w:line="155" w:lineRule="exact"/>
              <w:rPr>
                <w:sz w:val="20"/>
                <w:szCs w:val="20"/>
                <w:color w:val="auto"/>
              </w:rPr>
            </w:pPr>
            <w:r>
              <w:rPr>
                <w:rFonts w:ascii="Arial" w:cs="Arial" w:eastAsia="Arial" w:hAnsi="Arial"/>
                <w:sz w:val="14"/>
                <w:szCs w:val="14"/>
                <w:b w:val="1"/>
                <w:bCs w:val="1"/>
                <w:color w:val="auto"/>
              </w:rPr>
              <w:t>Fair Value</w:t>
            </w:r>
          </w:p>
        </w:tc>
        <w:tc>
          <w:tcPr>
            <w:tcW w:w="280" w:type="dxa"/>
            <w:vAlign w:val="bottom"/>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tcPr>
          <w:p>
            <w:pPr>
              <w:jc w:val="right"/>
              <w:ind w:right="528"/>
              <w:spacing w:after="0" w:line="155" w:lineRule="exact"/>
              <w:rPr>
                <w:sz w:val="20"/>
                <w:szCs w:val="20"/>
                <w:color w:val="auto"/>
              </w:rPr>
            </w:pPr>
            <w:r>
              <w:rPr>
                <w:rFonts w:ascii="Arial" w:cs="Arial" w:eastAsia="Arial" w:hAnsi="Arial"/>
                <w:sz w:val="14"/>
                <w:szCs w:val="14"/>
                <w:b w:val="1"/>
                <w:bCs w:val="1"/>
                <w:color w:val="auto"/>
              </w:rPr>
              <w:t>Cost</w:t>
            </w:r>
          </w:p>
        </w:tc>
        <w:tc>
          <w:tcPr>
            <w:tcW w:w="26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220" w:type="dxa"/>
            <w:vAlign w:val="bottom"/>
            <w:tcBorders>
              <w:top w:val="single" w:sz="8" w:color="auto"/>
            </w:tcBorders>
          </w:tcPr>
          <w:p>
            <w:pPr>
              <w:jc w:val="right"/>
              <w:ind w:right="348"/>
              <w:spacing w:after="0" w:line="155" w:lineRule="exact"/>
              <w:rPr>
                <w:sz w:val="20"/>
                <w:szCs w:val="20"/>
                <w:color w:val="auto"/>
              </w:rPr>
            </w:pPr>
            <w:r>
              <w:rPr>
                <w:rFonts w:ascii="Arial" w:cs="Arial" w:eastAsia="Arial" w:hAnsi="Arial"/>
                <w:sz w:val="14"/>
                <w:szCs w:val="14"/>
                <w:b w:val="1"/>
                <w:bCs w:val="1"/>
                <w:color w:val="auto"/>
              </w:rPr>
              <w:t>Fair Value</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380" w:type="dxa"/>
            <w:vAlign w:val="bottom"/>
            <w:tcBorders>
              <w:top w:val="single" w:sz="8" w:color="auto"/>
            </w:tcBorders>
            <w:shd w:val="clear" w:color="auto" w:fill="CCECFF"/>
          </w:tcPr>
          <w:p>
            <w:pPr>
              <w:spacing w:after="0" w:line="155" w:lineRule="exact"/>
              <w:rPr>
                <w:sz w:val="20"/>
                <w:szCs w:val="20"/>
                <w:color w:val="auto"/>
              </w:rPr>
            </w:pPr>
            <w:r>
              <w:rPr>
                <w:rFonts w:ascii="Arial" w:cs="Arial" w:eastAsia="Arial" w:hAnsi="Arial"/>
                <w:sz w:val="14"/>
                <w:szCs w:val="14"/>
                <w:color w:val="auto"/>
              </w:rPr>
              <w:t>First lien</w:t>
            </w:r>
          </w:p>
        </w:tc>
        <w:tc>
          <w:tcPr>
            <w:tcW w:w="160" w:type="dxa"/>
            <w:vAlign w:val="bottom"/>
            <w:tcBorders>
              <w:top w:val="single" w:sz="8" w:color="CCECFF"/>
            </w:tcBorders>
            <w:shd w:val="clear" w:color="auto" w:fill="CCECFF"/>
          </w:tcPr>
          <w:p>
            <w:pPr>
              <w:spacing w:after="0"/>
              <w:rPr>
                <w:sz w:val="13"/>
                <w:szCs w:val="13"/>
                <w:color w:val="auto"/>
              </w:rPr>
            </w:pPr>
          </w:p>
        </w:tc>
        <w:tc>
          <w:tcPr>
            <w:tcW w:w="320" w:type="dxa"/>
            <w:vAlign w:val="bottom"/>
            <w:tcBorders>
              <w:top w:val="single" w:sz="8" w:color="auto"/>
            </w:tcBorders>
            <w:shd w:val="clear" w:color="auto" w:fill="CCECFF"/>
          </w:tcPr>
          <w:p>
            <w:pPr>
              <w:jc w:val="right"/>
              <w:ind w:right="168"/>
              <w:spacing w:after="0" w:line="155" w:lineRule="exact"/>
              <w:rPr>
                <w:sz w:val="20"/>
                <w:szCs w:val="20"/>
                <w:color w:val="auto"/>
              </w:rPr>
            </w:pPr>
            <w:r>
              <w:rPr>
                <w:rFonts w:ascii="Arial" w:cs="Arial" w:eastAsia="Arial" w:hAnsi="Arial"/>
                <w:sz w:val="14"/>
                <w:szCs w:val="14"/>
                <w:color w:val="auto"/>
                <w:w w:val="76"/>
              </w:rPr>
              <w:t>$</w:t>
            </w:r>
          </w:p>
        </w:tc>
        <w:tc>
          <w:tcPr>
            <w:tcW w:w="112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930,611,653</w:t>
            </w:r>
          </w:p>
        </w:tc>
        <w:tc>
          <w:tcPr>
            <w:tcW w:w="280" w:type="dxa"/>
            <w:vAlign w:val="bottom"/>
            <w:tcBorders>
              <w:top w:val="single" w:sz="8" w:color="CCECFF"/>
            </w:tcBorders>
            <w:shd w:val="clear" w:color="auto" w:fill="CCECFF"/>
          </w:tcPr>
          <w:p>
            <w:pPr>
              <w:spacing w:after="0"/>
              <w:rPr>
                <w:sz w:val="13"/>
                <w:szCs w:val="13"/>
                <w:color w:val="auto"/>
              </w:rPr>
            </w:pPr>
          </w:p>
        </w:tc>
        <w:tc>
          <w:tcPr>
            <w:tcW w:w="240" w:type="dxa"/>
            <w:vAlign w:val="bottom"/>
            <w:tcBorders>
              <w:top w:val="single" w:sz="8" w:color="auto"/>
            </w:tcBorders>
            <w:shd w:val="clear" w:color="auto" w:fill="CCECFF"/>
          </w:tcPr>
          <w:p>
            <w:pPr>
              <w:jc w:val="right"/>
              <w:ind w:right="88"/>
              <w:spacing w:after="0" w:line="155" w:lineRule="exact"/>
              <w:rPr>
                <w:sz w:val="20"/>
                <w:szCs w:val="20"/>
                <w:color w:val="auto"/>
              </w:rPr>
            </w:pPr>
            <w:r>
              <w:rPr>
                <w:rFonts w:ascii="Arial" w:cs="Arial" w:eastAsia="Arial" w:hAnsi="Arial"/>
                <w:sz w:val="14"/>
                <w:szCs w:val="14"/>
                <w:color w:val="auto"/>
                <w:w w:val="76"/>
              </w:rPr>
              <w:t>$</w:t>
            </w:r>
          </w:p>
        </w:tc>
        <w:tc>
          <w:tcPr>
            <w:tcW w:w="120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920,319,687</w:t>
            </w:r>
          </w:p>
        </w:tc>
        <w:tc>
          <w:tcPr>
            <w:tcW w:w="280" w:type="dxa"/>
            <w:vAlign w:val="bottom"/>
            <w:tcBorders>
              <w:top w:val="single" w:sz="8" w:color="CCECFF"/>
            </w:tcBorders>
            <w:shd w:val="clear" w:color="auto" w:fill="CCECFF"/>
          </w:tcPr>
          <w:p>
            <w:pPr>
              <w:spacing w:after="0"/>
              <w:rPr>
                <w:sz w:val="13"/>
                <w:szCs w:val="13"/>
                <w:color w:val="auto"/>
              </w:rPr>
            </w:pPr>
          </w:p>
        </w:tc>
        <w:tc>
          <w:tcPr>
            <w:tcW w:w="320" w:type="dxa"/>
            <w:vAlign w:val="bottom"/>
            <w:tcBorders>
              <w:top w:val="single" w:sz="8" w:color="auto"/>
            </w:tcBorders>
            <w:shd w:val="clear" w:color="auto" w:fill="CCECFF"/>
          </w:tcPr>
          <w:p>
            <w:pPr>
              <w:jc w:val="right"/>
              <w:ind w:right="209"/>
              <w:spacing w:after="0"/>
              <w:rPr>
                <w:sz w:val="20"/>
                <w:szCs w:val="20"/>
                <w:color w:val="auto"/>
              </w:rPr>
            </w:pPr>
            <w:r>
              <w:rPr>
                <w:rFonts w:ascii="Arial" w:cs="Arial" w:eastAsia="Arial" w:hAnsi="Arial"/>
                <w:sz w:val="10"/>
                <w:szCs w:val="10"/>
                <w:color w:val="auto"/>
                <w:w w:val="71"/>
              </w:rPr>
              <w:t>$</w:t>
            </w:r>
          </w:p>
        </w:tc>
        <w:tc>
          <w:tcPr>
            <w:tcW w:w="112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833,678,981</w:t>
            </w:r>
          </w:p>
        </w:tc>
        <w:tc>
          <w:tcPr>
            <w:tcW w:w="260" w:type="dxa"/>
            <w:vAlign w:val="bottom"/>
            <w:tcBorders>
              <w:top w:val="single" w:sz="8" w:color="CCECFF"/>
            </w:tcBorders>
            <w:shd w:val="clear" w:color="auto" w:fill="CCECFF"/>
          </w:tcPr>
          <w:p>
            <w:pPr>
              <w:spacing w:after="0"/>
              <w:rPr>
                <w:sz w:val="13"/>
                <w:szCs w:val="13"/>
                <w:color w:val="auto"/>
              </w:rPr>
            </w:pPr>
          </w:p>
        </w:tc>
        <w:tc>
          <w:tcPr>
            <w:tcW w:w="240" w:type="dxa"/>
            <w:vAlign w:val="bottom"/>
            <w:tcBorders>
              <w:top w:val="single" w:sz="8" w:color="auto"/>
            </w:tcBorders>
            <w:shd w:val="clear" w:color="auto" w:fill="CCECFF"/>
          </w:tcPr>
          <w:p>
            <w:pPr>
              <w:jc w:val="right"/>
              <w:ind w:right="88"/>
              <w:spacing w:after="0" w:line="155" w:lineRule="exact"/>
              <w:rPr>
                <w:sz w:val="20"/>
                <w:szCs w:val="20"/>
                <w:color w:val="auto"/>
              </w:rPr>
            </w:pPr>
            <w:r>
              <w:rPr>
                <w:rFonts w:ascii="Arial" w:cs="Arial" w:eastAsia="Arial" w:hAnsi="Arial"/>
                <w:sz w:val="14"/>
                <w:szCs w:val="14"/>
                <w:color w:val="auto"/>
                <w:w w:val="76"/>
              </w:rPr>
              <w:t>$</w:t>
            </w:r>
          </w:p>
        </w:tc>
        <w:tc>
          <w:tcPr>
            <w:tcW w:w="122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822,707,050</w:t>
            </w:r>
          </w:p>
        </w:tc>
        <w:tc>
          <w:tcPr>
            <w:tcW w:w="100" w:type="dxa"/>
            <w:vAlign w:val="bottom"/>
            <w:tcBorders>
              <w:top w:val="single" w:sz="8" w:color="CCECFF"/>
            </w:tcBorders>
            <w:shd w:val="clear" w:color="auto" w:fill="CCEC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540" w:type="dxa"/>
            <w:vAlign w:val="bottom"/>
            <w:gridSpan w:val="2"/>
          </w:tcPr>
          <w:p>
            <w:pPr>
              <w:spacing w:after="0"/>
              <w:rPr>
                <w:sz w:val="20"/>
                <w:szCs w:val="20"/>
                <w:color w:val="auto"/>
              </w:rPr>
            </w:pPr>
            <w:r>
              <w:rPr>
                <w:rFonts w:ascii="Arial" w:cs="Arial" w:eastAsia="Arial" w:hAnsi="Arial"/>
                <w:sz w:val="14"/>
                <w:szCs w:val="14"/>
                <w:color w:val="auto"/>
              </w:rPr>
              <w:t>First lien in PSSL</w:t>
            </w:r>
          </w:p>
        </w:tc>
        <w:tc>
          <w:tcPr>
            <w:tcW w:w="32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122,193,750</w:t>
            </w: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122,193,750</w:t>
            </w: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122,193,750</w:t>
            </w: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122,193,750</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54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Second lien</w:t>
            </w:r>
          </w:p>
        </w:tc>
        <w:tc>
          <w:tcPr>
            <w:tcW w:w="320" w:type="dxa"/>
            <w:vAlign w:val="bottom"/>
            <w:shd w:val="clear" w:color="auto" w:fill="CCECFF"/>
          </w:tcPr>
          <w:p>
            <w:pPr>
              <w:spacing w:after="0"/>
              <w:rPr>
                <w:sz w:val="14"/>
                <w:szCs w:val="14"/>
                <w:color w:val="auto"/>
              </w:rPr>
            </w:pPr>
          </w:p>
        </w:tc>
        <w:tc>
          <w:tcPr>
            <w:tcW w:w="11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32,876,712</w:t>
            </w:r>
          </w:p>
        </w:tc>
        <w:tc>
          <w:tcPr>
            <w:tcW w:w="28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12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32,893,257</w:t>
            </w:r>
          </w:p>
        </w:tc>
        <w:tc>
          <w:tcPr>
            <w:tcW w:w="280" w:type="dxa"/>
            <w:vAlign w:val="bottom"/>
            <w:shd w:val="clear" w:color="auto" w:fill="CCECFF"/>
          </w:tcPr>
          <w:p>
            <w:pPr>
              <w:spacing w:after="0"/>
              <w:rPr>
                <w:sz w:val="14"/>
                <w:szCs w:val="14"/>
                <w:color w:val="auto"/>
              </w:rPr>
            </w:pPr>
          </w:p>
        </w:tc>
        <w:tc>
          <w:tcPr>
            <w:tcW w:w="320" w:type="dxa"/>
            <w:vAlign w:val="bottom"/>
            <w:shd w:val="clear" w:color="auto" w:fill="CCECFF"/>
          </w:tcPr>
          <w:p>
            <w:pPr>
              <w:spacing w:after="0"/>
              <w:rPr>
                <w:sz w:val="14"/>
                <w:szCs w:val="14"/>
                <w:color w:val="auto"/>
              </w:rPr>
            </w:pPr>
          </w:p>
        </w:tc>
        <w:tc>
          <w:tcPr>
            <w:tcW w:w="11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34,307,150</w:t>
            </w:r>
          </w:p>
        </w:tc>
        <w:tc>
          <w:tcPr>
            <w:tcW w:w="26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12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34,370,598</w:t>
            </w:r>
          </w:p>
        </w:tc>
        <w:tc>
          <w:tcPr>
            <w:tcW w:w="100" w:type="dxa"/>
            <w:vAlign w:val="bottom"/>
            <w:shd w:val="clear" w:color="auto" w:fill="CCEC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540" w:type="dxa"/>
            <w:vAlign w:val="bottom"/>
            <w:gridSpan w:val="2"/>
          </w:tcPr>
          <w:p>
            <w:pPr>
              <w:spacing w:after="0"/>
              <w:rPr>
                <w:sz w:val="20"/>
                <w:szCs w:val="20"/>
                <w:color w:val="auto"/>
              </w:rPr>
            </w:pPr>
            <w:r>
              <w:rPr>
                <w:rFonts w:ascii="Arial" w:cs="Arial" w:eastAsia="Arial" w:hAnsi="Arial"/>
                <w:sz w:val="14"/>
                <w:szCs w:val="14"/>
                <w:color w:val="auto"/>
              </w:rPr>
              <w:t>Equity</w:t>
            </w:r>
          </w:p>
        </w:tc>
        <w:tc>
          <w:tcPr>
            <w:tcW w:w="32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45,143,408</w:t>
            </w: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50,981,372</w:t>
            </w: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42,623,718</w:t>
            </w: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52,466,181</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54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Equity in PSSL</w:t>
            </w:r>
          </w:p>
        </w:tc>
        <w:tc>
          <w:tcPr>
            <w:tcW w:w="320" w:type="dxa"/>
            <w:vAlign w:val="bottom"/>
            <w:tcBorders>
              <w:bottom w:val="single" w:sz="8" w:color="auto"/>
            </w:tcBorders>
            <w:shd w:val="clear" w:color="auto" w:fill="CCECFF"/>
          </w:tcPr>
          <w:p>
            <w:pPr>
              <w:spacing w:after="0"/>
              <w:rPr>
                <w:sz w:val="14"/>
                <w:szCs w:val="14"/>
                <w:color w:val="auto"/>
              </w:rPr>
            </w:pPr>
          </w:p>
        </w:tc>
        <w:tc>
          <w:tcPr>
            <w:tcW w:w="11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52,368,750</w:t>
            </w:r>
          </w:p>
        </w:tc>
        <w:tc>
          <w:tcPr>
            <w:tcW w:w="280" w:type="dxa"/>
            <w:vAlign w:val="bottom"/>
            <w:shd w:val="clear" w:color="auto" w:fill="CCECFF"/>
          </w:tcPr>
          <w:p>
            <w:pPr>
              <w:spacing w:after="0"/>
              <w:rPr>
                <w:sz w:val="14"/>
                <w:szCs w:val="14"/>
                <w:color w:val="auto"/>
              </w:rPr>
            </w:pPr>
          </w:p>
        </w:tc>
        <w:tc>
          <w:tcPr>
            <w:tcW w:w="240" w:type="dxa"/>
            <w:vAlign w:val="bottom"/>
            <w:tcBorders>
              <w:bottom w:val="single" w:sz="8" w:color="auto"/>
            </w:tcBorders>
            <w:shd w:val="clear" w:color="auto" w:fill="CCECFF"/>
          </w:tcPr>
          <w:p>
            <w:pPr>
              <w:spacing w:after="0"/>
              <w:rPr>
                <w:sz w:val="14"/>
                <w:szCs w:val="14"/>
                <w:color w:val="auto"/>
              </w:rPr>
            </w:pPr>
          </w:p>
        </w:tc>
        <w:tc>
          <w:tcPr>
            <w:tcW w:w="12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49,727,848</w:t>
            </w:r>
          </w:p>
        </w:tc>
        <w:tc>
          <w:tcPr>
            <w:tcW w:w="280" w:type="dxa"/>
            <w:vAlign w:val="bottom"/>
            <w:shd w:val="clear" w:color="auto" w:fill="CCECFF"/>
          </w:tcPr>
          <w:p>
            <w:pPr>
              <w:spacing w:after="0"/>
              <w:rPr>
                <w:sz w:val="14"/>
                <w:szCs w:val="14"/>
                <w:color w:val="auto"/>
              </w:rPr>
            </w:pPr>
          </w:p>
        </w:tc>
        <w:tc>
          <w:tcPr>
            <w:tcW w:w="320" w:type="dxa"/>
            <w:vAlign w:val="bottom"/>
            <w:tcBorders>
              <w:bottom w:val="single" w:sz="8" w:color="auto"/>
            </w:tcBorders>
            <w:shd w:val="clear" w:color="auto" w:fill="CCECFF"/>
          </w:tcPr>
          <w:p>
            <w:pPr>
              <w:spacing w:after="0"/>
              <w:rPr>
                <w:sz w:val="14"/>
                <w:szCs w:val="14"/>
                <w:color w:val="auto"/>
              </w:rPr>
            </w:pPr>
          </w:p>
        </w:tc>
        <w:tc>
          <w:tcPr>
            <w:tcW w:w="11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52,368,750</w:t>
            </w:r>
          </w:p>
        </w:tc>
        <w:tc>
          <w:tcPr>
            <w:tcW w:w="260" w:type="dxa"/>
            <w:vAlign w:val="bottom"/>
            <w:shd w:val="clear" w:color="auto" w:fill="CCECFF"/>
          </w:tcPr>
          <w:p>
            <w:pPr>
              <w:spacing w:after="0"/>
              <w:rPr>
                <w:sz w:val="14"/>
                <w:szCs w:val="14"/>
                <w:color w:val="auto"/>
              </w:rPr>
            </w:pPr>
          </w:p>
        </w:tc>
        <w:tc>
          <w:tcPr>
            <w:tcW w:w="240" w:type="dxa"/>
            <w:vAlign w:val="bottom"/>
            <w:tcBorders>
              <w:bottom w:val="single" w:sz="8" w:color="auto"/>
            </w:tcBorders>
            <w:shd w:val="clear" w:color="auto" w:fill="CCECFF"/>
          </w:tcPr>
          <w:p>
            <w:pPr>
              <w:spacing w:after="0"/>
              <w:rPr>
                <w:sz w:val="14"/>
                <w:szCs w:val="14"/>
                <w:color w:val="auto"/>
              </w:rPr>
            </w:pPr>
          </w:p>
        </w:tc>
        <w:tc>
          <w:tcPr>
            <w:tcW w:w="12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49,969,330</w:t>
            </w:r>
          </w:p>
        </w:tc>
        <w:tc>
          <w:tcPr>
            <w:tcW w:w="100" w:type="dxa"/>
            <w:vAlign w:val="bottom"/>
            <w:shd w:val="clear" w:color="auto" w:fill="CCEC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540" w:type="dxa"/>
            <w:vAlign w:val="bottom"/>
            <w:tcBorders>
              <w:bottom w:val="single" w:sz="8" w:color="CCECFF"/>
            </w:tcBorders>
            <w:gridSpan w:val="2"/>
          </w:tcPr>
          <w:p>
            <w:pPr>
              <w:spacing w:after="0" w:line="155" w:lineRule="exact"/>
              <w:rPr>
                <w:sz w:val="20"/>
                <w:szCs w:val="20"/>
                <w:color w:val="auto"/>
              </w:rPr>
            </w:pPr>
            <w:r>
              <w:rPr>
                <w:rFonts w:ascii="Arial" w:cs="Arial" w:eastAsia="Arial" w:hAnsi="Arial"/>
                <w:sz w:val="14"/>
                <w:szCs w:val="14"/>
                <w:color w:val="auto"/>
              </w:rPr>
              <w:t>Total investments</w:t>
            </w:r>
          </w:p>
        </w:tc>
        <w:tc>
          <w:tcPr>
            <w:tcW w:w="32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1,183,194,273</w:t>
            </w:r>
          </w:p>
        </w:tc>
        <w:tc>
          <w:tcPr>
            <w:tcW w:w="280" w:type="dxa"/>
            <w:vAlign w:val="bottom"/>
            <w:tcBorders>
              <w:bottom w:val="single" w:sz="8" w:color="CCEC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1,176,115,914</w:t>
            </w:r>
          </w:p>
        </w:tc>
        <w:tc>
          <w:tcPr>
            <w:tcW w:w="280" w:type="dxa"/>
            <w:vAlign w:val="bottom"/>
            <w:tcBorders>
              <w:bottom w:val="single" w:sz="8" w:color="CCEC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1,085,172,349</w:t>
            </w:r>
          </w:p>
        </w:tc>
        <w:tc>
          <w:tcPr>
            <w:tcW w:w="260" w:type="dxa"/>
            <w:vAlign w:val="bottom"/>
            <w:tcBorders>
              <w:bottom w:val="single" w:sz="8" w:color="CCEC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1,081,706,909</w:t>
            </w:r>
          </w:p>
        </w:tc>
        <w:tc>
          <w:tcPr>
            <w:tcW w:w="100" w:type="dxa"/>
            <w:vAlign w:val="bottom"/>
            <w:tcBorders>
              <w:bottom w:val="single" w:sz="8" w:color="CCECFF"/>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4540" w:type="dxa"/>
            <w:vAlign w:val="bottom"/>
            <w:gridSpan w:val="2"/>
            <w:shd w:val="clear" w:color="auto" w:fill="CCECFF"/>
          </w:tcPr>
          <w:p>
            <w:pPr>
              <w:spacing w:after="0" w:line="155" w:lineRule="exact"/>
              <w:rPr>
                <w:sz w:val="20"/>
                <w:szCs w:val="20"/>
                <w:color w:val="auto"/>
              </w:rPr>
            </w:pPr>
            <w:r>
              <w:rPr>
                <w:rFonts w:ascii="Arial" w:cs="Arial" w:eastAsia="Arial" w:hAnsi="Arial"/>
                <w:sz w:val="14"/>
                <w:szCs w:val="14"/>
                <w:color w:val="auto"/>
              </w:rPr>
              <w:t>Cash and cash equivalents</w:t>
            </w:r>
          </w:p>
        </w:tc>
        <w:tc>
          <w:tcPr>
            <w:tcW w:w="320" w:type="dxa"/>
            <w:vAlign w:val="bottom"/>
            <w:tcBorders>
              <w:bottom w:val="single" w:sz="8" w:color="auto"/>
            </w:tcBorders>
            <w:shd w:val="clear" w:color="auto" w:fill="CCECFF"/>
          </w:tcPr>
          <w:p>
            <w:pPr>
              <w:spacing w:after="0"/>
              <w:rPr>
                <w:sz w:val="13"/>
                <w:szCs w:val="13"/>
                <w:color w:val="auto"/>
              </w:rPr>
            </w:pPr>
          </w:p>
        </w:tc>
        <w:tc>
          <w:tcPr>
            <w:tcW w:w="112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56,261,843</w:t>
            </w:r>
          </w:p>
        </w:tc>
        <w:tc>
          <w:tcPr>
            <w:tcW w:w="280" w:type="dxa"/>
            <w:vAlign w:val="bottom"/>
            <w:shd w:val="clear" w:color="auto" w:fill="CCECFF"/>
          </w:tcPr>
          <w:p>
            <w:pPr>
              <w:spacing w:after="0"/>
              <w:rPr>
                <w:sz w:val="13"/>
                <w:szCs w:val="13"/>
                <w:color w:val="auto"/>
              </w:rPr>
            </w:pPr>
          </w:p>
        </w:tc>
        <w:tc>
          <w:tcPr>
            <w:tcW w:w="240" w:type="dxa"/>
            <w:vAlign w:val="bottom"/>
            <w:tcBorders>
              <w:bottom w:val="single" w:sz="8" w:color="auto"/>
            </w:tcBorders>
            <w:shd w:val="clear" w:color="auto" w:fill="CCECFF"/>
          </w:tcPr>
          <w:p>
            <w:pPr>
              <w:spacing w:after="0"/>
              <w:rPr>
                <w:sz w:val="13"/>
                <w:szCs w:val="13"/>
                <w:color w:val="auto"/>
              </w:rPr>
            </w:pPr>
          </w:p>
        </w:tc>
        <w:tc>
          <w:tcPr>
            <w:tcW w:w="120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56,292,541</w:t>
            </w:r>
          </w:p>
        </w:tc>
        <w:tc>
          <w:tcPr>
            <w:tcW w:w="280" w:type="dxa"/>
            <w:vAlign w:val="bottom"/>
            <w:shd w:val="clear" w:color="auto" w:fill="CCECFF"/>
          </w:tcPr>
          <w:p>
            <w:pPr>
              <w:spacing w:after="0"/>
              <w:rPr>
                <w:sz w:val="13"/>
                <w:szCs w:val="13"/>
                <w:color w:val="auto"/>
              </w:rPr>
            </w:pPr>
          </w:p>
        </w:tc>
        <w:tc>
          <w:tcPr>
            <w:tcW w:w="320" w:type="dxa"/>
            <w:vAlign w:val="bottom"/>
            <w:tcBorders>
              <w:bottom w:val="single" w:sz="8" w:color="auto"/>
            </w:tcBorders>
            <w:shd w:val="clear" w:color="auto" w:fill="CCECFF"/>
          </w:tcPr>
          <w:p>
            <w:pPr>
              <w:spacing w:after="0"/>
              <w:rPr>
                <w:sz w:val="13"/>
                <w:szCs w:val="13"/>
                <w:color w:val="auto"/>
              </w:rPr>
            </w:pPr>
          </w:p>
        </w:tc>
        <w:tc>
          <w:tcPr>
            <w:tcW w:w="112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63,367,237</w:t>
            </w:r>
          </w:p>
        </w:tc>
        <w:tc>
          <w:tcPr>
            <w:tcW w:w="260" w:type="dxa"/>
            <w:vAlign w:val="bottom"/>
            <w:shd w:val="clear" w:color="auto" w:fill="CCECFF"/>
          </w:tcPr>
          <w:p>
            <w:pPr>
              <w:spacing w:after="0"/>
              <w:rPr>
                <w:sz w:val="13"/>
                <w:szCs w:val="13"/>
                <w:color w:val="auto"/>
              </w:rPr>
            </w:pPr>
          </w:p>
        </w:tc>
        <w:tc>
          <w:tcPr>
            <w:tcW w:w="240" w:type="dxa"/>
            <w:vAlign w:val="bottom"/>
            <w:tcBorders>
              <w:bottom w:val="single" w:sz="8" w:color="auto"/>
            </w:tcBorders>
            <w:shd w:val="clear" w:color="auto" w:fill="CCECFF"/>
          </w:tcPr>
          <w:p>
            <w:pPr>
              <w:spacing w:after="0"/>
              <w:rPr>
                <w:sz w:val="13"/>
                <w:szCs w:val="13"/>
                <w:color w:val="auto"/>
              </w:rPr>
            </w:pPr>
          </w:p>
        </w:tc>
        <w:tc>
          <w:tcPr>
            <w:tcW w:w="122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63,337,728</w:t>
            </w:r>
          </w:p>
        </w:tc>
        <w:tc>
          <w:tcPr>
            <w:tcW w:w="100" w:type="dxa"/>
            <w:vAlign w:val="bottom"/>
            <w:shd w:val="clear" w:color="auto" w:fill="CCEC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4540" w:type="dxa"/>
            <w:vAlign w:val="bottom"/>
            <w:gridSpan w:val="2"/>
          </w:tcPr>
          <w:p>
            <w:pPr>
              <w:spacing w:after="0" w:line="155" w:lineRule="exact"/>
              <w:rPr>
                <w:sz w:val="20"/>
                <w:szCs w:val="20"/>
                <w:color w:val="auto"/>
              </w:rPr>
            </w:pPr>
            <w:r>
              <w:rPr>
                <w:rFonts w:ascii="Arial" w:cs="Arial" w:eastAsia="Arial" w:hAnsi="Arial"/>
                <w:sz w:val="14"/>
                <w:szCs w:val="14"/>
                <w:color w:val="auto"/>
              </w:rPr>
              <w:t>Total investments and cash and cash equivalents</w:t>
            </w:r>
          </w:p>
        </w:tc>
        <w:tc>
          <w:tcPr>
            <w:tcW w:w="320" w:type="dxa"/>
            <w:vAlign w:val="bottom"/>
            <w:tcBorders>
              <w:bottom w:val="single" w:sz="8" w:color="auto"/>
            </w:tcBorders>
          </w:tcPr>
          <w:p>
            <w:pPr>
              <w:jc w:val="right"/>
              <w:ind w:right="168"/>
              <w:spacing w:after="0" w:line="155" w:lineRule="exact"/>
              <w:rPr>
                <w:sz w:val="20"/>
                <w:szCs w:val="20"/>
                <w:color w:val="auto"/>
              </w:rPr>
            </w:pPr>
            <w:r>
              <w:rPr>
                <w:rFonts w:ascii="Arial" w:cs="Arial" w:eastAsia="Arial" w:hAnsi="Arial"/>
                <w:sz w:val="14"/>
                <w:szCs w:val="14"/>
                <w:color w:val="auto"/>
                <w:w w:val="76"/>
              </w:rPr>
              <w:t>$</w:t>
            </w:r>
          </w:p>
        </w:tc>
        <w:tc>
          <w:tcPr>
            <w:tcW w:w="11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1,239,456,116</w:t>
            </w:r>
          </w:p>
        </w:tc>
        <w:tc>
          <w:tcPr>
            <w:tcW w:w="280" w:type="dxa"/>
            <w:vAlign w:val="bottom"/>
          </w:tcPr>
          <w:p>
            <w:pPr>
              <w:spacing w:after="0"/>
              <w:rPr>
                <w:sz w:val="13"/>
                <w:szCs w:val="13"/>
                <w:color w:val="auto"/>
              </w:rPr>
            </w:pPr>
          </w:p>
        </w:tc>
        <w:tc>
          <w:tcPr>
            <w:tcW w:w="240" w:type="dxa"/>
            <w:vAlign w:val="bottom"/>
            <w:tcBorders>
              <w:bottom w:val="single" w:sz="8" w:color="auto"/>
            </w:tcBorders>
          </w:tcPr>
          <w:p>
            <w:pPr>
              <w:jc w:val="right"/>
              <w:ind w:right="88"/>
              <w:spacing w:after="0" w:line="155" w:lineRule="exact"/>
              <w:rPr>
                <w:sz w:val="20"/>
                <w:szCs w:val="20"/>
                <w:color w:val="auto"/>
              </w:rPr>
            </w:pPr>
            <w:r>
              <w:rPr>
                <w:rFonts w:ascii="Arial" w:cs="Arial" w:eastAsia="Arial" w:hAnsi="Arial"/>
                <w:sz w:val="14"/>
                <w:szCs w:val="14"/>
                <w:color w:val="auto"/>
                <w:w w:val="76"/>
              </w:rPr>
              <w:t>$</w:t>
            </w:r>
          </w:p>
        </w:tc>
        <w:tc>
          <w:tcPr>
            <w:tcW w:w="12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1,232,408,455</w:t>
            </w:r>
          </w:p>
        </w:tc>
        <w:tc>
          <w:tcPr>
            <w:tcW w:w="280" w:type="dxa"/>
            <w:vAlign w:val="bottom"/>
          </w:tcPr>
          <w:p>
            <w:pPr>
              <w:spacing w:after="0"/>
              <w:rPr>
                <w:sz w:val="13"/>
                <w:szCs w:val="13"/>
                <w:color w:val="auto"/>
              </w:rPr>
            </w:pPr>
          </w:p>
        </w:tc>
        <w:tc>
          <w:tcPr>
            <w:tcW w:w="320" w:type="dxa"/>
            <w:vAlign w:val="bottom"/>
            <w:tcBorders>
              <w:bottom w:val="single" w:sz="8" w:color="auto"/>
            </w:tcBorders>
          </w:tcPr>
          <w:p>
            <w:pPr>
              <w:jc w:val="right"/>
              <w:ind w:right="209"/>
              <w:spacing w:after="0"/>
              <w:rPr>
                <w:sz w:val="20"/>
                <w:szCs w:val="20"/>
                <w:color w:val="auto"/>
              </w:rPr>
            </w:pPr>
            <w:r>
              <w:rPr>
                <w:rFonts w:ascii="Arial" w:cs="Arial" w:eastAsia="Arial" w:hAnsi="Arial"/>
                <w:sz w:val="10"/>
                <w:szCs w:val="10"/>
                <w:color w:val="auto"/>
                <w:w w:val="71"/>
              </w:rPr>
              <w:t>$</w:t>
            </w:r>
          </w:p>
        </w:tc>
        <w:tc>
          <w:tcPr>
            <w:tcW w:w="11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1,148,539,586</w:t>
            </w:r>
          </w:p>
        </w:tc>
        <w:tc>
          <w:tcPr>
            <w:tcW w:w="260" w:type="dxa"/>
            <w:vAlign w:val="bottom"/>
          </w:tcPr>
          <w:p>
            <w:pPr>
              <w:spacing w:after="0"/>
              <w:rPr>
                <w:sz w:val="13"/>
                <w:szCs w:val="13"/>
                <w:color w:val="auto"/>
              </w:rPr>
            </w:pPr>
          </w:p>
        </w:tc>
        <w:tc>
          <w:tcPr>
            <w:tcW w:w="240" w:type="dxa"/>
            <w:vAlign w:val="bottom"/>
            <w:tcBorders>
              <w:bottom w:val="single" w:sz="8" w:color="auto"/>
            </w:tcBorders>
          </w:tcPr>
          <w:p>
            <w:pPr>
              <w:jc w:val="right"/>
              <w:ind w:right="88"/>
              <w:spacing w:after="0" w:line="155" w:lineRule="exact"/>
              <w:rPr>
                <w:sz w:val="20"/>
                <w:szCs w:val="20"/>
                <w:color w:val="auto"/>
              </w:rPr>
            </w:pPr>
            <w:r>
              <w:rPr>
                <w:rFonts w:ascii="Arial" w:cs="Arial" w:eastAsia="Arial" w:hAnsi="Arial"/>
                <w:sz w:val="14"/>
                <w:szCs w:val="14"/>
                <w:color w:val="auto"/>
                <w:w w:val="76"/>
              </w:rPr>
              <w:t>$</w:t>
            </w:r>
          </w:p>
        </w:tc>
        <w:tc>
          <w:tcPr>
            <w:tcW w:w="12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1,145,044,637</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8"/>
        </w:trPr>
        <w:tc>
          <w:tcPr>
            <w:tcW w:w="4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jc w:val="right"/>
              <w:ind w:right="229"/>
              <w:spacing w:after="0"/>
              <w:rPr>
                <w:sz w:val="20"/>
                <w:szCs w:val="20"/>
                <w:color w:val="auto"/>
              </w:rPr>
            </w:pPr>
            <w:r>
              <w:rPr>
                <w:rFonts w:ascii="Arial" w:cs="Arial" w:eastAsia="Arial" w:hAnsi="Arial"/>
                <w:sz w:val="13"/>
                <w:szCs w:val="13"/>
                <w:color w:val="auto"/>
              </w:rPr>
              <w:t>19</w:t>
            </w: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4"/>
        </w:trPr>
        <w:tc>
          <w:tcPr>
            <w:tcW w:w="438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112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20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112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2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118" w:right="319" w:bottom="1440" w:gutter="0" w:footer="0" w:header="0"/>
        </w:sectPr>
      </w:pPr>
    </w:p>
    <w:bookmarkStart w:id="19" w:name="page20"/>
    <w:bookmarkEnd w:id="19"/>
    <w:p>
      <w:pPr>
        <w:jc w:val="center"/>
        <w:ind w:right="20"/>
        <w:spacing w:after="0"/>
        <w:rPr>
          <w:sz w:val="20"/>
          <w:szCs w:val="20"/>
          <w:color w:val="auto"/>
        </w:rPr>
      </w:pPr>
      <w:r>
        <w:rPr>
          <w:rFonts w:ascii="Arial" w:cs="Arial" w:eastAsia="Arial" w:hAnsi="Arial"/>
          <w:sz w:val="14"/>
          <w:szCs w:val="14"/>
          <w:b w:val="1"/>
          <w:bCs w:val="1"/>
          <w:color w:val="auto"/>
        </w:rPr>
        <w:t>PENNANTPARK FLOATING RATE CAPITAL LTD. AND SUBSIDIARIES</w:t>
      </w:r>
    </w:p>
    <w:p>
      <w:pPr>
        <w:jc w:val="center"/>
        <w:ind w:right="20"/>
        <w:spacing w:after="0" w:line="225" w:lineRule="auto"/>
        <w:rPr>
          <w:sz w:val="20"/>
          <w:szCs w:val="20"/>
          <w:color w:val="auto"/>
        </w:rPr>
      </w:pPr>
      <w:r>
        <w:rPr>
          <w:rFonts w:ascii="Arial" w:cs="Arial" w:eastAsia="Arial" w:hAnsi="Arial"/>
          <w:sz w:val="14"/>
          <w:szCs w:val="14"/>
          <w:b w:val="1"/>
          <w:bCs w:val="1"/>
          <w:color w:val="auto"/>
        </w:rPr>
        <w:t>NOTES TO CONSOLIDATED FINANCIAL STATEMENTS-(Continued)</w:t>
      </w:r>
    </w:p>
    <w:p>
      <w:pPr>
        <w:jc w:val="center"/>
        <w:ind w:right="20"/>
        <w:spacing w:after="0" w:line="221" w:lineRule="auto"/>
        <w:rPr>
          <w:sz w:val="20"/>
          <w:szCs w:val="20"/>
          <w:color w:val="auto"/>
        </w:rPr>
      </w:pPr>
      <w:r>
        <w:rPr>
          <w:rFonts w:ascii="Arial" w:cs="Arial" w:eastAsia="Arial" w:hAnsi="Arial"/>
          <w:sz w:val="14"/>
          <w:szCs w:val="14"/>
          <w:b w:val="1"/>
          <w:bCs w:val="1"/>
          <w:color w:val="auto"/>
        </w:rPr>
        <w:t>DECEMBER 31, 2019</w:t>
      </w:r>
    </w:p>
    <w:p>
      <w:pPr>
        <w:spacing w:after="0" w:line="1"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(Unaudited)</w:t>
      </w:r>
    </w:p>
    <w:p>
      <w:pPr>
        <w:spacing w:after="0" w:line="124" w:lineRule="exact"/>
        <w:rPr>
          <w:sz w:val="20"/>
          <w:szCs w:val="20"/>
          <w:color w:val="auto"/>
        </w:rPr>
      </w:pPr>
    </w:p>
    <w:p>
      <w:pPr>
        <w:ind w:right="240" w:firstLine="438"/>
        <w:spacing w:after="0" w:line="253" w:lineRule="auto"/>
        <w:rPr>
          <w:sz w:val="20"/>
          <w:szCs w:val="20"/>
          <w:color w:val="auto"/>
        </w:rPr>
      </w:pPr>
      <w:r>
        <w:rPr>
          <w:rFonts w:ascii="Arial" w:cs="Arial" w:eastAsia="Arial" w:hAnsi="Arial"/>
          <w:sz w:val="14"/>
          <w:szCs w:val="14"/>
          <w:color w:val="auto"/>
        </w:rPr>
        <w:t>The table below describes investments by industry classification and enumerates the percentage, by fair value, of the total portfolio assets (excluding cash and cash equivalents) in such industries: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90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rPr>
              <w:t>Industry Classification</w:t>
            </w:r>
          </w:p>
        </w:tc>
        <w:tc>
          <w:tcPr>
            <w:tcW w:w="200" w:type="dxa"/>
            <w:vAlign w:val="bottom"/>
            <w:tcBorders>
              <w:bottom w:val="single" w:sz="8" w:color="CCECFF"/>
            </w:tcBorders>
          </w:tcPr>
          <w:p>
            <w:pPr>
              <w:spacing w:after="0"/>
              <w:rPr>
                <w:sz w:val="14"/>
                <w:szCs w:val="14"/>
                <w:color w:val="auto"/>
              </w:rPr>
            </w:pPr>
          </w:p>
        </w:tc>
        <w:tc>
          <w:tcPr>
            <w:tcW w:w="18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 xml:space="preserve">December 31, 2019 </w:t>
            </w:r>
            <w:r>
              <w:rPr>
                <w:rFonts w:ascii="Arial" w:cs="Arial" w:eastAsia="Arial" w:hAnsi="Arial"/>
                <w:sz w:val="12"/>
                <w:szCs w:val="12"/>
                <w:b w:val="1"/>
                <w:bCs w:val="1"/>
                <w:color w:val="auto"/>
              </w:rPr>
              <w:t>(1)</w:t>
            </w:r>
          </w:p>
        </w:tc>
        <w:tc>
          <w:tcPr>
            <w:tcW w:w="340" w:type="dxa"/>
            <w:vAlign w:val="bottom"/>
            <w:tcBorders>
              <w:bottom w:val="single" w:sz="8" w:color="CCECFF"/>
            </w:tcBorders>
          </w:tcPr>
          <w:p>
            <w:pPr>
              <w:spacing w:after="0"/>
              <w:rPr>
                <w:sz w:val="14"/>
                <w:szCs w:val="14"/>
                <w:color w:val="auto"/>
              </w:rPr>
            </w:pPr>
          </w:p>
        </w:tc>
        <w:tc>
          <w:tcPr>
            <w:tcW w:w="17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 xml:space="preserve">September 30, 2019 </w:t>
            </w:r>
            <w:r>
              <w:rPr>
                <w:rFonts w:ascii="Arial" w:cs="Arial" w:eastAsia="Arial" w:hAnsi="Arial"/>
                <w:sz w:val="12"/>
                <w:szCs w:val="12"/>
                <w:b w:val="1"/>
                <w:bCs w:val="1"/>
                <w:color w:val="auto"/>
              </w:rPr>
              <w:t>(1)</w:t>
            </w:r>
          </w:p>
        </w:tc>
        <w:tc>
          <w:tcPr>
            <w:tcW w:w="140" w:type="dxa"/>
            <w:vAlign w:val="bottom"/>
            <w:tcBorders>
              <w:bottom w:val="single" w:sz="8" w:color="CCECFF"/>
            </w:tcBorders>
          </w:tcPr>
          <w:p>
            <w:pPr>
              <w:spacing w:after="0"/>
              <w:rPr>
                <w:sz w:val="14"/>
                <w:szCs w:val="14"/>
                <w:color w:val="auto"/>
              </w:rPr>
            </w:pPr>
          </w:p>
        </w:tc>
      </w:tr>
      <w:tr>
        <w:trPr>
          <w:trHeight w:val="155"/>
        </w:trPr>
        <w:tc>
          <w:tcPr>
            <w:tcW w:w="6900" w:type="dxa"/>
            <w:vAlign w:val="bottom"/>
            <w:gridSpan w:val="3"/>
            <w:shd w:val="clear" w:color="auto" w:fill="CCECFF"/>
          </w:tcPr>
          <w:p>
            <w:pPr>
              <w:spacing w:after="0" w:line="155" w:lineRule="exact"/>
              <w:rPr>
                <w:sz w:val="20"/>
                <w:szCs w:val="20"/>
                <w:color w:val="auto"/>
              </w:rPr>
            </w:pPr>
            <w:r>
              <w:rPr>
                <w:rFonts w:ascii="Arial" w:cs="Arial" w:eastAsia="Arial" w:hAnsi="Arial"/>
                <w:sz w:val="14"/>
                <w:szCs w:val="14"/>
                <w:color w:val="auto"/>
              </w:rPr>
              <w:t>Aerospace and Defense</w:t>
            </w:r>
          </w:p>
        </w:tc>
        <w:tc>
          <w:tcPr>
            <w:tcW w:w="200" w:type="dxa"/>
            <w:vAlign w:val="bottom"/>
            <w:shd w:val="clear" w:color="auto" w:fill="CCECFF"/>
          </w:tcPr>
          <w:p>
            <w:pPr>
              <w:spacing w:after="0"/>
              <w:rPr>
                <w:sz w:val="13"/>
                <w:szCs w:val="13"/>
                <w:color w:val="auto"/>
              </w:rPr>
            </w:pPr>
          </w:p>
        </w:tc>
        <w:tc>
          <w:tcPr>
            <w:tcW w:w="2220" w:type="dxa"/>
            <w:vAlign w:val="bottom"/>
            <w:gridSpan w:val="2"/>
            <w:shd w:val="clear" w:color="auto" w:fill="CCECFF"/>
          </w:tcPr>
          <w:p>
            <w:pPr>
              <w:jc w:val="right"/>
              <w:ind w:right="220"/>
              <w:spacing w:after="0" w:line="155" w:lineRule="exact"/>
              <w:rPr>
                <w:sz w:val="20"/>
                <w:szCs w:val="20"/>
                <w:color w:val="auto"/>
              </w:rPr>
            </w:pPr>
            <w:r>
              <w:rPr>
                <w:rFonts w:ascii="Arial" w:cs="Arial" w:eastAsia="Arial" w:hAnsi="Arial"/>
                <w:sz w:val="14"/>
                <w:szCs w:val="14"/>
                <w:color w:val="auto"/>
              </w:rPr>
              <w:t>7%</w:t>
            </w:r>
          </w:p>
        </w:tc>
        <w:tc>
          <w:tcPr>
            <w:tcW w:w="1920" w:type="dxa"/>
            <w:vAlign w:val="bottom"/>
            <w:gridSpan w:val="2"/>
            <w:shd w:val="clear" w:color="auto" w:fill="CCECFF"/>
          </w:tcPr>
          <w:p>
            <w:pPr>
              <w:jc w:val="right"/>
              <w:ind w:right="20"/>
              <w:spacing w:after="0" w:line="155" w:lineRule="exact"/>
              <w:rPr>
                <w:sz w:val="20"/>
                <w:szCs w:val="20"/>
                <w:color w:val="auto"/>
              </w:rPr>
            </w:pPr>
            <w:r>
              <w:rPr>
                <w:rFonts w:ascii="Arial" w:cs="Arial" w:eastAsia="Arial" w:hAnsi="Arial"/>
                <w:sz w:val="14"/>
                <w:szCs w:val="14"/>
                <w:color w:val="auto"/>
              </w:rPr>
              <w:t>7%</w:t>
            </w:r>
          </w:p>
        </w:tc>
      </w:tr>
      <w:tr>
        <w:trPr>
          <w:trHeight w:val="162"/>
        </w:trPr>
        <w:tc>
          <w:tcPr>
            <w:tcW w:w="7100" w:type="dxa"/>
            <w:vAlign w:val="bottom"/>
            <w:gridSpan w:val="4"/>
          </w:tcPr>
          <w:p>
            <w:pPr>
              <w:spacing w:after="0"/>
              <w:rPr>
                <w:sz w:val="20"/>
                <w:szCs w:val="20"/>
                <w:color w:val="auto"/>
              </w:rPr>
            </w:pPr>
            <w:r>
              <w:rPr>
                <w:rFonts w:ascii="Arial" w:cs="Arial" w:eastAsia="Arial" w:hAnsi="Arial"/>
                <w:sz w:val="14"/>
                <w:szCs w:val="14"/>
                <w:color w:val="auto"/>
              </w:rPr>
              <w:t>Business Services</w:t>
            </w:r>
          </w:p>
        </w:tc>
        <w:tc>
          <w:tcPr>
            <w:tcW w:w="1880" w:type="dxa"/>
            <w:vAlign w:val="bottom"/>
          </w:tcPr>
          <w:p>
            <w:pPr>
              <w:jc w:val="right"/>
              <w:spacing w:after="0"/>
              <w:rPr>
                <w:sz w:val="20"/>
                <w:szCs w:val="20"/>
                <w:color w:val="auto"/>
              </w:rPr>
            </w:pPr>
            <w:r>
              <w:rPr>
                <w:rFonts w:ascii="Arial" w:cs="Arial" w:eastAsia="Arial" w:hAnsi="Arial"/>
                <w:sz w:val="14"/>
                <w:szCs w:val="14"/>
                <w:color w:val="auto"/>
              </w:rPr>
              <w:t>6</w:t>
            </w:r>
          </w:p>
        </w:tc>
        <w:tc>
          <w:tcPr>
            <w:tcW w:w="340" w:type="dxa"/>
            <w:vAlign w:val="bottom"/>
          </w:tcPr>
          <w:p>
            <w:pPr>
              <w:spacing w:after="0"/>
              <w:rPr>
                <w:sz w:val="14"/>
                <w:szCs w:val="14"/>
                <w:color w:val="auto"/>
              </w:rPr>
            </w:pPr>
          </w:p>
        </w:tc>
        <w:tc>
          <w:tcPr>
            <w:tcW w:w="1780" w:type="dxa"/>
            <w:vAlign w:val="bottom"/>
          </w:tcPr>
          <w:p>
            <w:pPr>
              <w:jc w:val="right"/>
              <w:spacing w:after="0"/>
              <w:rPr>
                <w:sz w:val="20"/>
                <w:szCs w:val="20"/>
                <w:color w:val="auto"/>
              </w:rPr>
            </w:pPr>
            <w:r>
              <w:rPr>
                <w:rFonts w:ascii="Arial" w:cs="Arial" w:eastAsia="Arial" w:hAnsi="Arial"/>
                <w:sz w:val="14"/>
                <w:szCs w:val="14"/>
                <w:color w:val="auto"/>
              </w:rPr>
              <w:t>5</w:t>
            </w:r>
          </w:p>
        </w:tc>
        <w:tc>
          <w:tcPr>
            <w:tcW w:w="140" w:type="dxa"/>
            <w:vAlign w:val="bottom"/>
          </w:tcPr>
          <w:p>
            <w:pPr>
              <w:spacing w:after="0"/>
              <w:rPr>
                <w:sz w:val="14"/>
                <w:szCs w:val="14"/>
                <w:color w:val="auto"/>
              </w:rPr>
            </w:pPr>
          </w:p>
        </w:tc>
      </w:tr>
      <w:tr>
        <w:trPr>
          <w:trHeight w:val="162"/>
        </w:trPr>
        <w:tc>
          <w:tcPr>
            <w:tcW w:w="7100" w:type="dxa"/>
            <w:vAlign w:val="bottom"/>
            <w:gridSpan w:val="4"/>
            <w:shd w:val="clear" w:color="auto" w:fill="CCECFF"/>
          </w:tcPr>
          <w:p>
            <w:pPr>
              <w:spacing w:after="0"/>
              <w:rPr>
                <w:sz w:val="20"/>
                <w:szCs w:val="20"/>
                <w:color w:val="auto"/>
              </w:rPr>
            </w:pPr>
            <w:r>
              <w:rPr>
                <w:rFonts w:ascii="Arial" w:cs="Arial" w:eastAsia="Arial" w:hAnsi="Arial"/>
                <w:sz w:val="14"/>
                <w:szCs w:val="14"/>
                <w:color w:val="auto"/>
              </w:rPr>
              <w:t>High Tech Industries</w:t>
            </w:r>
          </w:p>
        </w:tc>
        <w:tc>
          <w:tcPr>
            <w:tcW w:w="18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6</w:t>
            </w:r>
          </w:p>
        </w:tc>
        <w:tc>
          <w:tcPr>
            <w:tcW w:w="340" w:type="dxa"/>
            <w:vAlign w:val="bottom"/>
            <w:shd w:val="clear" w:color="auto" w:fill="CCECFF"/>
          </w:tcPr>
          <w:p>
            <w:pPr>
              <w:spacing w:after="0"/>
              <w:rPr>
                <w:sz w:val="14"/>
                <w:szCs w:val="14"/>
                <w:color w:val="auto"/>
              </w:rPr>
            </w:pPr>
          </w:p>
        </w:tc>
        <w:tc>
          <w:tcPr>
            <w:tcW w:w="17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5</w:t>
            </w:r>
          </w:p>
        </w:tc>
        <w:tc>
          <w:tcPr>
            <w:tcW w:w="140" w:type="dxa"/>
            <w:vAlign w:val="bottom"/>
            <w:shd w:val="clear" w:color="auto" w:fill="CCECFF"/>
          </w:tcPr>
          <w:p>
            <w:pPr>
              <w:spacing w:after="0"/>
              <w:rPr>
                <w:sz w:val="14"/>
                <w:szCs w:val="14"/>
                <w:color w:val="auto"/>
              </w:rPr>
            </w:pPr>
          </w:p>
        </w:tc>
      </w:tr>
      <w:tr>
        <w:trPr>
          <w:trHeight w:val="162"/>
        </w:trPr>
        <w:tc>
          <w:tcPr>
            <w:tcW w:w="7100" w:type="dxa"/>
            <w:vAlign w:val="bottom"/>
            <w:gridSpan w:val="4"/>
          </w:tcPr>
          <w:p>
            <w:pPr>
              <w:spacing w:after="0"/>
              <w:rPr>
                <w:sz w:val="20"/>
                <w:szCs w:val="20"/>
                <w:color w:val="auto"/>
              </w:rPr>
            </w:pPr>
            <w:r>
              <w:rPr>
                <w:rFonts w:ascii="Arial" w:cs="Arial" w:eastAsia="Arial" w:hAnsi="Arial"/>
                <w:sz w:val="14"/>
                <w:szCs w:val="14"/>
                <w:color w:val="auto"/>
              </w:rPr>
              <w:t>Hotel, Gaming and Leisure</w:t>
            </w:r>
          </w:p>
        </w:tc>
        <w:tc>
          <w:tcPr>
            <w:tcW w:w="1880" w:type="dxa"/>
            <w:vAlign w:val="bottom"/>
          </w:tcPr>
          <w:p>
            <w:pPr>
              <w:jc w:val="right"/>
              <w:spacing w:after="0"/>
              <w:rPr>
                <w:sz w:val="20"/>
                <w:szCs w:val="20"/>
                <w:color w:val="auto"/>
              </w:rPr>
            </w:pPr>
            <w:r>
              <w:rPr>
                <w:rFonts w:ascii="Arial" w:cs="Arial" w:eastAsia="Arial" w:hAnsi="Arial"/>
                <w:sz w:val="14"/>
                <w:szCs w:val="14"/>
                <w:color w:val="auto"/>
              </w:rPr>
              <w:t>6</w:t>
            </w:r>
          </w:p>
        </w:tc>
        <w:tc>
          <w:tcPr>
            <w:tcW w:w="340" w:type="dxa"/>
            <w:vAlign w:val="bottom"/>
          </w:tcPr>
          <w:p>
            <w:pPr>
              <w:spacing w:after="0"/>
              <w:rPr>
                <w:sz w:val="14"/>
                <w:szCs w:val="14"/>
                <w:color w:val="auto"/>
              </w:rPr>
            </w:pPr>
          </w:p>
        </w:tc>
        <w:tc>
          <w:tcPr>
            <w:tcW w:w="1780" w:type="dxa"/>
            <w:vAlign w:val="bottom"/>
          </w:tcPr>
          <w:p>
            <w:pPr>
              <w:jc w:val="right"/>
              <w:spacing w:after="0"/>
              <w:rPr>
                <w:sz w:val="20"/>
                <w:szCs w:val="20"/>
                <w:color w:val="auto"/>
              </w:rPr>
            </w:pPr>
            <w:r>
              <w:rPr>
                <w:rFonts w:ascii="Arial" w:cs="Arial" w:eastAsia="Arial" w:hAnsi="Arial"/>
                <w:sz w:val="14"/>
                <w:szCs w:val="14"/>
                <w:color w:val="auto"/>
              </w:rPr>
              <w:t>7</w:t>
            </w:r>
          </w:p>
        </w:tc>
        <w:tc>
          <w:tcPr>
            <w:tcW w:w="140" w:type="dxa"/>
            <w:vAlign w:val="bottom"/>
          </w:tcPr>
          <w:p>
            <w:pPr>
              <w:spacing w:after="0"/>
              <w:rPr>
                <w:sz w:val="14"/>
                <w:szCs w:val="14"/>
                <w:color w:val="auto"/>
              </w:rPr>
            </w:pPr>
          </w:p>
        </w:tc>
      </w:tr>
      <w:tr>
        <w:trPr>
          <w:trHeight w:val="162"/>
        </w:trPr>
        <w:tc>
          <w:tcPr>
            <w:tcW w:w="7100" w:type="dxa"/>
            <w:vAlign w:val="bottom"/>
            <w:gridSpan w:val="4"/>
            <w:shd w:val="clear" w:color="auto" w:fill="CCECFF"/>
          </w:tcPr>
          <w:p>
            <w:pPr>
              <w:spacing w:after="0"/>
              <w:rPr>
                <w:sz w:val="20"/>
                <w:szCs w:val="20"/>
                <w:color w:val="auto"/>
              </w:rPr>
            </w:pPr>
            <w:r>
              <w:rPr>
                <w:rFonts w:ascii="Arial" w:cs="Arial" w:eastAsia="Arial" w:hAnsi="Arial"/>
                <w:sz w:val="14"/>
                <w:szCs w:val="14"/>
                <w:color w:val="auto"/>
              </w:rPr>
              <w:t>Media</w:t>
            </w:r>
          </w:p>
        </w:tc>
        <w:tc>
          <w:tcPr>
            <w:tcW w:w="18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6</w:t>
            </w:r>
          </w:p>
        </w:tc>
        <w:tc>
          <w:tcPr>
            <w:tcW w:w="340" w:type="dxa"/>
            <w:vAlign w:val="bottom"/>
            <w:shd w:val="clear" w:color="auto" w:fill="CCECFF"/>
          </w:tcPr>
          <w:p>
            <w:pPr>
              <w:spacing w:after="0"/>
              <w:rPr>
                <w:sz w:val="14"/>
                <w:szCs w:val="14"/>
                <w:color w:val="auto"/>
              </w:rPr>
            </w:pPr>
          </w:p>
        </w:tc>
        <w:tc>
          <w:tcPr>
            <w:tcW w:w="17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5</w:t>
            </w:r>
          </w:p>
        </w:tc>
        <w:tc>
          <w:tcPr>
            <w:tcW w:w="140" w:type="dxa"/>
            <w:vAlign w:val="bottom"/>
            <w:shd w:val="clear" w:color="auto" w:fill="CCECFF"/>
          </w:tcPr>
          <w:p>
            <w:pPr>
              <w:spacing w:after="0"/>
              <w:rPr>
                <w:sz w:val="14"/>
                <w:szCs w:val="14"/>
                <w:color w:val="auto"/>
              </w:rPr>
            </w:pPr>
          </w:p>
        </w:tc>
      </w:tr>
      <w:tr>
        <w:trPr>
          <w:trHeight w:val="162"/>
        </w:trPr>
        <w:tc>
          <w:tcPr>
            <w:tcW w:w="7100" w:type="dxa"/>
            <w:vAlign w:val="bottom"/>
            <w:gridSpan w:val="4"/>
          </w:tcPr>
          <w:p>
            <w:pPr>
              <w:spacing w:after="0"/>
              <w:rPr>
                <w:sz w:val="20"/>
                <w:szCs w:val="20"/>
                <w:color w:val="auto"/>
              </w:rPr>
            </w:pPr>
            <w:r>
              <w:rPr>
                <w:rFonts w:ascii="Arial" w:cs="Arial" w:eastAsia="Arial" w:hAnsi="Arial"/>
                <w:sz w:val="14"/>
                <w:szCs w:val="14"/>
                <w:color w:val="auto"/>
              </w:rPr>
              <w:t>Capital Equipment</w:t>
            </w:r>
          </w:p>
        </w:tc>
        <w:tc>
          <w:tcPr>
            <w:tcW w:w="1880" w:type="dxa"/>
            <w:vAlign w:val="bottom"/>
          </w:tcPr>
          <w:p>
            <w:pPr>
              <w:jc w:val="right"/>
              <w:spacing w:after="0"/>
              <w:rPr>
                <w:sz w:val="20"/>
                <w:szCs w:val="20"/>
                <w:color w:val="auto"/>
              </w:rPr>
            </w:pPr>
            <w:r>
              <w:rPr>
                <w:rFonts w:ascii="Arial" w:cs="Arial" w:eastAsia="Arial" w:hAnsi="Arial"/>
                <w:sz w:val="14"/>
                <w:szCs w:val="14"/>
                <w:color w:val="auto"/>
              </w:rPr>
              <w:t>5</w:t>
            </w:r>
          </w:p>
        </w:tc>
        <w:tc>
          <w:tcPr>
            <w:tcW w:w="340" w:type="dxa"/>
            <w:vAlign w:val="bottom"/>
          </w:tcPr>
          <w:p>
            <w:pPr>
              <w:spacing w:after="0"/>
              <w:rPr>
                <w:sz w:val="14"/>
                <w:szCs w:val="14"/>
                <w:color w:val="auto"/>
              </w:rPr>
            </w:pPr>
          </w:p>
        </w:tc>
        <w:tc>
          <w:tcPr>
            <w:tcW w:w="1780" w:type="dxa"/>
            <w:vAlign w:val="bottom"/>
          </w:tcPr>
          <w:p>
            <w:pPr>
              <w:jc w:val="right"/>
              <w:spacing w:after="0"/>
              <w:rPr>
                <w:sz w:val="20"/>
                <w:szCs w:val="20"/>
                <w:color w:val="auto"/>
              </w:rPr>
            </w:pPr>
            <w:r>
              <w:rPr>
                <w:rFonts w:ascii="Arial" w:cs="Arial" w:eastAsia="Arial" w:hAnsi="Arial"/>
                <w:sz w:val="14"/>
                <w:szCs w:val="14"/>
                <w:color w:val="auto"/>
              </w:rPr>
              <w:t>5</w:t>
            </w:r>
          </w:p>
        </w:tc>
        <w:tc>
          <w:tcPr>
            <w:tcW w:w="140" w:type="dxa"/>
            <w:vAlign w:val="bottom"/>
          </w:tcPr>
          <w:p>
            <w:pPr>
              <w:spacing w:after="0"/>
              <w:rPr>
                <w:sz w:val="14"/>
                <w:szCs w:val="14"/>
                <w:color w:val="auto"/>
              </w:rPr>
            </w:pPr>
          </w:p>
        </w:tc>
      </w:tr>
      <w:tr>
        <w:trPr>
          <w:trHeight w:val="162"/>
        </w:trPr>
        <w:tc>
          <w:tcPr>
            <w:tcW w:w="7100" w:type="dxa"/>
            <w:vAlign w:val="bottom"/>
            <w:gridSpan w:val="4"/>
            <w:shd w:val="clear" w:color="auto" w:fill="CCECFF"/>
          </w:tcPr>
          <w:p>
            <w:pPr>
              <w:spacing w:after="0"/>
              <w:rPr>
                <w:sz w:val="20"/>
                <w:szCs w:val="20"/>
                <w:color w:val="auto"/>
              </w:rPr>
            </w:pPr>
            <w:r>
              <w:rPr>
                <w:rFonts w:ascii="Arial" w:cs="Arial" w:eastAsia="Arial" w:hAnsi="Arial"/>
                <w:sz w:val="14"/>
                <w:szCs w:val="14"/>
                <w:color w:val="auto"/>
              </w:rPr>
              <w:t>Healthcare and Pharmaceuticals</w:t>
            </w:r>
          </w:p>
        </w:tc>
        <w:tc>
          <w:tcPr>
            <w:tcW w:w="18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5</w:t>
            </w:r>
          </w:p>
        </w:tc>
        <w:tc>
          <w:tcPr>
            <w:tcW w:w="340" w:type="dxa"/>
            <w:vAlign w:val="bottom"/>
            <w:shd w:val="clear" w:color="auto" w:fill="CCECFF"/>
          </w:tcPr>
          <w:p>
            <w:pPr>
              <w:spacing w:after="0"/>
              <w:rPr>
                <w:sz w:val="14"/>
                <w:szCs w:val="14"/>
                <w:color w:val="auto"/>
              </w:rPr>
            </w:pPr>
          </w:p>
        </w:tc>
        <w:tc>
          <w:tcPr>
            <w:tcW w:w="17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6</w:t>
            </w:r>
          </w:p>
        </w:tc>
        <w:tc>
          <w:tcPr>
            <w:tcW w:w="140" w:type="dxa"/>
            <w:vAlign w:val="bottom"/>
            <w:shd w:val="clear" w:color="auto" w:fill="CCECFF"/>
          </w:tcPr>
          <w:p>
            <w:pPr>
              <w:spacing w:after="0"/>
              <w:rPr>
                <w:sz w:val="14"/>
                <w:szCs w:val="14"/>
                <w:color w:val="auto"/>
              </w:rPr>
            </w:pPr>
          </w:p>
        </w:tc>
      </w:tr>
      <w:tr>
        <w:trPr>
          <w:trHeight w:val="162"/>
        </w:trPr>
        <w:tc>
          <w:tcPr>
            <w:tcW w:w="7100" w:type="dxa"/>
            <w:vAlign w:val="bottom"/>
            <w:gridSpan w:val="4"/>
          </w:tcPr>
          <w:p>
            <w:pPr>
              <w:spacing w:after="0"/>
              <w:rPr>
                <w:sz w:val="20"/>
                <w:szCs w:val="20"/>
                <w:color w:val="auto"/>
              </w:rPr>
            </w:pPr>
            <w:r>
              <w:rPr>
                <w:rFonts w:ascii="Arial" w:cs="Arial" w:eastAsia="Arial" w:hAnsi="Arial"/>
                <w:sz w:val="14"/>
                <w:szCs w:val="14"/>
                <w:color w:val="auto"/>
              </w:rPr>
              <w:t>Construction and Building</w:t>
            </w:r>
          </w:p>
        </w:tc>
        <w:tc>
          <w:tcPr>
            <w:tcW w:w="1880" w:type="dxa"/>
            <w:vAlign w:val="bottom"/>
          </w:tcPr>
          <w:p>
            <w:pPr>
              <w:jc w:val="right"/>
              <w:spacing w:after="0"/>
              <w:rPr>
                <w:sz w:val="20"/>
                <w:szCs w:val="20"/>
                <w:color w:val="auto"/>
              </w:rPr>
            </w:pPr>
            <w:r>
              <w:rPr>
                <w:rFonts w:ascii="Arial" w:cs="Arial" w:eastAsia="Arial" w:hAnsi="Arial"/>
                <w:sz w:val="14"/>
                <w:szCs w:val="14"/>
                <w:color w:val="auto"/>
              </w:rPr>
              <w:t>4</w:t>
            </w:r>
          </w:p>
        </w:tc>
        <w:tc>
          <w:tcPr>
            <w:tcW w:w="340" w:type="dxa"/>
            <w:vAlign w:val="bottom"/>
          </w:tcPr>
          <w:p>
            <w:pPr>
              <w:spacing w:after="0"/>
              <w:rPr>
                <w:sz w:val="14"/>
                <w:szCs w:val="14"/>
                <w:color w:val="auto"/>
              </w:rPr>
            </w:pPr>
          </w:p>
        </w:tc>
        <w:tc>
          <w:tcPr>
            <w:tcW w:w="1780" w:type="dxa"/>
            <w:vAlign w:val="bottom"/>
          </w:tcPr>
          <w:p>
            <w:pPr>
              <w:jc w:val="right"/>
              <w:spacing w:after="0"/>
              <w:rPr>
                <w:sz w:val="20"/>
                <w:szCs w:val="20"/>
                <w:color w:val="auto"/>
              </w:rPr>
            </w:pPr>
            <w:r>
              <w:rPr>
                <w:rFonts w:ascii="Arial" w:cs="Arial" w:eastAsia="Arial" w:hAnsi="Arial"/>
                <w:sz w:val="14"/>
                <w:szCs w:val="14"/>
                <w:color w:val="auto"/>
              </w:rPr>
              <w:t>4</w:t>
            </w:r>
          </w:p>
        </w:tc>
        <w:tc>
          <w:tcPr>
            <w:tcW w:w="140" w:type="dxa"/>
            <w:vAlign w:val="bottom"/>
          </w:tcPr>
          <w:p>
            <w:pPr>
              <w:spacing w:after="0"/>
              <w:rPr>
                <w:sz w:val="14"/>
                <w:szCs w:val="14"/>
                <w:color w:val="auto"/>
              </w:rPr>
            </w:pPr>
          </w:p>
        </w:tc>
      </w:tr>
      <w:tr>
        <w:trPr>
          <w:trHeight w:val="162"/>
        </w:trPr>
        <w:tc>
          <w:tcPr>
            <w:tcW w:w="7100" w:type="dxa"/>
            <w:vAlign w:val="bottom"/>
            <w:gridSpan w:val="4"/>
            <w:shd w:val="clear" w:color="auto" w:fill="CCECFF"/>
          </w:tcPr>
          <w:p>
            <w:pPr>
              <w:spacing w:after="0"/>
              <w:rPr>
                <w:sz w:val="20"/>
                <w:szCs w:val="20"/>
                <w:color w:val="auto"/>
              </w:rPr>
            </w:pPr>
            <w:r>
              <w:rPr>
                <w:rFonts w:ascii="Arial" w:cs="Arial" w:eastAsia="Arial" w:hAnsi="Arial"/>
                <w:sz w:val="14"/>
                <w:szCs w:val="14"/>
                <w:color w:val="auto"/>
              </w:rPr>
              <w:t>Professional Services</w:t>
            </w:r>
          </w:p>
        </w:tc>
        <w:tc>
          <w:tcPr>
            <w:tcW w:w="18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4</w:t>
            </w:r>
          </w:p>
        </w:tc>
        <w:tc>
          <w:tcPr>
            <w:tcW w:w="340" w:type="dxa"/>
            <w:vAlign w:val="bottom"/>
            <w:shd w:val="clear" w:color="auto" w:fill="CCECFF"/>
          </w:tcPr>
          <w:p>
            <w:pPr>
              <w:spacing w:after="0"/>
              <w:rPr>
                <w:sz w:val="14"/>
                <w:szCs w:val="14"/>
                <w:color w:val="auto"/>
              </w:rPr>
            </w:pPr>
          </w:p>
        </w:tc>
        <w:tc>
          <w:tcPr>
            <w:tcW w:w="17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w:t>
            </w:r>
          </w:p>
        </w:tc>
        <w:tc>
          <w:tcPr>
            <w:tcW w:w="140" w:type="dxa"/>
            <w:vAlign w:val="bottom"/>
            <w:shd w:val="clear" w:color="auto" w:fill="CCECFF"/>
          </w:tcPr>
          <w:p>
            <w:pPr>
              <w:spacing w:after="0"/>
              <w:rPr>
                <w:sz w:val="14"/>
                <w:szCs w:val="14"/>
                <w:color w:val="auto"/>
              </w:rPr>
            </w:pPr>
          </w:p>
        </w:tc>
      </w:tr>
      <w:tr>
        <w:trPr>
          <w:trHeight w:val="162"/>
        </w:trPr>
        <w:tc>
          <w:tcPr>
            <w:tcW w:w="7100" w:type="dxa"/>
            <w:vAlign w:val="bottom"/>
            <w:gridSpan w:val="4"/>
          </w:tcPr>
          <w:p>
            <w:pPr>
              <w:spacing w:after="0"/>
              <w:rPr>
                <w:sz w:val="20"/>
                <w:szCs w:val="20"/>
                <w:color w:val="auto"/>
              </w:rPr>
            </w:pPr>
            <w:r>
              <w:rPr>
                <w:rFonts w:ascii="Arial" w:cs="Arial" w:eastAsia="Arial" w:hAnsi="Arial"/>
                <w:sz w:val="14"/>
                <w:szCs w:val="14"/>
                <w:color w:val="auto"/>
              </w:rPr>
              <w:t>Beverage, Food and Tobacco</w:t>
            </w:r>
          </w:p>
        </w:tc>
        <w:tc>
          <w:tcPr>
            <w:tcW w:w="1880" w:type="dxa"/>
            <w:vAlign w:val="bottom"/>
          </w:tcPr>
          <w:p>
            <w:pPr>
              <w:jc w:val="right"/>
              <w:spacing w:after="0"/>
              <w:rPr>
                <w:sz w:val="20"/>
                <w:szCs w:val="20"/>
                <w:color w:val="auto"/>
              </w:rPr>
            </w:pPr>
            <w:r>
              <w:rPr>
                <w:rFonts w:ascii="Arial" w:cs="Arial" w:eastAsia="Arial" w:hAnsi="Arial"/>
                <w:sz w:val="14"/>
                <w:szCs w:val="14"/>
                <w:color w:val="auto"/>
              </w:rPr>
              <w:t>3</w:t>
            </w:r>
          </w:p>
        </w:tc>
        <w:tc>
          <w:tcPr>
            <w:tcW w:w="340" w:type="dxa"/>
            <w:vAlign w:val="bottom"/>
          </w:tcPr>
          <w:p>
            <w:pPr>
              <w:spacing w:after="0"/>
              <w:rPr>
                <w:sz w:val="14"/>
                <w:szCs w:val="14"/>
                <w:color w:val="auto"/>
              </w:rPr>
            </w:pPr>
          </w:p>
        </w:tc>
        <w:tc>
          <w:tcPr>
            <w:tcW w:w="1780" w:type="dxa"/>
            <w:vAlign w:val="bottom"/>
          </w:tcPr>
          <w:p>
            <w:pPr>
              <w:jc w:val="right"/>
              <w:spacing w:after="0"/>
              <w:rPr>
                <w:sz w:val="20"/>
                <w:szCs w:val="20"/>
                <w:color w:val="auto"/>
              </w:rPr>
            </w:pPr>
            <w:r>
              <w:rPr>
                <w:rFonts w:ascii="Arial" w:cs="Arial" w:eastAsia="Arial" w:hAnsi="Arial"/>
                <w:sz w:val="14"/>
                <w:szCs w:val="14"/>
                <w:color w:val="auto"/>
              </w:rPr>
              <w:t>6</w:t>
            </w:r>
          </w:p>
        </w:tc>
        <w:tc>
          <w:tcPr>
            <w:tcW w:w="140" w:type="dxa"/>
            <w:vAlign w:val="bottom"/>
          </w:tcPr>
          <w:p>
            <w:pPr>
              <w:spacing w:after="0"/>
              <w:rPr>
                <w:sz w:val="14"/>
                <w:szCs w:val="14"/>
                <w:color w:val="auto"/>
              </w:rPr>
            </w:pPr>
          </w:p>
        </w:tc>
      </w:tr>
      <w:tr>
        <w:trPr>
          <w:trHeight w:val="162"/>
        </w:trPr>
        <w:tc>
          <w:tcPr>
            <w:tcW w:w="7100" w:type="dxa"/>
            <w:vAlign w:val="bottom"/>
            <w:gridSpan w:val="4"/>
            <w:shd w:val="clear" w:color="auto" w:fill="CCECFF"/>
          </w:tcPr>
          <w:p>
            <w:pPr>
              <w:spacing w:after="0"/>
              <w:rPr>
                <w:sz w:val="20"/>
                <w:szCs w:val="20"/>
                <w:color w:val="auto"/>
              </w:rPr>
            </w:pPr>
            <w:r>
              <w:rPr>
                <w:rFonts w:ascii="Arial" w:cs="Arial" w:eastAsia="Arial" w:hAnsi="Arial"/>
                <w:sz w:val="14"/>
                <w:szCs w:val="14"/>
                <w:color w:val="auto"/>
              </w:rPr>
              <w:t>Chemicals, Plastics and Rubber</w:t>
            </w:r>
          </w:p>
        </w:tc>
        <w:tc>
          <w:tcPr>
            <w:tcW w:w="18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w:t>
            </w:r>
          </w:p>
        </w:tc>
        <w:tc>
          <w:tcPr>
            <w:tcW w:w="340" w:type="dxa"/>
            <w:vAlign w:val="bottom"/>
            <w:shd w:val="clear" w:color="auto" w:fill="CCECFF"/>
          </w:tcPr>
          <w:p>
            <w:pPr>
              <w:spacing w:after="0"/>
              <w:rPr>
                <w:sz w:val="14"/>
                <w:szCs w:val="14"/>
                <w:color w:val="auto"/>
              </w:rPr>
            </w:pPr>
          </w:p>
        </w:tc>
        <w:tc>
          <w:tcPr>
            <w:tcW w:w="17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w:t>
            </w:r>
          </w:p>
        </w:tc>
        <w:tc>
          <w:tcPr>
            <w:tcW w:w="140" w:type="dxa"/>
            <w:vAlign w:val="bottom"/>
            <w:shd w:val="clear" w:color="auto" w:fill="CCECFF"/>
          </w:tcPr>
          <w:p>
            <w:pPr>
              <w:spacing w:after="0"/>
              <w:rPr>
                <w:sz w:val="14"/>
                <w:szCs w:val="14"/>
                <w:color w:val="auto"/>
              </w:rPr>
            </w:pPr>
          </w:p>
        </w:tc>
      </w:tr>
      <w:tr>
        <w:trPr>
          <w:trHeight w:val="162"/>
        </w:trPr>
        <w:tc>
          <w:tcPr>
            <w:tcW w:w="7100" w:type="dxa"/>
            <w:vAlign w:val="bottom"/>
            <w:gridSpan w:val="4"/>
          </w:tcPr>
          <w:p>
            <w:pPr>
              <w:spacing w:after="0"/>
              <w:rPr>
                <w:sz w:val="20"/>
                <w:szCs w:val="20"/>
                <w:color w:val="auto"/>
              </w:rPr>
            </w:pPr>
            <w:r>
              <w:rPr>
                <w:rFonts w:ascii="Arial" w:cs="Arial" w:eastAsia="Arial" w:hAnsi="Arial"/>
                <w:sz w:val="14"/>
                <w:szCs w:val="14"/>
                <w:color w:val="auto"/>
              </w:rPr>
              <w:t>Consumer Services</w:t>
            </w:r>
          </w:p>
        </w:tc>
        <w:tc>
          <w:tcPr>
            <w:tcW w:w="1880" w:type="dxa"/>
            <w:vAlign w:val="bottom"/>
          </w:tcPr>
          <w:p>
            <w:pPr>
              <w:jc w:val="right"/>
              <w:spacing w:after="0"/>
              <w:rPr>
                <w:sz w:val="20"/>
                <w:szCs w:val="20"/>
                <w:color w:val="auto"/>
              </w:rPr>
            </w:pPr>
            <w:r>
              <w:rPr>
                <w:rFonts w:ascii="Arial" w:cs="Arial" w:eastAsia="Arial" w:hAnsi="Arial"/>
                <w:sz w:val="14"/>
                <w:szCs w:val="14"/>
                <w:color w:val="auto"/>
              </w:rPr>
              <w:t>3</w:t>
            </w:r>
          </w:p>
        </w:tc>
        <w:tc>
          <w:tcPr>
            <w:tcW w:w="340" w:type="dxa"/>
            <w:vAlign w:val="bottom"/>
          </w:tcPr>
          <w:p>
            <w:pPr>
              <w:spacing w:after="0"/>
              <w:rPr>
                <w:sz w:val="14"/>
                <w:szCs w:val="14"/>
                <w:color w:val="auto"/>
              </w:rPr>
            </w:pPr>
          </w:p>
        </w:tc>
        <w:tc>
          <w:tcPr>
            <w:tcW w:w="1780" w:type="dxa"/>
            <w:vAlign w:val="bottom"/>
          </w:tcPr>
          <w:p>
            <w:pPr>
              <w:jc w:val="right"/>
              <w:spacing w:after="0"/>
              <w:rPr>
                <w:sz w:val="20"/>
                <w:szCs w:val="20"/>
                <w:color w:val="auto"/>
              </w:rPr>
            </w:pPr>
            <w:r>
              <w:rPr>
                <w:rFonts w:ascii="Arial" w:cs="Arial" w:eastAsia="Arial" w:hAnsi="Arial"/>
                <w:sz w:val="14"/>
                <w:szCs w:val="14"/>
                <w:color w:val="auto"/>
              </w:rPr>
              <w:t>3</w:t>
            </w:r>
          </w:p>
        </w:tc>
        <w:tc>
          <w:tcPr>
            <w:tcW w:w="140" w:type="dxa"/>
            <w:vAlign w:val="bottom"/>
          </w:tcPr>
          <w:p>
            <w:pPr>
              <w:spacing w:after="0"/>
              <w:rPr>
                <w:sz w:val="14"/>
                <w:szCs w:val="14"/>
                <w:color w:val="auto"/>
              </w:rPr>
            </w:pPr>
          </w:p>
        </w:tc>
      </w:tr>
      <w:tr>
        <w:trPr>
          <w:trHeight w:val="162"/>
        </w:trPr>
        <w:tc>
          <w:tcPr>
            <w:tcW w:w="7100" w:type="dxa"/>
            <w:vAlign w:val="bottom"/>
            <w:gridSpan w:val="4"/>
            <w:shd w:val="clear" w:color="auto" w:fill="CCECFF"/>
          </w:tcPr>
          <w:p>
            <w:pPr>
              <w:spacing w:after="0"/>
              <w:rPr>
                <w:sz w:val="20"/>
                <w:szCs w:val="20"/>
                <w:color w:val="auto"/>
              </w:rPr>
            </w:pPr>
            <w:r>
              <w:rPr>
                <w:rFonts w:ascii="Arial" w:cs="Arial" w:eastAsia="Arial" w:hAnsi="Arial"/>
                <w:sz w:val="14"/>
                <w:szCs w:val="14"/>
                <w:color w:val="auto"/>
              </w:rPr>
              <w:t>Hotels, Restaurants and Leisure</w:t>
            </w:r>
          </w:p>
        </w:tc>
        <w:tc>
          <w:tcPr>
            <w:tcW w:w="18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w:t>
            </w:r>
          </w:p>
        </w:tc>
        <w:tc>
          <w:tcPr>
            <w:tcW w:w="340" w:type="dxa"/>
            <w:vAlign w:val="bottom"/>
            <w:shd w:val="clear" w:color="auto" w:fill="CCECFF"/>
          </w:tcPr>
          <w:p>
            <w:pPr>
              <w:spacing w:after="0"/>
              <w:rPr>
                <w:sz w:val="14"/>
                <w:szCs w:val="14"/>
                <w:color w:val="auto"/>
              </w:rPr>
            </w:pPr>
          </w:p>
        </w:tc>
        <w:tc>
          <w:tcPr>
            <w:tcW w:w="17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7</w:t>
            </w:r>
          </w:p>
        </w:tc>
        <w:tc>
          <w:tcPr>
            <w:tcW w:w="140" w:type="dxa"/>
            <w:vAlign w:val="bottom"/>
            <w:shd w:val="clear" w:color="auto" w:fill="CCECFF"/>
          </w:tcPr>
          <w:p>
            <w:pPr>
              <w:spacing w:after="0"/>
              <w:rPr>
                <w:sz w:val="14"/>
                <w:szCs w:val="14"/>
                <w:color w:val="auto"/>
              </w:rPr>
            </w:pPr>
          </w:p>
        </w:tc>
      </w:tr>
      <w:tr>
        <w:trPr>
          <w:trHeight w:val="162"/>
        </w:trPr>
        <w:tc>
          <w:tcPr>
            <w:tcW w:w="7100" w:type="dxa"/>
            <w:vAlign w:val="bottom"/>
            <w:gridSpan w:val="4"/>
          </w:tcPr>
          <w:p>
            <w:pPr>
              <w:spacing w:after="0"/>
              <w:rPr>
                <w:sz w:val="20"/>
                <w:szCs w:val="20"/>
                <w:color w:val="auto"/>
              </w:rPr>
            </w:pPr>
            <w:r>
              <w:rPr>
                <w:rFonts w:ascii="Arial" w:cs="Arial" w:eastAsia="Arial" w:hAnsi="Arial"/>
                <w:sz w:val="14"/>
                <w:szCs w:val="14"/>
                <w:color w:val="auto"/>
              </w:rPr>
              <w:t>Media: Diversified and Production</w:t>
            </w:r>
          </w:p>
        </w:tc>
        <w:tc>
          <w:tcPr>
            <w:tcW w:w="1880" w:type="dxa"/>
            <w:vAlign w:val="bottom"/>
          </w:tcPr>
          <w:p>
            <w:pPr>
              <w:jc w:val="right"/>
              <w:spacing w:after="0"/>
              <w:rPr>
                <w:sz w:val="20"/>
                <w:szCs w:val="20"/>
                <w:color w:val="auto"/>
              </w:rPr>
            </w:pPr>
            <w:r>
              <w:rPr>
                <w:rFonts w:ascii="Arial" w:cs="Arial" w:eastAsia="Arial" w:hAnsi="Arial"/>
                <w:sz w:val="14"/>
                <w:szCs w:val="14"/>
                <w:color w:val="auto"/>
              </w:rPr>
              <w:t>3</w:t>
            </w:r>
          </w:p>
        </w:tc>
        <w:tc>
          <w:tcPr>
            <w:tcW w:w="340" w:type="dxa"/>
            <w:vAlign w:val="bottom"/>
          </w:tcPr>
          <w:p>
            <w:pPr>
              <w:spacing w:after="0"/>
              <w:rPr>
                <w:sz w:val="14"/>
                <w:szCs w:val="14"/>
                <w:color w:val="auto"/>
              </w:rPr>
            </w:pPr>
          </w:p>
        </w:tc>
        <w:tc>
          <w:tcPr>
            <w:tcW w:w="1780" w:type="dxa"/>
            <w:vAlign w:val="bottom"/>
          </w:tcPr>
          <w:p>
            <w:pPr>
              <w:jc w:val="right"/>
              <w:spacing w:after="0"/>
              <w:rPr>
                <w:sz w:val="20"/>
                <w:szCs w:val="20"/>
                <w:color w:val="auto"/>
              </w:rPr>
            </w:pPr>
            <w:r>
              <w:rPr>
                <w:rFonts w:ascii="Arial" w:cs="Arial" w:eastAsia="Arial" w:hAnsi="Arial"/>
                <w:sz w:val="14"/>
                <w:szCs w:val="14"/>
                <w:color w:val="auto"/>
              </w:rPr>
              <w:t>4</w:t>
            </w:r>
          </w:p>
        </w:tc>
        <w:tc>
          <w:tcPr>
            <w:tcW w:w="140" w:type="dxa"/>
            <w:vAlign w:val="bottom"/>
          </w:tcPr>
          <w:p>
            <w:pPr>
              <w:spacing w:after="0"/>
              <w:rPr>
                <w:sz w:val="14"/>
                <w:szCs w:val="14"/>
                <w:color w:val="auto"/>
              </w:rPr>
            </w:pPr>
          </w:p>
        </w:tc>
      </w:tr>
      <w:tr>
        <w:trPr>
          <w:trHeight w:val="162"/>
        </w:trPr>
        <w:tc>
          <w:tcPr>
            <w:tcW w:w="7100" w:type="dxa"/>
            <w:vAlign w:val="bottom"/>
            <w:gridSpan w:val="4"/>
            <w:shd w:val="clear" w:color="auto" w:fill="CCECFF"/>
          </w:tcPr>
          <w:p>
            <w:pPr>
              <w:spacing w:after="0"/>
              <w:rPr>
                <w:sz w:val="20"/>
                <w:szCs w:val="20"/>
                <w:color w:val="auto"/>
              </w:rPr>
            </w:pPr>
            <w:r>
              <w:rPr>
                <w:rFonts w:ascii="Arial" w:cs="Arial" w:eastAsia="Arial" w:hAnsi="Arial"/>
                <w:sz w:val="14"/>
                <w:szCs w:val="14"/>
                <w:color w:val="auto"/>
              </w:rPr>
              <w:t>Telecommunications</w:t>
            </w:r>
          </w:p>
        </w:tc>
        <w:tc>
          <w:tcPr>
            <w:tcW w:w="18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w:t>
            </w:r>
          </w:p>
        </w:tc>
        <w:tc>
          <w:tcPr>
            <w:tcW w:w="340" w:type="dxa"/>
            <w:vAlign w:val="bottom"/>
            <w:shd w:val="clear" w:color="auto" w:fill="CCECFF"/>
          </w:tcPr>
          <w:p>
            <w:pPr>
              <w:spacing w:after="0"/>
              <w:rPr>
                <w:sz w:val="14"/>
                <w:szCs w:val="14"/>
                <w:color w:val="auto"/>
              </w:rPr>
            </w:pPr>
          </w:p>
        </w:tc>
        <w:tc>
          <w:tcPr>
            <w:tcW w:w="17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4</w:t>
            </w:r>
          </w:p>
        </w:tc>
        <w:tc>
          <w:tcPr>
            <w:tcW w:w="140" w:type="dxa"/>
            <w:vAlign w:val="bottom"/>
            <w:shd w:val="clear" w:color="auto" w:fill="CCECFF"/>
          </w:tcPr>
          <w:p>
            <w:pPr>
              <w:spacing w:after="0"/>
              <w:rPr>
                <w:sz w:val="14"/>
                <w:szCs w:val="14"/>
                <w:color w:val="auto"/>
              </w:rPr>
            </w:pPr>
          </w:p>
        </w:tc>
      </w:tr>
      <w:tr>
        <w:trPr>
          <w:trHeight w:val="162"/>
        </w:trPr>
        <w:tc>
          <w:tcPr>
            <w:tcW w:w="7100" w:type="dxa"/>
            <w:vAlign w:val="bottom"/>
            <w:gridSpan w:val="4"/>
          </w:tcPr>
          <w:p>
            <w:pPr>
              <w:spacing w:after="0"/>
              <w:rPr>
                <w:sz w:val="20"/>
                <w:szCs w:val="20"/>
                <w:color w:val="auto"/>
              </w:rPr>
            </w:pPr>
            <w:r>
              <w:rPr>
                <w:rFonts w:ascii="Arial" w:cs="Arial" w:eastAsia="Arial" w:hAnsi="Arial"/>
                <w:sz w:val="14"/>
                <w:szCs w:val="14"/>
                <w:color w:val="auto"/>
              </w:rPr>
              <w:t>Banking, Finance, Insurance &amp; Real Estate</w:t>
            </w:r>
          </w:p>
        </w:tc>
        <w:tc>
          <w:tcPr>
            <w:tcW w:w="1880" w:type="dxa"/>
            <w:vAlign w:val="bottom"/>
          </w:tcPr>
          <w:p>
            <w:pPr>
              <w:jc w:val="right"/>
              <w:spacing w:after="0"/>
              <w:rPr>
                <w:sz w:val="20"/>
                <w:szCs w:val="20"/>
                <w:color w:val="auto"/>
              </w:rPr>
            </w:pPr>
            <w:r>
              <w:rPr>
                <w:rFonts w:ascii="Arial" w:cs="Arial" w:eastAsia="Arial" w:hAnsi="Arial"/>
                <w:sz w:val="14"/>
                <w:szCs w:val="14"/>
                <w:color w:val="auto"/>
              </w:rPr>
              <w:t>2</w:t>
            </w:r>
          </w:p>
        </w:tc>
        <w:tc>
          <w:tcPr>
            <w:tcW w:w="340" w:type="dxa"/>
            <w:vAlign w:val="bottom"/>
          </w:tcPr>
          <w:p>
            <w:pPr>
              <w:spacing w:after="0"/>
              <w:rPr>
                <w:sz w:val="14"/>
                <w:szCs w:val="14"/>
                <w:color w:val="auto"/>
              </w:rPr>
            </w:pPr>
          </w:p>
        </w:tc>
        <w:tc>
          <w:tcPr>
            <w:tcW w:w="1780" w:type="dxa"/>
            <w:vAlign w:val="bottom"/>
          </w:tcPr>
          <w:p>
            <w:pPr>
              <w:jc w:val="right"/>
              <w:spacing w:after="0"/>
              <w:rPr>
                <w:sz w:val="20"/>
                <w:szCs w:val="20"/>
                <w:color w:val="auto"/>
              </w:rPr>
            </w:pPr>
            <w:r>
              <w:rPr>
                <w:rFonts w:ascii="Arial" w:cs="Arial" w:eastAsia="Arial" w:hAnsi="Arial"/>
                <w:sz w:val="14"/>
                <w:szCs w:val="14"/>
                <w:color w:val="auto"/>
              </w:rPr>
              <w:t>2</w:t>
            </w:r>
          </w:p>
        </w:tc>
        <w:tc>
          <w:tcPr>
            <w:tcW w:w="140" w:type="dxa"/>
            <w:vAlign w:val="bottom"/>
          </w:tcPr>
          <w:p>
            <w:pPr>
              <w:spacing w:after="0"/>
              <w:rPr>
                <w:sz w:val="14"/>
                <w:szCs w:val="14"/>
                <w:color w:val="auto"/>
              </w:rPr>
            </w:pPr>
          </w:p>
        </w:tc>
      </w:tr>
      <w:tr>
        <w:trPr>
          <w:trHeight w:val="162"/>
        </w:trPr>
        <w:tc>
          <w:tcPr>
            <w:tcW w:w="7100" w:type="dxa"/>
            <w:vAlign w:val="bottom"/>
            <w:gridSpan w:val="4"/>
            <w:shd w:val="clear" w:color="auto" w:fill="CCECFF"/>
          </w:tcPr>
          <w:p>
            <w:pPr>
              <w:spacing w:after="0"/>
              <w:rPr>
                <w:sz w:val="20"/>
                <w:szCs w:val="20"/>
                <w:color w:val="auto"/>
              </w:rPr>
            </w:pPr>
            <w:r>
              <w:rPr>
                <w:rFonts w:ascii="Arial" w:cs="Arial" w:eastAsia="Arial" w:hAnsi="Arial"/>
                <w:sz w:val="14"/>
                <w:szCs w:val="14"/>
                <w:color w:val="auto"/>
              </w:rPr>
              <w:t>Construction &amp; Engineering</w:t>
            </w:r>
          </w:p>
        </w:tc>
        <w:tc>
          <w:tcPr>
            <w:tcW w:w="18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w:t>
            </w:r>
          </w:p>
        </w:tc>
        <w:tc>
          <w:tcPr>
            <w:tcW w:w="340" w:type="dxa"/>
            <w:vAlign w:val="bottom"/>
            <w:shd w:val="clear" w:color="auto" w:fill="CCECFF"/>
          </w:tcPr>
          <w:p>
            <w:pPr>
              <w:spacing w:after="0"/>
              <w:rPr>
                <w:sz w:val="14"/>
                <w:szCs w:val="14"/>
                <w:color w:val="auto"/>
              </w:rPr>
            </w:pPr>
          </w:p>
        </w:tc>
        <w:tc>
          <w:tcPr>
            <w:tcW w:w="1920" w:type="dxa"/>
            <w:vAlign w:val="bottom"/>
            <w:gridSpan w:val="2"/>
            <w:shd w:val="clear" w:color="auto" w:fill="CCECFF"/>
          </w:tcPr>
          <w:p>
            <w:pPr>
              <w:jc w:val="right"/>
              <w:ind w:right="140"/>
              <w:spacing w:after="0"/>
              <w:rPr>
                <w:sz w:val="20"/>
                <w:szCs w:val="20"/>
                <w:color w:val="auto"/>
              </w:rPr>
            </w:pPr>
            <w:r>
              <w:rPr>
                <w:rFonts w:ascii="Arial" w:cs="Arial" w:eastAsia="Arial" w:hAnsi="Arial"/>
                <w:sz w:val="14"/>
                <w:szCs w:val="14"/>
                <w:color w:val="auto"/>
              </w:rPr>
              <w:t>—</w:t>
            </w:r>
          </w:p>
        </w:tc>
      </w:tr>
      <w:tr>
        <w:trPr>
          <w:trHeight w:val="162"/>
        </w:trPr>
        <w:tc>
          <w:tcPr>
            <w:tcW w:w="7100" w:type="dxa"/>
            <w:vAlign w:val="bottom"/>
            <w:gridSpan w:val="4"/>
          </w:tcPr>
          <w:p>
            <w:pPr>
              <w:spacing w:after="0"/>
              <w:rPr>
                <w:sz w:val="20"/>
                <w:szCs w:val="20"/>
                <w:color w:val="auto"/>
              </w:rPr>
            </w:pPr>
            <w:r>
              <w:rPr>
                <w:rFonts w:ascii="Arial" w:cs="Arial" w:eastAsia="Arial" w:hAnsi="Arial"/>
                <w:sz w:val="14"/>
                <w:szCs w:val="14"/>
                <w:color w:val="auto"/>
              </w:rPr>
              <w:t>Consumer Goods: Durable</w:t>
            </w:r>
          </w:p>
        </w:tc>
        <w:tc>
          <w:tcPr>
            <w:tcW w:w="1880" w:type="dxa"/>
            <w:vAlign w:val="bottom"/>
          </w:tcPr>
          <w:p>
            <w:pPr>
              <w:jc w:val="right"/>
              <w:spacing w:after="0"/>
              <w:rPr>
                <w:sz w:val="20"/>
                <w:szCs w:val="20"/>
                <w:color w:val="auto"/>
              </w:rPr>
            </w:pPr>
            <w:r>
              <w:rPr>
                <w:rFonts w:ascii="Arial" w:cs="Arial" w:eastAsia="Arial" w:hAnsi="Arial"/>
                <w:sz w:val="14"/>
                <w:szCs w:val="14"/>
                <w:color w:val="auto"/>
              </w:rPr>
              <w:t>2</w:t>
            </w:r>
          </w:p>
        </w:tc>
        <w:tc>
          <w:tcPr>
            <w:tcW w:w="340" w:type="dxa"/>
            <w:vAlign w:val="bottom"/>
          </w:tcPr>
          <w:p>
            <w:pPr>
              <w:spacing w:after="0"/>
              <w:rPr>
                <w:sz w:val="14"/>
                <w:szCs w:val="14"/>
                <w:color w:val="auto"/>
              </w:rPr>
            </w:pPr>
          </w:p>
        </w:tc>
        <w:tc>
          <w:tcPr>
            <w:tcW w:w="1780" w:type="dxa"/>
            <w:vAlign w:val="bottom"/>
          </w:tcPr>
          <w:p>
            <w:pPr>
              <w:jc w:val="right"/>
              <w:spacing w:after="0"/>
              <w:rPr>
                <w:sz w:val="20"/>
                <w:szCs w:val="20"/>
                <w:color w:val="auto"/>
              </w:rPr>
            </w:pPr>
            <w:r>
              <w:rPr>
                <w:rFonts w:ascii="Arial" w:cs="Arial" w:eastAsia="Arial" w:hAnsi="Arial"/>
                <w:sz w:val="14"/>
                <w:szCs w:val="14"/>
                <w:color w:val="auto"/>
              </w:rPr>
              <w:t>3</w:t>
            </w:r>
          </w:p>
        </w:tc>
        <w:tc>
          <w:tcPr>
            <w:tcW w:w="140" w:type="dxa"/>
            <w:vAlign w:val="bottom"/>
          </w:tcPr>
          <w:p>
            <w:pPr>
              <w:spacing w:after="0"/>
              <w:rPr>
                <w:sz w:val="14"/>
                <w:szCs w:val="14"/>
                <w:color w:val="auto"/>
              </w:rPr>
            </w:pPr>
          </w:p>
        </w:tc>
      </w:tr>
      <w:tr>
        <w:trPr>
          <w:trHeight w:val="162"/>
        </w:trPr>
        <w:tc>
          <w:tcPr>
            <w:tcW w:w="7100" w:type="dxa"/>
            <w:vAlign w:val="bottom"/>
            <w:gridSpan w:val="4"/>
            <w:shd w:val="clear" w:color="auto" w:fill="CCECFF"/>
          </w:tcPr>
          <w:p>
            <w:pPr>
              <w:spacing w:after="0"/>
              <w:rPr>
                <w:sz w:val="20"/>
                <w:szCs w:val="20"/>
                <w:color w:val="auto"/>
              </w:rPr>
            </w:pPr>
            <w:r>
              <w:rPr>
                <w:rFonts w:ascii="Arial" w:cs="Arial" w:eastAsia="Arial" w:hAnsi="Arial"/>
                <w:sz w:val="14"/>
                <w:szCs w:val="14"/>
                <w:color w:val="auto"/>
              </w:rPr>
              <w:t>Consumer Goods: Non-Durable</w:t>
            </w:r>
          </w:p>
        </w:tc>
        <w:tc>
          <w:tcPr>
            <w:tcW w:w="18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w:t>
            </w:r>
          </w:p>
        </w:tc>
        <w:tc>
          <w:tcPr>
            <w:tcW w:w="340" w:type="dxa"/>
            <w:vAlign w:val="bottom"/>
            <w:shd w:val="clear" w:color="auto" w:fill="CCECFF"/>
          </w:tcPr>
          <w:p>
            <w:pPr>
              <w:spacing w:after="0"/>
              <w:rPr>
                <w:sz w:val="14"/>
                <w:szCs w:val="14"/>
                <w:color w:val="auto"/>
              </w:rPr>
            </w:pPr>
          </w:p>
        </w:tc>
        <w:tc>
          <w:tcPr>
            <w:tcW w:w="17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w:t>
            </w:r>
          </w:p>
        </w:tc>
        <w:tc>
          <w:tcPr>
            <w:tcW w:w="140" w:type="dxa"/>
            <w:vAlign w:val="bottom"/>
            <w:shd w:val="clear" w:color="auto" w:fill="CCECFF"/>
          </w:tcPr>
          <w:p>
            <w:pPr>
              <w:spacing w:after="0"/>
              <w:rPr>
                <w:sz w:val="14"/>
                <w:szCs w:val="14"/>
                <w:color w:val="auto"/>
              </w:rPr>
            </w:pPr>
          </w:p>
        </w:tc>
      </w:tr>
      <w:tr>
        <w:trPr>
          <w:trHeight w:val="162"/>
        </w:trPr>
        <w:tc>
          <w:tcPr>
            <w:tcW w:w="7100" w:type="dxa"/>
            <w:vAlign w:val="bottom"/>
            <w:gridSpan w:val="4"/>
          </w:tcPr>
          <w:p>
            <w:pPr>
              <w:spacing w:after="0"/>
              <w:rPr>
                <w:sz w:val="20"/>
                <w:szCs w:val="20"/>
                <w:color w:val="auto"/>
              </w:rPr>
            </w:pPr>
            <w:r>
              <w:rPr>
                <w:rFonts w:ascii="Arial" w:cs="Arial" w:eastAsia="Arial" w:hAnsi="Arial"/>
                <w:sz w:val="14"/>
                <w:szCs w:val="14"/>
                <w:color w:val="auto"/>
              </w:rPr>
              <w:t>Diversified Financial Services</w:t>
            </w:r>
          </w:p>
        </w:tc>
        <w:tc>
          <w:tcPr>
            <w:tcW w:w="1880" w:type="dxa"/>
            <w:vAlign w:val="bottom"/>
          </w:tcPr>
          <w:p>
            <w:pPr>
              <w:jc w:val="right"/>
              <w:spacing w:after="0"/>
              <w:rPr>
                <w:sz w:val="20"/>
                <w:szCs w:val="20"/>
                <w:color w:val="auto"/>
              </w:rPr>
            </w:pPr>
            <w:r>
              <w:rPr>
                <w:rFonts w:ascii="Arial" w:cs="Arial" w:eastAsia="Arial" w:hAnsi="Arial"/>
                <w:sz w:val="14"/>
                <w:szCs w:val="14"/>
                <w:color w:val="auto"/>
              </w:rPr>
              <w:t>2</w:t>
            </w:r>
          </w:p>
        </w:tc>
        <w:tc>
          <w:tcPr>
            <w:tcW w:w="340" w:type="dxa"/>
            <w:vAlign w:val="bottom"/>
          </w:tcPr>
          <w:p>
            <w:pPr>
              <w:spacing w:after="0"/>
              <w:rPr>
                <w:sz w:val="14"/>
                <w:szCs w:val="14"/>
                <w:color w:val="auto"/>
              </w:rPr>
            </w:pPr>
          </w:p>
        </w:tc>
        <w:tc>
          <w:tcPr>
            <w:tcW w:w="1780" w:type="dxa"/>
            <w:vAlign w:val="bottom"/>
          </w:tcPr>
          <w:p>
            <w:pPr>
              <w:jc w:val="right"/>
              <w:spacing w:after="0"/>
              <w:rPr>
                <w:sz w:val="20"/>
                <w:szCs w:val="20"/>
                <w:color w:val="auto"/>
              </w:rPr>
            </w:pPr>
            <w:r>
              <w:rPr>
                <w:rFonts w:ascii="Arial" w:cs="Arial" w:eastAsia="Arial" w:hAnsi="Arial"/>
                <w:sz w:val="14"/>
                <w:szCs w:val="14"/>
                <w:color w:val="auto"/>
              </w:rPr>
              <w:t>3</w:t>
            </w:r>
          </w:p>
        </w:tc>
        <w:tc>
          <w:tcPr>
            <w:tcW w:w="140" w:type="dxa"/>
            <w:vAlign w:val="bottom"/>
          </w:tcPr>
          <w:p>
            <w:pPr>
              <w:spacing w:after="0"/>
              <w:rPr>
                <w:sz w:val="14"/>
                <w:szCs w:val="14"/>
                <w:color w:val="auto"/>
              </w:rPr>
            </w:pPr>
          </w:p>
        </w:tc>
      </w:tr>
      <w:tr>
        <w:trPr>
          <w:trHeight w:val="162"/>
        </w:trPr>
        <w:tc>
          <w:tcPr>
            <w:tcW w:w="7100" w:type="dxa"/>
            <w:vAlign w:val="bottom"/>
            <w:gridSpan w:val="4"/>
            <w:shd w:val="clear" w:color="auto" w:fill="CCECFF"/>
          </w:tcPr>
          <w:p>
            <w:pPr>
              <w:spacing w:after="0"/>
              <w:rPr>
                <w:sz w:val="20"/>
                <w:szCs w:val="20"/>
                <w:color w:val="auto"/>
              </w:rPr>
            </w:pPr>
            <w:r>
              <w:rPr>
                <w:rFonts w:ascii="Arial" w:cs="Arial" w:eastAsia="Arial" w:hAnsi="Arial"/>
                <w:sz w:val="14"/>
                <w:szCs w:val="14"/>
                <w:color w:val="auto"/>
              </w:rPr>
              <w:t>Electronic Equipment, Instruments, and Components</w:t>
            </w:r>
          </w:p>
        </w:tc>
        <w:tc>
          <w:tcPr>
            <w:tcW w:w="18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w:t>
            </w:r>
          </w:p>
        </w:tc>
        <w:tc>
          <w:tcPr>
            <w:tcW w:w="340" w:type="dxa"/>
            <w:vAlign w:val="bottom"/>
            <w:shd w:val="clear" w:color="auto" w:fill="CCECFF"/>
          </w:tcPr>
          <w:p>
            <w:pPr>
              <w:spacing w:after="0"/>
              <w:rPr>
                <w:sz w:val="14"/>
                <w:szCs w:val="14"/>
                <w:color w:val="auto"/>
              </w:rPr>
            </w:pPr>
          </w:p>
        </w:tc>
        <w:tc>
          <w:tcPr>
            <w:tcW w:w="17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w:t>
            </w:r>
          </w:p>
        </w:tc>
        <w:tc>
          <w:tcPr>
            <w:tcW w:w="140" w:type="dxa"/>
            <w:vAlign w:val="bottom"/>
            <w:shd w:val="clear" w:color="auto" w:fill="CCECFF"/>
          </w:tcPr>
          <w:p>
            <w:pPr>
              <w:spacing w:after="0"/>
              <w:rPr>
                <w:sz w:val="14"/>
                <w:szCs w:val="14"/>
                <w:color w:val="auto"/>
              </w:rPr>
            </w:pPr>
          </w:p>
        </w:tc>
      </w:tr>
      <w:tr>
        <w:trPr>
          <w:trHeight w:val="162"/>
        </w:trPr>
        <w:tc>
          <w:tcPr>
            <w:tcW w:w="7100" w:type="dxa"/>
            <w:vAlign w:val="bottom"/>
            <w:gridSpan w:val="4"/>
          </w:tcPr>
          <w:p>
            <w:pPr>
              <w:spacing w:after="0"/>
              <w:rPr>
                <w:sz w:val="20"/>
                <w:szCs w:val="20"/>
                <w:color w:val="auto"/>
              </w:rPr>
            </w:pPr>
            <w:r>
              <w:rPr>
                <w:rFonts w:ascii="Arial" w:cs="Arial" w:eastAsia="Arial" w:hAnsi="Arial"/>
                <w:sz w:val="14"/>
                <w:szCs w:val="14"/>
                <w:color w:val="auto"/>
              </w:rPr>
              <w:t>Media: Advertising, Printing and Publishing</w:t>
            </w:r>
          </w:p>
        </w:tc>
        <w:tc>
          <w:tcPr>
            <w:tcW w:w="1880" w:type="dxa"/>
            <w:vAlign w:val="bottom"/>
          </w:tcPr>
          <w:p>
            <w:pPr>
              <w:jc w:val="right"/>
              <w:spacing w:after="0"/>
              <w:rPr>
                <w:sz w:val="20"/>
                <w:szCs w:val="20"/>
                <w:color w:val="auto"/>
              </w:rPr>
            </w:pPr>
            <w:r>
              <w:rPr>
                <w:rFonts w:ascii="Arial" w:cs="Arial" w:eastAsia="Arial" w:hAnsi="Arial"/>
                <w:sz w:val="14"/>
                <w:szCs w:val="14"/>
                <w:color w:val="auto"/>
              </w:rPr>
              <w:t>2</w:t>
            </w:r>
          </w:p>
        </w:tc>
        <w:tc>
          <w:tcPr>
            <w:tcW w:w="340" w:type="dxa"/>
            <w:vAlign w:val="bottom"/>
          </w:tcPr>
          <w:p>
            <w:pPr>
              <w:spacing w:after="0"/>
              <w:rPr>
                <w:sz w:val="14"/>
                <w:szCs w:val="14"/>
                <w:color w:val="auto"/>
              </w:rPr>
            </w:pPr>
          </w:p>
        </w:tc>
        <w:tc>
          <w:tcPr>
            <w:tcW w:w="1780" w:type="dxa"/>
            <w:vAlign w:val="bottom"/>
          </w:tcPr>
          <w:p>
            <w:pPr>
              <w:jc w:val="right"/>
              <w:spacing w:after="0"/>
              <w:rPr>
                <w:sz w:val="20"/>
                <w:szCs w:val="20"/>
                <w:color w:val="auto"/>
              </w:rPr>
            </w:pPr>
            <w:r>
              <w:rPr>
                <w:rFonts w:ascii="Arial" w:cs="Arial" w:eastAsia="Arial" w:hAnsi="Arial"/>
                <w:sz w:val="14"/>
                <w:szCs w:val="14"/>
                <w:color w:val="auto"/>
              </w:rPr>
              <w:t>2</w:t>
            </w:r>
          </w:p>
        </w:tc>
        <w:tc>
          <w:tcPr>
            <w:tcW w:w="140" w:type="dxa"/>
            <w:vAlign w:val="bottom"/>
          </w:tcPr>
          <w:p>
            <w:pPr>
              <w:spacing w:after="0"/>
              <w:rPr>
                <w:sz w:val="14"/>
                <w:szCs w:val="14"/>
                <w:color w:val="auto"/>
              </w:rPr>
            </w:pPr>
          </w:p>
        </w:tc>
      </w:tr>
      <w:tr>
        <w:trPr>
          <w:trHeight w:val="162"/>
        </w:trPr>
        <w:tc>
          <w:tcPr>
            <w:tcW w:w="7100" w:type="dxa"/>
            <w:vAlign w:val="bottom"/>
            <w:gridSpan w:val="4"/>
            <w:shd w:val="clear" w:color="auto" w:fill="CCECFF"/>
          </w:tcPr>
          <w:p>
            <w:pPr>
              <w:spacing w:after="0"/>
              <w:rPr>
                <w:sz w:val="20"/>
                <w:szCs w:val="20"/>
                <w:color w:val="auto"/>
              </w:rPr>
            </w:pPr>
            <w:r>
              <w:rPr>
                <w:rFonts w:ascii="Arial" w:cs="Arial" w:eastAsia="Arial" w:hAnsi="Arial"/>
                <w:sz w:val="14"/>
                <w:szCs w:val="14"/>
                <w:color w:val="auto"/>
              </w:rPr>
              <w:t>Media: Broadcasting and Subscription</w:t>
            </w:r>
          </w:p>
        </w:tc>
        <w:tc>
          <w:tcPr>
            <w:tcW w:w="18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w:t>
            </w:r>
          </w:p>
        </w:tc>
        <w:tc>
          <w:tcPr>
            <w:tcW w:w="340" w:type="dxa"/>
            <w:vAlign w:val="bottom"/>
            <w:shd w:val="clear" w:color="auto" w:fill="CCECFF"/>
          </w:tcPr>
          <w:p>
            <w:pPr>
              <w:spacing w:after="0"/>
              <w:rPr>
                <w:sz w:val="14"/>
                <w:szCs w:val="14"/>
                <w:color w:val="auto"/>
              </w:rPr>
            </w:pPr>
          </w:p>
        </w:tc>
        <w:tc>
          <w:tcPr>
            <w:tcW w:w="17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w:t>
            </w:r>
          </w:p>
        </w:tc>
        <w:tc>
          <w:tcPr>
            <w:tcW w:w="140" w:type="dxa"/>
            <w:vAlign w:val="bottom"/>
            <w:shd w:val="clear" w:color="auto" w:fill="CCECFF"/>
          </w:tcPr>
          <w:p>
            <w:pPr>
              <w:spacing w:after="0"/>
              <w:rPr>
                <w:sz w:val="14"/>
                <w:szCs w:val="14"/>
                <w:color w:val="auto"/>
              </w:rPr>
            </w:pPr>
          </w:p>
        </w:tc>
      </w:tr>
      <w:tr>
        <w:trPr>
          <w:trHeight w:val="162"/>
        </w:trPr>
        <w:tc>
          <w:tcPr>
            <w:tcW w:w="7100" w:type="dxa"/>
            <w:vAlign w:val="bottom"/>
            <w:gridSpan w:val="4"/>
          </w:tcPr>
          <w:p>
            <w:pPr>
              <w:spacing w:after="0"/>
              <w:rPr>
                <w:sz w:val="20"/>
                <w:szCs w:val="20"/>
                <w:color w:val="auto"/>
              </w:rPr>
            </w:pPr>
            <w:r>
              <w:rPr>
                <w:rFonts w:ascii="Arial" w:cs="Arial" w:eastAsia="Arial" w:hAnsi="Arial"/>
                <w:sz w:val="14"/>
                <w:szCs w:val="14"/>
                <w:color w:val="auto"/>
              </w:rPr>
              <w:t>Personal Products</w:t>
            </w:r>
          </w:p>
        </w:tc>
        <w:tc>
          <w:tcPr>
            <w:tcW w:w="1880" w:type="dxa"/>
            <w:vAlign w:val="bottom"/>
          </w:tcPr>
          <w:p>
            <w:pPr>
              <w:jc w:val="right"/>
              <w:spacing w:after="0"/>
              <w:rPr>
                <w:sz w:val="20"/>
                <w:szCs w:val="20"/>
                <w:color w:val="auto"/>
              </w:rPr>
            </w:pPr>
            <w:r>
              <w:rPr>
                <w:rFonts w:ascii="Arial" w:cs="Arial" w:eastAsia="Arial" w:hAnsi="Arial"/>
                <w:sz w:val="14"/>
                <w:szCs w:val="14"/>
                <w:color w:val="auto"/>
              </w:rPr>
              <w:t>2</w:t>
            </w:r>
          </w:p>
        </w:tc>
        <w:tc>
          <w:tcPr>
            <w:tcW w:w="340" w:type="dxa"/>
            <w:vAlign w:val="bottom"/>
          </w:tcPr>
          <w:p>
            <w:pPr>
              <w:spacing w:after="0"/>
              <w:rPr>
                <w:sz w:val="14"/>
                <w:szCs w:val="14"/>
                <w:color w:val="auto"/>
              </w:rPr>
            </w:pPr>
          </w:p>
        </w:tc>
        <w:tc>
          <w:tcPr>
            <w:tcW w:w="19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r>
      <w:tr>
        <w:trPr>
          <w:trHeight w:val="162"/>
        </w:trPr>
        <w:tc>
          <w:tcPr>
            <w:tcW w:w="7100" w:type="dxa"/>
            <w:vAlign w:val="bottom"/>
            <w:gridSpan w:val="4"/>
            <w:shd w:val="clear" w:color="auto" w:fill="CCECFF"/>
          </w:tcPr>
          <w:p>
            <w:pPr>
              <w:spacing w:after="0"/>
              <w:rPr>
                <w:sz w:val="20"/>
                <w:szCs w:val="20"/>
                <w:color w:val="auto"/>
              </w:rPr>
            </w:pPr>
            <w:r>
              <w:rPr>
                <w:rFonts w:ascii="Arial" w:cs="Arial" w:eastAsia="Arial" w:hAnsi="Arial"/>
                <w:sz w:val="14"/>
                <w:szCs w:val="14"/>
                <w:color w:val="auto"/>
              </w:rPr>
              <w:t>Wholesale</w:t>
            </w:r>
          </w:p>
        </w:tc>
        <w:tc>
          <w:tcPr>
            <w:tcW w:w="18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w:t>
            </w:r>
          </w:p>
        </w:tc>
        <w:tc>
          <w:tcPr>
            <w:tcW w:w="340" w:type="dxa"/>
            <w:vAlign w:val="bottom"/>
            <w:shd w:val="clear" w:color="auto" w:fill="CCECFF"/>
          </w:tcPr>
          <w:p>
            <w:pPr>
              <w:spacing w:after="0"/>
              <w:rPr>
                <w:sz w:val="14"/>
                <w:szCs w:val="14"/>
                <w:color w:val="auto"/>
              </w:rPr>
            </w:pPr>
          </w:p>
        </w:tc>
        <w:tc>
          <w:tcPr>
            <w:tcW w:w="17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w:t>
            </w:r>
          </w:p>
        </w:tc>
        <w:tc>
          <w:tcPr>
            <w:tcW w:w="140" w:type="dxa"/>
            <w:vAlign w:val="bottom"/>
            <w:shd w:val="clear" w:color="auto" w:fill="CCECFF"/>
          </w:tcPr>
          <w:p>
            <w:pPr>
              <w:spacing w:after="0"/>
              <w:rPr>
                <w:sz w:val="14"/>
                <w:szCs w:val="14"/>
                <w:color w:val="auto"/>
              </w:rPr>
            </w:pPr>
          </w:p>
        </w:tc>
      </w:tr>
      <w:tr>
        <w:trPr>
          <w:trHeight w:val="162"/>
        </w:trPr>
        <w:tc>
          <w:tcPr>
            <w:tcW w:w="7100" w:type="dxa"/>
            <w:vAlign w:val="bottom"/>
            <w:gridSpan w:val="4"/>
          </w:tcPr>
          <w:p>
            <w:pPr>
              <w:spacing w:after="0"/>
              <w:rPr>
                <w:sz w:val="20"/>
                <w:szCs w:val="20"/>
                <w:color w:val="auto"/>
              </w:rPr>
            </w:pPr>
            <w:r>
              <w:rPr>
                <w:rFonts w:ascii="Arial" w:cs="Arial" w:eastAsia="Arial" w:hAnsi="Arial"/>
                <w:sz w:val="14"/>
                <w:szCs w:val="14"/>
                <w:color w:val="auto"/>
              </w:rPr>
              <w:t>Building Products</w:t>
            </w:r>
          </w:p>
        </w:tc>
        <w:tc>
          <w:tcPr>
            <w:tcW w:w="1880" w:type="dxa"/>
            <w:vAlign w:val="bottom"/>
          </w:tcPr>
          <w:p>
            <w:pPr>
              <w:jc w:val="right"/>
              <w:spacing w:after="0"/>
              <w:rPr>
                <w:sz w:val="20"/>
                <w:szCs w:val="20"/>
                <w:color w:val="auto"/>
              </w:rPr>
            </w:pPr>
            <w:r>
              <w:rPr>
                <w:rFonts w:ascii="Arial" w:cs="Arial" w:eastAsia="Arial" w:hAnsi="Arial"/>
                <w:sz w:val="14"/>
                <w:szCs w:val="14"/>
                <w:color w:val="auto"/>
              </w:rPr>
              <w:t>1</w:t>
            </w:r>
          </w:p>
        </w:tc>
        <w:tc>
          <w:tcPr>
            <w:tcW w:w="340" w:type="dxa"/>
            <w:vAlign w:val="bottom"/>
          </w:tcPr>
          <w:p>
            <w:pPr>
              <w:spacing w:after="0"/>
              <w:rPr>
                <w:sz w:val="14"/>
                <w:szCs w:val="14"/>
                <w:color w:val="auto"/>
              </w:rPr>
            </w:pPr>
          </w:p>
        </w:tc>
        <w:tc>
          <w:tcPr>
            <w:tcW w:w="1780" w:type="dxa"/>
            <w:vAlign w:val="bottom"/>
          </w:tcPr>
          <w:p>
            <w:pPr>
              <w:jc w:val="right"/>
              <w:spacing w:after="0"/>
              <w:rPr>
                <w:sz w:val="20"/>
                <w:szCs w:val="20"/>
                <w:color w:val="auto"/>
              </w:rPr>
            </w:pPr>
            <w:r>
              <w:rPr>
                <w:rFonts w:ascii="Arial" w:cs="Arial" w:eastAsia="Arial" w:hAnsi="Arial"/>
                <w:sz w:val="14"/>
                <w:szCs w:val="14"/>
                <w:color w:val="auto"/>
              </w:rPr>
              <w:t>2</w:t>
            </w:r>
          </w:p>
        </w:tc>
        <w:tc>
          <w:tcPr>
            <w:tcW w:w="140" w:type="dxa"/>
            <w:vAlign w:val="bottom"/>
          </w:tcPr>
          <w:p>
            <w:pPr>
              <w:spacing w:after="0"/>
              <w:rPr>
                <w:sz w:val="14"/>
                <w:szCs w:val="14"/>
                <w:color w:val="auto"/>
              </w:rPr>
            </w:pPr>
          </w:p>
        </w:tc>
      </w:tr>
      <w:tr>
        <w:trPr>
          <w:trHeight w:val="162"/>
        </w:trPr>
        <w:tc>
          <w:tcPr>
            <w:tcW w:w="7100" w:type="dxa"/>
            <w:vAlign w:val="bottom"/>
            <w:gridSpan w:val="4"/>
            <w:shd w:val="clear" w:color="auto" w:fill="CCECFF"/>
          </w:tcPr>
          <w:p>
            <w:pPr>
              <w:spacing w:after="0"/>
              <w:rPr>
                <w:sz w:val="20"/>
                <w:szCs w:val="20"/>
                <w:color w:val="auto"/>
              </w:rPr>
            </w:pPr>
            <w:r>
              <w:rPr>
                <w:rFonts w:ascii="Arial" w:cs="Arial" w:eastAsia="Arial" w:hAnsi="Arial"/>
                <w:sz w:val="14"/>
                <w:szCs w:val="14"/>
                <w:color w:val="auto"/>
              </w:rPr>
              <w:t>Commercial Services &amp; Supplies</w:t>
            </w:r>
          </w:p>
        </w:tc>
        <w:tc>
          <w:tcPr>
            <w:tcW w:w="18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w:t>
            </w:r>
          </w:p>
        </w:tc>
        <w:tc>
          <w:tcPr>
            <w:tcW w:w="340" w:type="dxa"/>
            <w:vAlign w:val="bottom"/>
            <w:shd w:val="clear" w:color="auto" w:fill="CCECFF"/>
          </w:tcPr>
          <w:p>
            <w:pPr>
              <w:spacing w:after="0"/>
              <w:rPr>
                <w:sz w:val="14"/>
                <w:szCs w:val="14"/>
                <w:color w:val="auto"/>
              </w:rPr>
            </w:pPr>
          </w:p>
        </w:tc>
        <w:tc>
          <w:tcPr>
            <w:tcW w:w="17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w:t>
            </w:r>
          </w:p>
        </w:tc>
        <w:tc>
          <w:tcPr>
            <w:tcW w:w="140" w:type="dxa"/>
            <w:vAlign w:val="bottom"/>
            <w:shd w:val="clear" w:color="auto" w:fill="CCECFF"/>
          </w:tcPr>
          <w:p>
            <w:pPr>
              <w:spacing w:after="0"/>
              <w:rPr>
                <w:sz w:val="14"/>
                <w:szCs w:val="14"/>
                <w:color w:val="auto"/>
              </w:rPr>
            </w:pPr>
          </w:p>
        </w:tc>
      </w:tr>
      <w:tr>
        <w:trPr>
          <w:trHeight w:val="162"/>
        </w:trPr>
        <w:tc>
          <w:tcPr>
            <w:tcW w:w="7100" w:type="dxa"/>
            <w:vAlign w:val="bottom"/>
            <w:gridSpan w:val="4"/>
          </w:tcPr>
          <w:p>
            <w:pPr>
              <w:spacing w:after="0"/>
              <w:rPr>
                <w:sz w:val="20"/>
                <w:szCs w:val="20"/>
                <w:color w:val="auto"/>
              </w:rPr>
            </w:pPr>
            <w:r>
              <w:rPr>
                <w:rFonts w:ascii="Arial" w:cs="Arial" w:eastAsia="Arial" w:hAnsi="Arial"/>
                <w:sz w:val="14"/>
                <w:szCs w:val="14"/>
                <w:color w:val="auto"/>
              </w:rPr>
              <w:t>Diversified Consumer Services</w:t>
            </w:r>
          </w:p>
        </w:tc>
        <w:tc>
          <w:tcPr>
            <w:tcW w:w="1880" w:type="dxa"/>
            <w:vAlign w:val="bottom"/>
          </w:tcPr>
          <w:p>
            <w:pPr>
              <w:jc w:val="right"/>
              <w:spacing w:after="0"/>
              <w:rPr>
                <w:sz w:val="20"/>
                <w:szCs w:val="20"/>
                <w:color w:val="auto"/>
              </w:rPr>
            </w:pPr>
            <w:r>
              <w:rPr>
                <w:rFonts w:ascii="Arial" w:cs="Arial" w:eastAsia="Arial" w:hAnsi="Arial"/>
                <w:sz w:val="14"/>
                <w:szCs w:val="14"/>
                <w:color w:val="auto"/>
              </w:rPr>
              <w:t>1</w:t>
            </w:r>
          </w:p>
        </w:tc>
        <w:tc>
          <w:tcPr>
            <w:tcW w:w="340" w:type="dxa"/>
            <w:vAlign w:val="bottom"/>
          </w:tcPr>
          <w:p>
            <w:pPr>
              <w:spacing w:after="0"/>
              <w:rPr>
                <w:sz w:val="14"/>
                <w:szCs w:val="14"/>
                <w:color w:val="auto"/>
              </w:rPr>
            </w:pPr>
          </w:p>
        </w:tc>
        <w:tc>
          <w:tcPr>
            <w:tcW w:w="1780" w:type="dxa"/>
            <w:vAlign w:val="bottom"/>
          </w:tcPr>
          <w:p>
            <w:pPr>
              <w:jc w:val="right"/>
              <w:spacing w:after="0"/>
              <w:rPr>
                <w:sz w:val="20"/>
                <w:szCs w:val="20"/>
                <w:color w:val="auto"/>
              </w:rPr>
            </w:pPr>
            <w:r>
              <w:rPr>
                <w:rFonts w:ascii="Arial" w:cs="Arial" w:eastAsia="Arial" w:hAnsi="Arial"/>
                <w:sz w:val="14"/>
                <w:szCs w:val="14"/>
                <w:color w:val="auto"/>
              </w:rPr>
              <w:t>1</w:t>
            </w:r>
          </w:p>
        </w:tc>
        <w:tc>
          <w:tcPr>
            <w:tcW w:w="140" w:type="dxa"/>
            <w:vAlign w:val="bottom"/>
          </w:tcPr>
          <w:p>
            <w:pPr>
              <w:spacing w:after="0"/>
              <w:rPr>
                <w:sz w:val="14"/>
                <w:szCs w:val="14"/>
                <w:color w:val="auto"/>
              </w:rPr>
            </w:pPr>
          </w:p>
        </w:tc>
      </w:tr>
      <w:tr>
        <w:trPr>
          <w:trHeight w:val="162"/>
        </w:trPr>
        <w:tc>
          <w:tcPr>
            <w:tcW w:w="7100" w:type="dxa"/>
            <w:vAlign w:val="bottom"/>
            <w:gridSpan w:val="4"/>
            <w:shd w:val="clear" w:color="auto" w:fill="CCECFF"/>
          </w:tcPr>
          <w:p>
            <w:pPr>
              <w:spacing w:after="0"/>
              <w:rPr>
                <w:sz w:val="20"/>
                <w:szCs w:val="20"/>
                <w:color w:val="auto"/>
              </w:rPr>
            </w:pPr>
            <w:r>
              <w:rPr>
                <w:rFonts w:ascii="Arial" w:cs="Arial" w:eastAsia="Arial" w:hAnsi="Arial"/>
                <w:sz w:val="14"/>
                <w:szCs w:val="14"/>
                <w:color w:val="auto"/>
              </w:rPr>
              <w:t>Environmental Industries</w:t>
            </w:r>
          </w:p>
        </w:tc>
        <w:tc>
          <w:tcPr>
            <w:tcW w:w="18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w:t>
            </w:r>
          </w:p>
        </w:tc>
        <w:tc>
          <w:tcPr>
            <w:tcW w:w="340" w:type="dxa"/>
            <w:vAlign w:val="bottom"/>
            <w:shd w:val="clear" w:color="auto" w:fill="CCECFF"/>
          </w:tcPr>
          <w:p>
            <w:pPr>
              <w:spacing w:after="0"/>
              <w:rPr>
                <w:sz w:val="14"/>
                <w:szCs w:val="14"/>
                <w:color w:val="auto"/>
              </w:rPr>
            </w:pPr>
          </w:p>
        </w:tc>
        <w:tc>
          <w:tcPr>
            <w:tcW w:w="1920" w:type="dxa"/>
            <w:vAlign w:val="bottom"/>
            <w:gridSpan w:val="2"/>
            <w:shd w:val="clear" w:color="auto" w:fill="CCECFF"/>
          </w:tcPr>
          <w:p>
            <w:pPr>
              <w:jc w:val="right"/>
              <w:ind w:right="140"/>
              <w:spacing w:after="0"/>
              <w:rPr>
                <w:sz w:val="20"/>
                <w:szCs w:val="20"/>
                <w:color w:val="auto"/>
              </w:rPr>
            </w:pPr>
            <w:r>
              <w:rPr>
                <w:rFonts w:ascii="Arial" w:cs="Arial" w:eastAsia="Arial" w:hAnsi="Arial"/>
                <w:sz w:val="14"/>
                <w:szCs w:val="14"/>
                <w:color w:val="auto"/>
              </w:rPr>
              <w:t>—</w:t>
            </w:r>
          </w:p>
        </w:tc>
      </w:tr>
      <w:tr>
        <w:trPr>
          <w:trHeight w:val="162"/>
        </w:trPr>
        <w:tc>
          <w:tcPr>
            <w:tcW w:w="7100" w:type="dxa"/>
            <w:vAlign w:val="bottom"/>
            <w:gridSpan w:val="4"/>
          </w:tcPr>
          <w:p>
            <w:pPr>
              <w:spacing w:after="0"/>
              <w:rPr>
                <w:sz w:val="20"/>
                <w:szCs w:val="20"/>
                <w:color w:val="auto"/>
              </w:rPr>
            </w:pPr>
            <w:r>
              <w:rPr>
                <w:rFonts w:ascii="Arial" w:cs="Arial" w:eastAsia="Arial" w:hAnsi="Arial"/>
                <w:sz w:val="14"/>
                <w:szCs w:val="14"/>
                <w:color w:val="auto"/>
              </w:rPr>
              <w:t>Food and Staples Retailing</w:t>
            </w:r>
          </w:p>
        </w:tc>
        <w:tc>
          <w:tcPr>
            <w:tcW w:w="1880" w:type="dxa"/>
            <w:vAlign w:val="bottom"/>
          </w:tcPr>
          <w:p>
            <w:pPr>
              <w:jc w:val="right"/>
              <w:spacing w:after="0"/>
              <w:rPr>
                <w:sz w:val="20"/>
                <w:szCs w:val="20"/>
                <w:color w:val="auto"/>
              </w:rPr>
            </w:pPr>
            <w:r>
              <w:rPr>
                <w:rFonts w:ascii="Arial" w:cs="Arial" w:eastAsia="Arial" w:hAnsi="Arial"/>
                <w:sz w:val="14"/>
                <w:szCs w:val="14"/>
                <w:color w:val="auto"/>
              </w:rPr>
              <w:t>1</w:t>
            </w:r>
          </w:p>
        </w:tc>
        <w:tc>
          <w:tcPr>
            <w:tcW w:w="340" w:type="dxa"/>
            <w:vAlign w:val="bottom"/>
          </w:tcPr>
          <w:p>
            <w:pPr>
              <w:spacing w:after="0"/>
              <w:rPr>
                <w:sz w:val="14"/>
                <w:szCs w:val="14"/>
                <w:color w:val="auto"/>
              </w:rPr>
            </w:pPr>
          </w:p>
        </w:tc>
        <w:tc>
          <w:tcPr>
            <w:tcW w:w="19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r>
      <w:tr>
        <w:trPr>
          <w:trHeight w:val="162"/>
        </w:trPr>
        <w:tc>
          <w:tcPr>
            <w:tcW w:w="7100" w:type="dxa"/>
            <w:vAlign w:val="bottom"/>
            <w:gridSpan w:val="4"/>
            <w:shd w:val="clear" w:color="auto" w:fill="CCECFF"/>
          </w:tcPr>
          <w:p>
            <w:pPr>
              <w:spacing w:after="0"/>
              <w:rPr>
                <w:sz w:val="20"/>
                <w:szCs w:val="20"/>
                <w:color w:val="auto"/>
              </w:rPr>
            </w:pPr>
            <w:r>
              <w:rPr>
                <w:rFonts w:ascii="Arial" w:cs="Arial" w:eastAsia="Arial" w:hAnsi="Arial"/>
                <w:sz w:val="14"/>
                <w:szCs w:val="14"/>
                <w:color w:val="auto"/>
              </w:rPr>
              <w:t>IT Services</w:t>
            </w:r>
          </w:p>
        </w:tc>
        <w:tc>
          <w:tcPr>
            <w:tcW w:w="18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w:t>
            </w:r>
          </w:p>
        </w:tc>
        <w:tc>
          <w:tcPr>
            <w:tcW w:w="340" w:type="dxa"/>
            <w:vAlign w:val="bottom"/>
            <w:shd w:val="clear" w:color="auto" w:fill="CCECFF"/>
          </w:tcPr>
          <w:p>
            <w:pPr>
              <w:spacing w:after="0"/>
              <w:rPr>
                <w:sz w:val="14"/>
                <w:szCs w:val="14"/>
                <w:color w:val="auto"/>
              </w:rPr>
            </w:pPr>
          </w:p>
        </w:tc>
        <w:tc>
          <w:tcPr>
            <w:tcW w:w="17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w:t>
            </w:r>
          </w:p>
        </w:tc>
        <w:tc>
          <w:tcPr>
            <w:tcW w:w="140" w:type="dxa"/>
            <w:vAlign w:val="bottom"/>
            <w:shd w:val="clear" w:color="auto" w:fill="CCECFF"/>
          </w:tcPr>
          <w:p>
            <w:pPr>
              <w:spacing w:after="0"/>
              <w:rPr>
                <w:sz w:val="14"/>
                <w:szCs w:val="14"/>
                <w:color w:val="auto"/>
              </w:rPr>
            </w:pPr>
          </w:p>
        </w:tc>
      </w:tr>
      <w:tr>
        <w:trPr>
          <w:trHeight w:val="162"/>
        </w:trPr>
        <w:tc>
          <w:tcPr>
            <w:tcW w:w="360" w:type="dxa"/>
            <w:vAlign w:val="bottom"/>
          </w:tcPr>
          <w:p>
            <w:pPr>
              <w:spacing w:after="0"/>
              <w:rPr>
                <w:sz w:val="20"/>
                <w:szCs w:val="20"/>
                <w:color w:val="auto"/>
              </w:rPr>
            </w:pPr>
            <w:r>
              <w:rPr>
                <w:rFonts w:ascii="Arial" w:cs="Arial" w:eastAsia="Arial" w:hAnsi="Arial"/>
                <w:sz w:val="14"/>
                <w:szCs w:val="14"/>
                <w:color w:val="auto"/>
                <w:w w:val="94"/>
              </w:rPr>
              <w:t>Retail</w:t>
            </w:r>
          </w:p>
        </w:tc>
        <w:tc>
          <w:tcPr>
            <w:tcW w:w="258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80" w:type="dxa"/>
            <w:vAlign w:val="bottom"/>
          </w:tcPr>
          <w:p>
            <w:pPr>
              <w:jc w:val="right"/>
              <w:spacing w:after="0"/>
              <w:rPr>
                <w:sz w:val="20"/>
                <w:szCs w:val="20"/>
                <w:color w:val="auto"/>
              </w:rPr>
            </w:pPr>
            <w:r>
              <w:rPr>
                <w:rFonts w:ascii="Arial" w:cs="Arial" w:eastAsia="Arial" w:hAnsi="Arial"/>
                <w:sz w:val="14"/>
                <w:szCs w:val="14"/>
                <w:color w:val="auto"/>
              </w:rPr>
              <w:t>1</w:t>
            </w:r>
          </w:p>
        </w:tc>
        <w:tc>
          <w:tcPr>
            <w:tcW w:w="340" w:type="dxa"/>
            <w:vAlign w:val="bottom"/>
          </w:tcPr>
          <w:p>
            <w:pPr>
              <w:spacing w:after="0"/>
              <w:rPr>
                <w:sz w:val="14"/>
                <w:szCs w:val="14"/>
                <w:color w:val="auto"/>
              </w:rPr>
            </w:pPr>
          </w:p>
        </w:tc>
        <w:tc>
          <w:tcPr>
            <w:tcW w:w="1780" w:type="dxa"/>
            <w:vAlign w:val="bottom"/>
          </w:tcPr>
          <w:p>
            <w:pPr>
              <w:jc w:val="right"/>
              <w:spacing w:after="0"/>
              <w:rPr>
                <w:sz w:val="20"/>
                <w:szCs w:val="20"/>
                <w:color w:val="auto"/>
              </w:rPr>
            </w:pPr>
            <w:r>
              <w:rPr>
                <w:rFonts w:ascii="Arial" w:cs="Arial" w:eastAsia="Arial" w:hAnsi="Arial"/>
                <w:sz w:val="14"/>
                <w:szCs w:val="14"/>
                <w:color w:val="auto"/>
              </w:rPr>
              <w:t>1</w:t>
            </w:r>
          </w:p>
        </w:tc>
        <w:tc>
          <w:tcPr>
            <w:tcW w:w="140" w:type="dxa"/>
            <w:vAlign w:val="bottom"/>
          </w:tcPr>
          <w:p>
            <w:pPr>
              <w:spacing w:after="0"/>
              <w:rPr>
                <w:sz w:val="14"/>
                <w:szCs w:val="14"/>
                <w:color w:val="auto"/>
              </w:rPr>
            </w:pPr>
          </w:p>
        </w:tc>
      </w:tr>
      <w:tr>
        <w:trPr>
          <w:trHeight w:val="162"/>
        </w:trPr>
        <w:tc>
          <w:tcPr>
            <w:tcW w:w="7100" w:type="dxa"/>
            <w:vAlign w:val="bottom"/>
            <w:gridSpan w:val="4"/>
            <w:shd w:val="clear" w:color="auto" w:fill="CCECFF"/>
          </w:tcPr>
          <w:p>
            <w:pPr>
              <w:spacing w:after="0"/>
              <w:rPr>
                <w:sz w:val="20"/>
                <w:szCs w:val="20"/>
                <w:color w:val="auto"/>
              </w:rPr>
            </w:pPr>
            <w:r>
              <w:rPr>
                <w:rFonts w:ascii="Arial" w:cs="Arial" w:eastAsia="Arial" w:hAnsi="Arial"/>
                <w:sz w:val="14"/>
                <w:szCs w:val="14"/>
                <w:color w:val="auto"/>
              </w:rPr>
              <w:t>Transportation: Consumer</w:t>
            </w:r>
          </w:p>
        </w:tc>
        <w:tc>
          <w:tcPr>
            <w:tcW w:w="18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w:t>
            </w:r>
          </w:p>
        </w:tc>
        <w:tc>
          <w:tcPr>
            <w:tcW w:w="340" w:type="dxa"/>
            <w:vAlign w:val="bottom"/>
            <w:shd w:val="clear" w:color="auto" w:fill="CCECFF"/>
          </w:tcPr>
          <w:p>
            <w:pPr>
              <w:spacing w:after="0"/>
              <w:rPr>
                <w:sz w:val="14"/>
                <w:szCs w:val="14"/>
                <w:color w:val="auto"/>
              </w:rPr>
            </w:pPr>
          </w:p>
        </w:tc>
        <w:tc>
          <w:tcPr>
            <w:tcW w:w="1920" w:type="dxa"/>
            <w:vAlign w:val="bottom"/>
            <w:gridSpan w:val="2"/>
            <w:shd w:val="clear" w:color="auto" w:fill="CCECFF"/>
          </w:tcPr>
          <w:p>
            <w:pPr>
              <w:jc w:val="right"/>
              <w:ind w:right="140"/>
              <w:spacing w:after="0"/>
              <w:rPr>
                <w:sz w:val="20"/>
                <w:szCs w:val="20"/>
                <w:color w:val="auto"/>
              </w:rPr>
            </w:pPr>
            <w:r>
              <w:rPr>
                <w:rFonts w:ascii="Arial" w:cs="Arial" w:eastAsia="Arial" w:hAnsi="Arial"/>
                <w:sz w:val="14"/>
                <w:szCs w:val="14"/>
                <w:color w:val="auto"/>
              </w:rPr>
              <w:t>—</w:t>
            </w:r>
          </w:p>
        </w:tc>
      </w:tr>
      <w:tr>
        <w:trPr>
          <w:trHeight w:val="162"/>
        </w:trPr>
        <w:tc>
          <w:tcPr>
            <w:tcW w:w="7100" w:type="dxa"/>
            <w:vAlign w:val="bottom"/>
            <w:tcBorders>
              <w:bottom w:val="single" w:sz="8" w:color="CCECFF"/>
            </w:tcBorders>
            <w:gridSpan w:val="4"/>
          </w:tcPr>
          <w:p>
            <w:pPr>
              <w:spacing w:after="0"/>
              <w:rPr>
                <w:sz w:val="20"/>
                <w:szCs w:val="20"/>
                <w:color w:val="auto"/>
              </w:rPr>
            </w:pPr>
            <w:r>
              <w:rPr>
                <w:rFonts w:ascii="Arial" w:cs="Arial" w:eastAsia="Arial" w:hAnsi="Arial"/>
                <w:sz w:val="14"/>
                <w:szCs w:val="14"/>
                <w:color w:val="auto"/>
              </w:rPr>
              <w:t>All Other</w:t>
            </w: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w:t>
            </w:r>
          </w:p>
        </w:tc>
        <w:tc>
          <w:tcPr>
            <w:tcW w:w="340" w:type="dxa"/>
            <w:vAlign w:val="bottom"/>
            <w:tcBorders>
              <w:bottom w:val="single" w:sz="8" w:color="CCECFF"/>
            </w:tcBorders>
          </w:tcPr>
          <w:p>
            <w:pPr>
              <w:spacing w:after="0"/>
              <w:rPr>
                <w:sz w:val="14"/>
                <w:szCs w:val="14"/>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CFF"/>
            </w:tcBorders>
          </w:tcPr>
          <w:p>
            <w:pPr>
              <w:spacing w:after="0"/>
              <w:rPr>
                <w:sz w:val="14"/>
                <w:szCs w:val="14"/>
                <w:color w:val="auto"/>
              </w:rPr>
            </w:pPr>
          </w:p>
        </w:tc>
      </w:tr>
      <w:tr>
        <w:trPr>
          <w:trHeight w:val="155"/>
        </w:trPr>
        <w:tc>
          <w:tcPr>
            <w:tcW w:w="360" w:type="dxa"/>
            <w:vAlign w:val="bottom"/>
            <w:shd w:val="clear" w:color="auto" w:fill="CCECFF"/>
          </w:tcPr>
          <w:p>
            <w:pPr>
              <w:spacing w:after="0" w:line="155" w:lineRule="exact"/>
              <w:rPr>
                <w:sz w:val="20"/>
                <w:szCs w:val="20"/>
                <w:color w:val="auto"/>
              </w:rPr>
            </w:pPr>
            <w:r>
              <w:rPr>
                <w:rFonts w:ascii="Arial" w:cs="Arial" w:eastAsia="Arial" w:hAnsi="Arial"/>
                <w:sz w:val="14"/>
                <w:szCs w:val="14"/>
                <w:color w:val="auto"/>
              </w:rPr>
              <w:t>Total</w:t>
            </w:r>
          </w:p>
        </w:tc>
        <w:tc>
          <w:tcPr>
            <w:tcW w:w="2580" w:type="dxa"/>
            <w:vAlign w:val="bottom"/>
            <w:shd w:val="clear" w:color="auto" w:fill="CCECFF"/>
          </w:tcPr>
          <w:p>
            <w:pPr>
              <w:spacing w:after="0"/>
              <w:rPr>
                <w:sz w:val="13"/>
                <w:szCs w:val="13"/>
                <w:color w:val="auto"/>
              </w:rPr>
            </w:pPr>
          </w:p>
        </w:tc>
        <w:tc>
          <w:tcPr>
            <w:tcW w:w="3960" w:type="dxa"/>
            <w:vAlign w:val="bottom"/>
            <w:shd w:val="clear" w:color="auto" w:fill="CCECFF"/>
          </w:tcPr>
          <w:p>
            <w:pPr>
              <w:spacing w:after="0"/>
              <w:rPr>
                <w:sz w:val="13"/>
                <w:szCs w:val="13"/>
                <w:color w:val="auto"/>
              </w:rPr>
            </w:pPr>
          </w:p>
        </w:tc>
        <w:tc>
          <w:tcPr>
            <w:tcW w:w="200" w:type="dxa"/>
            <w:vAlign w:val="bottom"/>
            <w:shd w:val="clear" w:color="auto" w:fill="CCECFF"/>
          </w:tcPr>
          <w:p>
            <w:pPr>
              <w:spacing w:after="0"/>
              <w:rPr>
                <w:sz w:val="13"/>
                <w:szCs w:val="13"/>
                <w:color w:val="auto"/>
              </w:rPr>
            </w:pPr>
          </w:p>
        </w:tc>
        <w:tc>
          <w:tcPr>
            <w:tcW w:w="2220" w:type="dxa"/>
            <w:vAlign w:val="bottom"/>
            <w:gridSpan w:val="2"/>
            <w:shd w:val="clear" w:color="auto" w:fill="CCECFF"/>
          </w:tcPr>
          <w:p>
            <w:pPr>
              <w:jc w:val="right"/>
              <w:ind w:right="220"/>
              <w:spacing w:after="0" w:line="155" w:lineRule="exact"/>
              <w:rPr>
                <w:sz w:val="20"/>
                <w:szCs w:val="20"/>
                <w:color w:val="auto"/>
              </w:rPr>
            </w:pPr>
            <w:r>
              <w:rPr>
                <w:rFonts w:ascii="Arial" w:cs="Arial" w:eastAsia="Arial" w:hAnsi="Arial"/>
                <w:sz w:val="14"/>
                <w:szCs w:val="14"/>
                <w:color w:val="auto"/>
              </w:rPr>
              <w:t>100%</w:t>
            </w:r>
          </w:p>
        </w:tc>
        <w:tc>
          <w:tcPr>
            <w:tcW w:w="1920" w:type="dxa"/>
            <w:vAlign w:val="bottom"/>
            <w:gridSpan w:val="2"/>
            <w:shd w:val="clear" w:color="auto" w:fill="CCECFF"/>
          </w:tcPr>
          <w:p>
            <w:pPr>
              <w:jc w:val="right"/>
              <w:ind w:right="20"/>
              <w:spacing w:after="0" w:line="155" w:lineRule="exact"/>
              <w:rPr>
                <w:sz w:val="20"/>
                <w:szCs w:val="20"/>
                <w:color w:val="auto"/>
              </w:rPr>
            </w:pPr>
            <w:r>
              <w:rPr>
                <w:rFonts w:ascii="Arial" w:cs="Arial" w:eastAsia="Arial" w:hAnsi="Arial"/>
                <w:sz w:val="14"/>
                <w:szCs w:val="14"/>
                <w:color w:val="auto"/>
              </w:rPr>
              <w:t>100%</w:t>
            </w:r>
          </w:p>
        </w:tc>
      </w:tr>
      <w:tr>
        <w:trPr>
          <w:trHeight w:val="20"/>
        </w:trPr>
        <w:tc>
          <w:tcPr>
            <w:tcW w:w="360" w:type="dxa"/>
            <w:vAlign w:val="bottom"/>
            <w:tcBorders>
              <w:top w:val="single" w:sz="8" w:color="CCECFF"/>
            </w:tcBorders>
          </w:tcPr>
          <w:p>
            <w:pPr>
              <w:spacing w:after="0" w:line="20" w:lineRule="exact"/>
              <w:rPr>
                <w:sz w:val="1"/>
                <w:szCs w:val="1"/>
                <w:color w:val="auto"/>
              </w:rPr>
            </w:pPr>
          </w:p>
        </w:tc>
        <w:tc>
          <w:tcPr>
            <w:tcW w:w="2580" w:type="dxa"/>
            <w:vAlign w:val="bottom"/>
            <w:tcBorders>
              <w:top w:val="single" w:sz="8" w:color="CCECFF"/>
            </w:tcBorders>
          </w:tcPr>
          <w:p>
            <w:pPr>
              <w:spacing w:after="0" w:line="20" w:lineRule="exact"/>
              <w:rPr>
                <w:sz w:val="1"/>
                <w:szCs w:val="1"/>
                <w:color w:val="auto"/>
              </w:rPr>
            </w:pPr>
          </w:p>
        </w:tc>
        <w:tc>
          <w:tcPr>
            <w:tcW w:w="3960" w:type="dxa"/>
            <w:vAlign w:val="bottom"/>
            <w:tcBorders>
              <w:top w:val="single" w:sz="8" w:color="CCECFF"/>
            </w:tcBorders>
          </w:tcPr>
          <w:p>
            <w:pPr>
              <w:spacing w:after="0" w:line="20" w:lineRule="exact"/>
              <w:rPr>
                <w:sz w:val="1"/>
                <w:szCs w:val="1"/>
                <w:color w:val="auto"/>
              </w:rPr>
            </w:pPr>
          </w:p>
        </w:tc>
        <w:tc>
          <w:tcPr>
            <w:tcW w:w="200" w:type="dxa"/>
            <w:vAlign w:val="bottom"/>
            <w:tcBorders>
              <w:top w:val="single" w:sz="8" w:color="CCECFF"/>
            </w:tcBorders>
          </w:tcPr>
          <w:p>
            <w:pPr>
              <w:spacing w:after="0" w:line="20" w:lineRule="exact"/>
              <w:rPr>
                <w:sz w:val="1"/>
                <w:szCs w:val="1"/>
                <w:color w:val="auto"/>
              </w:rPr>
            </w:pPr>
          </w:p>
        </w:tc>
        <w:tc>
          <w:tcPr>
            <w:tcW w:w="18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CFF"/>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CFF"/>
            </w:tcBorders>
          </w:tcPr>
          <w:p>
            <w:pPr>
              <w:spacing w:after="0" w:line="20" w:lineRule="exact"/>
              <w:rPr>
                <w:sz w:val="1"/>
                <w:szCs w:val="1"/>
                <w:color w:val="auto"/>
              </w:rPr>
            </w:pPr>
          </w:p>
        </w:tc>
      </w:tr>
      <w:tr>
        <w:trPr>
          <w:trHeight w:val="115"/>
        </w:trPr>
        <w:tc>
          <w:tcPr>
            <w:tcW w:w="360" w:type="dxa"/>
            <w:vAlign w:val="bottom"/>
            <w:tcBorders>
              <w:bottom w:val="single" w:sz="8" w:color="auto"/>
            </w:tcBorders>
          </w:tcPr>
          <w:p>
            <w:pPr>
              <w:spacing w:after="0"/>
              <w:rPr>
                <w:sz w:val="10"/>
                <w:szCs w:val="10"/>
                <w:color w:val="auto"/>
              </w:rPr>
            </w:pPr>
          </w:p>
        </w:tc>
        <w:tc>
          <w:tcPr>
            <w:tcW w:w="2580" w:type="dxa"/>
            <w:vAlign w:val="bottom"/>
            <w:tcBorders>
              <w:bottom w:val="single" w:sz="8" w:color="auto"/>
            </w:tcBorders>
          </w:tcPr>
          <w:p>
            <w:pPr>
              <w:spacing w:after="0"/>
              <w:rPr>
                <w:sz w:val="10"/>
                <w:szCs w:val="10"/>
                <w:color w:val="auto"/>
              </w:rPr>
            </w:pPr>
          </w:p>
        </w:tc>
        <w:tc>
          <w:tcPr>
            <w:tcW w:w="4160" w:type="dxa"/>
            <w:vAlign w:val="bottom"/>
            <w:gridSpan w:val="2"/>
          </w:tcPr>
          <w:p>
            <w:pPr>
              <w:spacing w:after="0"/>
              <w:rPr>
                <w:sz w:val="10"/>
                <w:szCs w:val="10"/>
                <w:color w:val="auto"/>
              </w:rPr>
            </w:pPr>
          </w:p>
        </w:tc>
        <w:tc>
          <w:tcPr>
            <w:tcW w:w="18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140" w:type="dxa"/>
            <w:vAlign w:val="bottom"/>
          </w:tcPr>
          <w:p>
            <w:pPr>
              <w:spacing w:after="0"/>
              <w:rPr>
                <w:sz w:val="10"/>
                <w:szCs w:val="10"/>
                <w:color w:val="auto"/>
              </w:rPr>
            </w:pPr>
          </w:p>
        </w:tc>
      </w:tr>
      <w:tr>
        <w:trPr>
          <w:trHeight w:val="198"/>
        </w:trPr>
        <w:tc>
          <w:tcPr>
            <w:tcW w:w="360" w:type="dxa"/>
            <w:vAlign w:val="bottom"/>
          </w:tcPr>
          <w:p>
            <w:pPr>
              <w:spacing w:after="0"/>
              <w:rPr>
                <w:sz w:val="20"/>
                <w:szCs w:val="20"/>
                <w:color w:val="auto"/>
              </w:rPr>
            </w:pPr>
            <w:r>
              <w:rPr>
                <w:rFonts w:ascii="Arial" w:cs="Arial" w:eastAsia="Arial" w:hAnsi="Arial"/>
                <w:sz w:val="12"/>
                <w:szCs w:val="12"/>
                <w:color w:val="auto"/>
              </w:rPr>
              <w:t>(1)</w:t>
            </w:r>
          </w:p>
        </w:tc>
        <w:tc>
          <w:tcPr>
            <w:tcW w:w="6740" w:type="dxa"/>
            <w:vAlign w:val="bottom"/>
            <w:gridSpan w:val="3"/>
          </w:tcPr>
          <w:p>
            <w:pPr>
              <w:ind w:left="20"/>
              <w:spacing w:after="0"/>
              <w:rPr>
                <w:sz w:val="20"/>
                <w:szCs w:val="20"/>
                <w:color w:val="auto"/>
              </w:rPr>
            </w:pPr>
            <w:r>
              <w:rPr>
                <w:rFonts w:ascii="Arial" w:cs="Arial" w:eastAsia="Arial" w:hAnsi="Arial"/>
                <w:sz w:val="14"/>
                <w:szCs w:val="14"/>
                <w:color w:val="auto"/>
              </w:rPr>
              <w:t>Excludes investments in PSSL.</w:t>
            </w:r>
          </w:p>
        </w:tc>
        <w:tc>
          <w:tcPr>
            <w:tcW w:w="18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40" w:type="dxa"/>
            <w:vAlign w:val="bottom"/>
          </w:tcPr>
          <w:p>
            <w:pPr>
              <w:spacing w:after="0"/>
              <w:rPr>
                <w:sz w:val="17"/>
                <w:szCs w:val="17"/>
                <w:color w:val="auto"/>
              </w:rPr>
            </w:pPr>
          </w:p>
        </w:tc>
      </w:tr>
    </w:tbl>
    <w:p>
      <w:pPr>
        <w:spacing w:after="0" w:line="11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PennantPark Senior Secured Loan Fund I LLC</w:t>
      </w:r>
    </w:p>
    <w:p>
      <w:pPr>
        <w:spacing w:after="0" w:line="140" w:lineRule="exact"/>
        <w:rPr>
          <w:sz w:val="20"/>
          <w:szCs w:val="20"/>
          <w:color w:val="auto"/>
        </w:rPr>
      </w:pPr>
    </w:p>
    <w:p>
      <w:pPr>
        <w:ind w:left="440"/>
        <w:spacing w:after="0"/>
        <w:rPr>
          <w:sz w:val="20"/>
          <w:szCs w:val="20"/>
          <w:color w:val="auto"/>
        </w:rPr>
      </w:pPr>
      <w:r>
        <w:rPr>
          <w:rFonts w:ascii="Arial" w:cs="Arial" w:eastAsia="Arial" w:hAnsi="Arial"/>
          <w:sz w:val="13"/>
          <w:szCs w:val="13"/>
          <w:color w:val="auto"/>
        </w:rPr>
        <w:t>In May 2017, we and Kemper formed PSSL, an unconsolidated joint venture. PSSL invests primarily in middle-market and other corporate debt securities consistent with our strategy.</w:t>
      </w:r>
    </w:p>
    <w:p>
      <w:pPr>
        <w:spacing w:after="0" w:line="67" w:lineRule="exact"/>
        <w:rPr>
          <w:sz w:val="20"/>
          <w:szCs w:val="20"/>
          <w:color w:val="auto"/>
        </w:rPr>
      </w:pPr>
    </w:p>
    <w:p>
      <w:pPr>
        <w:ind w:right="100"/>
        <w:spacing w:after="0" w:line="334" w:lineRule="auto"/>
        <w:rPr>
          <w:sz w:val="20"/>
          <w:szCs w:val="20"/>
          <w:color w:val="auto"/>
        </w:rPr>
      </w:pPr>
      <w:r>
        <w:rPr>
          <w:rFonts w:ascii="Arial" w:cs="Arial" w:eastAsia="Arial" w:hAnsi="Arial"/>
          <w:sz w:val="13"/>
          <w:szCs w:val="13"/>
          <w:color w:val="auto"/>
        </w:rPr>
        <w:t>PSSL was formed as a Delaware limited liability company. As of December 31, 2019, PSSL had total assets of $507.8 million. As of the same date, we and Kemper had remaining commitments to fund first lien secured debt and equity interests in PSSL in an aggregate amount of $30.5 million. PSSL invests in portfolio companies in the same industries in which we may directly invest.</w:t>
      </w:r>
    </w:p>
    <w:p>
      <w:pPr>
        <w:spacing w:after="0" w:line="56" w:lineRule="exact"/>
        <w:rPr>
          <w:sz w:val="20"/>
          <w:szCs w:val="20"/>
          <w:color w:val="auto"/>
        </w:rPr>
      </w:pPr>
    </w:p>
    <w:p>
      <w:pPr>
        <w:ind w:right="100" w:firstLine="438"/>
        <w:spacing w:after="0" w:line="233" w:lineRule="auto"/>
        <w:rPr>
          <w:sz w:val="20"/>
          <w:szCs w:val="20"/>
          <w:color w:val="auto"/>
        </w:rPr>
      </w:pPr>
      <w:r>
        <w:rPr>
          <w:rFonts w:ascii="Arial" w:cs="Arial" w:eastAsia="Arial" w:hAnsi="Arial"/>
          <w:sz w:val="14"/>
          <w:szCs w:val="14"/>
          <w:color w:val="auto"/>
        </w:rPr>
        <w:t>We provide capital to PSSL in the form of first lien secured debt and equity interests. As of December 31, 2019, we and Kemper owned 87.5% and 12.5%, respectively, of each of the outstanding first lien secured debt and equity interests. As of the same date, our investment in PSSL consisted of first lien secured debt of $122.2 million and equity interests of $52.4 million. As of the same date, we had commitments to fund first lien secured debt to PSSL of $140.9 million, of which $18.7 million was unfunded. As of December 31, 2019, we had commitments to fund equity interests in PSSL of $60.4 million, of which $8.0 million was unfunded.</w:t>
      </w:r>
    </w:p>
    <w:p>
      <w:pPr>
        <w:spacing w:after="0" w:line="117" w:lineRule="exact"/>
        <w:rPr>
          <w:sz w:val="20"/>
          <w:szCs w:val="20"/>
          <w:color w:val="auto"/>
        </w:rPr>
      </w:pPr>
    </w:p>
    <w:p>
      <w:pPr>
        <w:ind w:right="140" w:firstLine="438"/>
        <w:spacing w:after="0" w:line="229" w:lineRule="auto"/>
        <w:rPr>
          <w:sz w:val="20"/>
          <w:szCs w:val="20"/>
          <w:color w:val="auto"/>
        </w:rPr>
      </w:pPr>
      <w:r>
        <w:rPr>
          <w:rFonts w:ascii="Arial" w:cs="Arial" w:eastAsia="Arial" w:hAnsi="Arial"/>
          <w:sz w:val="14"/>
          <w:szCs w:val="14"/>
          <w:color w:val="auto"/>
        </w:rPr>
        <w:t>We and Kemper each appointed two members to PSSL’s four person board of directors and investment committee. All material decisions with respect to PSSL, including those involving its investment portfolio, require unanimous approval of a quorum of the board of directors or investment committee. Quorum is defined as (i) the presence of two members of the board of directors or investment committee, provided that at least one individual is present that was elected, designated or appointed by each member; (ii) the presence of three members of the board of directors or investment committee, provided that the individual that was elected, designated or appointed by the member with only one individual present shall be entitled to cast two votes on each matter; and (iii) the presence of four members of the board of directors or investment committee shall constitute a quorum, provided that two individuals are present that were elected, designated or appointed by each member.</w:t>
      </w:r>
    </w:p>
    <w:p>
      <w:pPr>
        <w:spacing w:after="0" w:line="118" w:lineRule="exact"/>
        <w:rPr>
          <w:sz w:val="20"/>
          <w:szCs w:val="20"/>
          <w:color w:val="auto"/>
        </w:rPr>
      </w:pPr>
    </w:p>
    <w:p>
      <w:pPr>
        <w:ind w:right="60" w:firstLine="438"/>
        <w:spacing w:after="0" w:line="253" w:lineRule="auto"/>
        <w:rPr>
          <w:sz w:val="20"/>
          <w:szCs w:val="20"/>
          <w:color w:val="auto"/>
        </w:rPr>
      </w:pPr>
      <w:r>
        <w:rPr>
          <w:rFonts w:ascii="Arial" w:cs="Arial" w:eastAsia="Arial" w:hAnsi="Arial"/>
          <w:sz w:val="14"/>
          <w:szCs w:val="14"/>
          <w:color w:val="auto"/>
        </w:rPr>
        <w:t>Additionally, PSSL has entered into a $420.0 million senior secured revolving credit facility which bears interest at LIBOR plus 200 basis points, or the PSSL Credit Facility, with Capital One, N.A. through its wholly-owned subsidiary, PennantPark Senior Secured Loan Facility LLC, or PSSL Subsidiary, subject to leverage and borrowing restrictions.</w:t>
      </w:r>
    </w:p>
    <w:p>
      <w:pPr>
        <w:spacing w:after="0" w:line="106" w:lineRule="exact"/>
        <w:rPr>
          <w:sz w:val="20"/>
          <w:szCs w:val="20"/>
          <w:color w:val="auto"/>
        </w:rPr>
      </w:pPr>
    </w:p>
    <w:p>
      <w:pPr>
        <w:ind w:left="440"/>
        <w:spacing w:after="0"/>
        <w:rPr>
          <w:sz w:val="20"/>
          <w:szCs w:val="20"/>
          <w:color w:val="auto"/>
        </w:rPr>
      </w:pPr>
      <w:r>
        <w:rPr>
          <w:rFonts w:ascii="Arial" w:cs="Arial" w:eastAsia="Arial" w:hAnsi="Arial"/>
          <w:sz w:val="14"/>
          <w:szCs w:val="14"/>
          <w:color w:val="auto"/>
        </w:rPr>
        <w:t>Below is a summary of PSSL’s portfolio at fair value:</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26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4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w w:val="99"/>
              </w:rPr>
              <w:t>December 31, 2019</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4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97"/>
              </w:rPr>
              <w:t>September 30, 2019</w:t>
            </w:r>
          </w:p>
        </w:tc>
        <w:tc>
          <w:tcPr>
            <w:tcW w:w="20" w:type="dxa"/>
            <w:vAlign w:val="bottom"/>
          </w:tcPr>
          <w:p>
            <w:pPr>
              <w:spacing w:after="0"/>
              <w:rPr>
                <w:sz w:val="14"/>
                <w:szCs w:val="14"/>
                <w:color w:val="auto"/>
              </w:rPr>
            </w:pPr>
          </w:p>
        </w:tc>
      </w:tr>
      <w:tr>
        <w:trPr>
          <w:trHeight w:val="155"/>
        </w:trPr>
        <w:tc>
          <w:tcPr>
            <w:tcW w:w="4260" w:type="dxa"/>
            <w:vAlign w:val="bottom"/>
            <w:tcBorders>
              <w:top w:val="single" w:sz="8" w:color="CCECFF"/>
            </w:tcBorders>
            <w:shd w:val="clear" w:color="auto" w:fill="CCECFF"/>
          </w:tcPr>
          <w:p>
            <w:pPr>
              <w:spacing w:after="0" w:line="155" w:lineRule="exact"/>
              <w:rPr>
                <w:sz w:val="20"/>
                <w:szCs w:val="20"/>
                <w:color w:val="auto"/>
              </w:rPr>
            </w:pPr>
            <w:r>
              <w:rPr>
                <w:rFonts w:ascii="Arial" w:cs="Arial" w:eastAsia="Arial" w:hAnsi="Arial"/>
                <w:sz w:val="14"/>
                <w:szCs w:val="14"/>
                <w:color w:val="auto"/>
              </w:rPr>
              <w:t>Total investments</w:t>
            </w:r>
          </w:p>
        </w:tc>
        <w:tc>
          <w:tcPr>
            <w:tcW w:w="2920" w:type="dxa"/>
            <w:vAlign w:val="bottom"/>
            <w:tcBorders>
              <w:top w:val="single" w:sz="8" w:color="CCECFF"/>
            </w:tcBorders>
            <w:shd w:val="clear" w:color="auto" w:fill="CCECFF"/>
          </w:tcPr>
          <w:p>
            <w:pPr>
              <w:spacing w:after="0"/>
              <w:rPr>
                <w:sz w:val="13"/>
                <w:szCs w:val="13"/>
                <w:color w:val="auto"/>
              </w:rPr>
            </w:pPr>
          </w:p>
        </w:tc>
        <w:tc>
          <w:tcPr>
            <w:tcW w:w="180" w:type="dxa"/>
            <w:vAlign w:val="bottom"/>
            <w:tcBorders>
              <w:top w:val="single" w:sz="8" w:color="auto"/>
            </w:tcBorders>
            <w:shd w:val="clear" w:color="auto" w:fill="CCECFF"/>
          </w:tcPr>
          <w:p>
            <w:pPr>
              <w:jc w:val="right"/>
              <w:ind w:right="69"/>
              <w:spacing w:after="0"/>
              <w:rPr>
                <w:sz w:val="20"/>
                <w:szCs w:val="20"/>
                <w:color w:val="auto"/>
              </w:rPr>
            </w:pPr>
            <w:r>
              <w:rPr>
                <w:rFonts w:ascii="Arial" w:cs="Arial" w:eastAsia="Arial" w:hAnsi="Arial"/>
                <w:sz w:val="10"/>
                <w:szCs w:val="10"/>
                <w:color w:val="auto"/>
                <w:w w:val="71"/>
              </w:rPr>
              <w:t>$</w:t>
            </w:r>
          </w:p>
        </w:tc>
        <w:tc>
          <w:tcPr>
            <w:tcW w:w="162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493,190,805</w:t>
            </w:r>
          </w:p>
        </w:tc>
        <w:tc>
          <w:tcPr>
            <w:tcW w:w="220" w:type="dxa"/>
            <w:vAlign w:val="bottom"/>
            <w:tcBorders>
              <w:top w:val="single" w:sz="8" w:color="CCECFF"/>
            </w:tcBorders>
            <w:shd w:val="clear" w:color="auto" w:fill="CCECFF"/>
          </w:tcPr>
          <w:p>
            <w:pPr>
              <w:spacing w:after="0"/>
              <w:rPr>
                <w:sz w:val="13"/>
                <w:szCs w:val="13"/>
                <w:color w:val="auto"/>
              </w:rPr>
            </w:pPr>
          </w:p>
        </w:tc>
        <w:tc>
          <w:tcPr>
            <w:tcW w:w="100" w:type="dxa"/>
            <w:vAlign w:val="bottom"/>
            <w:tcBorders>
              <w:top w:val="single" w:sz="8" w:color="CCECFF"/>
            </w:tcBorders>
            <w:shd w:val="clear" w:color="auto" w:fill="CCECFF"/>
          </w:tcPr>
          <w:p>
            <w:pPr>
              <w:spacing w:after="0"/>
              <w:rPr>
                <w:sz w:val="13"/>
                <w:szCs w:val="13"/>
                <w:color w:val="auto"/>
              </w:rPr>
            </w:pPr>
          </w:p>
        </w:tc>
        <w:tc>
          <w:tcPr>
            <w:tcW w:w="200" w:type="dxa"/>
            <w:vAlign w:val="bottom"/>
            <w:tcBorders>
              <w:top w:val="single" w:sz="8" w:color="auto"/>
            </w:tcBorders>
            <w:shd w:val="clear" w:color="auto" w:fill="CCECFF"/>
          </w:tcPr>
          <w:p>
            <w:pPr>
              <w:jc w:val="right"/>
              <w:ind w:right="48"/>
              <w:spacing w:after="0" w:line="155" w:lineRule="exact"/>
              <w:rPr>
                <w:sz w:val="20"/>
                <w:szCs w:val="20"/>
                <w:color w:val="auto"/>
              </w:rPr>
            </w:pPr>
            <w:r>
              <w:rPr>
                <w:rFonts w:ascii="Arial" w:cs="Arial" w:eastAsia="Arial" w:hAnsi="Arial"/>
                <w:sz w:val="14"/>
                <w:szCs w:val="14"/>
                <w:color w:val="auto"/>
                <w:w w:val="76"/>
              </w:rPr>
              <w:t>$</w:t>
            </w:r>
          </w:p>
        </w:tc>
        <w:tc>
          <w:tcPr>
            <w:tcW w:w="160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488,549,847</w:t>
            </w:r>
          </w:p>
        </w:tc>
        <w:tc>
          <w:tcPr>
            <w:tcW w:w="140" w:type="dxa"/>
            <w:vAlign w:val="bottom"/>
            <w:tcBorders>
              <w:top w:val="single" w:sz="8" w:color="CCECFF"/>
            </w:tcBorders>
            <w:shd w:val="clear" w:color="auto" w:fill="CCECFF"/>
          </w:tcPr>
          <w:p>
            <w:pPr>
              <w:spacing w:after="0"/>
              <w:rPr>
                <w:sz w:val="13"/>
                <w:szCs w:val="13"/>
                <w:color w:val="auto"/>
              </w:rPr>
            </w:pPr>
          </w:p>
        </w:tc>
        <w:tc>
          <w:tcPr>
            <w:tcW w:w="20" w:type="dxa"/>
            <w:vAlign w:val="bottom"/>
          </w:tcPr>
          <w:p>
            <w:pPr>
              <w:spacing w:after="0"/>
              <w:rPr>
                <w:sz w:val="13"/>
                <w:szCs w:val="13"/>
                <w:color w:val="auto"/>
              </w:rPr>
            </w:pPr>
          </w:p>
        </w:tc>
      </w:tr>
      <w:tr>
        <w:trPr>
          <w:trHeight w:val="162"/>
        </w:trPr>
        <w:tc>
          <w:tcPr>
            <w:tcW w:w="4260" w:type="dxa"/>
            <w:vAlign w:val="bottom"/>
          </w:tcPr>
          <w:p>
            <w:pPr>
              <w:spacing w:after="0"/>
              <w:rPr>
                <w:sz w:val="20"/>
                <w:szCs w:val="20"/>
                <w:color w:val="auto"/>
              </w:rPr>
            </w:pPr>
            <w:r>
              <w:rPr>
                <w:rFonts w:ascii="Arial" w:cs="Arial" w:eastAsia="Arial" w:hAnsi="Arial"/>
                <w:sz w:val="14"/>
                <w:szCs w:val="14"/>
                <w:color w:val="auto"/>
              </w:rPr>
              <w:t>Weighted average yield on debt investments</w:t>
            </w:r>
          </w:p>
        </w:tc>
        <w:tc>
          <w:tcPr>
            <w:tcW w:w="2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40" w:type="dxa"/>
            <w:vAlign w:val="bottom"/>
            <w:gridSpan w:val="2"/>
          </w:tcPr>
          <w:p>
            <w:pPr>
              <w:jc w:val="right"/>
              <w:ind w:right="100"/>
              <w:spacing w:after="0"/>
              <w:rPr>
                <w:sz w:val="20"/>
                <w:szCs w:val="20"/>
                <w:color w:val="auto"/>
              </w:rPr>
            </w:pPr>
            <w:r>
              <w:rPr>
                <w:rFonts w:ascii="Arial" w:cs="Arial" w:eastAsia="Arial" w:hAnsi="Arial"/>
                <w:sz w:val="14"/>
                <w:szCs w:val="14"/>
                <w:color w:val="auto"/>
              </w:rPr>
              <w:t>7.4%</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40" w:type="dxa"/>
            <w:vAlign w:val="bottom"/>
            <w:gridSpan w:val="2"/>
          </w:tcPr>
          <w:p>
            <w:pPr>
              <w:jc w:val="right"/>
              <w:ind w:right="20"/>
              <w:spacing w:after="0"/>
              <w:rPr>
                <w:sz w:val="20"/>
                <w:szCs w:val="20"/>
                <w:color w:val="auto"/>
              </w:rPr>
            </w:pPr>
            <w:r>
              <w:rPr>
                <w:rFonts w:ascii="Arial" w:cs="Arial" w:eastAsia="Arial" w:hAnsi="Arial"/>
                <w:sz w:val="14"/>
                <w:szCs w:val="14"/>
                <w:color w:val="auto"/>
              </w:rPr>
              <w:t>7.6%</w:t>
            </w:r>
          </w:p>
        </w:tc>
        <w:tc>
          <w:tcPr>
            <w:tcW w:w="20" w:type="dxa"/>
            <w:vAlign w:val="bottom"/>
          </w:tcPr>
          <w:p>
            <w:pPr>
              <w:spacing w:after="0"/>
              <w:rPr>
                <w:sz w:val="14"/>
                <w:szCs w:val="14"/>
                <w:color w:val="auto"/>
              </w:rPr>
            </w:pPr>
          </w:p>
        </w:tc>
      </w:tr>
      <w:tr>
        <w:trPr>
          <w:trHeight w:val="162"/>
        </w:trPr>
        <w:tc>
          <w:tcPr>
            <w:tcW w:w="4260" w:type="dxa"/>
            <w:vAlign w:val="bottom"/>
            <w:shd w:val="clear" w:color="auto" w:fill="CCECFF"/>
          </w:tcPr>
          <w:p>
            <w:pPr>
              <w:spacing w:after="0"/>
              <w:rPr>
                <w:sz w:val="20"/>
                <w:szCs w:val="20"/>
                <w:color w:val="auto"/>
              </w:rPr>
            </w:pPr>
            <w:r>
              <w:rPr>
                <w:rFonts w:ascii="Arial" w:cs="Arial" w:eastAsia="Arial" w:hAnsi="Arial"/>
                <w:sz w:val="14"/>
                <w:szCs w:val="14"/>
                <w:color w:val="auto"/>
              </w:rPr>
              <w:t>Number of portfolio companies in PSSL</w:t>
            </w:r>
          </w:p>
        </w:tc>
        <w:tc>
          <w:tcPr>
            <w:tcW w:w="2920" w:type="dxa"/>
            <w:vAlign w:val="bottom"/>
            <w:shd w:val="clear" w:color="auto" w:fill="CCECFF"/>
          </w:tcPr>
          <w:p>
            <w:pPr>
              <w:spacing w:after="0"/>
              <w:rPr>
                <w:sz w:val="14"/>
                <w:szCs w:val="14"/>
                <w:color w:val="auto"/>
              </w:rPr>
            </w:pPr>
          </w:p>
        </w:tc>
        <w:tc>
          <w:tcPr>
            <w:tcW w:w="180" w:type="dxa"/>
            <w:vAlign w:val="bottom"/>
            <w:shd w:val="clear" w:color="auto" w:fill="CCECFF"/>
          </w:tcPr>
          <w:p>
            <w:pPr>
              <w:spacing w:after="0"/>
              <w:rPr>
                <w:sz w:val="14"/>
                <w:szCs w:val="14"/>
                <w:color w:val="auto"/>
              </w:rPr>
            </w:pPr>
          </w:p>
        </w:tc>
        <w:tc>
          <w:tcPr>
            <w:tcW w:w="16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49</w:t>
            </w:r>
          </w:p>
        </w:tc>
        <w:tc>
          <w:tcPr>
            <w:tcW w:w="22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200" w:type="dxa"/>
            <w:vAlign w:val="bottom"/>
            <w:shd w:val="clear" w:color="auto" w:fill="CCECFF"/>
          </w:tcPr>
          <w:p>
            <w:pPr>
              <w:spacing w:after="0"/>
              <w:rPr>
                <w:sz w:val="14"/>
                <w:szCs w:val="14"/>
                <w:color w:val="auto"/>
              </w:rPr>
            </w:pPr>
          </w:p>
        </w:tc>
        <w:tc>
          <w:tcPr>
            <w:tcW w:w="16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45</w:t>
            </w:r>
          </w:p>
        </w:tc>
        <w:tc>
          <w:tcPr>
            <w:tcW w:w="140" w:type="dxa"/>
            <w:vAlign w:val="bottom"/>
            <w:shd w:val="clear" w:color="auto" w:fill="CCECFF"/>
          </w:tcPr>
          <w:p>
            <w:pPr>
              <w:spacing w:after="0"/>
              <w:rPr>
                <w:sz w:val="14"/>
                <w:szCs w:val="14"/>
                <w:color w:val="auto"/>
              </w:rPr>
            </w:pPr>
          </w:p>
        </w:tc>
        <w:tc>
          <w:tcPr>
            <w:tcW w:w="20" w:type="dxa"/>
            <w:vAlign w:val="bottom"/>
          </w:tcPr>
          <w:p>
            <w:pPr>
              <w:spacing w:after="0"/>
              <w:rPr>
                <w:sz w:val="14"/>
                <w:szCs w:val="14"/>
                <w:color w:val="auto"/>
              </w:rPr>
            </w:pPr>
          </w:p>
        </w:tc>
      </w:tr>
      <w:tr>
        <w:trPr>
          <w:trHeight w:val="162"/>
        </w:trPr>
        <w:tc>
          <w:tcPr>
            <w:tcW w:w="4260" w:type="dxa"/>
            <w:vAlign w:val="bottom"/>
          </w:tcPr>
          <w:p>
            <w:pPr>
              <w:spacing w:after="0"/>
              <w:rPr>
                <w:sz w:val="20"/>
                <w:szCs w:val="20"/>
                <w:color w:val="auto"/>
              </w:rPr>
            </w:pPr>
            <w:r>
              <w:rPr>
                <w:rFonts w:ascii="Arial" w:cs="Arial" w:eastAsia="Arial" w:hAnsi="Arial"/>
                <w:sz w:val="14"/>
                <w:szCs w:val="14"/>
                <w:color w:val="auto"/>
              </w:rPr>
              <w:t>Largest portfolio company investment</w:t>
            </w:r>
          </w:p>
        </w:tc>
        <w:tc>
          <w:tcPr>
            <w:tcW w:w="3100" w:type="dxa"/>
            <w:vAlign w:val="bottom"/>
            <w:gridSpan w:val="2"/>
          </w:tcPr>
          <w:p>
            <w:pPr>
              <w:jc w:val="right"/>
              <w:ind w:right="69"/>
              <w:spacing w:after="0"/>
              <w:rPr>
                <w:sz w:val="20"/>
                <w:szCs w:val="20"/>
                <w:color w:val="auto"/>
              </w:rPr>
            </w:pPr>
            <w:r>
              <w:rPr>
                <w:rFonts w:ascii="Arial" w:cs="Arial" w:eastAsia="Arial" w:hAnsi="Arial"/>
                <w:sz w:val="14"/>
                <w:szCs w:val="14"/>
                <w:color w:val="auto"/>
              </w:rPr>
              <w:t>$</w:t>
            </w:r>
          </w:p>
        </w:tc>
        <w:tc>
          <w:tcPr>
            <w:tcW w:w="1620" w:type="dxa"/>
            <w:vAlign w:val="bottom"/>
          </w:tcPr>
          <w:p>
            <w:pPr>
              <w:jc w:val="right"/>
              <w:spacing w:after="0"/>
              <w:rPr>
                <w:sz w:val="20"/>
                <w:szCs w:val="20"/>
                <w:color w:val="auto"/>
              </w:rPr>
            </w:pPr>
            <w:r>
              <w:rPr>
                <w:rFonts w:ascii="Arial" w:cs="Arial" w:eastAsia="Arial" w:hAnsi="Arial"/>
                <w:sz w:val="14"/>
                <w:szCs w:val="14"/>
                <w:color w:val="auto"/>
              </w:rPr>
              <w:t>21,972,451</w:t>
            </w:r>
          </w:p>
        </w:tc>
        <w:tc>
          <w:tcPr>
            <w:tcW w:w="220" w:type="dxa"/>
            <w:vAlign w:val="bottom"/>
          </w:tcPr>
          <w:p>
            <w:pPr>
              <w:spacing w:after="0"/>
              <w:rPr>
                <w:sz w:val="14"/>
                <w:szCs w:val="14"/>
                <w:color w:val="auto"/>
              </w:rPr>
            </w:pPr>
          </w:p>
        </w:tc>
        <w:tc>
          <w:tcPr>
            <w:tcW w:w="300" w:type="dxa"/>
            <w:vAlign w:val="bottom"/>
            <w:gridSpan w:val="2"/>
          </w:tcPr>
          <w:p>
            <w:pPr>
              <w:jc w:val="right"/>
              <w:ind w:right="48"/>
              <w:spacing w:after="0"/>
              <w:rPr>
                <w:sz w:val="20"/>
                <w:szCs w:val="20"/>
                <w:color w:val="auto"/>
              </w:rPr>
            </w:pPr>
            <w:r>
              <w:rPr>
                <w:rFonts w:ascii="Arial" w:cs="Arial" w:eastAsia="Arial" w:hAnsi="Arial"/>
                <w:sz w:val="14"/>
                <w:szCs w:val="14"/>
                <w:color w:val="auto"/>
              </w:rPr>
              <w:t>$</w:t>
            </w:r>
          </w:p>
        </w:tc>
        <w:tc>
          <w:tcPr>
            <w:tcW w:w="1600" w:type="dxa"/>
            <w:vAlign w:val="bottom"/>
          </w:tcPr>
          <w:p>
            <w:pPr>
              <w:jc w:val="right"/>
              <w:spacing w:after="0"/>
              <w:rPr>
                <w:sz w:val="20"/>
                <w:szCs w:val="20"/>
                <w:color w:val="auto"/>
              </w:rPr>
            </w:pPr>
            <w:r>
              <w:rPr>
                <w:rFonts w:ascii="Arial" w:cs="Arial" w:eastAsia="Arial" w:hAnsi="Arial"/>
                <w:sz w:val="14"/>
                <w:szCs w:val="14"/>
                <w:color w:val="auto"/>
              </w:rPr>
              <w:t>22,026,186</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2"/>
        </w:trPr>
        <w:tc>
          <w:tcPr>
            <w:tcW w:w="4260" w:type="dxa"/>
            <w:vAlign w:val="bottom"/>
            <w:shd w:val="clear" w:color="auto" w:fill="CCECFF"/>
          </w:tcPr>
          <w:p>
            <w:pPr>
              <w:spacing w:after="0"/>
              <w:rPr>
                <w:sz w:val="20"/>
                <w:szCs w:val="20"/>
                <w:color w:val="auto"/>
              </w:rPr>
            </w:pPr>
            <w:r>
              <w:rPr>
                <w:rFonts w:ascii="Arial" w:cs="Arial" w:eastAsia="Arial" w:hAnsi="Arial"/>
                <w:sz w:val="14"/>
                <w:szCs w:val="14"/>
                <w:color w:val="auto"/>
              </w:rPr>
              <w:t>Total of five largest portfolio company investments</w:t>
            </w:r>
          </w:p>
        </w:tc>
        <w:tc>
          <w:tcPr>
            <w:tcW w:w="3100" w:type="dxa"/>
            <w:vAlign w:val="bottom"/>
            <w:gridSpan w:val="2"/>
            <w:shd w:val="clear" w:color="auto" w:fill="CCECFF"/>
          </w:tcPr>
          <w:p>
            <w:pPr>
              <w:jc w:val="right"/>
              <w:ind w:right="69"/>
              <w:spacing w:after="0"/>
              <w:rPr>
                <w:sz w:val="20"/>
                <w:szCs w:val="20"/>
                <w:color w:val="auto"/>
              </w:rPr>
            </w:pPr>
            <w:r>
              <w:rPr>
                <w:rFonts w:ascii="Arial" w:cs="Arial" w:eastAsia="Arial" w:hAnsi="Arial"/>
                <w:sz w:val="14"/>
                <w:szCs w:val="14"/>
                <w:color w:val="auto"/>
              </w:rPr>
              <w:t>$</w:t>
            </w:r>
          </w:p>
        </w:tc>
        <w:tc>
          <w:tcPr>
            <w:tcW w:w="16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100,061,867</w:t>
            </w:r>
          </w:p>
        </w:tc>
        <w:tc>
          <w:tcPr>
            <w:tcW w:w="220" w:type="dxa"/>
            <w:vAlign w:val="bottom"/>
            <w:shd w:val="clear" w:color="auto" w:fill="CCECFF"/>
          </w:tcPr>
          <w:p>
            <w:pPr>
              <w:spacing w:after="0"/>
              <w:rPr>
                <w:sz w:val="14"/>
                <w:szCs w:val="14"/>
                <w:color w:val="auto"/>
              </w:rPr>
            </w:pPr>
          </w:p>
        </w:tc>
        <w:tc>
          <w:tcPr>
            <w:tcW w:w="300" w:type="dxa"/>
            <w:vAlign w:val="bottom"/>
            <w:gridSpan w:val="2"/>
            <w:shd w:val="clear" w:color="auto" w:fill="CCECFF"/>
          </w:tcPr>
          <w:p>
            <w:pPr>
              <w:jc w:val="right"/>
              <w:ind w:right="48"/>
              <w:spacing w:after="0"/>
              <w:rPr>
                <w:sz w:val="20"/>
                <w:szCs w:val="20"/>
                <w:color w:val="auto"/>
              </w:rPr>
            </w:pPr>
            <w:r>
              <w:rPr>
                <w:rFonts w:ascii="Arial" w:cs="Arial" w:eastAsia="Arial" w:hAnsi="Arial"/>
                <w:sz w:val="14"/>
                <w:szCs w:val="14"/>
                <w:color w:val="auto"/>
              </w:rPr>
              <w:t>$</w:t>
            </w:r>
          </w:p>
        </w:tc>
        <w:tc>
          <w:tcPr>
            <w:tcW w:w="16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102,872,275</w:t>
            </w:r>
          </w:p>
        </w:tc>
        <w:tc>
          <w:tcPr>
            <w:tcW w:w="140" w:type="dxa"/>
            <w:vAlign w:val="bottom"/>
            <w:shd w:val="clear" w:color="auto" w:fill="CCECFF"/>
          </w:tcPr>
          <w:p>
            <w:pPr>
              <w:spacing w:after="0"/>
              <w:rPr>
                <w:sz w:val="14"/>
                <w:szCs w:val="14"/>
                <w:color w:val="auto"/>
              </w:rPr>
            </w:pPr>
          </w:p>
        </w:tc>
        <w:tc>
          <w:tcPr>
            <w:tcW w:w="20" w:type="dxa"/>
            <w:vAlign w:val="bottom"/>
          </w:tcPr>
          <w:p>
            <w:pPr>
              <w:spacing w:after="0"/>
              <w:rPr>
                <w:sz w:val="14"/>
                <w:szCs w:val="14"/>
                <w:color w:val="auto"/>
              </w:rPr>
            </w:pPr>
          </w:p>
        </w:tc>
      </w:tr>
      <w:tr>
        <w:trPr>
          <w:trHeight w:val="578"/>
        </w:trPr>
        <w:tc>
          <w:tcPr>
            <w:tcW w:w="4260" w:type="dxa"/>
            <w:vAlign w:val="bottom"/>
          </w:tcPr>
          <w:p>
            <w:pPr>
              <w:spacing w:after="0"/>
              <w:rPr>
                <w:sz w:val="24"/>
                <w:szCs w:val="24"/>
                <w:color w:val="auto"/>
              </w:rPr>
            </w:pPr>
          </w:p>
        </w:tc>
        <w:tc>
          <w:tcPr>
            <w:tcW w:w="2920" w:type="dxa"/>
            <w:vAlign w:val="bottom"/>
          </w:tcPr>
          <w:p>
            <w:pPr>
              <w:jc w:val="right"/>
              <w:ind w:right="1431"/>
              <w:spacing w:after="0"/>
              <w:rPr>
                <w:sz w:val="20"/>
                <w:szCs w:val="20"/>
                <w:color w:val="auto"/>
              </w:rPr>
            </w:pPr>
            <w:r>
              <w:rPr>
                <w:rFonts w:ascii="Arial" w:cs="Arial" w:eastAsia="Arial" w:hAnsi="Arial"/>
                <w:sz w:val="13"/>
                <w:szCs w:val="13"/>
                <w:color w:val="auto"/>
              </w:rPr>
              <w:t>20</w:t>
            </w:r>
          </w:p>
        </w:tc>
        <w:tc>
          <w:tcPr>
            <w:tcW w:w="1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04"/>
        </w:trPr>
        <w:tc>
          <w:tcPr>
            <w:tcW w:w="4260" w:type="dxa"/>
            <w:vAlign w:val="bottom"/>
            <w:tcBorders>
              <w:bottom w:val="single" w:sz="8" w:color="9A9A9A"/>
            </w:tcBorders>
          </w:tcPr>
          <w:p>
            <w:pPr>
              <w:spacing w:after="0"/>
              <w:rPr>
                <w:sz w:val="9"/>
                <w:szCs w:val="9"/>
                <w:color w:val="auto"/>
              </w:rPr>
            </w:pPr>
          </w:p>
        </w:tc>
        <w:tc>
          <w:tcPr>
            <w:tcW w:w="292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62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60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118" w:right="319" w:bottom="1440" w:gutter="0" w:footer="0" w:header="0"/>
        </w:sectPr>
      </w:pPr>
    </w:p>
    <w:bookmarkStart w:id="20" w:name="page21"/>
    <w:bookmarkEnd w:id="20"/>
    <w:p>
      <w:pPr>
        <w:jc w:val="center"/>
        <w:spacing w:after="0"/>
        <w:rPr>
          <w:sz w:val="20"/>
          <w:szCs w:val="20"/>
          <w:color w:val="auto"/>
        </w:rPr>
      </w:pPr>
      <w:r>
        <w:rPr>
          <w:rFonts w:ascii="Arial" w:cs="Arial" w:eastAsia="Arial" w:hAnsi="Arial"/>
          <w:sz w:val="14"/>
          <w:szCs w:val="14"/>
          <w:b w:val="1"/>
          <w:bCs w:val="1"/>
          <w:color w:val="auto"/>
        </w:rPr>
        <w:t>PENNANTPARK FLOATING RATE CAPITAL LTD. AND SUBSIDIARIES</w:t>
      </w:r>
    </w:p>
    <w:p>
      <w:pPr>
        <w:jc w:val="center"/>
        <w:spacing w:after="0" w:line="225" w:lineRule="auto"/>
        <w:rPr>
          <w:sz w:val="20"/>
          <w:szCs w:val="20"/>
          <w:color w:val="auto"/>
        </w:rPr>
      </w:pPr>
      <w:r>
        <w:rPr>
          <w:rFonts w:ascii="Arial" w:cs="Arial" w:eastAsia="Arial" w:hAnsi="Arial"/>
          <w:sz w:val="14"/>
          <w:szCs w:val="14"/>
          <w:b w:val="1"/>
          <w:bCs w:val="1"/>
          <w:color w:val="auto"/>
        </w:rPr>
        <w:t>NOTES TO CONSOLIDATED FINANCIAL STATEMENTS-(Continued)</w:t>
      </w:r>
    </w:p>
    <w:p>
      <w:pPr>
        <w:jc w:val="center"/>
        <w:spacing w:after="0" w:line="221" w:lineRule="auto"/>
        <w:rPr>
          <w:sz w:val="20"/>
          <w:szCs w:val="20"/>
          <w:color w:val="auto"/>
        </w:rPr>
      </w:pPr>
      <w:r>
        <w:rPr>
          <w:rFonts w:ascii="Arial" w:cs="Arial" w:eastAsia="Arial" w:hAnsi="Arial"/>
          <w:sz w:val="14"/>
          <w:szCs w:val="14"/>
          <w:b w:val="1"/>
          <w:bCs w:val="1"/>
          <w:color w:val="auto"/>
        </w:rPr>
        <w:t>DECEMBER 31, 2019</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124" w:lineRule="exact"/>
        <w:rPr>
          <w:sz w:val="20"/>
          <w:szCs w:val="20"/>
          <w:color w:val="auto"/>
        </w:rPr>
      </w:pPr>
    </w:p>
    <w:p>
      <w:pPr>
        <w:ind w:left="440"/>
        <w:spacing w:after="0"/>
        <w:rPr>
          <w:sz w:val="20"/>
          <w:szCs w:val="20"/>
          <w:color w:val="auto"/>
        </w:rPr>
      </w:pPr>
      <w:r>
        <w:rPr>
          <w:rFonts w:ascii="Arial" w:cs="Arial" w:eastAsia="Arial" w:hAnsi="Arial"/>
          <w:sz w:val="14"/>
          <w:szCs w:val="14"/>
          <w:color w:val="auto"/>
        </w:rPr>
        <w:t>Below is a listing of PSSL’s individual investments as of December 31, 2019:</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100" w:type="dxa"/>
            <w:vAlign w:val="bottom"/>
            <w:gridSpan w:val="4"/>
          </w:tcPr>
          <w:p>
            <w:pPr>
              <w:jc w:val="center"/>
              <w:ind w:right="220"/>
              <w:spacing w:after="0"/>
              <w:rPr>
                <w:sz w:val="20"/>
                <w:szCs w:val="20"/>
                <w:color w:val="auto"/>
              </w:rPr>
            </w:pPr>
            <w:r>
              <w:rPr>
                <w:rFonts w:ascii="Arial" w:cs="Arial" w:eastAsia="Arial" w:hAnsi="Arial"/>
                <w:sz w:val="11"/>
                <w:szCs w:val="11"/>
                <w:b w:val="1"/>
                <w:bCs w:val="1"/>
                <w:color w:val="auto"/>
                <w:w w:val="86"/>
              </w:rPr>
              <w:t>Basis Point</w:t>
            </w:r>
          </w:p>
        </w:tc>
        <w:tc>
          <w:tcPr>
            <w:tcW w:w="5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gridSpan w:val="2"/>
          </w:tcPr>
          <w:p>
            <w:pPr>
              <w:jc w:val="right"/>
              <w:ind w:right="380"/>
              <w:spacing w:after="0" w:line="122" w:lineRule="exact"/>
              <w:rPr>
                <w:sz w:val="20"/>
                <w:szCs w:val="20"/>
                <w:color w:val="auto"/>
              </w:rPr>
            </w:pPr>
            <w:r>
              <w:rPr>
                <w:rFonts w:ascii="Arial" w:cs="Arial" w:eastAsia="Arial" w:hAnsi="Arial"/>
                <w:sz w:val="11"/>
                <w:szCs w:val="11"/>
                <w:b w:val="1"/>
                <w:bCs w:val="1"/>
                <w:color w:val="auto"/>
              </w:rPr>
              <w:t>Current</w:t>
            </w:r>
          </w:p>
        </w:tc>
        <w:tc>
          <w:tcPr>
            <w:tcW w:w="1100" w:type="dxa"/>
            <w:vAlign w:val="bottom"/>
            <w:gridSpan w:val="4"/>
          </w:tcPr>
          <w:p>
            <w:pPr>
              <w:jc w:val="center"/>
              <w:ind w:right="220"/>
              <w:spacing w:after="0" w:line="122" w:lineRule="exact"/>
              <w:rPr>
                <w:sz w:val="20"/>
                <w:szCs w:val="20"/>
                <w:color w:val="auto"/>
              </w:rPr>
            </w:pPr>
            <w:r>
              <w:rPr>
                <w:rFonts w:ascii="Arial" w:cs="Arial" w:eastAsia="Arial" w:hAnsi="Arial"/>
                <w:sz w:val="11"/>
                <w:szCs w:val="11"/>
                <w:b w:val="1"/>
                <w:bCs w:val="1"/>
                <w:color w:val="auto"/>
                <w:w w:val="86"/>
              </w:rPr>
              <w:t>Spread Above</w:t>
            </w:r>
          </w:p>
        </w:tc>
        <w:tc>
          <w:tcPr>
            <w:tcW w:w="5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3060" w:type="dxa"/>
            <w:vAlign w:val="bottom"/>
            <w:gridSpan w:val="2"/>
          </w:tcPr>
          <w:p>
            <w:pPr>
              <w:spacing w:after="0"/>
              <w:rPr>
                <w:sz w:val="20"/>
                <w:szCs w:val="20"/>
                <w:color w:val="auto"/>
              </w:rPr>
            </w:pPr>
            <w:r>
              <w:rPr>
                <w:rFonts w:ascii="Arial" w:cs="Arial" w:eastAsia="Arial" w:hAnsi="Arial"/>
                <w:sz w:val="11"/>
                <w:szCs w:val="11"/>
                <w:b w:val="1"/>
                <w:bCs w:val="1"/>
                <w:color w:val="auto"/>
              </w:rPr>
              <w:t>Issuer Name</w:t>
            </w:r>
          </w:p>
        </w:tc>
        <w:tc>
          <w:tcPr>
            <w:tcW w:w="120" w:type="dxa"/>
            <w:vAlign w:val="bottom"/>
          </w:tcPr>
          <w:p>
            <w:pPr>
              <w:spacing w:after="0"/>
              <w:rPr>
                <w:sz w:val="11"/>
                <w:szCs w:val="11"/>
                <w:color w:val="auto"/>
              </w:rPr>
            </w:pPr>
          </w:p>
        </w:tc>
        <w:tc>
          <w:tcPr>
            <w:tcW w:w="76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w w:val="98"/>
              </w:rPr>
              <w:t>Maturity</w:t>
            </w:r>
          </w:p>
        </w:tc>
        <w:tc>
          <w:tcPr>
            <w:tcW w:w="2760" w:type="dxa"/>
            <w:vAlign w:val="bottom"/>
            <w:gridSpan w:val="2"/>
          </w:tcPr>
          <w:p>
            <w:pPr>
              <w:jc w:val="center"/>
              <w:ind w:right="160"/>
              <w:spacing w:after="0"/>
              <w:rPr>
                <w:sz w:val="20"/>
                <w:szCs w:val="20"/>
                <w:color w:val="auto"/>
              </w:rPr>
            </w:pPr>
            <w:r>
              <w:rPr>
                <w:rFonts w:ascii="Arial" w:cs="Arial" w:eastAsia="Arial" w:hAnsi="Arial"/>
                <w:sz w:val="11"/>
                <w:szCs w:val="11"/>
                <w:b w:val="1"/>
                <w:bCs w:val="1"/>
                <w:color w:val="auto"/>
                <w:w w:val="92"/>
              </w:rPr>
              <w:t>Industry</w:t>
            </w:r>
          </w:p>
        </w:tc>
        <w:tc>
          <w:tcPr>
            <w:tcW w:w="860" w:type="dxa"/>
            <w:vAlign w:val="bottom"/>
            <w:gridSpan w:val="2"/>
          </w:tcPr>
          <w:p>
            <w:pPr>
              <w:jc w:val="right"/>
              <w:ind w:right="380"/>
              <w:spacing w:after="0"/>
              <w:rPr>
                <w:sz w:val="20"/>
                <w:szCs w:val="20"/>
                <w:color w:val="auto"/>
              </w:rPr>
            </w:pPr>
            <w:r>
              <w:rPr>
                <w:rFonts w:ascii="Arial" w:cs="Arial" w:eastAsia="Arial" w:hAnsi="Arial"/>
                <w:sz w:val="11"/>
                <w:szCs w:val="11"/>
                <w:b w:val="1"/>
                <w:bCs w:val="1"/>
                <w:color w:val="auto"/>
              </w:rPr>
              <w:t>Coupon</w:t>
            </w:r>
          </w:p>
        </w:tc>
        <w:tc>
          <w:tcPr>
            <w:tcW w:w="1100" w:type="dxa"/>
            <w:vAlign w:val="bottom"/>
            <w:gridSpan w:val="4"/>
          </w:tcPr>
          <w:p>
            <w:pPr>
              <w:jc w:val="center"/>
              <w:ind w:right="220"/>
              <w:spacing w:after="0"/>
              <w:rPr>
                <w:sz w:val="20"/>
                <w:szCs w:val="20"/>
                <w:color w:val="auto"/>
              </w:rPr>
            </w:pPr>
            <w:r>
              <w:rPr>
                <w:rFonts w:ascii="Arial" w:cs="Arial" w:eastAsia="Arial" w:hAnsi="Arial"/>
                <w:sz w:val="11"/>
                <w:szCs w:val="11"/>
                <w:b w:val="1"/>
                <w:bCs w:val="1"/>
                <w:color w:val="auto"/>
                <w:w w:val="93"/>
              </w:rPr>
              <w:t xml:space="preserve">Index </w:t>
            </w:r>
            <w:r>
              <w:rPr>
                <w:rFonts w:ascii="Arial" w:cs="Arial" w:eastAsia="Arial" w:hAnsi="Arial"/>
                <w:sz w:val="9"/>
                <w:szCs w:val="9"/>
                <w:b w:val="1"/>
                <w:bCs w:val="1"/>
                <w:color w:val="auto"/>
                <w:w w:val="93"/>
              </w:rPr>
              <w:t>(1)</w:t>
            </w:r>
          </w:p>
        </w:tc>
        <w:tc>
          <w:tcPr>
            <w:tcW w:w="580" w:type="dxa"/>
            <w:vAlign w:val="bottom"/>
          </w:tcPr>
          <w:p>
            <w:pPr>
              <w:jc w:val="right"/>
              <w:ind w:right="206"/>
              <w:spacing w:after="0"/>
              <w:rPr>
                <w:sz w:val="20"/>
                <w:szCs w:val="20"/>
                <w:color w:val="auto"/>
              </w:rPr>
            </w:pPr>
            <w:r>
              <w:rPr>
                <w:rFonts w:ascii="Arial" w:cs="Arial" w:eastAsia="Arial" w:hAnsi="Arial"/>
                <w:sz w:val="11"/>
                <w:szCs w:val="11"/>
                <w:b w:val="1"/>
                <w:bCs w:val="1"/>
                <w:color w:val="auto"/>
              </w:rPr>
              <w:t>Par</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ind w:right="186"/>
              <w:spacing w:after="0"/>
              <w:rPr>
                <w:sz w:val="20"/>
                <w:szCs w:val="20"/>
                <w:color w:val="auto"/>
              </w:rPr>
            </w:pPr>
            <w:r>
              <w:rPr>
                <w:rFonts w:ascii="Arial" w:cs="Arial" w:eastAsia="Arial" w:hAnsi="Arial"/>
                <w:sz w:val="11"/>
                <w:szCs w:val="11"/>
                <w:b w:val="1"/>
                <w:bCs w:val="1"/>
                <w:color w:val="auto"/>
              </w:rPr>
              <w:t>Cost</w:t>
            </w:r>
          </w:p>
        </w:tc>
        <w:tc>
          <w:tcPr>
            <w:tcW w:w="220" w:type="dxa"/>
            <w:vAlign w:val="bottom"/>
          </w:tcPr>
          <w:p>
            <w:pPr>
              <w:spacing w:after="0"/>
              <w:rPr>
                <w:sz w:val="11"/>
                <w:szCs w:val="11"/>
                <w:color w:val="auto"/>
              </w:rPr>
            </w:pPr>
          </w:p>
        </w:tc>
        <w:tc>
          <w:tcPr>
            <w:tcW w:w="860" w:type="dxa"/>
            <w:vAlign w:val="bottom"/>
            <w:gridSpan w:val="3"/>
          </w:tcPr>
          <w:p>
            <w:pPr>
              <w:jc w:val="right"/>
              <w:ind w:right="180"/>
              <w:spacing w:after="0"/>
              <w:rPr>
                <w:sz w:val="20"/>
                <w:szCs w:val="20"/>
                <w:color w:val="auto"/>
              </w:rPr>
            </w:pPr>
            <w:r>
              <w:rPr>
                <w:rFonts w:ascii="Arial" w:cs="Arial" w:eastAsia="Arial" w:hAnsi="Arial"/>
                <w:sz w:val="11"/>
                <w:szCs w:val="11"/>
                <w:b w:val="1"/>
                <w:bCs w:val="1"/>
                <w:color w:val="auto"/>
                <w:w w:val="98"/>
              </w:rPr>
              <w:t xml:space="preserve">Fair Value </w:t>
            </w:r>
            <w:r>
              <w:rPr>
                <w:rFonts w:ascii="Arial" w:cs="Arial" w:eastAsia="Arial" w:hAnsi="Arial"/>
                <w:sz w:val="9"/>
                <w:szCs w:val="9"/>
                <w:b w:val="1"/>
                <w:bCs w:val="1"/>
                <w:color w:val="auto"/>
                <w:w w:val="98"/>
              </w:rPr>
              <w:t>(2)</w:t>
            </w:r>
          </w:p>
        </w:tc>
        <w:tc>
          <w:tcPr>
            <w:tcW w:w="0" w:type="dxa"/>
            <w:vAlign w:val="bottom"/>
          </w:tcPr>
          <w:p>
            <w:pPr>
              <w:spacing w:after="0"/>
              <w:rPr>
                <w:sz w:val="1"/>
                <w:szCs w:val="1"/>
                <w:color w:val="auto"/>
              </w:rPr>
            </w:pPr>
          </w:p>
        </w:tc>
      </w:tr>
      <w:tr>
        <w:trPr>
          <w:trHeight w:val="128"/>
        </w:trPr>
        <w:tc>
          <w:tcPr>
            <w:tcW w:w="3060" w:type="dxa"/>
            <w:vAlign w:val="bottom"/>
            <w:tcBorders>
              <w:top w:val="single" w:sz="8" w:color="auto"/>
            </w:tcBorders>
            <w:gridSpan w:val="2"/>
            <w:shd w:val="clear" w:color="auto" w:fill="CCECFF"/>
          </w:tcPr>
          <w:p>
            <w:pPr>
              <w:spacing w:after="0"/>
              <w:rPr>
                <w:sz w:val="20"/>
                <w:szCs w:val="20"/>
                <w:color w:val="auto"/>
              </w:rPr>
            </w:pPr>
            <w:r>
              <w:rPr>
                <w:rFonts w:ascii="Arial" w:cs="Arial" w:eastAsia="Arial" w:hAnsi="Arial"/>
                <w:sz w:val="11"/>
                <w:szCs w:val="11"/>
                <w:b w:val="1"/>
                <w:bCs w:val="1"/>
                <w:color w:val="auto"/>
              </w:rPr>
              <w:t>First Lien Secured Debt</w:t>
            </w:r>
          </w:p>
        </w:tc>
        <w:tc>
          <w:tcPr>
            <w:tcW w:w="120" w:type="dxa"/>
            <w:vAlign w:val="bottom"/>
            <w:tcBorders>
              <w:top w:val="single" w:sz="8" w:color="CCECFF"/>
            </w:tcBorders>
            <w:shd w:val="clear" w:color="auto" w:fill="CCECFF"/>
          </w:tcPr>
          <w:p>
            <w:pPr>
              <w:spacing w:after="0"/>
              <w:rPr>
                <w:sz w:val="11"/>
                <w:szCs w:val="11"/>
                <w:color w:val="auto"/>
              </w:rPr>
            </w:pPr>
          </w:p>
        </w:tc>
        <w:tc>
          <w:tcPr>
            <w:tcW w:w="520" w:type="dxa"/>
            <w:vAlign w:val="bottom"/>
            <w:tcBorders>
              <w:top w:val="single" w:sz="8" w:color="auto"/>
            </w:tcBorders>
            <w:shd w:val="clear" w:color="auto" w:fill="CCECFF"/>
          </w:tcPr>
          <w:p>
            <w:pPr>
              <w:spacing w:after="0"/>
              <w:rPr>
                <w:sz w:val="11"/>
                <w:szCs w:val="11"/>
                <w:color w:val="auto"/>
              </w:rPr>
            </w:pPr>
          </w:p>
        </w:tc>
        <w:tc>
          <w:tcPr>
            <w:tcW w:w="240" w:type="dxa"/>
            <w:vAlign w:val="bottom"/>
            <w:tcBorders>
              <w:top w:val="single" w:sz="8" w:color="CCECFF"/>
            </w:tcBorders>
            <w:shd w:val="clear" w:color="auto" w:fill="CCECFF"/>
          </w:tcPr>
          <w:p>
            <w:pPr>
              <w:spacing w:after="0"/>
              <w:rPr>
                <w:sz w:val="11"/>
                <w:szCs w:val="11"/>
                <w:color w:val="auto"/>
              </w:rPr>
            </w:pPr>
          </w:p>
        </w:tc>
        <w:tc>
          <w:tcPr>
            <w:tcW w:w="2620" w:type="dxa"/>
            <w:vAlign w:val="bottom"/>
            <w:tcBorders>
              <w:top w:val="single" w:sz="8" w:color="auto"/>
            </w:tcBorders>
            <w:shd w:val="clear" w:color="auto" w:fill="CCECFF"/>
          </w:tcPr>
          <w:p>
            <w:pPr>
              <w:spacing w:after="0"/>
              <w:rPr>
                <w:sz w:val="11"/>
                <w:szCs w:val="11"/>
                <w:color w:val="auto"/>
              </w:rPr>
            </w:pPr>
          </w:p>
        </w:tc>
        <w:tc>
          <w:tcPr>
            <w:tcW w:w="140" w:type="dxa"/>
            <w:vAlign w:val="bottom"/>
            <w:tcBorders>
              <w:top w:val="single" w:sz="8" w:color="CCECFF"/>
            </w:tcBorders>
            <w:shd w:val="clear" w:color="auto" w:fill="CCECFF"/>
          </w:tcPr>
          <w:p>
            <w:pPr>
              <w:spacing w:after="0"/>
              <w:rPr>
                <w:sz w:val="11"/>
                <w:szCs w:val="11"/>
                <w:color w:val="auto"/>
              </w:rPr>
            </w:pPr>
          </w:p>
        </w:tc>
        <w:tc>
          <w:tcPr>
            <w:tcW w:w="600" w:type="dxa"/>
            <w:vAlign w:val="bottom"/>
            <w:tcBorders>
              <w:top w:val="single" w:sz="8" w:color="auto"/>
            </w:tcBorders>
            <w:shd w:val="clear" w:color="auto" w:fill="CCECFF"/>
          </w:tcPr>
          <w:p>
            <w:pPr>
              <w:spacing w:after="0"/>
              <w:rPr>
                <w:sz w:val="11"/>
                <w:szCs w:val="11"/>
                <w:color w:val="auto"/>
              </w:rPr>
            </w:pPr>
          </w:p>
        </w:tc>
        <w:tc>
          <w:tcPr>
            <w:tcW w:w="260" w:type="dxa"/>
            <w:vAlign w:val="bottom"/>
            <w:tcBorders>
              <w:top w:val="single" w:sz="8" w:color="CCECFF"/>
            </w:tcBorders>
            <w:shd w:val="clear" w:color="auto" w:fill="CCECFF"/>
          </w:tcPr>
          <w:p>
            <w:pPr>
              <w:spacing w:after="0"/>
              <w:rPr>
                <w:sz w:val="11"/>
                <w:szCs w:val="11"/>
                <w:color w:val="auto"/>
              </w:rPr>
            </w:pPr>
          </w:p>
        </w:tc>
        <w:tc>
          <w:tcPr>
            <w:tcW w:w="560" w:type="dxa"/>
            <w:vAlign w:val="bottom"/>
            <w:tcBorders>
              <w:top w:val="single" w:sz="8" w:color="auto"/>
            </w:tcBorders>
            <w:shd w:val="clear" w:color="auto" w:fill="CCECFF"/>
          </w:tcPr>
          <w:p>
            <w:pPr>
              <w:spacing w:after="0"/>
              <w:rPr>
                <w:sz w:val="11"/>
                <w:szCs w:val="11"/>
                <w:color w:val="auto"/>
              </w:rPr>
            </w:pPr>
          </w:p>
        </w:tc>
        <w:tc>
          <w:tcPr>
            <w:tcW w:w="320" w:type="dxa"/>
            <w:vAlign w:val="bottom"/>
            <w:tcBorders>
              <w:top w:val="single" w:sz="8" w:color="auto"/>
            </w:tcBorders>
            <w:shd w:val="clear" w:color="auto" w:fill="CCECFF"/>
          </w:tcPr>
          <w:p>
            <w:pPr>
              <w:spacing w:after="0"/>
              <w:rPr>
                <w:sz w:val="11"/>
                <w:szCs w:val="11"/>
                <w:color w:val="auto"/>
              </w:rPr>
            </w:pPr>
          </w:p>
        </w:tc>
        <w:tc>
          <w:tcPr>
            <w:tcW w:w="120" w:type="dxa"/>
            <w:vAlign w:val="bottom"/>
            <w:tcBorders>
              <w:top w:val="single" w:sz="8" w:color="CCECFF"/>
            </w:tcBorders>
            <w:shd w:val="clear" w:color="auto" w:fill="CCECFF"/>
          </w:tcPr>
          <w:p>
            <w:pPr>
              <w:spacing w:after="0"/>
              <w:rPr>
                <w:sz w:val="11"/>
                <w:szCs w:val="11"/>
                <w:color w:val="auto"/>
              </w:rPr>
            </w:pPr>
          </w:p>
        </w:tc>
        <w:tc>
          <w:tcPr>
            <w:tcW w:w="100" w:type="dxa"/>
            <w:vAlign w:val="bottom"/>
            <w:tcBorders>
              <w:top w:val="single" w:sz="8" w:color="auto"/>
            </w:tcBorders>
            <w:shd w:val="clear" w:color="auto" w:fill="CCECFF"/>
          </w:tcPr>
          <w:p>
            <w:pPr>
              <w:spacing w:after="0"/>
              <w:rPr>
                <w:sz w:val="11"/>
                <w:szCs w:val="11"/>
                <w:color w:val="auto"/>
              </w:rPr>
            </w:pPr>
          </w:p>
        </w:tc>
        <w:tc>
          <w:tcPr>
            <w:tcW w:w="580" w:type="dxa"/>
            <w:vAlign w:val="bottom"/>
            <w:tcBorders>
              <w:top w:val="single" w:sz="8" w:color="auto"/>
            </w:tcBorders>
            <w:shd w:val="clear" w:color="auto" w:fill="CCECFF"/>
          </w:tcPr>
          <w:p>
            <w:pPr>
              <w:spacing w:after="0"/>
              <w:rPr>
                <w:sz w:val="11"/>
                <w:szCs w:val="11"/>
                <w:color w:val="auto"/>
              </w:rPr>
            </w:pPr>
          </w:p>
        </w:tc>
        <w:tc>
          <w:tcPr>
            <w:tcW w:w="240" w:type="dxa"/>
            <w:vAlign w:val="bottom"/>
            <w:tcBorders>
              <w:top w:val="single" w:sz="8" w:color="CCECFF"/>
            </w:tcBorders>
            <w:shd w:val="clear" w:color="auto" w:fill="CCECFF"/>
          </w:tcPr>
          <w:p>
            <w:pPr>
              <w:spacing w:after="0"/>
              <w:rPr>
                <w:sz w:val="11"/>
                <w:szCs w:val="11"/>
                <w:color w:val="auto"/>
              </w:rPr>
            </w:pPr>
          </w:p>
        </w:tc>
        <w:tc>
          <w:tcPr>
            <w:tcW w:w="80" w:type="dxa"/>
            <w:vAlign w:val="bottom"/>
            <w:tcBorders>
              <w:top w:val="single" w:sz="8" w:color="auto"/>
            </w:tcBorders>
            <w:shd w:val="clear" w:color="auto" w:fill="CCECFF"/>
          </w:tcPr>
          <w:p>
            <w:pPr>
              <w:spacing w:after="0"/>
              <w:rPr>
                <w:sz w:val="11"/>
                <w:szCs w:val="11"/>
                <w:color w:val="auto"/>
              </w:rPr>
            </w:pPr>
          </w:p>
        </w:tc>
        <w:tc>
          <w:tcPr>
            <w:tcW w:w="600" w:type="dxa"/>
            <w:vAlign w:val="bottom"/>
            <w:tcBorders>
              <w:top w:val="single" w:sz="8" w:color="auto"/>
            </w:tcBorders>
            <w:shd w:val="clear" w:color="auto" w:fill="CCECFF"/>
          </w:tcPr>
          <w:p>
            <w:pPr>
              <w:spacing w:after="0"/>
              <w:rPr>
                <w:sz w:val="11"/>
                <w:szCs w:val="11"/>
                <w:color w:val="auto"/>
              </w:rPr>
            </w:pPr>
          </w:p>
        </w:tc>
        <w:tc>
          <w:tcPr>
            <w:tcW w:w="220" w:type="dxa"/>
            <w:vAlign w:val="bottom"/>
            <w:tcBorders>
              <w:top w:val="single" w:sz="8" w:color="CCECFF"/>
            </w:tcBorders>
            <w:shd w:val="clear" w:color="auto" w:fill="CCECFF"/>
          </w:tcPr>
          <w:p>
            <w:pPr>
              <w:spacing w:after="0"/>
              <w:rPr>
                <w:sz w:val="11"/>
                <w:szCs w:val="11"/>
                <w:color w:val="auto"/>
              </w:rPr>
            </w:pPr>
          </w:p>
        </w:tc>
        <w:tc>
          <w:tcPr>
            <w:tcW w:w="100" w:type="dxa"/>
            <w:vAlign w:val="bottom"/>
            <w:tcBorders>
              <w:top w:val="single" w:sz="8" w:color="auto"/>
            </w:tcBorders>
            <w:shd w:val="clear" w:color="auto" w:fill="CCECFF"/>
          </w:tcPr>
          <w:p>
            <w:pPr>
              <w:spacing w:after="0"/>
              <w:rPr>
                <w:sz w:val="11"/>
                <w:szCs w:val="11"/>
                <w:color w:val="auto"/>
              </w:rPr>
            </w:pPr>
          </w:p>
        </w:tc>
        <w:tc>
          <w:tcPr>
            <w:tcW w:w="640" w:type="dxa"/>
            <w:vAlign w:val="bottom"/>
            <w:tcBorders>
              <w:top w:val="single" w:sz="8" w:color="auto"/>
            </w:tcBorders>
            <w:shd w:val="clear" w:color="auto" w:fill="CCECFF"/>
          </w:tcPr>
          <w:p>
            <w:pPr>
              <w:spacing w:after="0"/>
              <w:rPr>
                <w:sz w:val="11"/>
                <w:szCs w:val="11"/>
                <w:color w:val="auto"/>
              </w:rPr>
            </w:pPr>
          </w:p>
        </w:tc>
        <w:tc>
          <w:tcPr>
            <w:tcW w:w="120" w:type="dxa"/>
            <w:vAlign w:val="bottom"/>
            <w:tcBorders>
              <w:top w:val="single" w:sz="8" w:color="CCECFF"/>
            </w:tcBorders>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gridSpan w:val="2"/>
          </w:tcPr>
          <w:p>
            <w:pPr>
              <w:spacing w:after="0"/>
              <w:rPr>
                <w:sz w:val="20"/>
                <w:szCs w:val="20"/>
                <w:color w:val="auto"/>
              </w:rPr>
            </w:pPr>
            <w:r>
              <w:rPr>
                <w:rFonts w:ascii="Arial" w:cs="Arial" w:eastAsia="Arial" w:hAnsi="Arial"/>
                <w:sz w:val="11"/>
                <w:szCs w:val="11"/>
                <w:color w:val="auto"/>
              </w:rPr>
              <w:t>Altamira Technologies, LLC</w:t>
            </w:r>
          </w:p>
        </w:tc>
        <w:tc>
          <w:tcPr>
            <w:tcW w:w="640" w:type="dxa"/>
            <w:vAlign w:val="bottom"/>
            <w:gridSpan w:val="2"/>
          </w:tcPr>
          <w:p>
            <w:pPr>
              <w:jc w:val="center"/>
              <w:ind w:left="66"/>
              <w:spacing w:after="0"/>
              <w:rPr>
                <w:sz w:val="20"/>
                <w:szCs w:val="20"/>
                <w:color w:val="auto"/>
              </w:rPr>
            </w:pPr>
            <w:r>
              <w:rPr>
                <w:rFonts w:ascii="Arial" w:cs="Arial" w:eastAsia="Arial" w:hAnsi="Arial"/>
                <w:sz w:val="11"/>
                <w:szCs w:val="11"/>
                <w:color w:val="auto"/>
                <w:w w:val="87"/>
              </w:rPr>
              <w:t>07/24/2025</w:t>
            </w:r>
          </w:p>
        </w:tc>
        <w:tc>
          <w:tcPr>
            <w:tcW w:w="240" w:type="dxa"/>
            <w:vAlign w:val="bottom"/>
          </w:tcPr>
          <w:p>
            <w:pPr>
              <w:spacing w:after="0"/>
              <w:rPr>
                <w:sz w:val="11"/>
                <w:szCs w:val="11"/>
                <w:color w:val="auto"/>
              </w:rPr>
            </w:pPr>
          </w:p>
        </w:tc>
        <w:tc>
          <w:tcPr>
            <w:tcW w:w="2760" w:type="dxa"/>
            <w:vAlign w:val="bottom"/>
            <w:gridSpan w:val="2"/>
          </w:tcPr>
          <w:p>
            <w:pPr>
              <w:jc w:val="center"/>
              <w:ind w:right="140"/>
              <w:spacing w:after="0"/>
              <w:rPr>
                <w:sz w:val="20"/>
                <w:szCs w:val="20"/>
                <w:color w:val="auto"/>
              </w:rPr>
            </w:pPr>
            <w:r>
              <w:rPr>
                <w:rFonts w:ascii="Arial" w:cs="Arial" w:eastAsia="Arial" w:hAnsi="Arial"/>
                <w:sz w:val="11"/>
                <w:szCs w:val="11"/>
                <w:color w:val="auto"/>
                <w:w w:val="89"/>
              </w:rPr>
              <w:t>High Tech Industries</w:t>
            </w:r>
          </w:p>
        </w:tc>
        <w:tc>
          <w:tcPr>
            <w:tcW w:w="860" w:type="dxa"/>
            <w:vAlign w:val="bottom"/>
            <w:gridSpan w:val="2"/>
          </w:tcPr>
          <w:p>
            <w:pPr>
              <w:jc w:val="right"/>
              <w:ind w:right="180"/>
              <w:spacing w:after="0"/>
              <w:rPr>
                <w:sz w:val="20"/>
                <w:szCs w:val="20"/>
                <w:color w:val="auto"/>
              </w:rPr>
            </w:pPr>
            <w:r>
              <w:rPr>
                <w:rFonts w:ascii="Arial" w:cs="Arial" w:eastAsia="Arial" w:hAnsi="Arial"/>
                <w:sz w:val="11"/>
                <w:szCs w:val="11"/>
                <w:color w:val="auto"/>
              </w:rPr>
              <w:t>7.93%</w:t>
            </w:r>
          </w:p>
        </w:tc>
        <w:tc>
          <w:tcPr>
            <w:tcW w:w="560" w:type="dxa"/>
            <w:vAlign w:val="bottom"/>
          </w:tcPr>
          <w:p>
            <w:pPr>
              <w:ind w:left="400"/>
              <w:spacing w:after="0"/>
              <w:rPr>
                <w:sz w:val="20"/>
                <w:szCs w:val="20"/>
                <w:color w:val="auto"/>
              </w:rPr>
            </w:pPr>
            <w:r>
              <w:rPr>
                <w:rFonts w:ascii="Arial" w:cs="Arial" w:eastAsia="Arial" w:hAnsi="Arial"/>
                <w:sz w:val="11"/>
                <w:szCs w:val="11"/>
                <w:color w:val="auto"/>
                <w:w w:val="91"/>
              </w:rPr>
              <w:t>3M</w:t>
            </w:r>
          </w:p>
        </w:tc>
        <w:tc>
          <w:tcPr>
            <w:tcW w:w="540" w:type="dxa"/>
            <w:vAlign w:val="bottom"/>
            <w:gridSpan w:val="3"/>
          </w:tcPr>
          <w:p>
            <w:pPr>
              <w:jc w:val="right"/>
              <w:ind w:right="220"/>
              <w:spacing w:after="0"/>
              <w:rPr>
                <w:sz w:val="20"/>
                <w:szCs w:val="20"/>
                <w:color w:val="auto"/>
              </w:rPr>
            </w:pPr>
            <w:r>
              <w:rPr>
                <w:rFonts w:ascii="Arial" w:cs="Arial" w:eastAsia="Arial" w:hAnsi="Arial"/>
                <w:sz w:val="11"/>
                <w:szCs w:val="11"/>
                <w:color w:val="auto"/>
                <w:w w:val="96"/>
              </w:rPr>
              <w:t>L+600</w:t>
            </w:r>
          </w:p>
        </w:tc>
        <w:tc>
          <w:tcPr>
            <w:tcW w:w="580" w:type="dxa"/>
            <w:vAlign w:val="bottom"/>
          </w:tcPr>
          <w:p>
            <w:pPr>
              <w:jc w:val="right"/>
              <w:spacing w:after="0"/>
              <w:rPr>
                <w:sz w:val="20"/>
                <w:szCs w:val="20"/>
                <w:color w:val="auto"/>
              </w:rPr>
            </w:pPr>
            <w:r>
              <w:rPr>
                <w:rFonts w:ascii="Arial" w:cs="Arial" w:eastAsia="Arial" w:hAnsi="Arial"/>
                <w:sz w:val="11"/>
                <w:szCs w:val="11"/>
                <w:color w:val="auto"/>
              </w:rPr>
              <w:t>4,968,750</w:t>
            </w:r>
          </w:p>
        </w:tc>
        <w:tc>
          <w:tcPr>
            <w:tcW w:w="320" w:type="dxa"/>
            <w:vAlign w:val="bottom"/>
            <w:gridSpan w:val="2"/>
          </w:tcPr>
          <w:p>
            <w:pPr>
              <w:jc w:val="right"/>
              <w:ind w:right="40"/>
              <w:spacing w:after="0"/>
              <w:rPr>
                <w:sz w:val="20"/>
                <w:szCs w:val="20"/>
                <w:color w:val="auto"/>
              </w:rPr>
            </w:pPr>
            <w:r>
              <w:rPr>
                <w:rFonts w:ascii="Arial" w:cs="Arial" w:eastAsia="Arial" w:hAnsi="Arial"/>
                <w:sz w:val="11"/>
                <w:szCs w:val="11"/>
                <w:color w:val="auto"/>
              </w:rPr>
              <w:t>$</w:t>
            </w:r>
          </w:p>
        </w:tc>
        <w:tc>
          <w:tcPr>
            <w:tcW w:w="600" w:type="dxa"/>
            <w:vAlign w:val="bottom"/>
          </w:tcPr>
          <w:p>
            <w:pPr>
              <w:jc w:val="right"/>
              <w:spacing w:after="0"/>
              <w:rPr>
                <w:sz w:val="20"/>
                <w:szCs w:val="20"/>
                <w:color w:val="auto"/>
              </w:rPr>
            </w:pPr>
            <w:r>
              <w:rPr>
                <w:rFonts w:ascii="Arial" w:cs="Arial" w:eastAsia="Arial" w:hAnsi="Arial"/>
                <w:sz w:val="11"/>
                <w:szCs w:val="11"/>
                <w:color w:val="auto"/>
              </w:rPr>
              <w:t>4,898,753</w:t>
            </w:r>
          </w:p>
        </w:tc>
        <w:tc>
          <w:tcPr>
            <w:tcW w:w="32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640" w:type="dxa"/>
            <w:vAlign w:val="bottom"/>
          </w:tcPr>
          <w:p>
            <w:pPr>
              <w:jc w:val="right"/>
              <w:spacing w:after="0"/>
              <w:rPr>
                <w:sz w:val="20"/>
                <w:szCs w:val="20"/>
                <w:color w:val="auto"/>
              </w:rPr>
            </w:pPr>
            <w:r>
              <w:rPr>
                <w:rFonts w:ascii="Arial" w:cs="Arial" w:eastAsia="Arial" w:hAnsi="Arial"/>
                <w:sz w:val="11"/>
                <w:szCs w:val="11"/>
                <w:color w:val="auto"/>
              </w:rPr>
              <w:t>4,968,750</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gridSpan w:val="2"/>
            <w:shd w:val="clear" w:color="auto" w:fill="CCECFF"/>
          </w:tcPr>
          <w:p>
            <w:pPr>
              <w:spacing w:after="0"/>
              <w:rPr>
                <w:sz w:val="20"/>
                <w:szCs w:val="20"/>
                <w:color w:val="auto"/>
              </w:rPr>
            </w:pPr>
            <w:r>
              <w:rPr>
                <w:rFonts w:ascii="Arial" w:cs="Arial" w:eastAsia="Arial" w:hAnsi="Arial"/>
                <w:sz w:val="11"/>
                <w:szCs w:val="11"/>
                <w:color w:val="auto"/>
              </w:rPr>
              <w:t>American Auto Auction Group, LLC</w:t>
            </w:r>
          </w:p>
        </w:tc>
        <w:tc>
          <w:tcPr>
            <w:tcW w:w="64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87"/>
              </w:rPr>
              <w:t>01/02/2024</w:t>
            </w:r>
          </w:p>
        </w:tc>
        <w:tc>
          <w:tcPr>
            <w:tcW w:w="24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9"/>
              </w:rPr>
              <w:t>Transportation: Consumer</w:t>
            </w:r>
          </w:p>
        </w:tc>
        <w:tc>
          <w:tcPr>
            <w:tcW w:w="86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6.55%</w:t>
            </w:r>
          </w:p>
        </w:tc>
        <w:tc>
          <w:tcPr>
            <w:tcW w:w="560" w:type="dxa"/>
            <w:vAlign w:val="bottom"/>
            <w:shd w:val="clear" w:color="auto" w:fill="CCECFF"/>
          </w:tcPr>
          <w:p>
            <w:pPr>
              <w:ind w:left="400"/>
              <w:spacing w:after="0"/>
              <w:rPr>
                <w:sz w:val="20"/>
                <w:szCs w:val="20"/>
                <w:color w:val="auto"/>
              </w:rPr>
            </w:pPr>
            <w:r>
              <w:rPr>
                <w:rFonts w:ascii="Arial" w:cs="Arial" w:eastAsia="Arial" w:hAnsi="Arial"/>
                <w:sz w:val="11"/>
                <w:szCs w:val="11"/>
                <w:color w:val="auto"/>
                <w:w w:val="91"/>
              </w:rPr>
              <w:t>3M</w:t>
            </w:r>
          </w:p>
        </w:tc>
        <w:tc>
          <w:tcPr>
            <w:tcW w:w="540" w:type="dxa"/>
            <w:vAlign w:val="bottom"/>
            <w:gridSpan w:val="3"/>
            <w:shd w:val="clear" w:color="auto" w:fill="CCECFF"/>
          </w:tcPr>
          <w:p>
            <w:pPr>
              <w:jc w:val="right"/>
              <w:ind w:right="220"/>
              <w:spacing w:after="0"/>
              <w:rPr>
                <w:sz w:val="20"/>
                <w:szCs w:val="20"/>
                <w:color w:val="auto"/>
              </w:rPr>
            </w:pPr>
            <w:r>
              <w:rPr>
                <w:rFonts w:ascii="Arial" w:cs="Arial" w:eastAsia="Arial" w:hAnsi="Arial"/>
                <w:sz w:val="11"/>
                <w:szCs w:val="11"/>
                <w:color w:val="auto"/>
                <w:w w:val="96"/>
              </w:rPr>
              <w:t>L+475</w:t>
            </w: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7,729,555</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7,654,681</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7,652,259</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gridSpan w:val="2"/>
          </w:tcPr>
          <w:p>
            <w:pPr>
              <w:spacing w:after="0"/>
              <w:rPr>
                <w:sz w:val="20"/>
                <w:szCs w:val="20"/>
                <w:color w:val="auto"/>
              </w:rPr>
            </w:pPr>
            <w:r>
              <w:rPr>
                <w:rFonts w:ascii="Arial" w:cs="Arial" w:eastAsia="Arial" w:hAnsi="Arial"/>
                <w:sz w:val="11"/>
                <w:szCs w:val="11"/>
                <w:color w:val="auto"/>
              </w:rPr>
              <w:t>By Light Professional IT Services, LLC</w:t>
            </w:r>
          </w:p>
        </w:tc>
        <w:tc>
          <w:tcPr>
            <w:tcW w:w="640" w:type="dxa"/>
            <w:vAlign w:val="bottom"/>
            <w:gridSpan w:val="2"/>
          </w:tcPr>
          <w:p>
            <w:pPr>
              <w:jc w:val="center"/>
              <w:ind w:left="66"/>
              <w:spacing w:after="0"/>
              <w:rPr>
                <w:sz w:val="20"/>
                <w:szCs w:val="20"/>
                <w:color w:val="auto"/>
              </w:rPr>
            </w:pPr>
            <w:r>
              <w:rPr>
                <w:rFonts w:ascii="Arial" w:cs="Arial" w:eastAsia="Arial" w:hAnsi="Arial"/>
                <w:sz w:val="11"/>
                <w:szCs w:val="11"/>
                <w:color w:val="auto"/>
                <w:w w:val="87"/>
              </w:rPr>
              <w:t>05/16/2022</w:t>
            </w:r>
          </w:p>
        </w:tc>
        <w:tc>
          <w:tcPr>
            <w:tcW w:w="240" w:type="dxa"/>
            <w:vAlign w:val="bottom"/>
          </w:tcPr>
          <w:p>
            <w:pPr>
              <w:spacing w:after="0"/>
              <w:rPr>
                <w:sz w:val="11"/>
                <w:szCs w:val="11"/>
                <w:color w:val="auto"/>
              </w:rPr>
            </w:pPr>
          </w:p>
        </w:tc>
        <w:tc>
          <w:tcPr>
            <w:tcW w:w="2760" w:type="dxa"/>
            <w:vAlign w:val="bottom"/>
            <w:gridSpan w:val="2"/>
          </w:tcPr>
          <w:p>
            <w:pPr>
              <w:jc w:val="center"/>
              <w:ind w:right="140"/>
              <w:spacing w:after="0"/>
              <w:rPr>
                <w:sz w:val="20"/>
                <w:szCs w:val="20"/>
                <w:color w:val="auto"/>
              </w:rPr>
            </w:pPr>
            <w:r>
              <w:rPr>
                <w:rFonts w:ascii="Arial" w:cs="Arial" w:eastAsia="Arial" w:hAnsi="Arial"/>
                <w:sz w:val="11"/>
                <w:szCs w:val="11"/>
                <w:color w:val="auto"/>
                <w:w w:val="89"/>
              </w:rPr>
              <w:t>High Tech Industries</w:t>
            </w:r>
          </w:p>
        </w:tc>
        <w:tc>
          <w:tcPr>
            <w:tcW w:w="860" w:type="dxa"/>
            <w:vAlign w:val="bottom"/>
            <w:gridSpan w:val="2"/>
          </w:tcPr>
          <w:p>
            <w:pPr>
              <w:jc w:val="right"/>
              <w:ind w:right="180"/>
              <w:spacing w:after="0"/>
              <w:rPr>
                <w:sz w:val="20"/>
                <w:szCs w:val="20"/>
                <w:color w:val="auto"/>
              </w:rPr>
            </w:pPr>
            <w:r>
              <w:rPr>
                <w:rFonts w:ascii="Arial" w:cs="Arial" w:eastAsia="Arial" w:hAnsi="Arial"/>
                <w:sz w:val="11"/>
                <w:szCs w:val="11"/>
                <w:color w:val="auto"/>
              </w:rPr>
              <w:t>7.96%</w:t>
            </w:r>
          </w:p>
        </w:tc>
        <w:tc>
          <w:tcPr>
            <w:tcW w:w="560" w:type="dxa"/>
            <w:vAlign w:val="bottom"/>
          </w:tcPr>
          <w:p>
            <w:pPr>
              <w:ind w:left="400"/>
              <w:spacing w:after="0"/>
              <w:rPr>
                <w:sz w:val="20"/>
                <w:szCs w:val="20"/>
                <w:color w:val="auto"/>
              </w:rPr>
            </w:pPr>
            <w:r>
              <w:rPr>
                <w:rFonts w:ascii="Arial" w:cs="Arial" w:eastAsia="Arial" w:hAnsi="Arial"/>
                <w:sz w:val="11"/>
                <w:szCs w:val="11"/>
                <w:color w:val="auto"/>
                <w:w w:val="91"/>
              </w:rPr>
              <w:t>1M</w:t>
            </w:r>
          </w:p>
        </w:tc>
        <w:tc>
          <w:tcPr>
            <w:tcW w:w="540" w:type="dxa"/>
            <w:vAlign w:val="bottom"/>
            <w:gridSpan w:val="3"/>
          </w:tcPr>
          <w:p>
            <w:pPr>
              <w:jc w:val="right"/>
              <w:ind w:right="220"/>
              <w:spacing w:after="0"/>
              <w:rPr>
                <w:sz w:val="20"/>
                <w:szCs w:val="20"/>
                <w:color w:val="auto"/>
              </w:rPr>
            </w:pPr>
            <w:r>
              <w:rPr>
                <w:rFonts w:ascii="Arial" w:cs="Arial" w:eastAsia="Arial" w:hAnsi="Arial"/>
                <w:sz w:val="11"/>
                <w:szCs w:val="11"/>
                <w:color w:val="auto"/>
                <w:w w:val="96"/>
              </w:rPr>
              <w:t>L+625</w:t>
            </w:r>
          </w:p>
        </w:tc>
        <w:tc>
          <w:tcPr>
            <w:tcW w:w="580" w:type="dxa"/>
            <w:vAlign w:val="bottom"/>
          </w:tcPr>
          <w:p>
            <w:pPr>
              <w:jc w:val="right"/>
              <w:spacing w:after="0"/>
              <w:rPr>
                <w:sz w:val="20"/>
                <w:szCs w:val="20"/>
                <w:color w:val="auto"/>
              </w:rPr>
            </w:pPr>
            <w:r>
              <w:rPr>
                <w:rFonts w:ascii="Arial" w:cs="Arial" w:eastAsia="Arial" w:hAnsi="Arial"/>
                <w:sz w:val="11"/>
                <w:szCs w:val="11"/>
                <w:color w:val="auto"/>
                <w:w w:val="98"/>
              </w:rPr>
              <w:t>13,675,154</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13,455,820</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13,675,154</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gridSpan w:val="2"/>
            <w:shd w:val="clear" w:color="auto" w:fill="CCECFF"/>
          </w:tcPr>
          <w:p>
            <w:pPr>
              <w:spacing w:after="0"/>
              <w:rPr>
                <w:sz w:val="20"/>
                <w:szCs w:val="20"/>
                <w:color w:val="auto"/>
              </w:rPr>
            </w:pPr>
            <w:r>
              <w:rPr>
                <w:rFonts w:ascii="Arial" w:cs="Arial" w:eastAsia="Arial" w:hAnsi="Arial"/>
                <w:sz w:val="11"/>
                <w:szCs w:val="11"/>
                <w:color w:val="auto"/>
              </w:rPr>
              <w:t>Cadence Aerospace, LLC</w:t>
            </w:r>
          </w:p>
        </w:tc>
        <w:tc>
          <w:tcPr>
            <w:tcW w:w="64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87"/>
              </w:rPr>
              <w:t>11/14/2023</w:t>
            </w:r>
          </w:p>
        </w:tc>
        <w:tc>
          <w:tcPr>
            <w:tcW w:w="24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6"/>
              </w:rPr>
              <w:t>Aerospace and Defense</w:t>
            </w:r>
          </w:p>
        </w:tc>
        <w:tc>
          <w:tcPr>
            <w:tcW w:w="86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8.43%</w:t>
            </w:r>
          </w:p>
        </w:tc>
        <w:tc>
          <w:tcPr>
            <w:tcW w:w="560" w:type="dxa"/>
            <w:vAlign w:val="bottom"/>
            <w:shd w:val="clear" w:color="auto" w:fill="CCECFF"/>
          </w:tcPr>
          <w:p>
            <w:pPr>
              <w:ind w:left="400"/>
              <w:spacing w:after="0"/>
              <w:rPr>
                <w:sz w:val="20"/>
                <w:szCs w:val="20"/>
                <w:color w:val="auto"/>
              </w:rPr>
            </w:pPr>
            <w:r>
              <w:rPr>
                <w:rFonts w:ascii="Arial" w:cs="Arial" w:eastAsia="Arial" w:hAnsi="Arial"/>
                <w:sz w:val="11"/>
                <w:szCs w:val="11"/>
                <w:color w:val="auto"/>
                <w:w w:val="91"/>
              </w:rPr>
              <w:t>3M</w:t>
            </w:r>
          </w:p>
        </w:tc>
        <w:tc>
          <w:tcPr>
            <w:tcW w:w="540" w:type="dxa"/>
            <w:vAlign w:val="bottom"/>
            <w:gridSpan w:val="3"/>
            <w:shd w:val="clear" w:color="auto" w:fill="CCECFF"/>
          </w:tcPr>
          <w:p>
            <w:pPr>
              <w:jc w:val="right"/>
              <w:ind w:right="220"/>
              <w:spacing w:after="0"/>
              <w:rPr>
                <w:sz w:val="20"/>
                <w:szCs w:val="20"/>
                <w:color w:val="auto"/>
              </w:rPr>
            </w:pPr>
            <w:r>
              <w:rPr>
                <w:rFonts w:ascii="Arial" w:cs="Arial" w:eastAsia="Arial" w:hAnsi="Arial"/>
                <w:sz w:val="11"/>
                <w:szCs w:val="11"/>
                <w:color w:val="auto"/>
                <w:w w:val="96"/>
              </w:rPr>
              <w:t>L+650</w:t>
            </w: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w w:val="98"/>
              </w:rPr>
              <w:t>11,705,417</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11,618,814</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11,691,369</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gridSpan w:val="2"/>
          </w:tcPr>
          <w:p>
            <w:pPr>
              <w:spacing w:after="0"/>
              <w:rPr>
                <w:sz w:val="20"/>
                <w:szCs w:val="20"/>
                <w:color w:val="auto"/>
              </w:rPr>
            </w:pPr>
            <w:r>
              <w:rPr>
                <w:rFonts w:ascii="Arial" w:cs="Arial" w:eastAsia="Arial" w:hAnsi="Arial"/>
                <w:sz w:val="11"/>
                <w:szCs w:val="11"/>
                <w:color w:val="auto"/>
              </w:rPr>
              <w:t>Cardenas Markets LLC</w:t>
            </w:r>
          </w:p>
        </w:tc>
        <w:tc>
          <w:tcPr>
            <w:tcW w:w="640" w:type="dxa"/>
            <w:vAlign w:val="bottom"/>
            <w:gridSpan w:val="2"/>
          </w:tcPr>
          <w:p>
            <w:pPr>
              <w:jc w:val="center"/>
              <w:ind w:left="66"/>
              <w:spacing w:after="0"/>
              <w:rPr>
                <w:sz w:val="20"/>
                <w:szCs w:val="20"/>
                <w:color w:val="auto"/>
              </w:rPr>
            </w:pPr>
            <w:r>
              <w:rPr>
                <w:rFonts w:ascii="Arial" w:cs="Arial" w:eastAsia="Arial" w:hAnsi="Arial"/>
                <w:sz w:val="11"/>
                <w:szCs w:val="11"/>
                <w:color w:val="auto"/>
                <w:w w:val="87"/>
              </w:rPr>
              <w:t>11/29/2023</w:t>
            </w:r>
          </w:p>
        </w:tc>
        <w:tc>
          <w:tcPr>
            <w:tcW w:w="240" w:type="dxa"/>
            <w:vAlign w:val="bottom"/>
          </w:tcPr>
          <w:p>
            <w:pPr>
              <w:spacing w:after="0"/>
              <w:rPr>
                <w:sz w:val="11"/>
                <w:szCs w:val="11"/>
                <w:color w:val="auto"/>
              </w:rPr>
            </w:pPr>
          </w:p>
        </w:tc>
        <w:tc>
          <w:tcPr>
            <w:tcW w:w="2760" w:type="dxa"/>
            <w:vAlign w:val="bottom"/>
            <w:gridSpan w:val="2"/>
          </w:tcPr>
          <w:p>
            <w:pPr>
              <w:jc w:val="center"/>
              <w:ind w:right="140"/>
              <w:spacing w:after="0"/>
              <w:rPr>
                <w:sz w:val="20"/>
                <w:szCs w:val="20"/>
                <w:color w:val="auto"/>
              </w:rPr>
            </w:pPr>
            <w:r>
              <w:rPr>
                <w:rFonts w:ascii="Arial" w:cs="Arial" w:eastAsia="Arial" w:hAnsi="Arial"/>
                <w:sz w:val="11"/>
                <w:szCs w:val="11"/>
                <w:color w:val="auto"/>
                <w:w w:val="86"/>
              </w:rPr>
              <w:t>Beverage, Food and Tobacco</w:t>
            </w:r>
          </w:p>
        </w:tc>
        <w:tc>
          <w:tcPr>
            <w:tcW w:w="860" w:type="dxa"/>
            <w:vAlign w:val="bottom"/>
            <w:gridSpan w:val="2"/>
          </w:tcPr>
          <w:p>
            <w:pPr>
              <w:jc w:val="right"/>
              <w:ind w:right="180"/>
              <w:spacing w:after="0"/>
              <w:rPr>
                <w:sz w:val="20"/>
                <w:szCs w:val="20"/>
                <w:color w:val="auto"/>
              </w:rPr>
            </w:pPr>
            <w:r>
              <w:rPr>
                <w:rFonts w:ascii="Arial" w:cs="Arial" w:eastAsia="Arial" w:hAnsi="Arial"/>
                <w:sz w:val="11"/>
                <w:szCs w:val="11"/>
                <w:color w:val="auto"/>
              </w:rPr>
              <w:t>7.45%</w:t>
            </w:r>
          </w:p>
        </w:tc>
        <w:tc>
          <w:tcPr>
            <w:tcW w:w="560" w:type="dxa"/>
            <w:vAlign w:val="bottom"/>
          </w:tcPr>
          <w:p>
            <w:pPr>
              <w:ind w:left="400"/>
              <w:spacing w:after="0"/>
              <w:rPr>
                <w:sz w:val="20"/>
                <w:szCs w:val="20"/>
                <w:color w:val="auto"/>
              </w:rPr>
            </w:pPr>
            <w:r>
              <w:rPr>
                <w:rFonts w:ascii="Arial" w:cs="Arial" w:eastAsia="Arial" w:hAnsi="Arial"/>
                <w:sz w:val="11"/>
                <w:szCs w:val="11"/>
                <w:color w:val="auto"/>
                <w:w w:val="91"/>
              </w:rPr>
              <w:t>1M</w:t>
            </w:r>
          </w:p>
        </w:tc>
        <w:tc>
          <w:tcPr>
            <w:tcW w:w="540" w:type="dxa"/>
            <w:vAlign w:val="bottom"/>
            <w:gridSpan w:val="3"/>
          </w:tcPr>
          <w:p>
            <w:pPr>
              <w:jc w:val="right"/>
              <w:ind w:right="220"/>
              <w:spacing w:after="0"/>
              <w:rPr>
                <w:sz w:val="20"/>
                <w:szCs w:val="20"/>
                <w:color w:val="auto"/>
              </w:rPr>
            </w:pPr>
            <w:r>
              <w:rPr>
                <w:rFonts w:ascii="Arial" w:cs="Arial" w:eastAsia="Arial" w:hAnsi="Arial"/>
                <w:sz w:val="11"/>
                <w:szCs w:val="11"/>
                <w:color w:val="auto"/>
                <w:w w:val="96"/>
              </w:rPr>
              <w:t>L+575</w:t>
            </w:r>
          </w:p>
        </w:tc>
        <w:tc>
          <w:tcPr>
            <w:tcW w:w="580" w:type="dxa"/>
            <w:vAlign w:val="bottom"/>
          </w:tcPr>
          <w:p>
            <w:pPr>
              <w:jc w:val="right"/>
              <w:spacing w:after="0"/>
              <w:rPr>
                <w:sz w:val="20"/>
                <w:szCs w:val="20"/>
                <w:color w:val="auto"/>
              </w:rPr>
            </w:pPr>
            <w:r>
              <w:rPr>
                <w:rFonts w:ascii="Arial" w:cs="Arial" w:eastAsia="Arial" w:hAnsi="Arial"/>
                <w:sz w:val="11"/>
                <w:szCs w:val="11"/>
                <w:color w:val="auto"/>
              </w:rPr>
              <w:t>7,329,975</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7,293,805</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7,036,776</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gridSpan w:val="2"/>
            <w:shd w:val="clear" w:color="auto" w:fill="CCECFF"/>
          </w:tcPr>
          <w:p>
            <w:pPr>
              <w:spacing w:after="0"/>
              <w:rPr>
                <w:sz w:val="20"/>
                <w:szCs w:val="20"/>
                <w:color w:val="auto"/>
              </w:rPr>
            </w:pPr>
            <w:r>
              <w:rPr>
                <w:rFonts w:ascii="Arial" w:cs="Arial" w:eastAsia="Arial" w:hAnsi="Arial"/>
                <w:sz w:val="11"/>
                <w:szCs w:val="11"/>
                <w:color w:val="auto"/>
              </w:rPr>
              <w:t>Centauri Group Holdings, LLC</w:t>
            </w:r>
          </w:p>
        </w:tc>
        <w:tc>
          <w:tcPr>
            <w:tcW w:w="64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87"/>
              </w:rPr>
              <w:t>02/12/2024</w:t>
            </w:r>
          </w:p>
        </w:tc>
        <w:tc>
          <w:tcPr>
            <w:tcW w:w="24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6"/>
              </w:rPr>
              <w:t>Aerospace and Defense</w:t>
            </w:r>
          </w:p>
        </w:tc>
        <w:tc>
          <w:tcPr>
            <w:tcW w:w="86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7.20%</w:t>
            </w:r>
          </w:p>
        </w:tc>
        <w:tc>
          <w:tcPr>
            <w:tcW w:w="560" w:type="dxa"/>
            <w:vAlign w:val="bottom"/>
            <w:shd w:val="clear" w:color="auto" w:fill="CCECFF"/>
          </w:tcPr>
          <w:p>
            <w:pPr>
              <w:ind w:left="400"/>
              <w:spacing w:after="0"/>
              <w:rPr>
                <w:sz w:val="20"/>
                <w:szCs w:val="20"/>
                <w:color w:val="auto"/>
              </w:rPr>
            </w:pPr>
            <w:r>
              <w:rPr>
                <w:rFonts w:ascii="Arial" w:cs="Arial" w:eastAsia="Arial" w:hAnsi="Arial"/>
                <w:sz w:val="11"/>
                <w:szCs w:val="11"/>
                <w:color w:val="auto"/>
                <w:w w:val="91"/>
              </w:rPr>
              <w:t>1M</w:t>
            </w:r>
          </w:p>
        </w:tc>
        <w:tc>
          <w:tcPr>
            <w:tcW w:w="540" w:type="dxa"/>
            <w:vAlign w:val="bottom"/>
            <w:gridSpan w:val="3"/>
            <w:shd w:val="clear" w:color="auto" w:fill="CCECFF"/>
          </w:tcPr>
          <w:p>
            <w:pPr>
              <w:jc w:val="right"/>
              <w:ind w:right="220"/>
              <w:spacing w:after="0"/>
              <w:rPr>
                <w:sz w:val="20"/>
                <w:szCs w:val="20"/>
                <w:color w:val="auto"/>
              </w:rPr>
            </w:pPr>
            <w:r>
              <w:rPr>
                <w:rFonts w:ascii="Arial" w:cs="Arial" w:eastAsia="Arial" w:hAnsi="Arial"/>
                <w:sz w:val="11"/>
                <w:szCs w:val="11"/>
                <w:color w:val="auto"/>
                <w:w w:val="96"/>
              </w:rPr>
              <w:t>L+525</w:t>
            </w: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w w:val="98"/>
              </w:rPr>
              <w:t>10,396,599</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10,387,355</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10,344,616</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gridSpan w:val="2"/>
          </w:tcPr>
          <w:p>
            <w:pPr>
              <w:spacing w:after="0"/>
              <w:rPr>
                <w:sz w:val="20"/>
                <w:szCs w:val="20"/>
                <w:color w:val="auto"/>
              </w:rPr>
            </w:pPr>
            <w:r>
              <w:rPr>
                <w:rFonts w:ascii="Arial" w:cs="Arial" w:eastAsia="Arial" w:hAnsi="Arial"/>
                <w:sz w:val="11"/>
                <w:szCs w:val="11"/>
                <w:color w:val="auto"/>
              </w:rPr>
              <w:t>Challenger Performance Optimization, Inc.</w:t>
            </w:r>
          </w:p>
        </w:tc>
        <w:tc>
          <w:tcPr>
            <w:tcW w:w="640" w:type="dxa"/>
            <w:vAlign w:val="bottom"/>
            <w:gridSpan w:val="2"/>
          </w:tcPr>
          <w:p>
            <w:pPr>
              <w:jc w:val="center"/>
              <w:ind w:left="66"/>
              <w:spacing w:after="0"/>
              <w:rPr>
                <w:sz w:val="20"/>
                <w:szCs w:val="20"/>
                <w:color w:val="auto"/>
              </w:rPr>
            </w:pPr>
            <w:r>
              <w:rPr>
                <w:rFonts w:ascii="Arial" w:cs="Arial" w:eastAsia="Arial" w:hAnsi="Arial"/>
                <w:sz w:val="11"/>
                <w:szCs w:val="11"/>
                <w:color w:val="auto"/>
                <w:w w:val="87"/>
              </w:rPr>
              <w:t>08/31/2023</w:t>
            </w:r>
          </w:p>
        </w:tc>
        <w:tc>
          <w:tcPr>
            <w:tcW w:w="240" w:type="dxa"/>
            <w:vAlign w:val="bottom"/>
          </w:tcPr>
          <w:p>
            <w:pPr>
              <w:spacing w:after="0"/>
              <w:rPr>
                <w:sz w:val="11"/>
                <w:szCs w:val="11"/>
                <w:color w:val="auto"/>
              </w:rPr>
            </w:pPr>
          </w:p>
        </w:tc>
        <w:tc>
          <w:tcPr>
            <w:tcW w:w="2760" w:type="dxa"/>
            <w:vAlign w:val="bottom"/>
            <w:gridSpan w:val="2"/>
          </w:tcPr>
          <w:p>
            <w:pPr>
              <w:jc w:val="center"/>
              <w:ind w:right="140"/>
              <w:spacing w:after="0"/>
              <w:rPr>
                <w:sz w:val="20"/>
                <w:szCs w:val="20"/>
                <w:color w:val="auto"/>
              </w:rPr>
            </w:pPr>
            <w:r>
              <w:rPr>
                <w:rFonts w:ascii="Arial" w:cs="Arial" w:eastAsia="Arial" w:hAnsi="Arial"/>
                <w:sz w:val="11"/>
                <w:szCs w:val="11"/>
                <w:color w:val="auto"/>
                <w:w w:val="86"/>
              </w:rPr>
              <w:t>Business Services</w:t>
            </w:r>
          </w:p>
        </w:tc>
        <w:tc>
          <w:tcPr>
            <w:tcW w:w="860" w:type="dxa"/>
            <w:vAlign w:val="bottom"/>
            <w:gridSpan w:val="2"/>
          </w:tcPr>
          <w:p>
            <w:pPr>
              <w:jc w:val="right"/>
              <w:ind w:right="180"/>
              <w:spacing w:after="0"/>
              <w:rPr>
                <w:sz w:val="20"/>
                <w:szCs w:val="20"/>
                <w:color w:val="auto"/>
              </w:rPr>
            </w:pPr>
            <w:r>
              <w:rPr>
                <w:rFonts w:ascii="Arial" w:cs="Arial" w:eastAsia="Arial" w:hAnsi="Arial"/>
                <w:sz w:val="11"/>
                <w:szCs w:val="11"/>
                <w:color w:val="auto"/>
              </w:rPr>
              <w:t>7.55%</w:t>
            </w:r>
          </w:p>
        </w:tc>
        <w:tc>
          <w:tcPr>
            <w:tcW w:w="560" w:type="dxa"/>
            <w:vAlign w:val="bottom"/>
          </w:tcPr>
          <w:p>
            <w:pPr>
              <w:ind w:left="400"/>
              <w:spacing w:after="0"/>
              <w:rPr>
                <w:sz w:val="20"/>
                <w:szCs w:val="20"/>
                <w:color w:val="auto"/>
              </w:rPr>
            </w:pPr>
            <w:r>
              <w:rPr>
                <w:rFonts w:ascii="Arial" w:cs="Arial" w:eastAsia="Arial" w:hAnsi="Arial"/>
                <w:sz w:val="11"/>
                <w:szCs w:val="11"/>
                <w:color w:val="auto"/>
                <w:w w:val="91"/>
              </w:rPr>
              <w:t>1M</w:t>
            </w:r>
          </w:p>
        </w:tc>
        <w:tc>
          <w:tcPr>
            <w:tcW w:w="540" w:type="dxa"/>
            <w:vAlign w:val="bottom"/>
            <w:gridSpan w:val="3"/>
          </w:tcPr>
          <w:p>
            <w:pPr>
              <w:jc w:val="right"/>
              <w:ind w:right="220"/>
              <w:spacing w:after="0"/>
              <w:rPr>
                <w:sz w:val="20"/>
                <w:szCs w:val="20"/>
                <w:color w:val="auto"/>
              </w:rPr>
            </w:pPr>
            <w:r>
              <w:rPr>
                <w:rFonts w:ascii="Arial" w:cs="Arial" w:eastAsia="Arial" w:hAnsi="Arial"/>
                <w:sz w:val="11"/>
                <w:szCs w:val="11"/>
                <w:color w:val="auto"/>
                <w:w w:val="96"/>
              </w:rPr>
              <w:t>L+575</w:t>
            </w:r>
          </w:p>
        </w:tc>
        <w:tc>
          <w:tcPr>
            <w:tcW w:w="580" w:type="dxa"/>
            <w:vAlign w:val="bottom"/>
          </w:tcPr>
          <w:p>
            <w:pPr>
              <w:jc w:val="right"/>
              <w:spacing w:after="0"/>
              <w:rPr>
                <w:sz w:val="20"/>
                <w:szCs w:val="20"/>
                <w:color w:val="auto"/>
              </w:rPr>
            </w:pPr>
            <w:r>
              <w:rPr>
                <w:rFonts w:ascii="Arial" w:cs="Arial" w:eastAsia="Arial" w:hAnsi="Arial"/>
                <w:sz w:val="11"/>
                <w:szCs w:val="11"/>
                <w:color w:val="auto"/>
                <w:w w:val="98"/>
              </w:rPr>
              <w:t>10,127,447</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10,043,474</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9,772,987</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gridSpan w:val="2"/>
            <w:shd w:val="clear" w:color="auto" w:fill="CCECFF"/>
          </w:tcPr>
          <w:p>
            <w:pPr>
              <w:spacing w:after="0"/>
              <w:rPr>
                <w:sz w:val="20"/>
                <w:szCs w:val="20"/>
                <w:color w:val="auto"/>
              </w:rPr>
            </w:pPr>
            <w:r>
              <w:rPr>
                <w:rFonts w:ascii="Arial" w:cs="Arial" w:eastAsia="Arial" w:hAnsi="Arial"/>
                <w:sz w:val="11"/>
                <w:szCs w:val="11"/>
                <w:color w:val="auto"/>
              </w:rPr>
              <w:t>Country Fresh Holdings, LLC</w:t>
            </w:r>
          </w:p>
        </w:tc>
        <w:tc>
          <w:tcPr>
            <w:tcW w:w="64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87"/>
              </w:rPr>
              <w:t>05/01/2023</w:t>
            </w:r>
          </w:p>
        </w:tc>
        <w:tc>
          <w:tcPr>
            <w:tcW w:w="24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6"/>
              </w:rPr>
              <w:t>Beverage, Food and Tobacco</w:t>
            </w:r>
          </w:p>
        </w:tc>
        <w:tc>
          <w:tcPr>
            <w:tcW w:w="86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7.10%</w:t>
            </w:r>
          </w:p>
        </w:tc>
        <w:tc>
          <w:tcPr>
            <w:tcW w:w="560" w:type="dxa"/>
            <w:vAlign w:val="bottom"/>
            <w:shd w:val="clear" w:color="auto" w:fill="CCECFF"/>
          </w:tcPr>
          <w:p>
            <w:pPr>
              <w:ind w:left="400"/>
              <w:spacing w:after="0"/>
              <w:rPr>
                <w:sz w:val="20"/>
                <w:szCs w:val="20"/>
                <w:color w:val="auto"/>
              </w:rPr>
            </w:pPr>
            <w:r>
              <w:rPr>
                <w:rFonts w:ascii="Arial" w:cs="Arial" w:eastAsia="Arial" w:hAnsi="Arial"/>
                <w:sz w:val="11"/>
                <w:szCs w:val="11"/>
                <w:color w:val="auto"/>
                <w:w w:val="91"/>
              </w:rPr>
              <w:t>1M</w:t>
            </w:r>
          </w:p>
        </w:tc>
        <w:tc>
          <w:tcPr>
            <w:tcW w:w="540" w:type="dxa"/>
            <w:vAlign w:val="bottom"/>
            <w:gridSpan w:val="3"/>
            <w:shd w:val="clear" w:color="auto" w:fill="CCECFF"/>
          </w:tcPr>
          <w:p>
            <w:pPr>
              <w:jc w:val="right"/>
              <w:ind w:right="220"/>
              <w:spacing w:after="0"/>
              <w:rPr>
                <w:sz w:val="20"/>
                <w:szCs w:val="20"/>
                <w:color w:val="auto"/>
              </w:rPr>
            </w:pPr>
            <w:r>
              <w:rPr>
                <w:rFonts w:ascii="Arial" w:cs="Arial" w:eastAsia="Arial" w:hAnsi="Arial"/>
                <w:sz w:val="11"/>
                <w:szCs w:val="11"/>
                <w:color w:val="auto"/>
                <w:w w:val="96"/>
              </w:rPr>
              <w:t>L+500</w:t>
            </w: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182,403</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179,362</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182,403</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gridSpan w:val="2"/>
          </w:tcPr>
          <w:p>
            <w:pPr>
              <w:spacing w:after="0"/>
              <w:rPr>
                <w:sz w:val="20"/>
                <w:szCs w:val="20"/>
                <w:color w:val="auto"/>
              </w:rPr>
            </w:pPr>
            <w:r>
              <w:rPr>
                <w:rFonts w:ascii="Arial" w:cs="Arial" w:eastAsia="Arial" w:hAnsi="Arial"/>
                <w:sz w:val="11"/>
                <w:szCs w:val="11"/>
                <w:color w:val="auto"/>
              </w:rPr>
              <w:t>Country Fresh Holdings, LLC (Revolver)</w:t>
            </w:r>
          </w:p>
        </w:tc>
        <w:tc>
          <w:tcPr>
            <w:tcW w:w="640" w:type="dxa"/>
            <w:vAlign w:val="bottom"/>
            <w:gridSpan w:val="2"/>
          </w:tcPr>
          <w:p>
            <w:pPr>
              <w:jc w:val="center"/>
              <w:ind w:left="66"/>
              <w:spacing w:after="0"/>
              <w:rPr>
                <w:sz w:val="20"/>
                <w:szCs w:val="20"/>
                <w:color w:val="auto"/>
              </w:rPr>
            </w:pPr>
            <w:r>
              <w:rPr>
                <w:rFonts w:ascii="Arial" w:cs="Arial" w:eastAsia="Arial" w:hAnsi="Arial"/>
                <w:sz w:val="11"/>
                <w:szCs w:val="11"/>
                <w:color w:val="auto"/>
                <w:w w:val="87"/>
              </w:rPr>
              <w:t>05/01/2023</w:t>
            </w:r>
          </w:p>
        </w:tc>
        <w:tc>
          <w:tcPr>
            <w:tcW w:w="240" w:type="dxa"/>
            <w:vAlign w:val="bottom"/>
          </w:tcPr>
          <w:p>
            <w:pPr>
              <w:spacing w:after="0"/>
              <w:rPr>
                <w:sz w:val="11"/>
                <w:szCs w:val="11"/>
                <w:color w:val="auto"/>
              </w:rPr>
            </w:pPr>
          </w:p>
        </w:tc>
        <w:tc>
          <w:tcPr>
            <w:tcW w:w="2760" w:type="dxa"/>
            <w:vAlign w:val="bottom"/>
            <w:gridSpan w:val="2"/>
          </w:tcPr>
          <w:p>
            <w:pPr>
              <w:jc w:val="center"/>
              <w:ind w:right="140"/>
              <w:spacing w:after="0"/>
              <w:rPr>
                <w:sz w:val="20"/>
                <w:szCs w:val="20"/>
                <w:color w:val="auto"/>
              </w:rPr>
            </w:pPr>
            <w:r>
              <w:rPr>
                <w:rFonts w:ascii="Arial" w:cs="Arial" w:eastAsia="Arial" w:hAnsi="Arial"/>
                <w:sz w:val="11"/>
                <w:szCs w:val="11"/>
                <w:color w:val="auto"/>
                <w:w w:val="86"/>
              </w:rPr>
              <w:t>Beverage, Food and Tobacco</w:t>
            </w:r>
          </w:p>
        </w:tc>
        <w:tc>
          <w:tcPr>
            <w:tcW w:w="860" w:type="dxa"/>
            <w:vAlign w:val="bottom"/>
            <w:gridSpan w:val="2"/>
          </w:tcPr>
          <w:p>
            <w:pPr>
              <w:jc w:val="right"/>
              <w:ind w:right="180"/>
              <w:spacing w:after="0"/>
              <w:rPr>
                <w:sz w:val="20"/>
                <w:szCs w:val="20"/>
                <w:color w:val="auto"/>
              </w:rPr>
            </w:pPr>
            <w:r>
              <w:rPr>
                <w:rFonts w:ascii="Arial" w:cs="Arial" w:eastAsia="Arial" w:hAnsi="Arial"/>
                <w:sz w:val="11"/>
                <w:szCs w:val="11"/>
                <w:color w:val="auto"/>
              </w:rPr>
              <w:t>7.01%</w:t>
            </w:r>
          </w:p>
        </w:tc>
        <w:tc>
          <w:tcPr>
            <w:tcW w:w="560" w:type="dxa"/>
            <w:vAlign w:val="bottom"/>
          </w:tcPr>
          <w:p>
            <w:pPr>
              <w:ind w:left="400"/>
              <w:spacing w:after="0"/>
              <w:rPr>
                <w:sz w:val="20"/>
                <w:szCs w:val="20"/>
                <w:color w:val="auto"/>
              </w:rPr>
            </w:pPr>
            <w:r>
              <w:rPr>
                <w:rFonts w:ascii="Arial" w:cs="Arial" w:eastAsia="Arial" w:hAnsi="Arial"/>
                <w:sz w:val="11"/>
                <w:szCs w:val="11"/>
                <w:color w:val="auto"/>
                <w:w w:val="91"/>
              </w:rPr>
              <w:t>1M</w:t>
            </w:r>
          </w:p>
        </w:tc>
        <w:tc>
          <w:tcPr>
            <w:tcW w:w="540" w:type="dxa"/>
            <w:vAlign w:val="bottom"/>
            <w:gridSpan w:val="3"/>
          </w:tcPr>
          <w:p>
            <w:pPr>
              <w:jc w:val="right"/>
              <w:ind w:right="220"/>
              <w:spacing w:after="0"/>
              <w:rPr>
                <w:sz w:val="20"/>
                <w:szCs w:val="20"/>
                <w:color w:val="auto"/>
              </w:rPr>
            </w:pPr>
            <w:r>
              <w:rPr>
                <w:rFonts w:ascii="Arial" w:cs="Arial" w:eastAsia="Arial" w:hAnsi="Arial"/>
                <w:sz w:val="11"/>
                <w:szCs w:val="11"/>
                <w:color w:val="auto"/>
                <w:w w:val="96"/>
              </w:rPr>
              <w:t>L+500</w:t>
            </w:r>
          </w:p>
        </w:tc>
        <w:tc>
          <w:tcPr>
            <w:tcW w:w="580" w:type="dxa"/>
            <w:vAlign w:val="bottom"/>
          </w:tcPr>
          <w:p>
            <w:pPr>
              <w:jc w:val="right"/>
              <w:spacing w:after="0"/>
              <w:rPr>
                <w:sz w:val="20"/>
                <w:szCs w:val="20"/>
                <w:color w:val="auto"/>
              </w:rPr>
            </w:pPr>
            <w:r>
              <w:rPr>
                <w:rFonts w:ascii="Arial" w:cs="Arial" w:eastAsia="Arial" w:hAnsi="Arial"/>
                <w:sz w:val="11"/>
                <w:szCs w:val="11"/>
                <w:color w:val="auto"/>
              </w:rPr>
              <w:t>306,075</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306,075</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306,075</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gridSpan w:val="2"/>
            <w:shd w:val="clear" w:color="auto" w:fill="CCECFF"/>
          </w:tcPr>
          <w:p>
            <w:pPr>
              <w:spacing w:after="0"/>
              <w:rPr>
                <w:sz w:val="20"/>
                <w:szCs w:val="20"/>
                <w:color w:val="auto"/>
              </w:rPr>
            </w:pPr>
            <w:r>
              <w:rPr>
                <w:rFonts w:ascii="Arial" w:cs="Arial" w:eastAsia="Arial" w:hAnsi="Arial"/>
                <w:sz w:val="11"/>
                <w:szCs w:val="11"/>
                <w:color w:val="auto"/>
              </w:rPr>
              <w:t xml:space="preserve">Country Fresh Holdings, LLC - (Revolver) </w:t>
            </w:r>
            <w:r>
              <w:rPr>
                <w:rFonts w:ascii="Arial" w:cs="Arial" w:eastAsia="Arial" w:hAnsi="Arial"/>
                <w:sz w:val="9"/>
                <w:szCs w:val="9"/>
                <w:color w:val="auto"/>
              </w:rPr>
              <w:t>(5)</w:t>
            </w:r>
          </w:p>
        </w:tc>
        <w:tc>
          <w:tcPr>
            <w:tcW w:w="64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87"/>
              </w:rPr>
              <w:t>05/01/2023</w:t>
            </w:r>
          </w:p>
        </w:tc>
        <w:tc>
          <w:tcPr>
            <w:tcW w:w="24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6"/>
              </w:rPr>
              <w:t>Beverage, Food and Tobacco</w:t>
            </w:r>
          </w:p>
        </w:tc>
        <w:tc>
          <w:tcPr>
            <w:tcW w:w="86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560" w:type="dxa"/>
            <w:vAlign w:val="bottom"/>
            <w:shd w:val="clear" w:color="auto" w:fill="CCECFF"/>
          </w:tcPr>
          <w:p>
            <w:pPr>
              <w:spacing w:after="0"/>
              <w:rPr>
                <w:sz w:val="11"/>
                <w:szCs w:val="11"/>
                <w:color w:val="auto"/>
              </w:rPr>
            </w:pPr>
          </w:p>
        </w:tc>
        <w:tc>
          <w:tcPr>
            <w:tcW w:w="540" w:type="dxa"/>
            <w:vAlign w:val="bottom"/>
            <w:gridSpan w:val="3"/>
            <w:shd w:val="clear" w:color="auto" w:fill="CCECFF"/>
          </w:tcPr>
          <w:p>
            <w:pPr>
              <w:jc w:val="right"/>
              <w:ind w:right="220"/>
              <w:spacing w:after="0"/>
              <w:rPr>
                <w:sz w:val="20"/>
                <w:szCs w:val="20"/>
                <w:color w:val="auto"/>
              </w:rPr>
            </w:pPr>
            <w:r>
              <w:rPr>
                <w:rFonts w:ascii="Arial" w:cs="Arial" w:eastAsia="Arial" w:hAnsi="Arial"/>
                <w:sz w:val="11"/>
                <w:szCs w:val="11"/>
                <w:color w:val="auto"/>
              </w:rPr>
              <w:t>—</w:t>
            </w: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144,036</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760" w:type="dxa"/>
            <w:vAlign w:val="bottom"/>
            <w:gridSpan w:val="2"/>
            <w:shd w:val="clear" w:color="auto" w:fill="CCECFF"/>
          </w:tcPr>
          <w:p>
            <w:pPr>
              <w:jc w:val="right"/>
              <w:ind w:right="14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5"/>
        </w:trPr>
        <w:tc>
          <w:tcPr>
            <w:tcW w:w="3060" w:type="dxa"/>
            <w:vAlign w:val="bottom"/>
            <w:gridSpan w:val="2"/>
          </w:tcPr>
          <w:p>
            <w:pPr>
              <w:spacing w:after="0"/>
              <w:rPr>
                <w:sz w:val="20"/>
                <w:szCs w:val="20"/>
                <w:color w:val="auto"/>
              </w:rPr>
            </w:pPr>
            <w:r>
              <w:rPr>
                <w:rFonts w:ascii="Arial" w:cs="Arial" w:eastAsia="Arial" w:hAnsi="Arial"/>
                <w:sz w:val="11"/>
                <w:szCs w:val="11"/>
                <w:color w:val="auto"/>
              </w:rPr>
              <w:t>Douglas Products and Packaging Company LLC</w:t>
            </w:r>
          </w:p>
        </w:tc>
        <w:tc>
          <w:tcPr>
            <w:tcW w:w="640" w:type="dxa"/>
            <w:vAlign w:val="bottom"/>
            <w:gridSpan w:val="2"/>
          </w:tcPr>
          <w:p>
            <w:pPr>
              <w:jc w:val="center"/>
              <w:ind w:left="66"/>
              <w:spacing w:after="0"/>
              <w:rPr>
                <w:sz w:val="20"/>
                <w:szCs w:val="20"/>
                <w:color w:val="auto"/>
              </w:rPr>
            </w:pPr>
            <w:r>
              <w:rPr>
                <w:rFonts w:ascii="Arial" w:cs="Arial" w:eastAsia="Arial" w:hAnsi="Arial"/>
                <w:sz w:val="11"/>
                <w:szCs w:val="11"/>
                <w:color w:val="auto"/>
                <w:w w:val="87"/>
              </w:rPr>
              <w:t>10/19/2022</w:t>
            </w:r>
          </w:p>
        </w:tc>
        <w:tc>
          <w:tcPr>
            <w:tcW w:w="240" w:type="dxa"/>
            <w:vAlign w:val="bottom"/>
          </w:tcPr>
          <w:p>
            <w:pPr>
              <w:spacing w:after="0"/>
              <w:rPr>
                <w:sz w:val="11"/>
                <w:szCs w:val="11"/>
                <w:color w:val="auto"/>
              </w:rPr>
            </w:pPr>
          </w:p>
        </w:tc>
        <w:tc>
          <w:tcPr>
            <w:tcW w:w="2760" w:type="dxa"/>
            <w:vAlign w:val="bottom"/>
            <w:gridSpan w:val="2"/>
          </w:tcPr>
          <w:p>
            <w:pPr>
              <w:jc w:val="center"/>
              <w:ind w:right="140"/>
              <w:spacing w:after="0"/>
              <w:rPr>
                <w:sz w:val="20"/>
                <w:szCs w:val="20"/>
                <w:color w:val="auto"/>
              </w:rPr>
            </w:pPr>
            <w:r>
              <w:rPr>
                <w:rFonts w:ascii="Arial" w:cs="Arial" w:eastAsia="Arial" w:hAnsi="Arial"/>
                <w:sz w:val="11"/>
                <w:szCs w:val="11"/>
                <w:color w:val="auto"/>
                <w:w w:val="88"/>
              </w:rPr>
              <w:t>Chemicals, Plastics and Rubber</w:t>
            </w:r>
          </w:p>
        </w:tc>
        <w:tc>
          <w:tcPr>
            <w:tcW w:w="860" w:type="dxa"/>
            <w:vAlign w:val="bottom"/>
            <w:gridSpan w:val="2"/>
          </w:tcPr>
          <w:p>
            <w:pPr>
              <w:jc w:val="right"/>
              <w:ind w:right="180"/>
              <w:spacing w:after="0"/>
              <w:rPr>
                <w:sz w:val="20"/>
                <w:szCs w:val="20"/>
                <w:color w:val="auto"/>
              </w:rPr>
            </w:pPr>
            <w:r>
              <w:rPr>
                <w:rFonts w:ascii="Arial" w:cs="Arial" w:eastAsia="Arial" w:hAnsi="Arial"/>
                <w:sz w:val="11"/>
                <w:szCs w:val="11"/>
                <w:color w:val="auto"/>
              </w:rPr>
              <w:t>7.69%</w:t>
            </w:r>
          </w:p>
        </w:tc>
        <w:tc>
          <w:tcPr>
            <w:tcW w:w="560" w:type="dxa"/>
            <w:vAlign w:val="bottom"/>
          </w:tcPr>
          <w:p>
            <w:pPr>
              <w:ind w:left="400"/>
              <w:spacing w:after="0"/>
              <w:rPr>
                <w:sz w:val="20"/>
                <w:szCs w:val="20"/>
                <w:color w:val="auto"/>
              </w:rPr>
            </w:pPr>
            <w:r>
              <w:rPr>
                <w:rFonts w:ascii="Arial" w:cs="Arial" w:eastAsia="Arial" w:hAnsi="Arial"/>
                <w:sz w:val="11"/>
                <w:szCs w:val="11"/>
                <w:color w:val="auto"/>
                <w:w w:val="91"/>
              </w:rPr>
              <w:t>3M</w:t>
            </w:r>
          </w:p>
        </w:tc>
        <w:tc>
          <w:tcPr>
            <w:tcW w:w="540" w:type="dxa"/>
            <w:vAlign w:val="bottom"/>
            <w:gridSpan w:val="3"/>
          </w:tcPr>
          <w:p>
            <w:pPr>
              <w:jc w:val="right"/>
              <w:ind w:right="220"/>
              <w:spacing w:after="0"/>
              <w:rPr>
                <w:sz w:val="20"/>
                <w:szCs w:val="20"/>
                <w:color w:val="auto"/>
              </w:rPr>
            </w:pPr>
            <w:r>
              <w:rPr>
                <w:rFonts w:ascii="Arial" w:cs="Arial" w:eastAsia="Arial" w:hAnsi="Arial"/>
                <w:sz w:val="11"/>
                <w:szCs w:val="11"/>
                <w:color w:val="auto"/>
                <w:w w:val="96"/>
              </w:rPr>
              <w:t>L+575</w:t>
            </w:r>
          </w:p>
        </w:tc>
        <w:tc>
          <w:tcPr>
            <w:tcW w:w="580" w:type="dxa"/>
            <w:vAlign w:val="bottom"/>
          </w:tcPr>
          <w:p>
            <w:pPr>
              <w:jc w:val="right"/>
              <w:spacing w:after="0"/>
              <w:rPr>
                <w:sz w:val="20"/>
                <w:szCs w:val="20"/>
                <w:color w:val="auto"/>
              </w:rPr>
            </w:pPr>
            <w:r>
              <w:rPr>
                <w:rFonts w:ascii="Arial" w:cs="Arial" w:eastAsia="Arial" w:hAnsi="Arial"/>
                <w:sz w:val="11"/>
                <w:szCs w:val="11"/>
                <w:color w:val="auto"/>
                <w:w w:val="98"/>
              </w:rPr>
              <w:t>12,281,250</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12,136,773</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12,158,438</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gridSpan w:val="2"/>
            <w:shd w:val="clear" w:color="auto" w:fill="CCECFF"/>
          </w:tcPr>
          <w:p>
            <w:pPr>
              <w:spacing w:after="0"/>
              <w:rPr>
                <w:sz w:val="20"/>
                <w:szCs w:val="20"/>
                <w:color w:val="auto"/>
              </w:rPr>
            </w:pPr>
            <w:r>
              <w:rPr>
                <w:rFonts w:ascii="Arial" w:cs="Arial" w:eastAsia="Arial" w:hAnsi="Arial"/>
                <w:sz w:val="11"/>
                <w:szCs w:val="11"/>
                <w:color w:val="auto"/>
              </w:rPr>
              <w:t>Douglas Sewer Intermediate, LLC</w:t>
            </w:r>
          </w:p>
        </w:tc>
        <w:tc>
          <w:tcPr>
            <w:tcW w:w="64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87"/>
              </w:rPr>
              <w:t>10/19/2022</w:t>
            </w:r>
          </w:p>
        </w:tc>
        <w:tc>
          <w:tcPr>
            <w:tcW w:w="24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8"/>
              </w:rPr>
              <w:t>Chemicals, Plastics and Rubber</w:t>
            </w:r>
          </w:p>
        </w:tc>
        <w:tc>
          <w:tcPr>
            <w:tcW w:w="86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7.69%</w:t>
            </w:r>
          </w:p>
        </w:tc>
        <w:tc>
          <w:tcPr>
            <w:tcW w:w="560" w:type="dxa"/>
            <w:vAlign w:val="bottom"/>
            <w:shd w:val="clear" w:color="auto" w:fill="CCECFF"/>
          </w:tcPr>
          <w:p>
            <w:pPr>
              <w:ind w:left="400"/>
              <w:spacing w:after="0"/>
              <w:rPr>
                <w:sz w:val="20"/>
                <w:szCs w:val="20"/>
                <w:color w:val="auto"/>
              </w:rPr>
            </w:pPr>
            <w:r>
              <w:rPr>
                <w:rFonts w:ascii="Arial" w:cs="Arial" w:eastAsia="Arial" w:hAnsi="Arial"/>
                <w:sz w:val="11"/>
                <w:szCs w:val="11"/>
                <w:color w:val="auto"/>
                <w:w w:val="91"/>
              </w:rPr>
              <w:t>3M</w:t>
            </w:r>
          </w:p>
        </w:tc>
        <w:tc>
          <w:tcPr>
            <w:tcW w:w="540" w:type="dxa"/>
            <w:vAlign w:val="bottom"/>
            <w:gridSpan w:val="3"/>
            <w:shd w:val="clear" w:color="auto" w:fill="CCECFF"/>
          </w:tcPr>
          <w:p>
            <w:pPr>
              <w:jc w:val="right"/>
              <w:ind w:right="220"/>
              <w:spacing w:after="0"/>
              <w:rPr>
                <w:sz w:val="20"/>
                <w:szCs w:val="20"/>
                <w:color w:val="auto"/>
              </w:rPr>
            </w:pPr>
            <w:r>
              <w:rPr>
                <w:rFonts w:ascii="Arial" w:cs="Arial" w:eastAsia="Arial" w:hAnsi="Arial"/>
                <w:sz w:val="11"/>
                <w:szCs w:val="11"/>
                <w:color w:val="auto"/>
                <w:w w:val="96"/>
              </w:rPr>
              <w:t>L+575</w:t>
            </w: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8,146,023</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8,098,916</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8,064,563</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gridSpan w:val="2"/>
          </w:tcPr>
          <w:p>
            <w:pPr>
              <w:spacing w:after="0"/>
              <w:rPr>
                <w:sz w:val="20"/>
                <w:szCs w:val="20"/>
                <w:color w:val="auto"/>
              </w:rPr>
            </w:pPr>
            <w:r>
              <w:rPr>
                <w:rFonts w:ascii="Arial" w:cs="Arial" w:eastAsia="Arial" w:hAnsi="Arial"/>
                <w:sz w:val="11"/>
                <w:szCs w:val="11"/>
                <w:color w:val="auto"/>
              </w:rPr>
              <w:t>DRS Holdings III, Inc.</w:t>
            </w:r>
          </w:p>
        </w:tc>
        <w:tc>
          <w:tcPr>
            <w:tcW w:w="640" w:type="dxa"/>
            <w:vAlign w:val="bottom"/>
            <w:gridSpan w:val="2"/>
          </w:tcPr>
          <w:p>
            <w:pPr>
              <w:jc w:val="center"/>
              <w:ind w:left="66"/>
              <w:spacing w:after="0"/>
              <w:rPr>
                <w:sz w:val="20"/>
                <w:szCs w:val="20"/>
                <w:color w:val="auto"/>
              </w:rPr>
            </w:pPr>
            <w:r>
              <w:rPr>
                <w:rFonts w:ascii="Arial" w:cs="Arial" w:eastAsia="Arial" w:hAnsi="Arial"/>
                <w:sz w:val="11"/>
                <w:szCs w:val="11"/>
                <w:color w:val="auto"/>
                <w:w w:val="87"/>
              </w:rPr>
              <w:t>11/03/2025</w:t>
            </w:r>
          </w:p>
        </w:tc>
        <w:tc>
          <w:tcPr>
            <w:tcW w:w="240" w:type="dxa"/>
            <w:vAlign w:val="bottom"/>
          </w:tcPr>
          <w:p>
            <w:pPr>
              <w:spacing w:after="0"/>
              <w:rPr>
                <w:sz w:val="11"/>
                <w:szCs w:val="11"/>
                <w:color w:val="auto"/>
              </w:rPr>
            </w:pPr>
          </w:p>
        </w:tc>
        <w:tc>
          <w:tcPr>
            <w:tcW w:w="2760" w:type="dxa"/>
            <w:vAlign w:val="bottom"/>
            <w:gridSpan w:val="2"/>
          </w:tcPr>
          <w:p>
            <w:pPr>
              <w:jc w:val="center"/>
              <w:ind w:right="140"/>
              <w:spacing w:after="0"/>
              <w:rPr>
                <w:sz w:val="20"/>
                <w:szCs w:val="20"/>
                <w:color w:val="auto"/>
              </w:rPr>
            </w:pPr>
            <w:r>
              <w:rPr>
                <w:rFonts w:ascii="Arial" w:cs="Arial" w:eastAsia="Arial" w:hAnsi="Arial"/>
                <w:sz w:val="11"/>
                <w:szCs w:val="11"/>
                <w:color w:val="auto"/>
                <w:w w:val="89"/>
              </w:rPr>
              <w:t>Consumer Goods: Non-Durable</w:t>
            </w:r>
          </w:p>
        </w:tc>
        <w:tc>
          <w:tcPr>
            <w:tcW w:w="860" w:type="dxa"/>
            <w:vAlign w:val="bottom"/>
            <w:gridSpan w:val="2"/>
          </w:tcPr>
          <w:p>
            <w:pPr>
              <w:jc w:val="right"/>
              <w:ind w:right="180"/>
              <w:spacing w:after="0"/>
              <w:rPr>
                <w:sz w:val="20"/>
                <w:szCs w:val="20"/>
                <w:color w:val="auto"/>
              </w:rPr>
            </w:pPr>
            <w:r>
              <w:rPr>
                <w:rFonts w:ascii="Arial" w:cs="Arial" w:eastAsia="Arial" w:hAnsi="Arial"/>
                <w:sz w:val="11"/>
                <w:szCs w:val="11"/>
                <w:color w:val="auto"/>
              </w:rPr>
              <w:t>7.55%</w:t>
            </w:r>
          </w:p>
        </w:tc>
        <w:tc>
          <w:tcPr>
            <w:tcW w:w="560" w:type="dxa"/>
            <w:vAlign w:val="bottom"/>
          </w:tcPr>
          <w:p>
            <w:pPr>
              <w:ind w:left="400"/>
              <w:spacing w:after="0"/>
              <w:rPr>
                <w:sz w:val="20"/>
                <w:szCs w:val="20"/>
                <w:color w:val="auto"/>
              </w:rPr>
            </w:pPr>
            <w:r>
              <w:rPr>
                <w:rFonts w:ascii="Arial" w:cs="Arial" w:eastAsia="Arial" w:hAnsi="Arial"/>
                <w:sz w:val="11"/>
                <w:szCs w:val="11"/>
                <w:color w:val="auto"/>
                <w:w w:val="91"/>
              </w:rPr>
              <w:t>1M</w:t>
            </w:r>
          </w:p>
        </w:tc>
        <w:tc>
          <w:tcPr>
            <w:tcW w:w="540" w:type="dxa"/>
            <w:vAlign w:val="bottom"/>
            <w:gridSpan w:val="3"/>
          </w:tcPr>
          <w:p>
            <w:pPr>
              <w:jc w:val="right"/>
              <w:ind w:right="220"/>
              <w:spacing w:after="0"/>
              <w:rPr>
                <w:sz w:val="20"/>
                <w:szCs w:val="20"/>
                <w:color w:val="auto"/>
              </w:rPr>
            </w:pPr>
            <w:r>
              <w:rPr>
                <w:rFonts w:ascii="Arial" w:cs="Arial" w:eastAsia="Arial" w:hAnsi="Arial"/>
                <w:sz w:val="11"/>
                <w:szCs w:val="11"/>
                <w:color w:val="auto"/>
                <w:w w:val="96"/>
              </w:rPr>
              <w:t>L+575</w:t>
            </w:r>
          </w:p>
        </w:tc>
        <w:tc>
          <w:tcPr>
            <w:tcW w:w="580" w:type="dxa"/>
            <w:vAlign w:val="bottom"/>
          </w:tcPr>
          <w:p>
            <w:pPr>
              <w:jc w:val="right"/>
              <w:spacing w:after="0"/>
              <w:rPr>
                <w:sz w:val="20"/>
                <w:szCs w:val="20"/>
                <w:color w:val="auto"/>
              </w:rPr>
            </w:pPr>
            <w:r>
              <w:rPr>
                <w:rFonts w:ascii="Arial" w:cs="Arial" w:eastAsia="Arial" w:hAnsi="Arial"/>
                <w:sz w:val="11"/>
                <w:szCs w:val="11"/>
                <w:color w:val="auto"/>
              </w:rPr>
              <w:t>8,082,770</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8,004,468</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8,003,559</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060" w:type="dxa"/>
            <w:vAlign w:val="bottom"/>
            <w:gridSpan w:val="2"/>
            <w:shd w:val="clear" w:color="auto" w:fill="CCECFF"/>
          </w:tcPr>
          <w:p>
            <w:pPr>
              <w:spacing w:after="0"/>
              <w:rPr>
                <w:sz w:val="20"/>
                <w:szCs w:val="20"/>
                <w:color w:val="auto"/>
              </w:rPr>
            </w:pPr>
            <w:r>
              <w:rPr>
                <w:rFonts w:ascii="Arial" w:cs="Arial" w:eastAsia="Arial" w:hAnsi="Arial"/>
                <w:sz w:val="11"/>
                <w:szCs w:val="11"/>
                <w:color w:val="auto"/>
              </w:rPr>
              <w:t xml:space="preserve">Findex Group Limited </w:t>
            </w:r>
            <w:r>
              <w:rPr>
                <w:rFonts w:ascii="Arial" w:cs="Arial" w:eastAsia="Arial" w:hAnsi="Arial"/>
                <w:sz w:val="9"/>
                <w:szCs w:val="9"/>
                <w:color w:val="auto"/>
              </w:rPr>
              <w:t>(3), (4)</w:t>
            </w:r>
          </w:p>
        </w:tc>
        <w:tc>
          <w:tcPr>
            <w:tcW w:w="64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87"/>
              </w:rPr>
              <w:t>05/31/2024</w:t>
            </w:r>
          </w:p>
        </w:tc>
        <w:tc>
          <w:tcPr>
            <w:tcW w:w="240" w:type="dxa"/>
            <w:vAlign w:val="bottom"/>
            <w:shd w:val="clear" w:color="auto" w:fill="CCECFF"/>
          </w:tcPr>
          <w:p>
            <w:pPr>
              <w:spacing w:after="0"/>
              <w:rPr>
                <w:sz w:val="12"/>
                <w:szCs w:val="12"/>
                <w:color w:val="auto"/>
              </w:rPr>
            </w:pP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7"/>
              </w:rPr>
              <w:t>Banking, Finance, Insurance and Real Estate</w:t>
            </w:r>
          </w:p>
        </w:tc>
        <w:tc>
          <w:tcPr>
            <w:tcW w:w="86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6.19%</w:t>
            </w:r>
          </w:p>
        </w:tc>
        <w:tc>
          <w:tcPr>
            <w:tcW w:w="560" w:type="dxa"/>
            <w:vAlign w:val="bottom"/>
            <w:shd w:val="clear" w:color="auto" w:fill="CCECFF"/>
          </w:tcPr>
          <w:p>
            <w:pPr>
              <w:ind w:left="400"/>
              <w:spacing w:after="0"/>
              <w:rPr>
                <w:sz w:val="20"/>
                <w:szCs w:val="20"/>
                <w:color w:val="auto"/>
              </w:rPr>
            </w:pPr>
            <w:r>
              <w:rPr>
                <w:rFonts w:ascii="Arial" w:cs="Arial" w:eastAsia="Arial" w:hAnsi="Arial"/>
                <w:sz w:val="11"/>
                <w:szCs w:val="11"/>
                <w:color w:val="auto"/>
                <w:w w:val="91"/>
              </w:rPr>
              <w:t>3M</w:t>
            </w:r>
          </w:p>
        </w:tc>
        <w:tc>
          <w:tcPr>
            <w:tcW w:w="540" w:type="dxa"/>
            <w:vAlign w:val="bottom"/>
            <w:gridSpan w:val="3"/>
            <w:shd w:val="clear" w:color="auto" w:fill="CCECFF"/>
          </w:tcPr>
          <w:p>
            <w:pPr>
              <w:jc w:val="right"/>
              <w:ind w:right="40"/>
              <w:spacing w:after="0"/>
              <w:rPr>
                <w:sz w:val="20"/>
                <w:szCs w:val="20"/>
                <w:color w:val="auto"/>
              </w:rPr>
            </w:pPr>
            <w:r>
              <w:rPr>
                <w:rFonts w:ascii="Arial" w:cs="Arial" w:eastAsia="Arial" w:hAnsi="Arial"/>
                <w:sz w:val="11"/>
                <w:szCs w:val="11"/>
                <w:color w:val="auto"/>
              </w:rPr>
              <w:t>L+525A $</w:t>
            </w: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w w:val="89"/>
              </w:rPr>
              <w:t>10,000,000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7,385,187</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6,818,615</w:t>
            </w:r>
          </w:p>
        </w:tc>
        <w:tc>
          <w:tcPr>
            <w:tcW w:w="12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060" w:type="dxa"/>
            <w:vAlign w:val="bottom"/>
            <w:gridSpan w:val="2"/>
          </w:tcPr>
          <w:p>
            <w:pPr>
              <w:spacing w:after="0"/>
              <w:rPr>
                <w:sz w:val="20"/>
                <w:szCs w:val="20"/>
                <w:color w:val="auto"/>
              </w:rPr>
            </w:pPr>
            <w:r>
              <w:rPr>
                <w:rFonts w:ascii="Arial" w:cs="Arial" w:eastAsia="Arial" w:hAnsi="Arial"/>
                <w:sz w:val="11"/>
                <w:szCs w:val="11"/>
                <w:color w:val="auto"/>
              </w:rPr>
              <w:t>GCOM Software LLC</w:t>
            </w:r>
          </w:p>
        </w:tc>
        <w:tc>
          <w:tcPr>
            <w:tcW w:w="640" w:type="dxa"/>
            <w:vAlign w:val="bottom"/>
            <w:gridSpan w:val="2"/>
          </w:tcPr>
          <w:p>
            <w:pPr>
              <w:jc w:val="center"/>
              <w:ind w:left="66"/>
              <w:spacing w:after="0"/>
              <w:rPr>
                <w:sz w:val="20"/>
                <w:szCs w:val="20"/>
                <w:color w:val="auto"/>
              </w:rPr>
            </w:pPr>
            <w:r>
              <w:rPr>
                <w:rFonts w:ascii="Arial" w:cs="Arial" w:eastAsia="Arial" w:hAnsi="Arial"/>
                <w:sz w:val="11"/>
                <w:szCs w:val="11"/>
                <w:color w:val="auto"/>
                <w:w w:val="87"/>
              </w:rPr>
              <w:t>11/14/2022</w:t>
            </w:r>
          </w:p>
        </w:tc>
        <w:tc>
          <w:tcPr>
            <w:tcW w:w="240" w:type="dxa"/>
            <w:vAlign w:val="bottom"/>
          </w:tcPr>
          <w:p>
            <w:pPr>
              <w:spacing w:after="0"/>
              <w:rPr>
                <w:sz w:val="11"/>
                <w:szCs w:val="11"/>
                <w:color w:val="auto"/>
              </w:rPr>
            </w:pPr>
          </w:p>
        </w:tc>
        <w:tc>
          <w:tcPr>
            <w:tcW w:w="2760" w:type="dxa"/>
            <w:vAlign w:val="bottom"/>
            <w:gridSpan w:val="2"/>
          </w:tcPr>
          <w:p>
            <w:pPr>
              <w:jc w:val="center"/>
              <w:ind w:right="140"/>
              <w:spacing w:after="0"/>
              <w:rPr>
                <w:sz w:val="20"/>
                <w:szCs w:val="20"/>
                <w:color w:val="auto"/>
              </w:rPr>
            </w:pPr>
            <w:r>
              <w:rPr>
                <w:rFonts w:ascii="Arial" w:cs="Arial" w:eastAsia="Arial" w:hAnsi="Arial"/>
                <w:sz w:val="11"/>
                <w:szCs w:val="11"/>
                <w:color w:val="auto"/>
                <w:w w:val="89"/>
              </w:rPr>
              <w:t>High Tech Industries</w:t>
            </w:r>
          </w:p>
        </w:tc>
        <w:tc>
          <w:tcPr>
            <w:tcW w:w="860" w:type="dxa"/>
            <w:vAlign w:val="bottom"/>
            <w:gridSpan w:val="2"/>
          </w:tcPr>
          <w:p>
            <w:pPr>
              <w:jc w:val="right"/>
              <w:ind w:right="180"/>
              <w:spacing w:after="0"/>
              <w:rPr>
                <w:sz w:val="20"/>
                <w:szCs w:val="20"/>
                <w:color w:val="auto"/>
              </w:rPr>
            </w:pPr>
            <w:r>
              <w:rPr>
                <w:rFonts w:ascii="Arial" w:cs="Arial" w:eastAsia="Arial" w:hAnsi="Arial"/>
                <w:sz w:val="11"/>
                <w:szCs w:val="11"/>
                <w:color w:val="auto"/>
              </w:rPr>
              <w:t>7.96%</w:t>
            </w:r>
          </w:p>
        </w:tc>
        <w:tc>
          <w:tcPr>
            <w:tcW w:w="560" w:type="dxa"/>
            <w:vAlign w:val="bottom"/>
          </w:tcPr>
          <w:p>
            <w:pPr>
              <w:ind w:left="400"/>
              <w:spacing w:after="0"/>
              <w:rPr>
                <w:sz w:val="20"/>
                <w:szCs w:val="20"/>
                <w:color w:val="auto"/>
              </w:rPr>
            </w:pPr>
            <w:r>
              <w:rPr>
                <w:rFonts w:ascii="Arial" w:cs="Arial" w:eastAsia="Arial" w:hAnsi="Arial"/>
                <w:sz w:val="11"/>
                <w:szCs w:val="11"/>
                <w:color w:val="auto"/>
                <w:w w:val="91"/>
              </w:rPr>
              <w:t>1M</w:t>
            </w:r>
          </w:p>
        </w:tc>
        <w:tc>
          <w:tcPr>
            <w:tcW w:w="540" w:type="dxa"/>
            <w:vAlign w:val="bottom"/>
            <w:gridSpan w:val="3"/>
          </w:tcPr>
          <w:p>
            <w:pPr>
              <w:jc w:val="right"/>
              <w:ind w:right="220"/>
              <w:spacing w:after="0"/>
              <w:rPr>
                <w:sz w:val="20"/>
                <w:szCs w:val="20"/>
                <w:color w:val="auto"/>
              </w:rPr>
            </w:pPr>
            <w:r>
              <w:rPr>
                <w:rFonts w:ascii="Arial" w:cs="Arial" w:eastAsia="Arial" w:hAnsi="Arial"/>
                <w:sz w:val="11"/>
                <w:szCs w:val="11"/>
                <w:color w:val="auto"/>
                <w:w w:val="96"/>
              </w:rPr>
              <w:t>L+625</w:t>
            </w:r>
          </w:p>
        </w:tc>
        <w:tc>
          <w:tcPr>
            <w:tcW w:w="580" w:type="dxa"/>
            <w:vAlign w:val="bottom"/>
          </w:tcPr>
          <w:p>
            <w:pPr>
              <w:jc w:val="right"/>
              <w:spacing w:after="0"/>
              <w:rPr>
                <w:sz w:val="20"/>
                <w:szCs w:val="20"/>
                <w:color w:val="auto"/>
              </w:rPr>
            </w:pPr>
            <w:r>
              <w:rPr>
                <w:rFonts w:ascii="Arial" w:cs="Arial" w:eastAsia="Arial" w:hAnsi="Arial"/>
                <w:sz w:val="11"/>
                <w:szCs w:val="11"/>
                <w:color w:val="auto"/>
                <w:w w:val="98"/>
              </w:rPr>
              <w:t>17,237,379</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17,124,994</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17,237,379</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gridSpan w:val="2"/>
            <w:shd w:val="clear" w:color="auto" w:fill="CCECFF"/>
          </w:tcPr>
          <w:p>
            <w:pPr>
              <w:spacing w:after="0"/>
              <w:rPr>
                <w:sz w:val="20"/>
                <w:szCs w:val="20"/>
                <w:color w:val="auto"/>
              </w:rPr>
            </w:pPr>
            <w:r>
              <w:rPr>
                <w:rFonts w:ascii="Arial" w:cs="Arial" w:eastAsia="Arial" w:hAnsi="Arial"/>
                <w:sz w:val="11"/>
                <w:szCs w:val="11"/>
                <w:color w:val="auto"/>
              </w:rPr>
              <w:t>Good2Grow LLC</w:t>
            </w:r>
          </w:p>
        </w:tc>
        <w:tc>
          <w:tcPr>
            <w:tcW w:w="64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87"/>
              </w:rPr>
              <w:t>11/18/2024</w:t>
            </w:r>
          </w:p>
        </w:tc>
        <w:tc>
          <w:tcPr>
            <w:tcW w:w="24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7"/>
              </w:rPr>
              <w:t>Beverages</w:t>
            </w:r>
          </w:p>
        </w:tc>
        <w:tc>
          <w:tcPr>
            <w:tcW w:w="86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6.19%</w:t>
            </w:r>
          </w:p>
        </w:tc>
        <w:tc>
          <w:tcPr>
            <w:tcW w:w="560" w:type="dxa"/>
            <w:vAlign w:val="bottom"/>
            <w:shd w:val="clear" w:color="auto" w:fill="CCECFF"/>
          </w:tcPr>
          <w:p>
            <w:pPr>
              <w:ind w:left="400"/>
              <w:spacing w:after="0"/>
              <w:rPr>
                <w:sz w:val="20"/>
                <w:szCs w:val="20"/>
                <w:color w:val="auto"/>
              </w:rPr>
            </w:pPr>
            <w:r>
              <w:rPr>
                <w:rFonts w:ascii="Arial" w:cs="Arial" w:eastAsia="Arial" w:hAnsi="Arial"/>
                <w:sz w:val="11"/>
                <w:szCs w:val="11"/>
                <w:color w:val="auto"/>
                <w:w w:val="91"/>
              </w:rPr>
              <w:t>3M</w:t>
            </w:r>
          </w:p>
        </w:tc>
        <w:tc>
          <w:tcPr>
            <w:tcW w:w="540" w:type="dxa"/>
            <w:vAlign w:val="bottom"/>
            <w:gridSpan w:val="3"/>
            <w:shd w:val="clear" w:color="auto" w:fill="CCECFF"/>
          </w:tcPr>
          <w:p>
            <w:pPr>
              <w:jc w:val="right"/>
              <w:ind w:right="220"/>
              <w:spacing w:after="0"/>
              <w:rPr>
                <w:sz w:val="20"/>
                <w:szCs w:val="20"/>
                <w:color w:val="auto"/>
              </w:rPr>
            </w:pPr>
            <w:r>
              <w:rPr>
                <w:rFonts w:ascii="Arial" w:cs="Arial" w:eastAsia="Arial" w:hAnsi="Arial"/>
                <w:sz w:val="11"/>
                <w:szCs w:val="11"/>
                <w:color w:val="auto"/>
                <w:w w:val="96"/>
              </w:rPr>
              <w:t>L+425</w:t>
            </w: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w w:val="98"/>
              </w:rPr>
              <w:t>11,329,248</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11,233,370</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11,215,956</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gridSpan w:val="2"/>
          </w:tcPr>
          <w:p>
            <w:pPr>
              <w:spacing w:after="0"/>
              <w:rPr>
                <w:sz w:val="20"/>
                <w:szCs w:val="20"/>
                <w:color w:val="auto"/>
              </w:rPr>
            </w:pPr>
            <w:r>
              <w:rPr>
                <w:rFonts w:ascii="Arial" w:cs="Arial" w:eastAsia="Arial" w:hAnsi="Arial"/>
                <w:sz w:val="11"/>
                <w:szCs w:val="11"/>
                <w:color w:val="auto"/>
              </w:rPr>
              <w:t>GSM Holdings, Inc.</w:t>
            </w:r>
          </w:p>
        </w:tc>
        <w:tc>
          <w:tcPr>
            <w:tcW w:w="640" w:type="dxa"/>
            <w:vAlign w:val="bottom"/>
            <w:gridSpan w:val="2"/>
          </w:tcPr>
          <w:p>
            <w:pPr>
              <w:jc w:val="center"/>
              <w:ind w:left="66"/>
              <w:spacing w:after="0"/>
              <w:rPr>
                <w:sz w:val="20"/>
                <w:szCs w:val="20"/>
                <w:color w:val="auto"/>
              </w:rPr>
            </w:pPr>
            <w:r>
              <w:rPr>
                <w:rFonts w:ascii="Arial" w:cs="Arial" w:eastAsia="Arial" w:hAnsi="Arial"/>
                <w:sz w:val="11"/>
                <w:szCs w:val="11"/>
                <w:color w:val="auto"/>
                <w:w w:val="87"/>
              </w:rPr>
              <w:t>06/03/2024</w:t>
            </w:r>
          </w:p>
        </w:tc>
        <w:tc>
          <w:tcPr>
            <w:tcW w:w="240" w:type="dxa"/>
            <w:vAlign w:val="bottom"/>
          </w:tcPr>
          <w:p>
            <w:pPr>
              <w:spacing w:after="0"/>
              <w:rPr>
                <w:sz w:val="11"/>
                <w:szCs w:val="11"/>
                <w:color w:val="auto"/>
              </w:rPr>
            </w:pPr>
          </w:p>
        </w:tc>
        <w:tc>
          <w:tcPr>
            <w:tcW w:w="2760" w:type="dxa"/>
            <w:vAlign w:val="bottom"/>
            <w:gridSpan w:val="2"/>
          </w:tcPr>
          <w:p>
            <w:pPr>
              <w:jc w:val="center"/>
              <w:ind w:right="160"/>
              <w:spacing w:after="0"/>
              <w:rPr>
                <w:sz w:val="20"/>
                <w:szCs w:val="20"/>
                <w:color w:val="auto"/>
              </w:rPr>
            </w:pPr>
            <w:r>
              <w:rPr>
                <w:rFonts w:ascii="Arial" w:cs="Arial" w:eastAsia="Arial" w:hAnsi="Arial"/>
                <w:sz w:val="11"/>
                <w:szCs w:val="11"/>
                <w:color w:val="auto"/>
                <w:w w:val="88"/>
              </w:rPr>
              <w:t>Consumer Goods: Durable</w:t>
            </w:r>
          </w:p>
        </w:tc>
        <w:tc>
          <w:tcPr>
            <w:tcW w:w="860" w:type="dxa"/>
            <w:vAlign w:val="bottom"/>
            <w:gridSpan w:val="2"/>
          </w:tcPr>
          <w:p>
            <w:pPr>
              <w:jc w:val="right"/>
              <w:ind w:right="180"/>
              <w:spacing w:after="0"/>
              <w:rPr>
                <w:sz w:val="20"/>
                <w:szCs w:val="20"/>
                <w:color w:val="auto"/>
              </w:rPr>
            </w:pPr>
            <w:r>
              <w:rPr>
                <w:rFonts w:ascii="Arial" w:cs="Arial" w:eastAsia="Arial" w:hAnsi="Arial"/>
                <w:sz w:val="11"/>
                <w:szCs w:val="11"/>
                <w:color w:val="auto"/>
              </w:rPr>
              <w:t>6.60%</w:t>
            </w:r>
          </w:p>
        </w:tc>
        <w:tc>
          <w:tcPr>
            <w:tcW w:w="560" w:type="dxa"/>
            <w:vAlign w:val="bottom"/>
          </w:tcPr>
          <w:p>
            <w:pPr>
              <w:ind w:left="400"/>
              <w:spacing w:after="0"/>
              <w:rPr>
                <w:sz w:val="20"/>
                <w:szCs w:val="20"/>
                <w:color w:val="auto"/>
              </w:rPr>
            </w:pPr>
            <w:r>
              <w:rPr>
                <w:rFonts w:ascii="Arial" w:cs="Arial" w:eastAsia="Arial" w:hAnsi="Arial"/>
                <w:sz w:val="11"/>
                <w:szCs w:val="11"/>
                <w:color w:val="auto"/>
                <w:w w:val="91"/>
              </w:rPr>
              <w:t>3M</w:t>
            </w:r>
          </w:p>
        </w:tc>
        <w:tc>
          <w:tcPr>
            <w:tcW w:w="540" w:type="dxa"/>
            <w:vAlign w:val="bottom"/>
            <w:gridSpan w:val="3"/>
          </w:tcPr>
          <w:p>
            <w:pPr>
              <w:jc w:val="right"/>
              <w:ind w:right="220"/>
              <w:spacing w:after="0"/>
              <w:rPr>
                <w:sz w:val="20"/>
                <w:szCs w:val="20"/>
                <w:color w:val="auto"/>
              </w:rPr>
            </w:pPr>
            <w:r>
              <w:rPr>
                <w:rFonts w:ascii="Arial" w:cs="Arial" w:eastAsia="Arial" w:hAnsi="Arial"/>
                <w:sz w:val="11"/>
                <w:szCs w:val="11"/>
                <w:color w:val="auto"/>
                <w:w w:val="96"/>
              </w:rPr>
              <w:t>L+450</w:t>
            </w:r>
          </w:p>
        </w:tc>
        <w:tc>
          <w:tcPr>
            <w:tcW w:w="580" w:type="dxa"/>
            <w:vAlign w:val="bottom"/>
          </w:tcPr>
          <w:p>
            <w:pPr>
              <w:jc w:val="right"/>
              <w:spacing w:after="0"/>
              <w:rPr>
                <w:sz w:val="20"/>
                <w:szCs w:val="20"/>
                <w:color w:val="auto"/>
              </w:rPr>
            </w:pPr>
            <w:r>
              <w:rPr>
                <w:rFonts w:ascii="Arial" w:cs="Arial" w:eastAsia="Arial" w:hAnsi="Arial"/>
                <w:sz w:val="11"/>
                <w:szCs w:val="11"/>
                <w:color w:val="auto"/>
                <w:w w:val="98"/>
              </w:rPr>
              <w:t>19,619,454</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19,481,180</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19,423,260</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gridSpan w:val="2"/>
            <w:shd w:val="clear" w:color="auto" w:fill="CCECFF"/>
          </w:tcPr>
          <w:p>
            <w:pPr>
              <w:spacing w:after="0"/>
              <w:rPr>
                <w:sz w:val="20"/>
                <w:szCs w:val="20"/>
                <w:color w:val="auto"/>
              </w:rPr>
            </w:pPr>
            <w:r>
              <w:rPr>
                <w:rFonts w:ascii="Arial" w:cs="Arial" w:eastAsia="Arial" w:hAnsi="Arial"/>
                <w:sz w:val="11"/>
                <w:szCs w:val="11"/>
                <w:color w:val="auto"/>
              </w:rPr>
              <w:t>IMIA Holdings, Inc.</w:t>
            </w:r>
          </w:p>
        </w:tc>
        <w:tc>
          <w:tcPr>
            <w:tcW w:w="64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87"/>
              </w:rPr>
              <w:t>10/28/2024</w:t>
            </w:r>
          </w:p>
        </w:tc>
        <w:tc>
          <w:tcPr>
            <w:tcW w:w="24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6"/>
              </w:rPr>
              <w:t>Aerospace and Defense</w:t>
            </w:r>
          </w:p>
        </w:tc>
        <w:tc>
          <w:tcPr>
            <w:tcW w:w="86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6.44%</w:t>
            </w:r>
          </w:p>
        </w:tc>
        <w:tc>
          <w:tcPr>
            <w:tcW w:w="560" w:type="dxa"/>
            <w:vAlign w:val="bottom"/>
            <w:shd w:val="clear" w:color="auto" w:fill="CCECFF"/>
          </w:tcPr>
          <w:p>
            <w:pPr>
              <w:ind w:left="400"/>
              <w:spacing w:after="0"/>
              <w:rPr>
                <w:sz w:val="20"/>
                <w:szCs w:val="20"/>
                <w:color w:val="auto"/>
              </w:rPr>
            </w:pPr>
            <w:r>
              <w:rPr>
                <w:rFonts w:ascii="Arial" w:cs="Arial" w:eastAsia="Arial" w:hAnsi="Arial"/>
                <w:sz w:val="11"/>
                <w:szCs w:val="11"/>
                <w:color w:val="auto"/>
                <w:w w:val="91"/>
              </w:rPr>
              <w:t>3M</w:t>
            </w:r>
          </w:p>
        </w:tc>
        <w:tc>
          <w:tcPr>
            <w:tcW w:w="540" w:type="dxa"/>
            <w:vAlign w:val="bottom"/>
            <w:gridSpan w:val="3"/>
            <w:shd w:val="clear" w:color="auto" w:fill="CCECFF"/>
          </w:tcPr>
          <w:p>
            <w:pPr>
              <w:jc w:val="right"/>
              <w:ind w:right="220"/>
              <w:spacing w:after="0"/>
              <w:rPr>
                <w:sz w:val="20"/>
                <w:szCs w:val="20"/>
                <w:color w:val="auto"/>
              </w:rPr>
            </w:pPr>
            <w:r>
              <w:rPr>
                <w:rFonts w:ascii="Arial" w:cs="Arial" w:eastAsia="Arial" w:hAnsi="Arial"/>
                <w:sz w:val="11"/>
                <w:szCs w:val="11"/>
                <w:color w:val="auto"/>
                <w:w w:val="96"/>
              </w:rPr>
              <w:t>L+450</w:t>
            </w: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w w:val="98"/>
              </w:rPr>
              <w:t>12,375,000</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12,321,890</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12,313,125</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gridSpan w:val="2"/>
          </w:tcPr>
          <w:p>
            <w:pPr>
              <w:spacing w:after="0"/>
              <w:rPr>
                <w:sz w:val="20"/>
                <w:szCs w:val="20"/>
                <w:color w:val="auto"/>
              </w:rPr>
            </w:pPr>
            <w:r>
              <w:rPr>
                <w:rFonts w:ascii="Arial" w:cs="Arial" w:eastAsia="Arial" w:hAnsi="Arial"/>
                <w:sz w:val="11"/>
                <w:szCs w:val="11"/>
                <w:color w:val="auto"/>
              </w:rPr>
              <w:t>Impact Group, LLC</w:t>
            </w:r>
          </w:p>
        </w:tc>
        <w:tc>
          <w:tcPr>
            <w:tcW w:w="640" w:type="dxa"/>
            <w:vAlign w:val="bottom"/>
            <w:gridSpan w:val="2"/>
          </w:tcPr>
          <w:p>
            <w:pPr>
              <w:jc w:val="center"/>
              <w:ind w:left="66"/>
              <w:spacing w:after="0"/>
              <w:rPr>
                <w:sz w:val="20"/>
                <w:szCs w:val="20"/>
                <w:color w:val="auto"/>
              </w:rPr>
            </w:pPr>
            <w:r>
              <w:rPr>
                <w:rFonts w:ascii="Arial" w:cs="Arial" w:eastAsia="Arial" w:hAnsi="Arial"/>
                <w:sz w:val="11"/>
                <w:szCs w:val="11"/>
                <w:color w:val="auto"/>
                <w:w w:val="87"/>
              </w:rPr>
              <w:t>06/27/2023</w:t>
            </w:r>
          </w:p>
        </w:tc>
        <w:tc>
          <w:tcPr>
            <w:tcW w:w="240" w:type="dxa"/>
            <w:vAlign w:val="bottom"/>
          </w:tcPr>
          <w:p>
            <w:pPr>
              <w:spacing w:after="0"/>
              <w:rPr>
                <w:sz w:val="11"/>
                <w:szCs w:val="11"/>
                <w:color w:val="auto"/>
              </w:rPr>
            </w:pPr>
          </w:p>
        </w:tc>
        <w:tc>
          <w:tcPr>
            <w:tcW w:w="2760" w:type="dxa"/>
            <w:vAlign w:val="bottom"/>
            <w:gridSpan w:val="2"/>
          </w:tcPr>
          <w:p>
            <w:pPr>
              <w:jc w:val="center"/>
              <w:ind w:right="140"/>
              <w:spacing w:after="0"/>
              <w:rPr>
                <w:sz w:val="20"/>
                <w:szCs w:val="20"/>
                <w:color w:val="auto"/>
              </w:rPr>
            </w:pPr>
            <w:r>
              <w:rPr>
                <w:rFonts w:ascii="Arial" w:cs="Arial" w:eastAsia="Arial" w:hAnsi="Arial"/>
                <w:sz w:val="11"/>
                <w:szCs w:val="11"/>
                <w:color w:val="auto"/>
                <w:w w:val="89"/>
              </w:rPr>
              <w:t>Wholesale</w:t>
            </w:r>
          </w:p>
        </w:tc>
        <w:tc>
          <w:tcPr>
            <w:tcW w:w="860" w:type="dxa"/>
            <w:vAlign w:val="bottom"/>
            <w:gridSpan w:val="2"/>
          </w:tcPr>
          <w:p>
            <w:pPr>
              <w:jc w:val="right"/>
              <w:ind w:right="180"/>
              <w:spacing w:after="0"/>
              <w:rPr>
                <w:sz w:val="20"/>
                <w:szCs w:val="20"/>
                <w:color w:val="auto"/>
              </w:rPr>
            </w:pPr>
            <w:r>
              <w:rPr>
                <w:rFonts w:ascii="Arial" w:cs="Arial" w:eastAsia="Arial" w:hAnsi="Arial"/>
                <w:sz w:val="11"/>
                <w:szCs w:val="11"/>
                <w:color w:val="auto"/>
              </w:rPr>
              <w:t>8.44%</w:t>
            </w:r>
          </w:p>
        </w:tc>
        <w:tc>
          <w:tcPr>
            <w:tcW w:w="560" w:type="dxa"/>
            <w:vAlign w:val="bottom"/>
          </w:tcPr>
          <w:p>
            <w:pPr>
              <w:ind w:left="400"/>
              <w:spacing w:after="0"/>
              <w:rPr>
                <w:sz w:val="20"/>
                <w:szCs w:val="20"/>
                <w:color w:val="auto"/>
              </w:rPr>
            </w:pPr>
            <w:r>
              <w:rPr>
                <w:rFonts w:ascii="Arial" w:cs="Arial" w:eastAsia="Arial" w:hAnsi="Arial"/>
                <w:sz w:val="11"/>
                <w:szCs w:val="11"/>
                <w:color w:val="auto"/>
                <w:w w:val="91"/>
              </w:rPr>
              <w:t>1M</w:t>
            </w:r>
          </w:p>
        </w:tc>
        <w:tc>
          <w:tcPr>
            <w:tcW w:w="540" w:type="dxa"/>
            <w:vAlign w:val="bottom"/>
            <w:gridSpan w:val="3"/>
          </w:tcPr>
          <w:p>
            <w:pPr>
              <w:jc w:val="right"/>
              <w:ind w:right="220"/>
              <w:spacing w:after="0"/>
              <w:rPr>
                <w:sz w:val="20"/>
                <w:szCs w:val="20"/>
                <w:color w:val="auto"/>
              </w:rPr>
            </w:pPr>
            <w:r>
              <w:rPr>
                <w:rFonts w:ascii="Arial" w:cs="Arial" w:eastAsia="Arial" w:hAnsi="Arial"/>
                <w:sz w:val="11"/>
                <w:szCs w:val="11"/>
                <w:color w:val="auto"/>
                <w:w w:val="96"/>
              </w:rPr>
              <w:t>L+650</w:t>
            </w:r>
          </w:p>
        </w:tc>
        <w:tc>
          <w:tcPr>
            <w:tcW w:w="580" w:type="dxa"/>
            <w:vAlign w:val="bottom"/>
          </w:tcPr>
          <w:p>
            <w:pPr>
              <w:jc w:val="right"/>
              <w:spacing w:after="0"/>
              <w:rPr>
                <w:sz w:val="20"/>
                <w:szCs w:val="20"/>
                <w:color w:val="auto"/>
              </w:rPr>
            </w:pPr>
            <w:r>
              <w:rPr>
                <w:rFonts w:ascii="Arial" w:cs="Arial" w:eastAsia="Arial" w:hAnsi="Arial"/>
                <w:sz w:val="11"/>
                <w:szCs w:val="11"/>
                <w:color w:val="auto"/>
              </w:rPr>
              <w:t>9,365,185</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9,275,424</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9,224,707</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060" w:type="dxa"/>
            <w:vAlign w:val="bottom"/>
            <w:gridSpan w:val="2"/>
            <w:shd w:val="clear" w:color="auto" w:fill="CCECFF"/>
          </w:tcPr>
          <w:p>
            <w:pPr>
              <w:spacing w:after="0"/>
              <w:rPr>
                <w:sz w:val="20"/>
                <w:szCs w:val="20"/>
                <w:color w:val="auto"/>
              </w:rPr>
            </w:pPr>
            <w:r>
              <w:rPr>
                <w:rFonts w:ascii="Arial" w:cs="Arial" w:eastAsia="Arial" w:hAnsi="Arial"/>
                <w:sz w:val="11"/>
                <w:szCs w:val="11"/>
                <w:color w:val="auto"/>
              </w:rPr>
              <w:t xml:space="preserve">Infrastructure Supply Operations Pty Ltd. </w:t>
            </w:r>
            <w:r>
              <w:rPr>
                <w:rFonts w:ascii="Arial" w:cs="Arial" w:eastAsia="Arial" w:hAnsi="Arial"/>
                <w:sz w:val="9"/>
                <w:szCs w:val="9"/>
                <w:color w:val="auto"/>
              </w:rPr>
              <w:t>(3), (4)</w:t>
            </w:r>
          </w:p>
        </w:tc>
        <w:tc>
          <w:tcPr>
            <w:tcW w:w="64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87"/>
              </w:rPr>
              <w:t>12/12/2023</w:t>
            </w:r>
          </w:p>
        </w:tc>
        <w:tc>
          <w:tcPr>
            <w:tcW w:w="240" w:type="dxa"/>
            <w:vAlign w:val="bottom"/>
            <w:shd w:val="clear" w:color="auto" w:fill="CCECFF"/>
          </w:tcPr>
          <w:p>
            <w:pPr>
              <w:spacing w:after="0"/>
              <w:rPr>
                <w:sz w:val="12"/>
                <w:szCs w:val="12"/>
                <w:color w:val="auto"/>
              </w:rPr>
            </w:pP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9"/>
              </w:rPr>
              <w:t>Wholesale</w:t>
            </w:r>
          </w:p>
        </w:tc>
        <w:tc>
          <w:tcPr>
            <w:tcW w:w="86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5.67%</w:t>
            </w:r>
          </w:p>
        </w:tc>
        <w:tc>
          <w:tcPr>
            <w:tcW w:w="560" w:type="dxa"/>
            <w:vAlign w:val="bottom"/>
            <w:shd w:val="clear" w:color="auto" w:fill="CCECFF"/>
          </w:tcPr>
          <w:p>
            <w:pPr>
              <w:ind w:left="400"/>
              <w:spacing w:after="0"/>
              <w:rPr>
                <w:sz w:val="20"/>
                <w:szCs w:val="20"/>
                <w:color w:val="auto"/>
              </w:rPr>
            </w:pPr>
            <w:r>
              <w:rPr>
                <w:rFonts w:ascii="Arial" w:cs="Arial" w:eastAsia="Arial" w:hAnsi="Arial"/>
                <w:sz w:val="11"/>
                <w:szCs w:val="11"/>
                <w:color w:val="auto"/>
                <w:w w:val="91"/>
              </w:rPr>
              <w:t>1M</w:t>
            </w:r>
          </w:p>
        </w:tc>
        <w:tc>
          <w:tcPr>
            <w:tcW w:w="540" w:type="dxa"/>
            <w:vAlign w:val="bottom"/>
            <w:gridSpan w:val="3"/>
            <w:shd w:val="clear" w:color="auto" w:fill="CCECFF"/>
          </w:tcPr>
          <w:p>
            <w:pPr>
              <w:jc w:val="right"/>
              <w:ind w:right="40"/>
              <w:spacing w:after="0"/>
              <w:rPr>
                <w:sz w:val="20"/>
                <w:szCs w:val="20"/>
                <w:color w:val="auto"/>
              </w:rPr>
            </w:pPr>
            <w:r>
              <w:rPr>
                <w:rFonts w:ascii="Arial" w:cs="Arial" w:eastAsia="Arial" w:hAnsi="Arial"/>
                <w:sz w:val="11"/>
                <w:szCs w:val="11"/>
                <w:color w:val="auto"/>
              </w:rPr>
              <w:t>L+475A $</w:t>
            </w: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w w:val="89"/>
              </w:rPr>
              <w:t>15,000,000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10,985,913</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10,172,038</w:t>
            </w:r>
          </w:p>
        </w:tc>
        <w:tc>
          <w:tcPr>
            <w:tcW w:w="12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060" w:type="dxa"/>
            <w:vAlign w:val="bottom"/>
            <w:gridSpan w:val="2"/>
          </w:tcPr>
          <w:p>
            <w:pPr>
              <w:spacing w:after="0"/>
              <w:rPr>
                <w:sz w:val="20"/>
                <w:szCs w:val="20"/>
                <w:color w:val="auto"/>
              </w:rPr>
            </w:pPr>
            <w:r>
              <w:rPr>
                <w:rFonts w:ascii="Arial" w:cs="Arial" w:eastAsia="Arial" w:hAnsi="Arial"/>
                <w:sz w:val="11"/>
                <w:szCs w:val="11"/>
                <w:color w:val="auto"/>
              </w:rPr>
              <w:t>Integrative Nutrition, LLC</w:t>
            </w:r>
          </w:p>
        </w:tc>
        <w:tc>
          <w:tcPr>
            <w:tcW w:w="640" w:type="dxa"/>
            <w:vAlign w:val="bottom"/>
            <w:gridSpan w:val="2"/>
          </w:tcPr>
          <w:p>
            <w:pPr>
              <w:jc w:val="center"/>
              <w:ind w:left="66"/>
              <w:spacing w:after="0"/>
              <w:rPr>
                <w:sz w:val="20"/>
                <w:szCs w:val="20"/>
                <w:color w:val="auto"/>
              </w:rPr>
            </w:pPr>
            <w:r>
              <w:rPr>
                <w:rFonts w:ascii="Arial" w:cs="Arial" w:eastAsia="Arial" w:hAnsi="Arial"/>
                <w:sz w:val="11"/>
                <w:szCs w:val="11"/>
                <w:color w:val="auto"/>
                <w:w w:val="87"/>
              </w:rPr>
              <w:t>09/29/2023</w:t>
            </w:r>
          </w:p>
        </w:tc>
        <w:tc>
          <w:tcPr>
            <w:tcW w:w="240" w:type="dxa"/>
            <w:vAlign w:val="bottom"/>
          </w:tcPr>
          <w:p>
            <w:pPr>
              <w:spacing w:after="0"/>
              <w:rPr>
                <w:sz w:val="11"/>
                <w:szCs w:val="11"/>
                <w:color w:val="auto"/>
              </w:rPr>
            </w:pPr>
          </w:p>
        </w:tc>
        <w:tc>
          <w:tcPr>
            <w:tcW w:w="2760" w:type="dxa"/>
            <w:vAlign w:val="bottom"/>
            <w:gridSpan w:val="2"/>
          </w:tcPr>
          <w:p>
            <w:pPr>
              <w:jc w:val="center"/>
              <w:ind w:right="140"/>
              <w:spacing w:after="0"/>
              <w:rPr>
                <w:sz w:val="20"/>
                <w:szCs w:val="20"/>
                <w:color w:val="auto"/>
              </w:rPr>
            </w:pPr>
            <w:r>
              <w:rPr>
                <w:rFonts w:ascii="Arial" w:cs="Arial" w:eastAsia="Arial" w:hAnsi="Arial"/>
                <w:sz w:val="11"/>
                <w:szCs w:val="11"/>
                <w:color w:val="auto"/>
                <w:w w:val="89"/>
              </w:rPr>
              <w:t>Diversified Consumer Services</w:t>
            </w:r>
          </w:p>
        </w:tc>
        <w:tc>
          <w:tcPr>
            <w:tcW w:w="860" w:type="dxa"/>
            <w:vAlign w:val="bottom"/>
            <w:gridSpan w:val="2"/>
          </w:tcPr>
          <w:p>
            <w:pPr>
              <w:jc w:val="right"/>
              <w:ind w:right="180"/>
              <w:spacing w:after="0"/>
              <w:rPr>
                <w:sz w:val="20"/>
                <w:szCs w:val="20"/>
                <w:color w:val="auto"/>
              </w:rPr>
            </w:pPr>
            <w:r>
              <w:rPr>
                <w:rFonts w:ascii="Arial" w:cs="Arial" w:eastAsia="Arial" w:hAnsi="Arial"/>
                <w:sz w:val="11"/>
                <w:szCs w:val="11"/>
                <w:color w:val="auto"/>
              </w:rPr>
              <w:t>6.69%</w:t>
            </w:r>
          </w:p>
        </w:tc>
        <w:tc>
          <w:tcPr>
            <w:tcW w:w="560" w:type="dxa"/>
            <w:vAlign w:val="bottom"/>
          </w:tcPr>
          <w:p>
            <w:pPr>
              <w:ind w:left="400"/>
              <w:spacing w:after="0"/>
              <w:rPr>
                <w:sz w:val="20"/>
                <w:szCs w:val="20"/>
                <w:color w:val="auto"/>
              </w:rPr>
            </w:pPr>
            <w:r>
              <w:rPr>
                <w:rFonts w:ascii="Arial" w:cs="Arial" w:eastAsia="Arial" w:hAnsi="Arial"/>
                <w:sz w:val="11"/>
                <w:szCs w:val="11"/>
                <w:color w:val="auto"/>
                <w:w w:val="91"/>
              </w:rPr>
              <w:t>1M</w:t>
            </w:r>
          </w:p>
        </w:tc>
        <w:tc>
          <w:tcPr>
            <w:tcW w:w="540" w:type="dxa"/>
            <w:vAlign w:val="bottom"/>
            <w:gridSpan w:val="3"/>
          </w:tcPr>
          <w:p>
            <w:pPr>
              <w:jc w:val="right"/>
              <w:ind w:right="220"/>
              <w:spacing w:after="0"/>
              <w:rPr>
                <w:sz w:val="20"/>
                <w:szCs w:val="20"/>
                <w:color w:val="auto"/>
              </w:rPr>
            </w:pPr>
            <w:r>
              <w:rPr>
                <w:rFonts w:ascii="Arial" w:cs="Arial" w:eastAsia="Arial" w:hAnsi="Arial"/>
                <w:sz w:val="11"/>
                <w:szCs w:val="11"/>
                <w:color w:val="auto"/>
                <w:w w:val="96"/>
              </w:rPr>
              <w:t>L+475</w:t>
            </w:r>
          </w:p>
        </w:tc>
        <w:tc>
          <w:tcPr>
            <w:tcW w:w="580" w:type="dxa"/>
            <w:vAlign w:val="bottom"/>
          </w:tcPr>
          <w:p>
            <w:pPr>
              <w:jc w:val="right"/>
              <w:spacing w:after="0"/>
              <w:rPr>
                <w:sz w:val="20"/>
                <w:szCs w:val="20"/>
                <w:color w:val="auto"/>
              </w:rPr>
            </w:pPr>
            <w:r>
              <w:rPr>
                <w:rFonts w:ascii="Arial" w:cs="Arial" w:eastAsia="Arial" w:hAnsi="Arial"/>
                <w:sz w:val="11"/>
                <w:szCs w:val="11"/>
                <w:color w:val="auto"/>
              </w:rPr>
              <w:t>9,949,749</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9,949,749</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9,850,251</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gridSpan w:val="2"/>
            <w:shd w:val="clear" w:color="auto" w:fill="CCECFF"/>
          </w:tcPr>
          <w:p>
            <w:pPr>
              <w:spacing w:after="0"/>
              <w:rPr>
                <w:sz w:val="20"/>
                <w:szCs w:val="20"/>
                <w:color w:val="auto"/>
              </w:rPr>
            </w:pPr>
            <w:r>
              <w:rPr>
                <w:rFonts w:ascii="Arial" w:cs="Arial" w:eastAsia="Arial" w:hAnsi="Arial"/>
                <w:sz w:val="11"/>
                <w:szCs w:val="11"/>
                <w:color w:val="auto"/>
              </w:rPr>
              <w:t>K2 Pure Solutions NoCal, L.P.</w:t>
            </w:r>
          </w:p>
        </w:tc>
        <w:tc>
          <w:tcPr>
            <w:tcW w:w="64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87"/>
              </w:rPr>
              <w:t>12/20/2023</w:t>
            </w:r>
          </w:p>
        </w:tc>
        <w:tc>
          <w:tcPr>
            <w:tcW w:w="24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8"/>
              </w:rPr>
              <w:t>Chemicals, Plastics and Rubber</w:t>
            </w:r>
          </w:p>
        </w:tc>
        <w:tc>
          <w:tcPr>
            <w:tcW w:w="86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7.05%</w:t>
            </w:r>
          </w:p>
        </w:tc>
        <w:tc>
          <w:tcPr>
            <w:tcW w:w="560" w:type="dxa"/>
            <w:vAlign w:val="bottom"/>
            <w:shd w:val="clear" w:color="auto" w:fill="CCECFF"/>
          </w:tcPr>
          <w:p>
            <w:pPr>
              <w:ind w:left="400"/>
              <w:spacing w:after="0"/>
              <w:rPr>
                <w:sz w:val="20"/>
                <w:szCs w:val="20"/>
                <w:color w:val="auto"/>
              </w:rPr>
            </w:pPr>
            <w:r>
              <w:rPr>
                <w:rFonts w:ascii="Arial" w:cs="Arial" w:eastAsia="Arial" w:hAnsi="Arial"/>
                <w:sz w:val="11"/>
                <w:szCs w:val="11"/>
                <w:color w:val="auto"/>
                <w:w w:val="91"/>
              </w:rPr>
              <w:t>1M</w:t>
            </w:r>
          </w:p>
        </w:tc>
        <w:tc>
          <w:tcPr>
            <w:tcW w:w="540" w:type="dxa"/>
            <w:vAlign w:val="bottom"/>
            <w:gridSpan w:val="3"/>
            <w:shd w:val="clear" w:color="auto" w:fill="CCECFF"/>
          </w:tcPr>
          <w:p>
            <w:pPr>
              <w:jc w:val="right"/>
              <w:ind w:right="220"/>
              <w:spacing w:after="0"/>
              <w:rPr>
                <w:sz w:val="20"/>
                <w:szCs w:val="20"/>
                <w:color w:val="auto"/>
              </w:rPr>
            </w:pPr>
            <w:r>
              <w:rPr>
                <w:rFonts w:ascii="Arial" w:cs="Arial" w:eastAsia="Arial" w:hAnsi="Arial"/>
                <w:sz w:val="11"/>
                <w:szCs w:val="11"/>
                <w:color w:val="auto"/>
                <w:w w:val="96"/>
              </w:rPr>
              <w:t>L+525</w:t>
            </w: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w w:val="98"/>
              </w:rPr>
              <w:t>19,800,000</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19,546,364</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19,469,340</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gridSpan w:val="2"/>
          </w:tcPr>
          <w:p>
            <w:pPr>
              <w:spacing w:after="0"/>
              <w:rPr>
                <w:sz w:val="20"/>
                <w:szCs w:val="20"/>
                <w:color w:val="auto"/>
              </w:rPr>
            </w:pPr>
            <w:r>
              <w:rPr>
                <w:rFonts w:ascii="Arial" w:cs="Arial" w:eastAsia="Arial" w:hAnsi="Arial"/>
                <w:sz w:val="11"/>
                <w:szCs w:val="11"/>
                <w:color w:val="auto"/>
              </w:rPr>
              <w:t>KHC Holdings, Inc.</w:t>
            </w:r>
          </w:p>
        </w:tc>
        <w:tc>
          <w:tcPr>
            <w:tcW w:w="640" w:type="dxa"/>
            <w:vAlign w:val="bottom"/>
            <w:gridSpan w:val="2"/>
          </w:tcPr>
          <w:p>
            <w:pPr>
              <w:jc w:val="center"/>
              <w:ind w:left="66"/>
              <w:spacing w:after="0"/>
              <w:rPr>
                <w:sz w:val="20"/>
                <w:szCs w:val="20"/>
                <w:color w:val="auto"/>
              </w:rPr>
            </w:pPr>
            <w:r>
              <w:rPr>
                <w:rFonts w:ascii="Arial" w:cs="Arial" w:eastAsia="Arial" w:hAnsi="Arial"/>
                <w:sz w:val="11"/>
                <w:szCs w:val="11"/>
                <w:color w:val="auto"/>
                <w:w w:val="87"/>
              </w:rPr>
              <w:t>10/31/2022</w:t>
            </w:r>
          </w:p>
        </w:tc>
        <w:tc>
          <w:tcPr>
            <w:tcW w:w="240" w:type="dxa"/>
            <w:vAlign w:val="bottom"/>
          </w:tcPr>
          <w:p>
            <w:pPr>
              <w:spacing w:after="0"/>
              <w:rPr>
                <w:sz w:val="11"/>
                <w:szCs w:val="11"/>
                <w:color w:val="auto"/>
              </w:rPr>
            </w:pPr>
          </w:p>
        </w:tc>
        <w:tc>
          <w:tcPr>
            <w:tcW w:w="2760" w:type="dxa"/>
            <w:vAlign w:val="bottom"/>
            <w:gridSpan w:val="2"/>
          </w:tcPr>
          <w:p>
            <w:pPr>
              <w:jc w:val="center"/>
              <w:ind w:right="140"/>
              <w:spacing w:after="0"/>
              <w:rPr>
                <w:sz w:val="20"/>
                <w:szCs w:val="20"/>
                <w:color w:val="auto"/>
              </w:rPr>
            </w:pPr>
            <w:r>
              <w:rPr>
                <w:rFonts w:ascii="Arial" w:cs="Arial" w:eastAsia="Arial" w:hAnsi="Arial"/>
                <w:sz w:val="11"/>
                <w:szCs w:val="11"/>
                <w:color w:val="auto"/>
                <w:w w:val="89"/>
              </w:rPr>
              <w:t>Wholesale</w:t>
            </w:r>
          </w:p>
        </w:tc>
        <w:tc>
          <w:tcPr>
            <w:tcW w:w="860" w:type="dxa"/>
            <w:vAlign w:val="bottom"/>
            <w:gridSpan w:val="2"/>
          </w:tcPr>
          <w:p>
            <w:pPr>
              <w:jc w:val="right"/>
              <w:ind w:right="180"/>
              <w:spacing w:after="0"/>
              <w:rPr>
                <w:sz w:val="20"/>
                <w:szCs w:val="20"/>
                <w:color w:val="auto"/>
              </w:rPr>
            </w:pPr>
            <w:r>
              <w:rPr>
                <w:rFonts w:ascii="Arial" w:cs="Arial" w:eastAsia="Arial" w:hAnsi="Arial"/>
                <w:sz w:val="11"/>
                <w:szCs w:val="11"/>
                <w:color w:val="auto"/>
              </w:rPr>
              <w:t>7.94%</w:t>
            </w:r>
          </w:p>
        </w:tc>
        <w:tc>
          <w:tcPr>
            <w:tcW w:w="560" w:type="dxa"/>
            <w:vAlign w:val="bottom"/>
          </w:tcPr>
          <w:p>
            <w:pPr>
              <w:ind w:left="400"/>
              <w:spacing w:after="0"/>
              <w:rPr>
                <w:sz w:val="20"/>
                <w:szCs w:val="20"/>
                <w:color w:val="auto"/>
              </w:rPr>
            </w:pPr>
            <w:r>
              <w:rPr>
                <w:rFonts w:ascii="Arial" w:cs="Arial" w:eastAsia="Arial" w:hAnsi="Arial"/>
                <w:sz w:val="11"/>
                <w:szCs w:val="11"/>
                <w:color w:val="auto"/>
                <w:w w:val="91"/>
              </w:rPr>
              <w:t>3M</w:t>
            </w:r>
          </w:p>
        </w:tc>
        <w:tc>
          <w:tcPr>
            <w:tcW w:w="540" w:type="dxa"/>
            <w:vAlign w:val="bottom"/>
            <w:gridSpan w:val="3"/>
          </w:tcPr>
          <w:p>
            <w:pPr>
              <w:jc w:val="right"/>
              <w:ind w:right="220"/>
              <w:spacing w:after="0"/>
              <w:rPr>
                <w:sz w:val="20"/>
                <w:szCs w:val="20"/>
                <w:color w:val="auto"/>
              </w:rPr>
            </w:pPr>
            <w:r>
              <w:rPr>
                <w:rFonts w:ascii="Arial" w:cs="Arial" w:eastAsia="Arial" w:hAnsi="Arial"/>
                <w:sz w:val="11"/>
                <w:szCs w:val="11"/>
                <w:color w:val="auto"/>
                <w:w w:val="96"/>
              </w:rPr>
              <w:t>L+600</w:t>
            </w:r>
          </w:p>
        </w:tc>
        <w:tc>
          <w:tcPr>
            <w:tcW w:w="580" w:type="dxa"/>
            <w:vAlign w:val="bottom"/>
          </w:tcPr>
          <w:p>
            <w:pPr>
              <w:jc w:val="right"/>
              <w:spacing w:after="0"/>
              <w:rPr>
                <w:sz w:val="20"/>
                <w:szCs w:val="20"/>
                <w:color w:val="auto"/>
              </w:rPr>
            </w:pPr>
            <w:r>
              <w:rPr>
                <w:rFonts w:ascii="Arial" w:cs="Arial" w:eastAsia="Arial" w:hAnsi="Arial"/>
                <w:sz w:val="11"/>
                <w:szCs w:val="11"/>
                <w:color w:val="auto"/>
              </w:rPr>
              <w:t>5,350,904</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5,350,904</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5,350,904</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gridSpan w:val="2"/>
            <w:shd w:val="clear" w:color="auto" w:fill="CCECFF"/>
          </w:tcPr>
          <w:p>
            <w:pPr>
              <w:spacing w:after="0"/>
              <w:rPr>
                <w:sz w:val="20"/>
                <w:szCs w:val="20"/>
                <w:color w:val="auto"/>
              </w:rPr>
            </w:pPr>
            <w:r>
              <w:rPr>
                <w:rFonts w:ascii="Arial" w:cs="Arial" w:eastAsia="Arial" w:hAnsi="Arial"/>
                <w:sz w:val="11"/>
                <w:szCs w:val="11"/>
                <w:color w:val="auto"/>
              </w:rPr>
              <w:t>Lash Opco, LLC - Term Loan</w:t>
            </w:r>
          </w:p>
        </w:tc>
        <w:tc>
          <w:tcPr>
            <w:tcW w:w="64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87"/>
              </w:rPr>
              <w:t>12/12/2024</w:t>
            </w:r>
          </w:p>
        </w:tc>
        <w:tc>
          <w:tcPr>
            <w:tcW w:w="24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9"/>
              </w:rPr>
              <w:t>Consumer Goods: Non-Durable</w:t>
            </w:r>
          </w:p>
        </w:tc>
        <w:tc>
          <w:tcPr>
            <w:tcW w:w="86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9.16%</w:t>
            </w:r>
          </w:p>
        </w:tc>
        <w:tc>
          <w:tcPr>
            <w:tcW w:w="560" w:type="dxa"/>
            <w:vAlign w:val="bottom"/>
            <w:shd w:val="clear" w:color="auto" w:fill="CCECFF"/>
          </w:tcPr>
          <w:p>
            <w:pPr>
              <w:ind w:left="400"/>
              <w:spacing w:after="0"/>
              <w:rPr>
                <w:sz w:val="20"/>
                <w:szCs w:val="20"/>
                <w:color w:val="auto"/>
              </w:rPr>
            </w:pPr>
            <w:r>
              <w:rPr>
                <w:rFonts w:ascii="Arial" w:cs="Arial" w:eastAsia="Arial" w:hAnsi="Arial"/>
                <w:sz w:val="11"/>
                <w:szCs w:val="11"/>
                <w:color w:val="auto"/>
                <w:w w:val="91"/>
              </w:rPr>
              <w:t>3M</w:t>
            </w:r>
          </w:p>
        </w:tc>
        <w:tc>
          <w:tcPr>
            <w:tcW w:w="540" w:type="dxa"/>
            <w:vAlign w:val="bottom"/>
            <w:gridSpan w:val="3"/>
            <w:shd w:val="clear" w:color="auto" w:fill="CCECFF"/>
          </w:tcPr>
          <w:p>
            <w:pPr>
              <w:jc w:val="right"/>
              <w:ind w:right="220"/>
              <w:spacing w:after="0"/>
              <w:rPr>
                <w:sz w:val="20"/>
                <w:szCs w:val="20"/>
                <w:color w:val="auto"/>
              </w:rPr>
            </w:pPr>
            <w:r>
              <w:rPr>
                <w:rFonts w:ascii="Arial" w:cs="Arial" w:eastAsia="Arial" w:hAnsi="Arial"/>
                <w:sz w:val="11"/>
                <w:szCs w:val="11"/>
                <w:color w:val="auto"/>
                <w:w w:val="96"/>
              </w:rPr>
              <w:t>L+725</w:t>
            </w: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7,500,000</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7,277,344</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7,275,000</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gridSpan w:val="2"/>
          </w:tcPr>
          <w:p>
            <w:pPr>
              <w:spacing w:after="0"/>
              <w:rPr>
                <w:sz w:val="20"/>
                <w:szCs w:val="20"/>
                <w:color w:val="auto"/>
              </w:rPr>
            </w:pPr>
            <w:r>
              <w:rPr>
                <w:rFonts w:ascii="Arial" w:cs="Arial" w:eastAsia="Arial" w:hAnsi="Arial"/>
                <w:sz w:val="11"/>
                <w:szCs w:val="11"/>
                <w:color w:val="auto"/>
              </w:rPr>
              <w:t>LAV Gear Holdings, Inc.</w:t>
            </w:r>
          </w:p>
        </w:tc>
        <w:tc>
          <w:tcPr>
            <w:tcW w:w="640" w:type="dxa"/>
            <w:vAlign w:val="bottom"/>
            <w:gridSpan w:val="2"/>
          </w:tcPr>
          <w:p>
            <w:pPr>
              <w:jc w:val="center"/>
              <w:ind w:left="66"/>
              <w:spacing w:after="0"/>
              <w:rPr>
                <w:sz w:val="20"/>
                <w:szCs w:val="20"/>
                <w:color w:val="auto"/>
              </w:rPr>
            </w:pPr>
            <w:r>
              <w:rPr>
                <w:rFonts w:ascii="Arial" w:cs="Arial" w:eastAsia="Arial" w:hAnsi="Arial"/>
                <w:sz w:val="11"/>
                <w:szCs w:val="11"/>
                <w:color w:val="auto"/>
                <w:w w:val="87"/>
              </w:rPr>
              <w:t>10/31/2024</w:t>
            </w:r>
          </w:p>
        </w:tc>
        <w:tc>
          <w:tcPr>
            <w:tcW w:w="240" w:type="dxa"/>
            <w:vAlign w:val="bottom"/>
          </w:tcPr>
          <w:p>
            <w:pPr>
              <w:spacing w:after="0"/>
              <w:rPr>
                <w:sz w:val="11"/>
                <w:szCs w:val="11"/>
                <w:color w:val="auto"/>
              </w:rPr>
            </w:pPr>
          </w:p>
        </w:tc>
        <w:tc>
          <w:tcPr>
            <w:tcW w:w="2760" w:type="dxa"/>
            <w:vAlign w:val="bottom"/>
            <w:gridSpan w:val="2"/>
          </w:tcPr>
          <w:p>
            <w:pPr>
              <w:jc w:val="center"/>
              <w:ind w:right="140"/>
              <w:spacing w:after="0"/>
              <w:rPr>
                <w:sz w:val="20"/>
                <w:szCs w:val="20"/>
                <w:color w:val="auto"/>
              </w:rPr>
            </w:pPr>
            <w:r>
              <w:rPr>
                <w:rFonts w:ascii="Arial" w:cs="Arial" w:eastAsia="Arial" w:hAnsi="Arial"/>
                <w:sz w:val="11"/>
                <w:szCs w:val="11"/>
                <w:color w:val="auto"/>
                <w:w w:val="91"/>
              </w:rPr>
              <w:t>Capital Equipment</w:t>
            </w:r>
          </w:p>
        </w:tc>
        <w:tc>
          <w:tcPr>
            <w:tcW w:w="860" w:type="dxa"/>
            <w:vAlign w:val="bottom"/>
            <w:gridSpan w:val="2"/>
          </w:tcPr>
          <w:p>
            <w:pPr>
              <w:jc w:val="right"/>
              <w:ind w:right="180"/>
              <w:spacing w:after="0"/>
              <w:rPr>
                <w:sz w:val="20"/>
                <w:szCs w:val="20"/>
                <w:color w:val="auto"/>
              </w:rPr>
            </w:pPr>
            <w:r>
              <w:rPr>
                <w:rFonts w:ascii="Arial" w:cs="Arial" w:eastAsia="Arial" w:hAnsi="Arial"/>
                <w:sz w:val="11"/>
                <w:szCs w:val="11"/>
                <w:color w:val="auto"/>
              </w:rPr>
              <w:t>7.44%</w:t>
            </w:r>
          </w:p>
        </w:tc>
        <w:tc>
          <w:tcPr>
            <w:tcW w:w="560" w:type="dxa"/>
            <w:vAlign w:val="bottom"/>
          </w:tcPr>
          <w:p>
            <w:pPr>
              <w:ind w:left="400"/>
              <w:spacing w:after="0"/>
              <w:rPr>
                <w:sz w:val="20"/>
                <w:szCs w:val="20"/>
                <w:color w:val="auto"/>
              </w:rPr>
            </w:pPr>
            <w:r>
              <w:rPr>
                <w:rFonts w:ascii="Arial" w:cs="Arial" w:eastAsia="Arial" w:hAnsi="Arial"/>
                <w:sz w:val="11"/>
                <w:szCs w:val="11"/>
                <w:color w:val="auto"/>
                <w:w w:val="91"/>
              </w:rPr>
              <w:t>3M</w:t>
            </w:r>
          </w:p>
        </w:tc>
        <w:tc>
          <w:tcPr>
            <w:tcW w:w="540" w:type="dxa"/>
            <w:vAlign w:val="bottom"/>
            <w:gridSpan w:val="3"/>
          </w:tcPr>
          <w:p>
            <w:pPr>
              <w:jc w:val="right"/>
              <w:ind w:right="220"/>
              <w:spacing w:after="0"/>
              <w:rPr>
                <w:sz w:val="20"/>
                <w:szCs w:val="20"/>
                <w:color w:val="auto"/>
              </w:rPr>
            </w:pPr>
            <w:r>
              <w:rPr>
                <w:rFonts w:ascii="Arial" w:cs="Arial" w:eastAsia="Arial" w:hAnsi="Arial"/>
                <w:sz w:val="11"/>
                <w:szCs w:val="11"/>
                <w:color w:val="auto"/>
                <w:w w:val="96"/>
              </w:rPr>
              <w:t>L+550</w:t>
            </w:r>
          </w:p>
        </w:tc>
        <w:tc>
          <w:tcPr>
            <w:tcW w:w="580" w:type="dxa"/>
            <w:vAlign w:val="bottom"/>
          </w:tcPr>
          <w:p>
            <w:pPr>
              <w:jc w:val="right"/>
              <w:spacing w:after="0"/>
              <w:rPr>
                <w:sz w:val="20"/>
                <w:szCs w:val="20"/>
                <w:color w:val="auto"/>
              </w:rPr>
            </w:pPr>
            <w:r>
              <w:rPr>
                <w:rFonts w:ascii="Arial" w:cs="Arial" w:eastAsia="Arial" w:hAnsi="Arial"/>
                <w:sz w:val="11"/>
                <w:szCs w:val="11"/>
                <w:color w:val="auto"/>
              </w:rPr>
              <w:t>9,900,000</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9,816,129</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9,943,559</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060" w:type="dxa"/>
            <w:vAlign w:val="bottom"/>
            <w:gridSpan w:val="2"/>
            <w:shd w:val="clear" w:color="auto" w:fill="CCECFF"/>
          </w:tcPr>
          <w:p>
            <w:pPr>
              <w:spacing w:after="0"/>
              <w:rPr>
                <w:sz w:val="20"/>
                <w:szCs w:val="20"/>
                <w:color w:val="auto"/>
              </w:rPr>
            </w:pPr>
            <w:r>
              <w:rPr>
                <w:rFonts w:ascii="Arial" w:cs="Arial" w:eastAsia="Arial" w:hAnsi="Arial"/>
                <w:sz w:val="11"/>
                <w:szCs w:val="11"/>
                <w:color w:val="auto"/>
              </w:rPr>
              <w:t xml:space="preserve">Leap Legal Software Pty Ltd </w:t>
            </w:r>
            <w:r>
              <w:rPr>
                <w:rFonts w:ascii="Arial" w:cs="Arial" w:eastAsia="Arial" w:hAnsi="Arial"/>
                <w:sz w:val="9"/>
                <w:szCs w:val="9"/>
                <w:color w:val="auto"/>
              </w:rPr>
              <w:t>(3), (4)</w:t>
            </w:r>
          </w:p>
        </w:tc>
        <w:tc>
          <w:tcPr>
            <w:tcW w:w="64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87"/>
              </w:rPr>
              <w:t>09/12/2022</w:t>
            </w:r>
          </w:p>
        </w:tc>
        <w:tc>
          <w:tcPr>
            <w:tcW w:w="240" w:type="dxa"/>
            <w:vAlign w:val="bottom"/>
            <w:shd w:val="clear" w:color="auto" w:fill="CCECFF"/>
          </w:tcPr>
          <w:p>
            <w:pPr>
              <w:spacing w:after="0"/>
              <w:rPr>
                <w:sz w:val="12"/>
                <w:szCs w:val="12"/>
                <w:color w:val="auto"/>
              </w:rPr>
            </w:pP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9"/>
              </w:rPr>
              <w:t>High Tech Industries</w:t>
            </w:r>
          </w:p>
        </w:tc>
        <w:tc>
          <w:tcPr>
            <w:tcW w:w="86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6.76%</w:t>
            </w:r>
          </w:p>
        </w:tc>
        <w:tc>
          <w:tcPr>
            <w:tcW w:w="560" w:type="dxa"/>
            <w:vAlign w:val="bottom"/>
            <w:shd w:val="clear" w:color="auto" w:fill="CCECFF"/>
          </w:tcPr>
          <w:p>
            <w:pPr>
              <w:ind w:left="400"/>
              <w:spacing w:after="0"/>
              <w:rPr>
                <w:sz w:val="20"/>
                <w:szCs w:val="20"/>
                <w:color w:val="auto"/>
              </w:rPr>
            </w:pPr>
            <w:r>
              <w:rPr>
                <w:rFonts w:ascii="Arial" w:cs="Arial" w:eastAsia="Arial" w:hAnsi="Arial"/>
                <w:sz w:val="11"/>
                <w:szCs w:val="11"/>
                <w:color w:val="auto"/>
                <w:w w:val="91"/>
              </w:rPr>
              <w:t>3M</w:t>
            </w:r>
          </w:p>
        </w:tc>
        <w:tc>
          <w:tcPr>
            <w:tcW w:w="540" w:type="dxa"/>
            <w:vAlign w:val="bottom"/>
            <w:gridSpan w:val="3"/>
            <w:shd w:val="clear" w:color="auto" w:fill="CCECFF"/>
          </w:tcPr>
          <w:p>
            <w:pPr>
              <w:jc w:val="right"/>
              <w:ind w:right="40"/>
              <w:spacing w:after="0"/>
              <w:rPr>
                <w:sz w:val="20"/>
                <w:szCs w:val="20"/>
                <w:color w:val="auto"/>
              </w:rPr>
            </w:pPr>
            <w:r>
              <w:rPr>
                <w:rFonts w:ascii="Arial" w:cs="Arial" w:eastAsia="Arial" w:hAnsi="Arial"/>
                <w:sz w:val="11"/>
                <w:szCs w:val="11"/>
                <w:color w:val="auto"/>
              </w:rPr>
              <w:t>L+575A $</w:t>
            </w: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w w:val="89"/>
              </w:rPr>
              <w:t>14,718,247</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10,461,364</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10,346,192</w:t>
            </w:r>
          </w:p>
        </w:tc>
        <w:tc>
          <w:tcPr>
            <w:tcW w:w="12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060" w:type="dxa"/>
            <w:vAlign w:val="bottom"/>
            <w:gridSpan w:val="2"/>
          </w:tcPr>
          <w:p>
            <w:pPr>
              <w:spacing w:after="0"/>
              <w:rPr>
                <w:sz w:val="20"/>
                <w:szCs w:val="20"/>
                <w:color w:val="auto"/>
              </w:rPr>
            </w:pPr>
            <w:r>
              <w:rPr>
                <w:rFonts w:ascii="Arial" w:cs="Arial" w:eastAsia="Arial" w:hAnsi="Arial"/>
                <w:sz w:val="11"/>
                <w:szCs w:val="11"/>
                <w:color w:val="auto"/>
              </w:rPr>
              <w:t>LSF9 Atlantis Holdings, LLC</w:t>
            </w:r>
          </w:p>
        </w:tc>
        <w:tc>
          <w:tcPr>
            <w:tcW w:w="640" w:type="dxa"/>
            <w:vAlign w:val="bottom"/>
            <w:gridSpan w:val="2"/>
          </w:tcPr>
          <w:p>
            <w:pPr>
              <w:jc w:val="center"/>
              <w:ind w:left="66"/>
              <w:spacing w:after="0"/>
              <w:rPr>
                <w:sz w:val="20"/>
                <w:szCs w:val="20"/>
                <w:color w:val="auto"/>
              </w:rPr>
            </w:pPr>
            <w:r>
              <w:rPr>
                <w:rFonts w:ascii="Arial" w:cs="Arial" w:eastAsia="Arial" w:hAnsi="Arial"/>
                <w:sz w:val="11"/>
                <w:szCs w:val="11"/>
                <w:color w:val="auto"/>
                <w:w w:val="87"/>
              </w:rPr>
              <w:t>05/01/2023</w:t>
            </w:r>
          </w:p>
        </w:tc>
        <w:tc>
          <w:tcPr>
            <w:tcW w:w="240" w:type="dxa"/>
            <w:vAlign w:val="bottom"/>
          </w:tcPr>
          <w:p>
            <w:pPr>
              <w:spacing w:after="0"/>
              <w:rPr>
                <w:sz w:val="11"/>
                <w:szCs w:val="11"/>
                <w:color w:val="auto"/>
              </w:rPr>
            </w:pPr>
          </w:p>
        </w:tc>
        <w:tc>
          <w:tcPr>
            <w:tcW w:w="2760" w:type="dxa"/>
            <w:vAlign w:val="bottom"/>
            <w:gridSpan w:val="2"/>
          </w:tcPr>
          <w:p>
            <w:pPr>
              <w:jc w:val="center"/>
              <w:ind w:right="140"/>
              <w:spacing w:after="0"/>
              <w:rPr>
                <w:sz w:val="20"/>
                <w:szCs w:val="20"/>
                <w:color w:val="auto"/>
              </w:rPr>
            </w:pPr>
            <w:r>
              <w:rPr>
                <w:rFonts w:ascii="Arial" w:cs="Arial" w:eastAsia="Arial" w:hAnsi="Arial"/>
                <w:sz w:val="11"/>
                <w:szCs w:val="11"/>
                <w:color w:val="auto"/>
                <w:w w:val="92"/>
              </w:rPr>
              <w:t>Retail</w:t>
            </w:r>
          </w:p>
        </w:tc>
        <w:tc>
          <w:tcPr>
            <w:tcW w:w="860" w:type="dxa"/>
            <w:vAlign w:val="bottom"/>
            <w:gridSpan w:val="2"/>
          </w:tcPr>
          <w:p>
            <w:pPr>
              <w:jc w:val="right"/>
              <w:ind w:right="180"/>
              <w:spacing w:after="0"/>
              <w:rPr>
                <w:sz w:val="20"/>
                <w:szCs w:val="20"/>
                <w:color w:val="auto"/>
              </w:rPr>
            </w:pPr>
            <w:r>
              <w:rPr>
                <w:rFonts w:ascii="Arial" w:cs="Arial" w:eastAsia="Arial" w:hAnsi="Arial"/>
                <w:sz w:val="11"/>
                <w:szCs w:val="11"/>
                <w:color w:val="auto"/>
              </w:rPr>
              <w:t>7.74%</w:t>
            </w:r>
          </w:p>
        </w:tc>
        <w:tc>
          <w:tcPr>
            <w:tcW w:w="560" w:type="dxa"/>
            <w:vAlign w:val="bottom"/>
          </w:tcPr>
          <w:p>
            <w:pPr>
              <w:ind w:left="400"/>
              <w:spacing w:after="0"/>
              <w:rPr>
                <w:sz w:val="20"/>
                <w:szCs w:val="20"/>
                <w:color w:val="auto"/>
              </w:rPr>
            </w:pPr>
            <w:r>
              <w:rPr>
                <w:rFonts w:ascii="Arial" w:cs="Arial" w:eastAsia="Arial" w:hAnsi="Arial"/>
                <w:sz w:val="11"/>
                <w:szCs w:val="11"/>
                <w:color w:val="auto"/>
                <w:w w:val="91"/>
              </w:rPr>
              <w:t>1M</w:t>
            </w:r>
          </w:p>
        </w:tc>
        <w:tc>
          <w:tcPr>
            <w:tcW w:w="540" w:type="dxa"/>
            <w:vAlign w:val="bottom"/>
            <w:gridSpan w:val="3"/>
          </w:tcPr>
          <w:p>
            <w:pPr>
              <w:jc w:val="right"/>
              <w:ind w:right="220"/>
              <w:spacing w:after="0"/>
              <w:rPr>
                <w:sz w:val="20"/>
                <w:szCs w:val="20"/>
                <w:color w:val="auto"/>
              </w:rPr>
            </w:pPr>
            <w:r>
              <w:rPr>
                <w:rFonts w:ascii="Arial" w:cs="Arial" w:eastAsia="Arial" w:hAnsi="Arial"/>
                <w:sz w:val="11"/>
                <w:szCs w:val="11"/>
                <w:color w:val="auto"/>
                <w:w w:val="96"/>
              </w:rPr>
              <w:t>L+600</w:t>
            </w:r>
          </w:p>
        </w:tc>
        <w:tc>
          <w:tcPr>
            <w:tcW w:w="580" w:type="dxa"/>
            <w:vAlign w:val="bottom"/>
          </w:tcPr>
          <w:p>
            <w:pPr>
              <w:jc w:val="right"/>
              <w:spacing w:after="0"/>
              <w:rPr>
                <w:sz w:val="20"/>
                <w:szCs w:val="20"/>
                <w:color w:val="auto"/>
              </w:rPr>
            </w:pPr>
            <w:r>
              <w:rPr>
                <w:rFonts w:ascii="Arial" w:cs="Arial" w:eastAsia="Arial" w:hAnsi="Arial"/>
                <w:sz w:val="11"/>
                <w:szCs w:val="11"/>
                <w:color w:val="auto"/>
              </w:rPr>
              <w:t>7,031,250</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7,068,566</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6,471,703</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gridSpan w:val="2"/>
            <w:shd w:val="clear" w:color="auto" w:fill="CCECFF"/>
          </w:tcPr>
          <w:p>
            <w:pPr>
              <w:spacing w:after="0"/>
              <w:rPr>
                <w:sz w:val="20"/>
                <w:szCs w:val="20"/>
                <w:color w:val="auto"/>
              </w:rPr>
            </w:pPr>
            <w:r>
              <w:rPr>
                <w:rFonts w:ascii="Arial" w:cs="Arial" w:eastAsia="Arial" w:hAnsi="Arial"/>
                <w:sz w:val="11"/>
                <w:szCs w:val="11"/>
                <w:color w:val="auto"/>
              </w:rPr>
              <w:t>Manna Pro Products, LLC</w:t>
            </w:r>
          </w:p>
        </w:tc>
        <w:tc>
          <w:tcPr>
            <w:tcW w:w="64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87"/>
              </w:rPr>
              <w:t>12/08/2023</w:t>
            </w:r>
          </w:p>
        </w:tc>
        <w:tc>
          <w:tcPr>
            <w:tcW w:w="24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9"/>
              </w:rPr>
              <w:t>Consumer Goods: Non-Durable</w:t>
            </w:r>
          </w:p>
        </w:tc>
        <w:tc>
          <w:tcPr>
            <w:tcW w:w="86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7.80%</w:t>
            </w:r>
          </w:p>
        </w:tc>
        <w:tc>
          <w:tcPr>
            <w:tcW w:w="560" w:type="dxa"/>
            <w:vAlign w:val="bottom"/>
            <w:shd w:val="clear" w:color="auto" w:fill="CCECFF"/>
          </w:tcPr>
          <w:p>
            <w:pPr>
              <w:ind w:left="400"/>
              <w:spacing w:after="0"/>
              <w:rPr>
                <w:sz w:val="20"/>
                <w:szCs w:val="20"/>
                <w:color w:val="auto"/>
              </w:rPr>
            </w:pPr>
            <w:r>
              <w:rPr>
                <w:rFonts w:ascii="Arial" w:cs="Arial" w:eastAsia="Arial" w:hAnsi="Arial"/>
                <w:sz w:val="11"/>
                <w:szCs w:val="11"/>
                <w:color w:val="auto"/>
                <w:w w:val="91"/>
              </w:rPr>
              <w:t>1M</w:t>
            </w:r>
          </w:p>
        </w:tc>
        <w:tc>
          <w:tcPr>
            <w:tcW w:w="540" w:type="dxa"/>
            <w:vAlign w:val="bottom"/>
            <w:gridSpan w:val="3"/>
            <w:shd w:val="clear" w:color="auto" w:fill="CCECFF"/>
          </w:tcPr>
          <w:p>
            <w:pPr>
              <w:jc w:val="right"/>
              <w:ind w:right="220"/>
              <w:spacing w:after="0"/>
              <w:rPr>
                <w:sz w:val="20"/>
                <w:szCs w:val="20"/>
                <w:color w:val="auto"/>
              </w:rPr>
            </w:pPr>
            <w:r>
              <w:rPr>
                <w:rFonts w:ascii="Arial" w:cs="Arial" w:eastAsia="Arial" w:hAnsi="Arial"/>
                <w:sz w:val="11"/>
                <w:szCs w:val="11"/>
                <w:color w:val="auto"/>
                <w:w w:val="96"/>
              </w:rPr>
              <w:t>L+600</w:t>
            </w: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6,860,000</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6,782,980</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6,667,234</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060" w:type="dxa"/>
            <w:vAlign w:val="bottom"/>
            <w:gridSpan w:val="2"/>
          </w:tcPr>
          <w:p>
            <w:pPr>
              <w:spacing w:after="0"/>
              <w:rPr>
                <w:sz w:val="20"/>
                <w:szCs w:val="20"/>
                <w:color w:val="auto"/>
              </w:rPr>
            </w:pPr>
            <w:r>
              <w:rPr>
                <w:rFonts w:ascii="Arial" w:cs="Arial" w:eastAsia="Arial" w:hAnsi="Arial"/>
                <w:sz w:val="11"/>
                <w:szCs w:val="11"/>
                <w:color w:val="auto"/>
              </w:rPr>
              <w:t xml:space="preserve">Marketplace Events LLC </w:t>
            </w:r>
            <w:r>
              <w:rPr>
                <w:rFonts w:ascii="Arial" w:cs="Arial" w:eastAsia="Arial" w:hAnsi="Arial"/>
                <w:sz w:val="9"/>
                <w:szCs w:val="9"/>
                <w:color w:val="auto"/>
              </w:rPr>
              <w:t>(4)</w:t>
            </w:r>
          </w:p>
        </w:tc>
        <w:tc>
          <w:tcPr>
            <w:tcW w:w="640" w:type="dxa"/>
            <w:vAlign w:val="bottom"/>
            <w:gridSpan w:val="2"/>
          </w:tcPr>
          <w:p>
            <w:pPr>
              <w:jc w:val="center"/>
              <w:ind w:left="66"/>
              <w:spacing w:after="0"/>
              <w:rPr>
                <w:sz w:val="20"/>
                <w:szCs w:val="20"/>
                <w:color w:val="auto"/>
              </w:rPr>
            </w:pPr>
            <w:r>
              <w:rPr>
                <w:rFonts w:ascii="Arial" w:cs="Arial" w:eastAsia="Arial" w:hAnsi="Arial"/>
                <w:sz w:val="11"/>
                <w:szCs w:val="11"/>
                <w:color w:val="auto"/>
                <w:w w:val="87"/>
              </w:rPr>
              <w:t>01/27/2023</w:t>
            </w:r>
          </w:p>
        </w:tc>
        <w:tc>
          <w:tcPr>
            <w:tcW w:w="240" w:type="dxa"/>
            <w:vAlign w:val="bottom"/>
          </w:tcPr>
          <w:p>
            <w:pPr>
              <w:spacing w:after="0"/>
              <w:rPr>
                <w:sz w:val="12"/>
                <w:szCs w:val="12"/>
                <w:color w:val="auto"/>
              </w:rPr>
            </w:pPr>
          </w:p>
        </w:tc>
        <w:tc>
          <w:tcPr>
            <w:tcW w:w="2760" w:type="dxa"/>
            <w:vAlign w:val="bottom"/>
            <w:gridSpan w:val="2"/>
          </w:tcPr>
          <w:p>
            <w:pPr>
              <w:jc w:val="center"/>
              <w:ind w:right="140"/>
              <w:spacing w:after="0"/>
              <w:rPr>
                <w:sz w:val="20"/>
                <w:szCs w:val="20"/>
                <w:color w:val="auto"/>
              </w:rPr>
            </w:pPr>
            <w:r>
              <w:rPr>
                <w:rFonts w:ascii="Arial" w:cs="Arial" w:eastAsia="Arial" w:hAnsi="Arial"/>
                <w:sz w:val="11"/>
                <w:szCs w:val="11"/>
                <w:color w:val="auto"/>
                <w:w w:val="91"/>
              </w:rPr>
              <w:t>Media: Diversified and Production</w:t>
            </w:r>
          </w:p>
        </w:tc>
        <w:tc>
          <w:tcPr>
            <w:tcW w:w="860" w:type="dxa"/>
            <w:vAlign w:val="bottom"/>
            <w:gridSpan w:val="2"/>
          </w:tcPr>
          <w:p>
            <w:pPr>
              <w:jc w:val="right"/>
              <w:ind w:right="180"/>
              <w:spacing w:after="0"/>
              <w:rPr>
                <w:sz w:val="20"/>
                <w:szCs w:val="20"/>
                <w:color w:val="auto"/>
              </w:rPr>
            </w:pPr>
            <w:r>
              <w:rPr>
                <w:rFonts w:ascii="Arial" w:cs="Arial" w:eastAsia="Arial" w:hAnsi="Arial"/>
                <w:sz w:val="11"/>
                <w:szCs w:val="11"/>
                <w:color w:val="auto"/>
              </w:rPr>
              <w:t>7.31%</w:t>
            </w:r>
          </w:p>
        </w:tc>
        <w:tc>
          <w:tcPr>
            <w:tcW w:w="560" w:type="dxa"/>
            <w:vAlign w:val="bottom"/>
          </w:tcPr>
          <w:p>
            <w:pPr>
              <w:spacing w:after="0"/>
              <w:rPr>
                <w:sz w:val="12"/>
                <w:szCs w:val="12"/>
                <w:color w:val="auto"/>
              </w:rPr>
            </w:pPr>
          </w:p>
        </w:tc>
        <w:tc>
          <w:tcPr>
            <w:tcW w:w="540" w:type="dxa"/>
            <w:vAlign w:val="bottom"/>
            <w:gridSpan w:val="3"/>
          </w:tcPr>
          <w:p>
            <w:pPr>
              <w:jc w:val="right"/>
              <w:ind w:right="40"/>
              <w:spacing w:after="0"/>
              <w:rPr>
                <w:sz w:val="20"/>
                <w:szCs w:val="20"/>
                <w:color w:val="auto"/>
              </w:rPr>
            </w:pPr>
            <w:r>
              <w:rPr>
                <w:rFonts w:ascii="Arial" w:cs="Arial" w:eastAsia="Arial" w:hAnsi="Arial"/>
                <w:sz w:val="11"/>
                <w:szCs w:val="11"/>
                <w:color w:val="auto"/>
                <w:w w:val="97"/>
              </w:rPr>
              <w:t>P+275C $</w:t>
            </w:r>
          </w:p>
        </w:tc>
        <w:tc>
          <w:tcPr>
            <w:tcW w:w="580" w:type="dxa"/>
            <w:vAlign w:val="bottom"/>
          </w:tcPr>
          <w:p>
            <w:pPr>
              <w:jc w:val="right"/>
              <w:spacing w:after="0"/>
              <w:rPr>
                <w:sz w:val="20"/>
                <w:szCs w:val="20"/>
                <w:color w:val="auto"/>
              </w:rPr>
            </w:pPr>
            <w:r>
              <w:rPr>
                <w:rFonts w:ascii="Arial" w:cs="Arial" w:eastAsia="Arial" w:hAnsi="Arial"/>
                <w:sz w:val="12"/>
                <w:szCs w:val="12"/>
                <w:color w:val="auto"/>
              </w:rPr>
              <w:t>5,745,254</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4,456,891</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4,408,350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060" w:type="dxa"/>
            <w:vAlign w:val="bottom"/>
            <w:gridSpan w:val="2"/>
            <w:shd w:val="clear" w:color="auto" w:fill="CCECFF"/>
          </w:tcPr>
          <w:p>
            <w:pPr>
              <w:spacing w:after="0"/>
              <w:rPr>
                <w:sz w:val="20"/>
                <w:szCs w:val="20"/>
                <w:color w:val="auto"/>
              </w:rPr>
            </w:pPr>
            <w:r>
              <w:rPr>
                <w:rFonts w:ascii="Arial" w:cs="Arial" w:eastAsia="Arial" w:hAnsi="Arial"/>
                <w:sz w:val="11"/>
                <w:szCs w:val="11"/>
                <w:color w:val="auto"/>
              </w:rPr>
              <w:t>Mission Critical Electronics, Inc.</w:t>
            </w:r>
          </w:p>
        </w:tc>
        <w:tc>
          <w:tcPr>
            <w:tcW w:w="64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87"/>
              </w:rPr>
              <w:t>09/28/2022</w:t>
            </w:r>
          </w:p>
        </w:tc>
        <w:tc>
          <w:tcPr>
            <w:tcW w:w="24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91"/>
              </w:rPr>
              <w:t>Capital Equipment</w:t>
            </w:r>
          </w:p>
        </w:tc>
        <w:tc>
          <w:tcPr>
            <w:tcW w:w="86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6.94%</w:t>
            </w:r>
          </w:p>
        </w:tc>
        <w:tc>
          <w:tcPr>
            <w:tcW w:w="560" w:type="dxa"/>
            <w:vAlign w:val="bottom"/>
            <w:shd w:val="clear" w:color="auto" w:fill="CCECFF"/>
          </w:tcPr>
          <w:p>
            <w:pPr>
              <w:ind w:left="400"/>
              <w:spacing w:after="0"/>
              <w:rPr>
                <w:sz w:val="20"/>
                <w:szCs w:val="20"/>
                <w:color w:val="auto"/>
              </w:rPr>
            </w:pPr>
            <w:r>
              <w:rPr>
                <w:rFonts w:ascii="Arial" w:cs="Arial" w:eastAsia="Arial" w:hAnsi="Arial"/>
                <w:sz w:val="11"/>
                <w:szCs w:val="11"/>
                <w:color w:val="auto"/>
                <w:w w:val="91"/>
              </w:rPr>
              <w:t>3M</w:t>
            </w:r>
          </w:p>
        </w:tc>
        <w:tc>
          <w:tcPr>
            <w:tcW w:w="540" w:type="dxa"/>
            <w:vAlign w:val="bottom"/>
            <w:gridSpan w:val="3"/>
            <w:shd w:val="clear" w:color="auto" w:fill="CCECFF"/>
          </w:tcPr>
          <w:p>
            <w:pPr>
              <w:jc w:val="right"/>
              <w:ind w:right="220"/>
              <w:spacing w:after="0"/>
              <w:rPr>
                <w:sz w:val="20"/>
                <w:szCs w:val="20"/>
                <w:color w:val="auto"/>
              </w:rPr>
            </w:pPr>
            <w:r>
              <w:rPr>
                <w:rFonts w:ascii="Arial" w:cs="Arial" w:eastAsia="Arial" w:hAnsi="Arial"/>
                <w:sz w:val="11"/>
                <w:szCs w:val="11"/>
                <w:color w:val="auto"/>
                <w:w w:val="96"/>
              </w:rPr>
              <w:t>L+500</w:t>
            </w: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5,994,919</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5,965,076</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5,986,521</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gridSpan w:val="2"/>
          </w:tcPr>
          <w:p>
            <w:pPr>
              <w:spacing w:after="0"/>
              <w:rPr>
                <w:sz w:val="20"/>
                <w:szCs w:val="20"/>
                <w:color w:val="auto"/>
              </w:rPr>
            </w:pPr>
            <w:r>
              <w:rPr>
                <w:rFonts w:ascii="Arial" w:cs="Arial" w:eastAsia="Arial" w:hAnsi="Arial"/>
                <w:sz w:val="11"/>
                <w:szCs w:val="11"/>
                <w:color w:val="auto"/>
              </w:rPr>
              <w:t>New Milani Group LLC</w:t>
            </w:r>
          </w:p>
        </w:tc>
        <w:tc>
          <w:tcPr>
            <w:tcW w:w="640" w:type="dxa"/>
            <w:vAlign w:val="bottom"/>
            <w:gridSpan w:val="2"/>
          </w:tcPr>
          <w:p>
            <w:pPr>
              <w:jc w:val="center"/>
              <w:ind w:left="66"/>
              <w:spacing w:after="0"/>
              <w:rPr>
                <w:sz w:val="20"/>
                <w:szCs w:val="20"/>
                <w:color w:val="auto"/>
              </w:rPr>
            </w:pPr>
            <w:r>
              <w:rPr>
                <w:rFonts w:ascii="Arial" w:cs="Arial" w:eastAsia="Arial" w:hAnsi="Arial"/>
                <w:sz w:val="11"/>
                <w:szCs w:val="11"/>
                <w:color w:val="auto"/>
                <w:w w:val="87"/>
              </w:rPr>
              <w:t>06/06/2024</w:t>
            </w:r>
          </w:p>
        </w:tc>
        <w:tc>
          <w:tcPr>
            <w:tcW w:w="240" w:type="dxa"/>
            <w:vAlign w:val="bottom"/>
          </w:tcPr>
          <w:p>
            <w:pPr>
              <w:spacing w:after="0"/>
              <w:rPr>
                <w:sz w:val="11"/>
                <w:szCs w:val="11"/>
                <w:color w:val="auto"/>
              </w:rPr>
            </w:pPr>
          </w:p>
        </w:tc>
        <w:tc>
          <w:tcPr>
            <w:tcW w:w="2760" w:type="dxa"/>
            <w:vAlign w:val="bottom"/>
            <w:gridSpan w:val="2"/>
          </w:tcPr>
          <w:p>
            <w:pPr>
              <w:jc w:val="center"/>
              <w:ind w:right="140"/>
              <w:spacing w:after="0"/>
              <w:rPr>
                <w:sz w:val="20"/>
                <w:szCs w:val="20"/>
                <w:color w:val="auto"/>
              </w:rPr>
            </w:pPr>
            <w:r>
              <w:rPr>
                <w:rFonts w:ascii="Arial" w:cs="Arial" w:eastAsia="Arial" w:hAnsi="Arial"/>
                <w:sz w:val="11"/>
                <w:szCs w:val="11"/>
                <w:color w:val="auto"/>
                <w:w w:val="89"/>
              </w:rPr>
              <w:t>Consumer Goods: Non-Durable</w:t>
            </w:r>
          </w:p>
        </w:tc>
        <w:tc>
          <w:tcPr>
            <w:tcW w:w="860" w:type="dxa"/>
            <w:vAlign w:val="bottom"/>
            <w:gridSpan w:val="2"/>
          </w:tcPr>
          <w:p>
            <w:pPr>
              <w:jc w:val="right"/>
              <w:ind w:right="180"/>
              <w:spacing w:after="0"/>
              <w:rPr>
                <w:sz w:val="20"/>
                <w:szCs w:val="20"/>
                <w:color w:val="auto"/>
              </w:rPr>
            </w:pPr>
            <w:r>
              <w:rPr>
                <w:rFonts w:ascii="Arial" w:cs="Arial" w:eastAsia="Arial" w:hAnsi="Arial"/>
                <w:sz w:val="11"/>
                <w:szCs w:val="11"/>
                <w:color w:val="auto"/>
              </w:rPr>
              <w:t>6.94%</w:t>
            </w:r>
          </w:p>
        </w:tc>
        <w:tc>
          <w:tcPr>
            <w:tcW w:w="560" w:type="dxa"/>
            <w:vAlign w:val="bottom"/>
          </w:tcPr>
          <w:p>
            <w:pPr>
              <w:ind w:left="400"/>
              <w:spacing w:after="0"/>
              <w:rPr>
                <w:sz w:val="20"/>
                <w:szCs w:val="20"/>
                <w:color w:val="auto"/>
              </w:rPr>
            </w:pPr>
            <w:r>
              <w:rPr>
                <w:rFonts w:ascii="Arial" w:cs="Arial" w:eastAsia="Arial" w:hAnsi="Arial"/>
                <w:sz w:val="11"/>
                <w:szCs w:val="11"/>
                <w:color w:val="auto"/>
                <w:w w:val="91"/>
              </w:rPr>
              <w:t>1M</w:t>
            </w:r>
          </w:p>
        </w:tc>
        <w:tc>
          <w:tcPr>
            <w:tcW w:w="540" w:type="dxa"/>
            <w:vAlign w:val="bottom"/>
            <w:gridSpan w:val="3"/>
          </w:tcPr>
          <w:p>
            <w:pPr>
              <w:jc w:val="right"/>
              <w:ind w:right="220"/>
              <w:spacing w:after="0"/>
              <w:rPr>
                <w:sz w:val="20"/>
                <w:szCs w:val="20"/>
                <w:color w:val="auto"/>
              </w:rPr>
            </w:pPr>
            <w:r>
              <w:rPr>
                <w:rFonts w:ascii="Arial" w:cs="Arial" w:eastAsia="Arial" w:hAnsi="Arial"/>
                <w:sz w:val="11"/>
                <w:szCs w:val="11"/>
                <w:color w:val="auto"/>
                <w:w w:val="96"/>
              </w:rPr>
              <w:t>L+425</w:t>
            </w:r>
          </w:p>
        </w:tc>
        <w:tc>
          <w:tcPr>
            <w:tcW w:w="580" w:type="dxa"/>
            <w:vAlign w:val="bottom"/>
          </w:tcPr>
          <w:p>
            <w:pPr>
              <w:jc w:val="right"/>
              <w:spacing w:after="0"/>
              <w:rPr>
                <w:sz w:val="20"/>
                <w:szCs w:val="20"/>
                <w:color w:val="auto"/>
              </w:rPr>
            </w:pPr>
            <w:r>
              <w:rPr>
                <w:rFonts w:ascii="Arial" w:cs="Arial" w:eastAsia="Arial" w:hAnsi="Arial"/>
                <w:sz w:val="11"/>
                <w:szCs w:val="11"/>
                <w:color w:val="auto"/>
                <w:w w:val="98"/>
              </w:rPr>
              <w:t>14,775,000</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14,660,510</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14,479,500</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gridSpan w:val="2"/>
            <w:shd w:val="clear" w:color="auto" w:fill="CCECFF"/>
          </w:tcPr>
          <w:p>
            <w:pPr>
              <w:spacing w:after="0"/>
              <w:rPr>
                <w:sz w:val="20"/>
                <w:szCs w:val="20"/>
                <w:color w:val="auto"/>
              </w:rPr>
            </w:pPr>
            <w:r>
              <w:rPr>
                <w:rFonts w:ascii="Arial" w:cs="Arial" w:eastAsia="Arial" w:hAnsi="Arial"/>
                <w:sz w:val="11"/>
                <w:szCs w:val="11"/>
                <w:color w:val="auto"/>
              </w:rPr>
              <w:t>Nuvei Technologies Corp.</w:t>
            </w:r>
          </w:p>
        </w:tc>
        <w:tc>
          <w:tcPr>
            <w:tcW w:w="64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87"/>
              </w:rPr>
              <w:t>09/28/2025</w:t>
            </w:r>
          </w:p>
        </w:tc>
        <w:tc>
          <w:tcPr>
            <w:tcW w:w="24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9"/>
              </w:rPr>
              <w:t>High Tech Industries</w:t>
            </w:r>
          </w:p>
        </w:tc>
        <w:tc>
          <w:tcPr>
            <w:tcW w:w="86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6.80%</w:t>
            </w:r>
          </w:p>
        </w:tc>
        <w:tc>
          <w:tcPr>
            <w:tcW w:w="560" w:type="dxa"/>
            <w:vAlign w:val="bottom"/>
            <w:shd w:val="clear" w:color="auto" w:fill="CCECFF"/>
          </w:tcPr>
          <w:p>
            <w:pPr>
              <w:spacing w:after="0"/>
              <w:rPr>
                <w:sz w:val="11"/>
                <w:szCs w:val="11"/>
                <w:color w:val="auto"/>
              </w:rPr>
            </w:pPr>
          </w:p>
        </w:tc>
        <w:tc>
          <w:tcPr>
            <w:tcW w:w="540" w:type="dxa"/>
            <w:vAlign w:val="bottom"/>
            <w:gridSpan w:val="3"/>
            <w:shd w:val="clear" w:color="auto" w:fill="CCECFF"/>
          </w:tcPr>
          <w:p>
            <w:pPr>
              <w:jc w:val="right"/>
              <w:ind w:right="220"/>
              <w:spacing w:after="0"/>
              <w:rPr>
                <w:sz w:val="20"/>
                <w:szCs w:val="20"/>
                <w:color w:val="auto"/>
              </w:rPr>
            </w:pPr>
            <w:r>
              <w:rPr>
                <w:rFonts w:ascii="Arial" w:cs="Arial" w:eastAsia="Arial" w:hAnsi="Arial"/>
                <w:sz w:val="11"/>
                <w:szCs w:val="11"/>
                <w:color w:val="auto"/>
                <w:w w:val="93"/>
              </w:rPr>
              <w:t>P+400</w:t>
            </w: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w w:val="98"/>
              </w:rPr>
              <w:t>12,452,133</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12,514,394</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12,514,394</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gridSpan w:val="2"/>
          </w:tcPr>
          <w:p>
            <w:pPr>
              <w:spacing w:after="0"/>
              <w:rPr>
                <w:sz w:val="20"/>
                <w:szCs w:val="20"/>
                <w:color w:val="auto"/>
              </w:rPr>
            </w:pPr>
            <w:r>
              <w:rPr>
                <w:rFonts w:ascii="Arial" w:cs="Arial" w:eastAsia="Arial" w:hAnsi="Arial"/>
                <w:sz w:val="11"/>
                <w:szCs w:val="11"/>
                <w:color w:val="auto"/>
              </w:rPr>
              <w:t>Olde Thompson, LLC</w:t>
            </w:r>
          </w:p>
        </w:tc>
        <w:tc>
          <w:tcPr>
            <w:tcW w:w="640" w:type="dxa"/>
            <w:vAlign w:val="bottom"/>
            <w:gridSpan w:val="2"/>
          </w:tcPr>
          <w:p>
            <w:pPr>
              <w:jc w:val="center"/>
              <w:ind w:left="66"/>
              <w:spacing w:after="0"/>
              <w:rPr>
                <w:sz w:val="20"/>
                <w:szCs w:val="20"/>
                <w:color w:val="auto"/>
              </w:rPr>
            </w:pPr>
            <w:r>
              <w:rPr>
                <w:rFonts w:ascii="Arial" w:cs="Arial" w:eastAsia="Arial" w:hAnsi="Arial"/>
                <w:sz w:val="11"/>
                <w:szCs w:val="11"/>
                <w:color w:val="auto"/>
                <w:w w:val="87"/>
              </w:rPr>
              <w:t>05/14/2024</w:t>
            </w:r>
          </w:p>
        </w:tc>
        <w:tc>
          <w:tcPr>
            <w:tcW w:w="240" w:type="dxa"/>
            <w:vAlign w:val="bottom"/>
          </w:tcPr>
          <w:p>
            <w:pPr>
              <w:spacing w:after="0"/>
              <w:rPr>
                <w:sz w:val="11"/>
                <w:szCs w:val="11"/>
                <w:color w:val="auto"/>
              </w:rPr>
            </w:pPr>
          </w:p>
        </w:tc>
        <w:tc>
          <w:tcPr>
            <w:tcW w:w="2760" w:type="dxa"/>
            <w:vAlign w:val="bottom"/>
            <w:gridSpan w:val="2"/>
          </w:tcPr>
          <w:p>
            <w:pPr>
              <w:jc w:val="center"/>
              <w:ind w:right="140"/>
              <w:spacing w:after="0"/>
              <w:rPr>
                <w:sz w:val="20"/>
                <w:szCs w:val="20"/>
                <w:color w:val="auto"/>
              </w:rPr>
            </w:pPr>
            <w:r>
              <w:rPr>
                <w:rFonts w:ascii="Arial" w:cs="Arial" w:eastAsia="Arial" w:hAnsi="Arial"/>
                <w:sz w:val="11"/>
                <w:szCs w:val="11"/>
                <w:color w:val="auto"/>
                <w:w w:val="86"/>
              </w:rPr>
              <w:t>Beverage, Food and Tobacco</w:t>
            </w:r>
          </w:p>
        </w:tc>
        <w:tc>
          <w:tcPr>
            <w:tcW w:w="860" w:type="dxa"/>
            <w:vAlign w:val="bottom"/>
            <w:gridSpan w:val="2"/>
          </w:tcPr>
          <w:p>
            <w:pPr>
              <w:jc w:val="right"/>
              <w:ind w:right="180"/>
              <w:spacing w:after="0"/>
              <w:rPr>
                <w:sz w:val="20"/>
                <w:szCs w:val="20"/>
                <w:color w:val="auto"/>
              </w:rPr>
            </w:pPr>
            <w:r>
              <w:rPr>
                <w:rFonts w:ascii="Arial" w:cs="Arial" w:eastAsia="Arial" w:hAnsi="Arial"/>
                <w:sz w:val="11"/>
                <w:szCs w:val="11"/>
                <w:color w:val="auto"/>
              </w:rPr>
              <w:t>6.05%</w:t>
            </w:r>
          </w:p>
        </w:tc>
        <w:tc>
          <w:tcPr>
            <w:tcW w:w="560" w:type="dxa"/>
            <w:vAlign w:val="bottom"/>
          </w:tcPr>
          <w:p>
            <w:pPr>
              <w:ind w:left="400"/>
              <w:spacing w:after="0"/>
              <w:rPr>
                <w:sz w:val="20"/>
                <w:szCs w:val="20"/>
                <w:color w:val="auto"/>
              </w:rPr>
            </w:pPr>
            <w:r>
              <w:rPr>
                <w:rFonts w:ascii="Arial" w:cs="Arial" w:eastAsia="Arial" w:hAnsi="Arial"/>
                <w:sz w:val="11"/>
                <w:szCs w:val="11"/>
                <w:color w:val="auto"/>
                <w:w w:val="91"/>
              </w:rPr>
              <w:t>1M</w:t>
            </w:r>
          </w:p>
        </w:tc>
        <w:tc>
          <w:tcPr>
            <w:tcW w:w="540" w:type="dxa"/>
            <w:vAlign w:val="bottom"/>
            <w:gridSpan w:val="3"/>
          </w:tcPr>
          <w:p>
            <w:pPr>
              <w:jc w:val="right"/>
              <w:ind w:right="220"/>
              <w:spacing w:after="0"/>
              <w:rPr>
                <w:sz w:val="20"/>
                <w:szCs w:val="20"/>
                <w:color w:val="auto"/>
              </w:rPr>
            </w:pPr>
            <w:r>
              <w:rPr>
                <w:rFonts w:ascii="Arial" w:cs="Arial" w:eastAsia="Arial" w:hAnsi="Arial"/>
                <w:sz w:val="11"/>
                <w:szCs w:val="11"/>
                <w:color w:val="auto"/>
                <w:w w:val="96"/>
              </w:rPr>
              <w:t>L+425</w:t>
            </w:r>
          </w:p>
        </w:tc>
        <w:tc>
          <w:tcPr>
            <w:tcW w:w="580" w:type="dxa"/>
            <w:vAlign w:val="bottom"/>
          </w:tcPr>
          <w:p>
            <w:pPr>
              <w:jc w:val="right"/>
              <w:spacing w:after="0"/>
              <w:rPr>
                <w:sz w:val="20"/>
                <w:szCs w:val="20"/>
                <w:color w:val="auto"/>
              </w:rPr>
            </w:pPr>
            <w:r>
              <w:rPr>
                <w:rFonts w:ascii="Arial" w:cs="Arial" w:eastAsia="Arial" w:hAnsi="Arial"/>
                <w:sz w:val="11"/>
                <w:szCs w:val="11"/>
                <w:color w:val="auto"/>
                <w:w w:val="98"/>
              </w:rPr>
              <w:t>11,410,000</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11,295,900</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11,410,000</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gridSpan w:val="2"/>
            <w:shd w:val="clear" w:color="auto" w:fill="CCECFF"/>
          </w:tcPr>
          <w:p>
            <w:pPr>
              <w:spacing w:after="0"/>
              <w:rPr>
                <w:sz w:val="20"/>
                <w:szCs w:val="20"/>
                <w:color w:val="auto"/>
              </w:rPr>
            </w:pPr>
            <w:r>
              <w:rPr>
                <w:rFonts w:ascii="Arial" w:cs="Arial" w:eastAsia="Arial" w:hAnsi="Arial"/>
                <w:sz w:val="11"/>
                <w:szCs w:val="11"/>
                <w:color w:val="auto"/>
              </w:rPr>
              <w:t>Output Services Group, Inc.</w:t>
            </w:r>
          </w:p>
        </w:tc>
        <w:tc>
          <w:tcPr>
            <w:tcW w:w="64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87"/>
              </w:rPr>
              <w:t>03/27/2024</w:t>
            </w:r>
          </w:p>
        </w:tc>
        <w:tc>
          <w:tcPr>
            <w:tcW w:w="24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6"/>
              </w:rPr>
              <w:t>Business Services</w:t>
            </w:r>
          </w:p>
        </w:tc>
        <w:tc>
          <w:tcPr>
            <w:tcW w:w="86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6.30%</w:t>
            </w:r>
          </w:p>
        </w:tc>
        <w:tc>
          <w:tcPr>
            <w:tcW w:w="560" w:type="dxa"/>
            <w:vAlign w:val="bottom"/>
            <w:shd w:val="clear" w:color="auto" w:fill="CCECFF"/>
          </w:tcPr>
          <w:p>
            <w:pPr>
              <w:ind w:left="400"/>
              <w:spacing w:after="0"/>
              <w:rPr>
                <w:sz w:val="20"/>
                <w:szCs w:val="20"/>
                <w:color w:val="auto"/>
              </w:rPr>
            </w:pPr>
            <w:r>
              <w:rPr>
                <w:rFonts w:ascii="Arial" w:cs="Arial" w:eastAsia="Arial" w:hAnsi="Arial"/>
                <w:sz w:val="11"/>
                <w:szCs w:val="11"/>
                <w:color w:val="auto"/>
                <w:w w:val="91"/>
              </w:rPr>
              <w:t>1M</w:t>
            </w:r>
          </w:p>
        </w:tc>
        <w:tc>
          <w:tcPr>
            <w:tcW w:w="540" w:type="dxa"/>
            <w:vAlign w:val="bottom"/>
            <w:gridSpan w:val="3"/>
            <w:shd w:val="clear" w:color="auto" w:fill="CCECFF"/>
          </w:tcPr>
          <w:p>
            <w:pPr>
              <w:jc w:val="right"/>
              <w:ind w:right="220"/>
              <w:spacing w:after="0"/>
              <w:rPr>
                <w:sz w:val="20"/>
                <w:szCs w:val="20"/>
                <w:color w:val="auto"/>
              </w:rPr>
            </w:pPr>
            <w:r>
              <w:rPr>
                <w:rFonts w:ascii="Arial" w:cs="Arial" w:eastAsia="Arial" w:hAnsi="Arial"/>
                <w:sz w:val="11"/>
                <w:szCs w:val="11"/>
                <w:color w:val="auto"/>
                <w:w w:val="96"/>
              </w:rPr>
              <w:t>L+425</w:t>
            </w: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7,865,895</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7,890,564</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7,472,600</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gridSpan w:val="2"/>
          </w:tcPr>
          <w:p>
            <w:pPr>
              <w:spacing w:after="0"/>
              <w:rPr>
                <w:sz w:val="20"/>
                <w:szCs w:val="20"/>
                <w:color w:val="auto"/>
              </w:rPr>
            </w:pPr>
            <w:r>
              <w:rPr>
                <w:rFonts w:ascii="Arial" w:cs="Arial" w:eastAsia="Arial" w:hAnsi="Arial"/>
                <w:sz w:val="11"/>
                <w:szCs w:val="11"/>
                <w:color w:val="auto"/>
              </w:rPr>
              <w:t>PH Beauty Holdings III, Inc.</w:t>
            </w:r>
          </w:p>
        </w:tc>
        <w:tc>
          <w:tcPr>
            <w:tcW w:w="640" w:type="dxa"/>
            <w:vAlign w:val="bottom"/>
            <w:gridSpan w:val="2"/>
          </w:tcPr>
          <w:p>
            <w:pPr>
              <w:jc w:val="center"/>
              <w:ind w:left="66"/>
              <w:spacing w:after="0"/>
              <w:rPr>
                <w:sz w:val="20"/>
                <w:szCs w:val="20"/>
                <w:color w:val="auto"/>
              </w:rPr>
            </w:pPr>
            <w:r>
              <w:rPr>
                <w:rFonts w:ascii="Arial" w:cs="Arial" w:eastAsia="Arial" w:hAnsi="Arial"/>
                <w:sz w:val="11"/>
                <w:szCs w:val="11"/>
                <w:color w:val="auto"/>
                <w:w w:val="87"/>
              </w:rPr>
              <w:t>09/29/2025</w:t>
            </w:r>
          </w:p>
        </w:tc>
        <w:tc>
          <w:tcPr>
            <w:tcW w:w="240" w:type="dxa"/>
            <w:vAlign w:val="bottom"/>
          </w:tcPr>
          <w:p>
            <w:pPr>
              <w:spacing w:after="0"/>
              <w:rPr>
                <w:sz w:val="11"/>
                <w:szCs w:val="11"/>
                <w:color w:val="auto"/>
              </w:rPr>
            </w:pPr>
          </w:p>
        </w:tc>
        <w:tc>
          <w:tcPr>
            <w:tcW w:w="2760" w:type="dxa"/>
            <w:vAlign w:val="bottom"/>
            <w:gridSpan w:val="2"/>
          </w:tcPr>
          <w:p>
            <w:pPr>
              <w:jc w:val="center"/>
              <w:ind w:right="140"/>
              <w:spacing w:after="0"/>
              <w:rPr>
                <w:sz w:val="20"/>
                <w:szCs w:val="20"/>
                <w:color w:val="auto"/>
              </w:rPr>
            </w:pPr>
            <w:r>
              <w:rPr>
                <w:rFonts w:ascii="Arial" w:cs="Arial" w:eastAsia="Arial" w:hAnsi="Arial"/>
                <w:sz w:val="11"/>
                <w:szCs w:val="11"/>
                <w:color w:val="auto"/>
                <w:w w:val="89"/>
              </w:rPr>
              <w:t>Wholesale</w:t>
            </w:r>
          </w:p>
        </w:tc>
        <w:tc>
          <w:tcPr>
            <w:tcW w:w="860" w:type="dxa"/>
            <w:vAlign w:val="bottom"/>
            <w:gridSpan w:val="2"/>
          </w:tcPr>
          <w:p>
            <w:pPr>
              <w:jc w:val="right"/>
              <w:ind w:right="180"/>
              <w:spacing w:after="0"/>
              <w:rPr>
                <w:sz w:val="20"/>
                <w:szCs w:val="20"/>
                <w:color w:val="auto"/>
              </w:rPr>
            </w:pPr>
            <w:r>
              <w:rPr>
                <w:rFonts w:ascii="Arial" w:cs="Arial" w:eastAsia="Arial" w:hAnsi="Arial"/>
                <w:sz w:val="11"/>
                <w:szCs w:val="11"/>
                <w:color w:val="auto"/>
              </w:rPr>
              <w:t>6.80%</w:t>
            </w:r>
          </w:p>
        </w:tc>
        <w:tc>
          <w:tcPr>
            <w:tcW w:w="560" w:type="dxa"/>
            <w:vAlign w:val="bottom"/>
          </w:tcPr>
          <w:p>
            <w:pPr>
              <w:ind w:left="400"/>
              <w:spacing w:after="0"/>
              <w:rPr>
                <w:sz w:val="20"/>
                <w:szCs w:val="20"/>
                <w:color w:val="auto"/>
              </w:rPr>
            </w:pPr>
            <w:r>
              <w:rPr>
                <w:rFonts w:ascii="Arial" w:cs="Arial" w:eastAsia="Arial" w:hAnsi="Arial"/>
                <w:sz w:val="11"/>
                <w:szCs w:val="11"/>
                <w:color w:val="auto"/>
                <w:w w:val="91"/>
              </w:rPr>
              <w:t>1M</w:t>
            </w:r>
          </w:p>
        </w:tc>
        <w:tc>
          <w:tcPr>
            <w:tcW w:w="540" w:type="dxa"/>
            <w:vAlign w:val="bottom"/>
            <w:gridSpan w:val="3"/>
          </w:tcPr>
          <w:p>
            <w:pPr>
              <w:jc w:val="right"/>
              <w:ind w:right="220"/>
              <w:spacing w:after="0"/>
              <w:rPr>
                <w:sz w:val="20"/>
                <w:szCs w:val="20"/>
                <w:color w:val="auto"/>
              </w:rPr>
            </w:pPr>
            <w:r>
              <w:rPr>
                <w:rFonts w:ascii="Arial" w:cs="Arial" w:eastAsia="Arial" w:hAnsi="Arial"/>
                <w:sz w:val="11"/>
                <w:szCs w:val="11"/>
                <w:color w:val="auto"/>
                <w:w w:val="96"/>
              </w:rPr>
              <w:t>L+500</w:t>
            </w:r>
          </w:p>
        </w:tc>
        <w:tc>
          <w:tcPr>
            <w:tcW w:w="580" w:type="dxa"/>
            <w:vAlign w:val="bottom"/>
          </w:tcPr>
          <w:p>
            <w:pPr>
              <w:jc w:val="right"/>
              <w:spacing w:after="0"/>
              <w:rPr>
                <w:sz w:val="20"/>
                <w:szCs w:val="20"/>
                <w:color w:val="auto"/>
              </w:rPr>
            </w:pPr>
            <w:r>
              <w:rPr>
                <w:rFonts w:ascii="Arial" w:cs="Arial" w:eastAsia="Arial" w:hAnsi="Arial"/>
                <w:sz w:val="11"/>
                <w:szCs w:val="11"/>
                <w:color w:val="auto"/>
              </w:rPr>
              <w:t>9,867,538</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9,781,830</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9,768,863</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gridSpan w:val="2"/>
            <w:shd w:val="clear" w:color="auto" w:fill="CCECFF"/>
          </w:tcPr>
          <w:p>
            <w:pPr>
              <w:spacing w:after="0"/>
              <w:rPr>
                <w:sz w:val="20"/>
                <w:szCs w:val="20"/>
                <w:color w:val="auto"/>
              </w:rPr>
            </w:pPr>
            <w:r>
              <w:rPr>
                <w:rFonts w:ascii="Arial" w:cs="Arial" w:eastAsia="Arial" w:hAnsi="Arial"/>
                <w:sz w:val="11"/>
                <w:szCs w:val="11"/>
                <w:color w:val="auto"/>
              </w:rPr>
              <w:t>Plant Health Intermediate, Inc.</w:t>
            </w:r>
          </w:p>
        </w:tc>
        <w:tc>
          <w:tcPr>
            <w:tcW w:w="64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87"/>
              </w:rPr>
              <w:t>10/19/2022</w:t>
            </w:r>
          </w:p>
        </w:tc>
        <w:tc>
          <w:tcPr>
            <w:tcW w:w="24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8"/>
              </w:rPr>
              <w:t>Chemicals, Plastics and Rubber</w:t>
            </w:r>
          </w:p>
        </w:tc>
        <w:tc>
          <w:tcPr>
            <w:tcW w:w="86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7.69%</w:t>
            </w:r>
          </w:p>
        </w:tc>
        <w:tc>
          <w:tcPr>
            <w:tcW w:w="560" w:type="dxa"/>
            <w:vAlign w:val="bottom"/>
            <w:shd w:val="clear" w:color="auto" w:fill="CCECFF"/>
          </w:tcPr>
          <w:p>
            <w:pPr>
              <w:ind w:left="400"/>
              <w:spacing w:after="0"/>
              <w:rPr>
                <w:sz w:val="20"/>
                <w:szCs w:val="20"/>
                <w:color w:val="auto"/>
              </w:rPr>
            </w:pPr>
            <w:r>
              <w:rPr>
                <w:rFonts w:ascii="Arial" w:cs="Arial" w:eastAsia="Arial" w:hAnsi="Arial"/>
                <w:sz w:val="11"/>
                <w:szCs w:val="11"/>
                <w:color w:val="auto"/>
                <w:w w:val="91"/>
              </w:rPr>
              <w:t>3M</w:t>
            </w:r>
          </w:p>
        </w:tc>
        <w:tc>
          <w:tcPr>
            <w:tcW w:w="540" w:type="dxa"/>
            <w:vAlign w:val="bottom"/>
            <w:gridSpan w:val="3"/>
            <w:shd w:val="clear" w:color="auto" w:fill="CCECFF"/>
          </w:tcPr>
          <w:p>
            <w:pPr>
              <w:jc w:val="right"/>
              <w:ind w:right="220"/>
              <w:spacing w:after="0"/>
              <w:rPr>
                <w:sz w:val="20"/>
                <w:szCs w:val="20"/>
                <w:color w:val="auto"/>
              </w:rPr>
            </w:pPr>
            <w:r>
              <w:rPr>
                <w:rFonts w:ascii="Arial" w:cs="Arial" w:eastAsia="Arial" w:hAnsi="Arial"/>
                <w:sz w:val="11"/>
                <w:szCs w:val="11"/>
                <w:color w:val="auto"/>
                <w:w w:val="96"/>
              </w:rPr>
              <w:t>L+575</w:t>
            </w: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1,753,977</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1,733,464</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1,736,437</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gridSpan w:val="2"/>
          </w:tcPr>
          <w:p>
            <w:pPr>
              <w:spacing w:after="0"/>
              <w:rPr>
                <w:sz w:val="20"/>
                <w:szCs w:val="20"/>
                <w:color w:val="auto"/>
              </w:rPr>
            </w:pPr>
            <w:r>
              <w:rPr>
                <w:rFonts w:ascii="Arial" w:cs="Arial" w:eastAsia="Arial" w:hAnsi="Arial"/>
                <w:sz w:val="11"/>
                <w:szCs w:val="11"/>
                <w:color w:val="auto"/>
              </w:rPr>
              <w:t>PlayPower, Inc.</w:t>
            </w:r>
          </w:p>
        </w:tc>
        <w:tc>
          <w:tcPr>
            <w:tcW w:w="640" w:type="dxa"/>
            <w:vAlign w:val="bottom"/>
            <w:gridSpan w:val="2"/>
          </w:tcPr>
          <w:p>
            <w:pPr>
              <w:jc w:val="center"/>
              <w:ind w:left="66"/>
              <w:spacing w:after="0"/>
              <w:rPr>
                <w:sz w:val="20"/>
                <w:szCs w:val="20"/>
                <w:color w:val="auto"/>
              </w:rPr>
            </w:pPr>
            <w:r>
              <w:rPr>
                <w:rFonts w:ascii="Arial" w:cs="Arial" w:eastAsia="Arial" w:hAnsi="Arial"/>
                <w:sz w:val="11"/>
                <w:szCs w:val="11"/>
                <w:color w:val="auto"/>
                <w:w w:val="87"/>
              </w:rPr>
              <w:t>05/08/2026</w:t>
            </w:r>
          </w:p>
        </w:tc>
        <w:tc>
          <w:tcPr>
            <w:tcW w:w="240" w:type="dxa"/>
            <w:vAlign w:val="bottom"/>
          </w:tcPr>
          <w:p>
            <w:pPr>
              <w:spacing w:after="0"/>
              <w:rPr>
                <w:sz w:val="11"/>
                <w:szCs w:val="11"/>
                <w:color w:val="auto"/>
              </w:rPr>
            </w:pPr>
          </w:p>
        </w:tc>
        <w:tc>
          <w:tcPr>
            <w:tcW w:w="2760" w:type="dxa"/>
            <w:vAlign w:val="bottom"/>
            <w:gridSpan w:val="2"/>
          </w:tcPr>
          <w:p>
            <w:pPr>
              <w:jc w:val="center"/>
              <w:ind w:right="140"/>
              <w:spacing w:after="0"/>
              <w:rPr>
                <w:sz w:val="20"/>
                <w:szCs w:val="20"/>
                <w:color w:val="auto"/>
              </w:rPr>
            </w:pPr>
            <w:r>
              <w:rPr>
                <w:rFonts w:ascii="Arial" w:cs="Arial" w:eastAsia="Arial" w:hAnsi="Arial"/>
                <w:sz w:val="11"/>
                <w:szCs w:val="11"/>
                <w:color w:val="auto"/>
                <w:w w:val="89"/>
              </w:rPr>
              <w:t>Leisure Products</w:t>
            </w:r>
          </w:p>
        </w:tc>
        <w:tc>
          <w:tcPr>
            <w:tcW w:w="860" w:type="dxa"/>
            <w:vAlign w:val="bottom"/>
            <w:gridSpan w:val="2"/>
          </w:tcPr>
          <w:p>
            <w:pPr>
              <w:jc w:val="right"/>
              <w:ind w:right="180"/>
              <w:spacing w:after="0"/>
              <w:rPr>
                <w:sz w:val="20"/>
                <w:szCs w:val="20"/>
                <w:color w:val="auto"/>
              </w:rPr>
            </w:pPr>
            <w:r>
              <w:rPr>
                <w:rFonts w:ascii="Arial" w:cs="Arial" w:eastAsia="Arial" w:hAnsi="Arial"/>
                <w:sz w:val="11"/>
                <w:szCs w:val="11"/>
                <w:color w:val="auto"/>
              </w:rPr>
              <w:t>7.46%</w:t>
            </w:r>
          </w:p>
        </w:tc>
        <w:tc>
          <w:tcPr>
            <w:tcW w:w="560" w:type="dxa"/>
            <w:vAlign w:val="bottom"/>
          </w:tcPr>
          <w:p>
            <w:pPr>
              <w:ind w:left="400"/>
              <w:spacing w:after="0"/>
              <w:rPr>
                <w:sz w:val="20"/>
                <w:szCs w:val="20"/>
                <w:color w:val="auto"/>
              </w:rPr>
            </w:pPr>
            <w:r>
              <w:rPr>
                <w:rFonts w:ascii="Arial" w:cs="Arial" w:eastAsia="Arial" w:hAnsi="Arial"/>
                <w:sz w:val="11"/>
                <w:szCs w:val="11"/>
                <w:color w:val="auto"/>
                <w:w w:val="91"/>
              </w:rPr>
              <w:t>3M</w:t>
            </w:r>
          </w:p>
        </w:tc>
        <w:tc>
          <w:tcPr>
            <w:tcW w:w="540" w:type="dxa"/>
            <w:vAlign w:val="bottom"/>
            <w:gridSpan w:val="3"/>
          </w:tcPr>
          <w:p>
            <w:pPr>
              <w:jc w:val="right"/>
              <w:ind w:right="220"/>
              <w:spacing w:after="0"/>
              <w:rPr>
                <w:sz w:val="20"/>
                <w:szCs w:val="20"/>
                <w:color w:val="auto"/>
              </w:rPr>
            </w:pPr>
            <w:r>
              <w:rPr>
                <w:rFonts w:ascii="Arial" w:cs="Arial" w:eastAsia="Arial" w:hAnsi="Arial"/>
                <w:sz w:val="11"/>
                <w:szCs w:val="11"/>
                <w:color w:val="auto"/>
                <w:w w:val="96"/>
              </w:rPr>
              <w:t>L+550</w:t>
            </w:r>
          </w:p>
        </w:tc>
        <w:tc>
          <w:tcPr>
            <w:tcW w:w="580" w:type="dxa"/>
            <w:vAlign w:val="bottom"/>
          </w:tcPr>
          <w:p>
            <w:pPr>
              <w:jc w:val="right"/>
              <w:spacing w:after="0"/>
              <w:rPr>
                <w:sz w:val="20"/>
                <w:szCs w:val="20"/>
                <w:color w:val="auto"/>
              </w:rPr>
            </w:pPr>
            <w:r>
              <w:rPr>
                <w:rFonts w:ascii="Arial" w:cs="Arial" w:eastAsia="Arial" w:hAnsi="Arial"/>
                <w:sz w:val="11"/>
                <w:szCs w:val="11"/>
                <w:color w:val="auto"/>
              </w:rPr>
              <w:t>4,179,000</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4,139,034</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4,126,763</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gridSpan w:val="2"/>
            <w:shd w:val="clear" w:color="auto" w:fill="CCECFF"/>
          </w:tcPr>
          <w:p>
            <w:pPr>
              <w:spacing w:after="0"/>
              <w:rPr>
                <w:sz w:val="20"/>
                <w:szCs w:val="20"/>
                <w:color w:val="auto"/>
              </w:rPr>
            </w:pPr>
            <w:r>
              <w:rPr>
                <w:rFonts w:ascii="Arial" w:cs="Arial" w:eastAsia="Arial" w:hAnsi="Arial"/>
                <w:sz w:val="11"/>
                <w:szCs w:val="11"/>
                <w:color w:val="auto"/>
              </w:rPr>
              <w:t>Schlesinger Global, Inc.</w:t>
            </w:r>
          </w:p>
        </w:tc>
        <w:tc>
          <w:tcPr>
            <w:tcW w:w="64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87"/>
              </w:rPr>
              <w:t>07/14/2025</w:t>
            </w:r>
          </w:p>
        </w:tc>
        <w:tc>
          <w:tcPr>
            <w:tcW w:w="24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6"/>
              </w:rPr>
              <w:t>Business Services</w:t>
            </w:r>
          </w:p>
        </w:tc>
        <w:tc>
          <w:tcPr>
            <w:tcW w:w="86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6.80%</w:t>
            </w:r>
          </w:p>
        </w:tc>
        <w:tc>
          <w:tcPr>
            <w:tcW w:w="560" w:type="dxa"/>
            <w:vAlign w:val="bottom"/>
            <w:shd w:val="clear" w:color="auto" w:fill="CCECFF"/>
          </w:tcPr>
          <w:p>
            <w:pPr>
              <w:ind w:left="400"/>
              <w:spacing w:after="0"/>
              <w:rPr>
                <w:sz w:val="20"/>
                <w:szCs w:val="20"/>
                <w:color w:val="auto"/>
              </w:rPr>
            </w:pPr>
            <w:r>
              <w:rPr>
                <w:rFonts w:ascii="Arial" w:cs="Arial" w:eastAsia="Arial" w:hAnsi="Arial"/>
                <w:sz w:val="11"/>
                <w:szCs w:val="11"/>
                <w:color w:val="auto"/>
                <w:w w:val="91"/>
              </w:rPr>
              <w:t>1M</w:t>
            </w:r>
          </w:p>
        </w:tc>
        <w:tc>
          <w:tcPr>
            <w:tcW w:w="540" w:type="dxa"/>
            <w:vAlign w:val="bottom"/>
            <w:gridSpan w:val="3"/>
            <w:shd w:val="clear" w:color="auto" w:fill="CCECFF"/>
          </w:tcPr>
          <w:p>
            <w:pPr>
              <w:jc w:val="right"/>
              <w:ind w:right="220"/>
              <w:spacing w:after="0"/>
              <w:rPr>
                <w:sz w:val="20"/>
                <w:szCs w:val="20"/>
                <w:color w:val="auto"/>
              </w:rPr>
            </w:pPr>
            <w:r>
              <w:rPr>
                <w:rFonts w:ascii="Arial" w:cs="Arial" w:eastAsia="Arial" w:hAnsi="Arial"/>
                <w:sz w:val="11"/>
                <w:szCs w:val="11"/>
                <w:color w:val="auto"/>
                <w:w w:val="96"/>
              </w:rPr>
              <w:t>L+500</w:t>
            </w: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w w:val="98"/>
              </w:rPr>
              <w:t>11,985,169</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11,985,169</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11,985,169</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gridSpan w:val="2"/>
          </w:tcPr>
          <w:p>
            <w:pPr>
              <w:spacing w:after="0"/>
              <w:rPr>
                <w:sz w:val="20"/>
                <w:szCs w:val="20"/>
                <w:color w:val="auto"/>
              </w:rPr>
            </w:pPr>
            <w:r>
              <w:rPr>
                <w:rFonts w:ascii="Arial" w:cs="Arial" w:eastAsia="Arial" w:hAnsi="Arial"/>
                <w:sz w:val="11"/>
                <w:szCs w:val="11"/>
                <w:color w:val="auto"/>
              </w:rPr>
              <w:t>Smile Brands Inc.</w:t>
            </w:r>
          </w:p>
        </w:tc>
        <w:tc>
          <w:tcPr>
            <w:tcW w:w="640" w:type="dxa"/>
            <w:vAlign w:val="bottom"/>
            <w:gridSpan w:val="2"/>
          </w:tcPr>
          <w:p>
            <w:pPr>
              <w:jc w:val="center"/>
              <w:ind w:left="66"/>
              <w:spacing w:after="0"/>
              <w:rPr>
                <w:sz w:val="20"/>
                <w:szCs w:val="20"/>
                <w:color w:val="auto"/>
              </w:rPr>
            </w:pPr>
            <w:r>
              <w:rPr>
                <w:rFonts w:ascii="Arial" w:cs="Arial" w:eastAsia="Arial" w:hAnsi="Arial"/>
                <w:sz w:val="11"/>
                <w:szCs w:val="11"/>
                <w:color w:val="auto"/>
                <w:w w:val="87"/>
              </w:rPr>
              <w:t>10/14/2024</w:t>
            </w:r>
          </w:p>
        </w:tc>
        <w:tc>
          <w:tcPr>
            <w:tcW w:w="240" w:type="dxa"/>
            <w:vAlign w:val="bottom"/>
          </w:tcPr>
          <w:p>
            <w:pPr>
              <w:spacing w:after="0"/>
              <w:rPr>
                <w:sz w:val="11"/>
                <w:szCs w:val="11"/>
                <w:color w:val="auto"/>
              </w:rPr>
            </w:pPr>
          </w:p>
        </w:tc>
        <w:tc>
          <w:tcPr>
            <w:tcW w:w="2760" w:type="dxa"/>
            <w:vAlign w:val="bottom"/>
            <w:gridSpan w:val="2"/>
          </w:tcPr>
          <w:p>
            <w:pPr>
              <w:jc w:val="center"/>
              <w:ind w:right="140"/>
              <w:spacing w:after="0"/>
              <w:rPr>
                <w:sz w:val="20"/>
                <w:szCs w:val="20"/>
                <w:color w:val="auto"/>
              </w:rPr>
            </w:pPr>
            <w:r>
              <w:rPr>
                <w:rFonts w:ascii="Arial" w:cs="Arial" w:eastAsia="Arial" w:hAnsi="Arial"/>
                <w:sz w:val="11"/>
                <w:szCs w:val="11"/>
                <w:color w:val="auto"/>
                <w:w w:val="86"/>
              </w:rPr>
              <w:t>Healthcare and Pharmaceuticals</w:t>
            </w:r>
          </w:p>
        </w:tc>
        <w:tc>
          <w:tcPr>
            <w:tcW w:w="860" w:type="dxa"/>
            <w:vAlign w:val="bottom"/>
            <w:gridSpan w:val="2"/>
          </w:tcPr>
          <w:p>
            <w:pPr>
              <w:jc w:val="right"/>
              <w:ind w:right="180"/>
              <w:spacing w:after="0"/>
              <w:rPr>
                <w:sz w:val="20"/>
                <w:szCs w:val="20"/>
                <w:color w:val="auto"/>
              </w:rPr>
            </w:pPr>
            <w:r>
              <w:rPr>
                <w:rFonts w:ascii="Arial" w:cs="Arial" w:eastAsia="Arial" w:hAnsi="Arial"/>
                <w:sz w:val="11"/>
                <w:szCs w:val="11"/>
                <w:color w:val="auto"/>
              </w:rPr>
              <w:t>6.55%</w:t>
            </w:r>
          </w:p>
        </w:tc>
        <w:tc>
          <w:tcPr>
            <w:tcW w:w="560" w:type="dxa"/>
            <w:vAlign w:val="bottom"/>
          </w:tcPr>
          <w:p>
            <w:pPr>
              <w:ind w:left="400"/>
              <w:spacing w:after="0"/>
              <w:rPr>
                <w:sz w:val="20"/>
                <w:szCs w:val="20"/>
                <w:color w:val="auto"/>
              </w:rPr>
            </w:pPr>
            <w:r>
              <w:rPr>
                <w:rFonts w:ascii="Arial" w:cs="Arial" w:eastAsia="Arial" w:hAnsi="Arial"/>
                <w:sz w:val="11"/>
                <w:szCs w:val="11"/>
                <w:color w:val="auto"/>
                <w:w w:val="91"/>
              </w:rPr>
              <w:t>3M</w:t>
            </w:r>
          </w:p>
        </w:tc>
        <w:tc>
          <w:tcPr>
            <w:tcW w:w="540" w:type="dxa"/>
            <w:vAlign w:val="bottom"/>
            <w:gridSpan w:val="3"/>
          </w:tcPr>
          <w:p>
            <w:pPr>
              <w:jc w:val="right"/>
              <w:ind w:right="220"/>
              <w:spacing w:after="0"/>
              <w:rPr>
                <w:sz w:val="20"/>
                <w:szCs w:val="20"/>
                <w:color w:val="auto"/>
              </w:rPr>
            </w:pPr>
            <w:r>
              <w:rPr>
                <w:rFonts w:ascii="Arial" w:cs="Arial" w:eastAsia="Arial" w:hAnsi="Arial"/>
                <w:sz w:val="11"/>
                <w:szCs w:val="11"/>
                <w:color w:val="auto"/>
                <w:w w:val="96"/>
              </w:rPr>
              <w:t>L+450</w:t>
            </w:r>
          </w:p>
        </w:tc>
        <w:tc>
          <w:tcPr>
            <w:tcW w:w="580" w:type="dxa"/>
            <w:vAlign w:val="bottom"/>
          </w:tcPr>
          <w:p>
            <w:pPr>
              <w:jc w:val="right"/>
              <w:spacing w:after="0"/>
              <w:rPr>
                <w:sz w:val="20"/>
                <w:szCs w:val="20"/>
                <w:color w:val="auto"/>
              </w:rPr>
            </w:pPr>
            <w:r>
              <w:rPr>
                <w:rFonts w:ascii="Arial" w:cs="Arial" w:eastAsia="Arial" w:hAnsi="Arial"/>
                <w:sz w:val="11"/>
                <w:szCs w:val="11"/>
                <w:color w:val="auto"/>
                <w:w w:val="98"/>
              </w:rPr>
              <w:t>11,261,250</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11,164,187</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11,148,638</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gridSpan w:val="2"/>
            <w:shd w:val="clear" w:color="auto" w:fill="CCECFF"/>
          </w:tcPr>
          <w:p>
            <w:pPr>
              <w:spacing w:after="0"/>
              <w:rPr>
                <w:sz w:val="20"/>
                <w:szCs w:val="20"/>
                <w:color w:val="auto"/>
              </w:rPr>
            </w:pPr>
            <w:r>
              <w:rPr>
                <w:rFonts w:ascii="Arial" w:cs="Arial" w:eastAsia="Arial" w:hAnsi="Arial"/>
                <w:sz w:val="11"/>
                <w:szCs w:val="11"/>
                <w:color w:val="auto"/>
              </w:rPr>
              <w:t>Snak Club, LLC</w:t>
            </w:r>
          </w:p>
        </w:tc>
        <w:tc>
          <w:tcPr>
            <w:tcW w:w="64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87"/>
              </w:rPr>
              <w:t>07/19/2021</w:t>
            </w:r>
          </w:p>
        </w:tc>
        <w:tc>
          <w:tcPr>
            <w:tcW w:w="24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6"/>
              </w:rPr>
              <w:t>Beverage, Food and Tobacco</w:t>
            </w:r>
          </w:p>
        </w:tc>
        <w:tc>
          <w:tcPr>
            <w:tcW w:w="86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7.69%</w:t>
            </w:r>
          </w:p>
        </w:tc>
        <w:tc>
          <w:tcPr>
            <w:tcW w:w="560" w:type="dxa"/>
            <w:vAlign w:val="bottom"/>
            <w:shd w:val="clear" w:color="auto" w:fill="CCECFF"/>
          </w:tcPr>
          <w:p>
            <w:pPr>
              <w:ind w:left="400"/>
              <w:spacing w:after="0"/>
              <w:rPr>
                <w:sz w:val="20"/>
                <w:szCs w:val="20"/>
                <w:color w:val="auto"/>
              </w:rPr>
            </w:pPr>
            <w:r>
              <w:rPr>
                <w:rFonts w:ascii="Arial" w:cs="Arial" w:eastAsia="Arial" w:hAnsi="Arial"/>
                <w:sz w:val="11"/>
                <w:szCs w:val="11"/>
                <w:color w:val="auto"/>
                <w:w w:val="91"/>
              </w:rPr>
              <w:t>1M</w:t>
            </w:r>
          </w:p>
        </w:tc>
        <w:tc>
          <w:tcPr>
            <w:tcW w:w="540" w:type="dxa"/>
            <w:vAlign w:val="bottom"/>
            <w:gridSpan w:val="3"/>
            <w:shd w:val="clear" w:color="auto" w:fill="CCECFF"/>
          </w:tcPr>
          <w:p>
            <w:pPr>
              <w:jc w:val="right"/>
              <w:ind w:right="220"/>
              <w:spacing w:after="0"/>
              <w:rPr>
                <w:sz w:val="20"/>
                <w:szCs w:val="20"/>
                <w:color w:val="auto"/>
              </w:rPr>
            </w:pPr>
            <w:r>
              <w:rPr>
                <w:rFonts w:ascii="Arial" w:cs="Arial" w:eastAsia="Arial" w:hAnsi="Arial"/>
                <w:sz w:val="11"/>
                <w:szCs w:val="11"/>
                <w:color w:val="auto"/>
                <w:w w:val="96"/>
              </w:rPr>
              <w:t>L+600</w:t>
            </w: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4,687,495</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4,687,495</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4,499,995</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gridSpan w:val="2"/>
          </w:tcPr>
          <w:p>
            <w:pPr>
              <w:spacing w:after="0"/>
              <w:rPr>
                <w:sz w:val="20"/>
                <w:szCs w:val="20"/>
                <w:color w:val="auto"/>
              </w:rPr>
            </w:pPr>
            <w:r>
              <w:rPr>
                <w:rFonts w:ascii="Arial" w:cs="Arial" w:eastAsia="Arial" w:hAnsi="Arial"/>
                <w:sz w:val="11"/>
                <w:szCs w:val="11"/>
                <w:color w:val="auto"/>
              </w:rPr>
              <w:t>Solutionreach, Inc.</w:t>
            </w:r>
          </w:p>
        </w:tc>
        <w:tc>
          <w:tcPr>
            <w:tcW w:w="640" w:type="dxa"/>
            <w:vAlign w:val="bottom"/>
            <w:gridSpan w:val="2"/>
          </w:tcPr>
          <w:p>
            <w:pPr>
              <w:jc w:val="center"/>
              <w:ind w:left="66"/>
              <w:spacing w:after="0"/>
              <w:rPr>
                <w:sz w:val="20"/>
                <w:szCs w:val="20"/>
                <w:color w:val="auto"/>
              </w:rPr>
            </w:pPr>
            <w:r>
              <w:rPr>
                <w:rFonts w:ascii="Arial" w:cs="Arial" w:eastAsia="Arial" w:hAnsi="Arial"/>
                <w:sz w:val="11"/>
                <w:szCs w:val="11"/>
                <w:color w:val="auto"/>
                <w:w w:val="87"/>
              </w:rPr>
              <w:t>01/17/2024</w:t>
            </w:r>
          </w:p>
        </w:tc>
        <w:tc>
          <w:tcPr>
            <w:tcW w:w="240" w:type="dxa"/>
            <w:vAlign w:val="bottom"/>
          </w:tcPr>
          <w:p>
            <w:pPr>
              <w:spacing w:after="0"/>
              <w:rPr>
                <w:sz w:val="11"/>
                <w:szCs w:val="11"/>
                <w:color w:val="auto"/>
              </w:rPr>
            </w:pPr>
          </w:p>
        </w:tc>
        <w:tc>
          <w:tcPr>
            <w:tcW w:w="2760" w:type="dxa"/>
            <w:vAlign w:val="bottom"/>
            <w:gridSpan w:val="2"/>
          </w:tcPr>
          <w:p>
            <w:pPr>
              <w:jc w:val="center"/>
              <w:ind w:right="140"/>
              <w:spacing w:after="0"/>
              <w:rPr>
                <w:sz w:val="20"/>
                <w:szCs w:val="20"/>
                <w:color w:val="auto"/>
              </w:rPr>
            </w:pPr>
            <w:r>
              <w:rPr>
                <w:rFonts w:ascii="Arial" w:cs="Arial" w:eastAsia="Arial" w:hAnsi="Arial"/>
                <w:sz w:val="11"/>
                <w:szCs w:val="11"/>
                <w:color w:val="auto"/>
                <w:w w:val="86"/>
              </w:rPr>
              <w:t>Healthcare and Pharmaceuticals</w:t>
            </w:r>
          </w:p>
        </w:tc>
        <w:tc>
          <w:tcPr>
            <w:tcW w:w="860" w:type="dxa"/>
            <w:vAlign w:val="bottom"/>
            <w:gridSpan w:val="2"/>
          </w:tcPr>
          <w:p>
            <w:pPr>
              <w:jc w:val="right"/>
              <w:ind w:right="180"/>
              <w:spacing w:after="0"/>
              <w:rPr>
                <w:sz w:val="20"/>
                <w:szCs w:val="20"/>
                <w:color w:val="auto"/>
              </w:rPr>
            </w:pPr>
            <w:r>
              <w:rPr>
                <w:rFonts w:ascii="Arial" w:cs="Arial" w:eastAsia="Arial" w:hAnsi="Arial"/>
                <w:sz w:val="11"/>
                <w:szCs w:val="11"/>
                <w:color w:val="auto"/>
              </w:rPr>
              <w:t>7.55%</w:t>
            </w:r>
          </w:p>
        </w:tc>
        <w:tc>
          <w:tcPr>
            <w:tcW w:w="560" w:type="dxa"/>
            <w:vAlign w:val="bottom"/>
          </w:tcPr>
          <w:p>
            <w:pPr>
              <w:ind w:left="400"/>
              <w:spacing w:after="0"/>
              <w:rPr>
                <w:sz w:val="20"/>
                <w:szCs w:val="20"/>
                <w:color w:val="auto"/>
              </w:rPr>
            </w:pPr>
            <w:r>
              <w:rPr>
                <w:rFonts w:ascii="Arial" w:cs="Arial" w:eastAsia="Arial" w:hAnsi="Arial"/>
                <w:sz w:val="11"/>
                <w:szCs w:val="11"/>
                <w:color w:val="auto"/>
                <w:w w:val="91"/>
              </w:rPr>
              <w:t>3M</w:t>
            </w:r>
          </w:p>
        </w:tc>
        <w:tc>
          <w:tcPr>
            <w:tcW w:w="540" w:type="dxa"/>
            <w:vAlign w:val="bottom"/>
            <w:gridSpan w:val="3"/>
          </w:tcPr>
          <w:p>
            <w:pPr>
              <w:jc w:val="right"/>
              <w:ind w:right="220"/>
              <w:spacing w:after="0"/>
              <w:rPr>
                <w:sz w:val="20"/>
                <w:szCs w:val="20"/>
                <w:color w:val="auto"/>
              </w:rPr>
            </w:pPr>
            <w:r>
              <w:rPr>
                <w:rFonts w:ascii="Arial" w:cs="Arial" w:eastAsia="Arial" w:hAnsi="Arial"/>
                <w:sz w:val="11"/>
                <w:szCs w:val="11"/>
                <w:color w:val="auto"/>
                <w:w w:val="96"/>
              </w:rPr>
              <w:t>L+475</w:t>
            </w:r>
          </w:p>
        </w:tc>
        <w:tc>
          <w:tcPr>
            <w:tcW w:w="580" w:type="dxa"/>
            <w:vAlign w:val="bottom"/>
          </w:tcPr>
          <w:p>
            <w:pPr>
              <w:jc w:val="right"/>
              <w:spacing w:after="0"/>
              <w:rPr>
                <w:sz w:val="20"/>
                <w:szCs w:val="20"/>
                <w:color w:val="auto"/>
              </w:rPr>
            </w:pPr>
            <w:r>
              <w:rPr>
                <w:rFonts w:ascii="Arial" w:cs="Arial" w:eastAsia="Arial" w:hAnsi="Arial"/>
                <w:sz w:val="11"/>
                <w:szCs w:val="11"/>
                <w:color w:val="auto"/>
              </w:rPr>
              <w:t>6,555,975</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6,474,016</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6,521,229</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gridSpan w:val="2"/>
            <w:shd w:val="clear" w:color="auto" w:fill="CCECFF"/>
          </w:tcPr>
          <w:p>
            <w:pPr>
              <w:spacing w:after="0"/>
              <w:rPr>
                <w:sz w:val="20"/>
                <w:szCs w:val="20"/>
                <w:color w:val="auto"/>
              </w:rPr>
            </w:pPr>
            <w:r>
              <w:rPr>
                <w:rFonts w:ascii="Arial" w:cs="Arial" w:eastAsia="Arial" w:hAnsi="Arial"/>
                <w:sz w:val="11"/>
                <w:szCs w:val="11"/>
                <w:color w:val="auto"/>
              </w:rPr>
              <w:t>Sonny's Enterprises, LLC</w:t>
            </w:r>
          </w:p>
        </w:tc>
        <w:tc>
          <w:tcPr>
            <w:tcW w:w="64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87"/>
              </w:rPr>
              <w:t>12/01/2022</w:t>
            </w:r>
          </w:p>
        </w:tc>
        <w:tc>
          <w:tcPr>
            <w:tcW w:w="24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91"/>
              </w:rPr>
              <w:t>Capital Equipment</w:t>
            </w:r>
          </w:p>
        </w:tc>
        <w:tc>
          <w:tcPr>
            <w:tcW w:w="86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6.10%</w:t>
            </w:r>
          </w:p>
        </w:tc>
        <w:tc>
          <w:tcPr>
            <w:tcW w:w="560" w:type="dxa"/>
            <w:vAlign w:val="bottom"/>
            <w:shd w:val="clear" w:color="auto" w:fill="CCECFF"/>
          </w:tcPr>
          <w:p>
            <w:pPr>
              <w:ind w:left="400"/>
              <w:spacing w:after="0"/>
              <w:rPr>
                <w:sz w:val="20"/>
                <w:szCs w:val="20"/>
                <w:color w:val="auto"/>
              </w:rPr>
            </w:pPr>
            <w:r>
              <w:rPr>
                <w:rFonts w:ascii="Arial" w:cs="Arial" w:eastAsia="Arial" w:hAnsi="Arial"/>
                <w:sz w:val="11"/>
                <w:szCs w:val="11"/>
                <w:color w:val="auto"/>
                <w:w w:val="91"/>
              </w:rPr>
              <w:t>3M</w:t>
            </w:r>
          </w:p>
        </w:tc>
        <w:tc>
          <w:tcPr>
            <w:tcW w:w="540" w:type="dxa"/>
            <w:vAlign w:val="bottom"/>
            <w:gridSpan w:val="3"/>
            <w:shd w:val="clear" w:color="auto" w:fill="CCECFF"/>
          </w:tcPr>
          <w:p>
            <w:pPr>
              <w:jc w:val="right"/>
              <w:ind w:right="220"/>
              <w:spacing w:after="0"/>
              <w:rPr>
                <w:sz w:val="20"/>
                <w:szCs w:val="20"/>
                <w:color w:val="auto"/>
              </w:rPr>
            </w:pPr>
            <w:r>
              <w:rPr>
                <w:rFonts w:ascii="Arial" w:cs="Arial" w:eastAsia="Arial" w:hAnsi="Arial"/>
                <w:sz w:val="11"/>
                <w:szCs w:val="11"/>
                <w:color w:val="auto"/>
                <w:w w:val="96"/>
              </w:rPr>
              <w:t>L+425</w:t>
            </w: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w w:val="98"/>
              </w:rPr>
              <w:t>15,186,105</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15,189,151</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15,034,245</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gridSpan w:val="2"/>
          </w:tcPr>
          <w:p>
            <w:pPr>
              <w:spacing w:after="0"/>
              <w:rPr>
                <w:sz w:val="20"/>
                <w:szCs w:val="20"/>
                <w:color w:val="auto"/>
              </w:rPr>
            </w:pPr>
            <w:r>
              <w:rPr>
                <w:rFonts w:ascii="Arial" w:cs="Arial" w:eastAsia="Arial" w:hAnsi="Arial"/>
                <w:sz w:val="11"/>
                <w:szCs w:val="11"/>
                <w:color w:val="auto"/>
              </w:rPr>
              <w:t>TeleGuam Holdings, LLC</w:t>
            </w:r>
          </w:p>
        </w:tc>
        <w:tc>
          <w:tcPr>
            <w:tcW w:w="640" w:type="dxa"/>
            <w:vAlign w:val="bottom"/>
            <w:gridSpan w:val="2"/>
          </w:tcPr>
          <w:p>
            <w:pPr>
              <w:jc w:val="center"/>
              <w:ind w:left="66"/>
              <w:spacing w:after="0"/>
              <w:rPr>
                <w:sz w:val="20"/>
                <w:szCs w:val="20"/>
                <w:color w:val="auto"/>
              </w:rPr>
            </w:pPr>
            <w:r>
              <w:rPr>
                <w:rFonts w:ascii="Arial" w:cs="Arial" w:eastAsia="Arial" w:hAnsi="Arial"/>
                <w:sz w:val="11"/>
                <w:szCs w:val="11"/>
                <w:color w:val="auto"/>
                <w:w w:val="87"/>
              </w:rPr>
              <w:t>11/20/2025</w:t>
            </w:r>
          </w:p>
        </w:tc>
        <w:tc>
          <w:tcPr>
            <w:tcW w:w="240" w:type="dxa"/>
            <w:vAlign w:val="bottom"/>
          </w:tcPr>
          <w:p>
            <w:pPr>
              <w:spacing w:after="0"/>
              <w:rPr>
                <w:sz w:val="11"/>
                <w:szCs w:val="11"/>
                <w:color w:val="auto"/>
              </w:rPr>
            </w:pPr>
          </w:p>
        </w:tc>
        <w:tc>
          <w:tcPr>
            <w:tcW w:w="2760" w:type="dxa"/>
            <w:vAlign w:val="bottom"/>
            <w:gridSpan w:val="2"/>
          </w:tcPr>
          <w:p>
            <w:pPr>
              <w:jc w:val="center"/>
              <w:ind w:right="140"/>
              <w:spacing w:after="0"/>
              <w:rPr>
                <w:sz w:val="20"/>
                <w:szCs w:val="20"/>
                <w:color w:val="auto"/>
              </w:rPr>
            </w:pPr>
            <w:r>
              <w:rPr>
                <w:rFonts w:ascii="Arial" w:cs="Arial" w:eastAsia="Arial" w:hAnsi="Arial"/>
                <w:sz w:val="11"/>
                <w:szCs w:val="11"/>
                <w:color w:val="auto"/>
                <w:w w:val="89"/>
              </w:rPr>
              <w:t>Telecommunications</w:t>
            </w:r>
          </w:p>
        </w:tc>
        <w:tc>
          <w:tcPr>
            <w:tcW w:w="860" w:type="dxa"/>
            <w:vAlign w:val="bottom"/>
            <w:gridSpan w:val="2"/>
          </w:tcPr>
          <w:p>
            <w:pPr>
              <w:jc w:val="right"/>
              <w:ind w:right="180"/>
              <w:spacing w:after="0"/>
              <w:rPr>
                <w:sz w:val="20"/>
                <w:szCs w:val="20"/>
                <w:color w:val="auto"/>
              </w:rPr>
            </w:pPr>
            <w:r>
              <w:rPr>
                <w:rFonts w:ascii="Arial" w:cs="Arial" w:eastAsia="Arial" w:hAnsi="Arial"/>
                <w:sz w:val="11"/>
                <w:szCs w:val="11"/>
                <w:color w:val="auto"/>
              </w:rPr>
              <w:t>6.30%</w:t>
            </w:r>
          </w:p>
        </w:tc>
        <w:tc>
          <w:tcPr>
            <w:tcW w:w="560" w:type="dxa"/>
            <w:vAlign w:val="bottom"/>
          </w:tcPr>
          <w:p>
            <w:pPr>
              <w:ind w:left="400"/>
              <w:spacing w:after="0"/>
              <w:rPr>
                <w:sz w:val="20"/>
                <w:szCs w:val="20"/>
                <w:color w:val="auto"/>
              </w:rPr>
            </w:pPr>
            <w:r>
              <w:rPr>
                <w:rFonts w:ascii="Arial" w:cs="Arial" w:eastAsia="Arial" w:hAnsi="Arial"/>
                <w:sz w:val="11"/>
                <w:szCs w:val="11"/>
                <w:color w:val="auto"/>
                <w:w w:val="91"/>
              </w:rPr>
              <w:t>1M</w:t>
            </w:r>
          </w:p>
        </w:tc>
        <w:tc>
          <w:tcPr>
            <w:tcW w:w="540" w:type="dxa"/>
            <w:vAlign w:val="bottom"/>
            <w:gridSpan w:val="3"/>
          </w:tcPr>
          <w:p>
            <w:pPr>
              <w:jc w:val="right"/>
              <w:ind w:right="220"/>
              <w:spacing w:after="0"/>
              <w:rPr>
                <w:sz w:val="20"/>
                <w:szCs w:val="20"/>
                <w:color w:val="auto"/>
              </w:rPr>
            </w:pPr>
            <w:r>
              <w:rPr>
                <w:rFonts w:ascii="Arial" w:cs="Arial" w:eastAsia="Arial" w:hAnsi="Arial"/>
                <w:sz w:val="11"/>
                <w:szCs w:val="11"/>
                <w:color w:val="auto"/>
                <w:w w:val="96"/>
              </w:rPr>
              <w:t>L+450</w:t>
            </w:r>
          </w:p>
        </w:tc>
        <w:tc>
          <w:tcPr>
            <w:tcW w:w="580" w:type="dxa"/>
            <w:vAlign w:val="bottom"/>
          </w:tcPr>
          <w:p>
            <w:pPr>
              <w:jc w:val="right"/>
              <w:spacing w:after="0"/>
              <w:rPr>
                <w:sz w:val="20"/>
                <w:szCs w:val="20"/>
                <w:color w:val="auto"/>
              </w:rPr>
            </w:pPr>
            <w:r>
              <w:rPr>
                <w:rFonts w:ascii="Arial" w:cs="Arial" w:eastAsia="Arial" w:hAnsi="Arial"/>
                <w:sz w:val="11"/>
                <w:szCs w:val="11"/>
                <w:color w:val="auto"/>
              </w:rPr>
              <w:t>8,430,693</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8,388,539</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8,388,539</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gridSpan w:val="2"/>
            <w:shd w:val="clear" w:color="auto" w:fill="CCECFF"/>
          </w:tcPr>
          <w:p>
            <w:pPr>
              <w:spacing w:after="0"/>
              <w:rPr>
                <w:sz w:val="20"/>
                <w:szCs w:val="20"/>
                <w:color w:val="auto"/>
              </w:rPr>
            </w:pPr>
            <w:r>
              <w:rPr>
                <w:rFonts w:ascii="Arial" w:cs="Arial" w:eastAsia="Arial" w:hAnsi="Arial"/>
                <w:sz w:val="11"/>
                <w:szCs w:val="11"/>
                <w:color w:val="auto"/>
              </w:rPr>
              <w:t>Teneo Holdings LLC</w:t>
            </w:r>
          </w:p>
        </w:tc>
        <w:tc>
          <w:tcPr>
            <w:tcW w:w="64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87"/>
              </w:rPr>
              <w:t>07/18/2025</w:t>
            </w:r>
          </w:p>
        </w:tc>
        <w:tc>
          <w:tcPr>
            <w:tcW w:w="24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6"/>
              </w:rPr>
              <w:t>Business Services</w:t>
            </w:r>
          </w:p>
        </w:tc>
        <w:tc>
          <w:tcPr>
            <w:tcW w:w="86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6.99%</w:t>
            </w:r>
          </w:p>
        </w:tc>
        <w:tc>
          <w:tcPr>
            <w:tcW w:w="560" w:type="dxa"/>
            <w:vAlign w:val="bottom"/>
            <w:shd w:val="clear" w:color="auto" w:fill="CCECFF"/>
          </w:tcPr>
          <w:p>
            <w:pPr>
              <w:ind w:left="400"/>
              <w:spacing w:after="0"/>
              <w:rPr>
                <w:sz w:val="20"/>
                <w:szCs w:val="20"/>
                <w:color w:val="auto"/>
              </w:rPr>
            </w:pPr>
            <w:r>
              <w:rPr>
                <w:rFonts w:ascii="Arial" w:cs="Arial" w:eastAsia="Arial" w:hAnsi="Arial"/>
                <w:sz w:val="11"/>
                <w:szCs w:val="11"/>
                <w:color w:val="auto"/>
                <w:w w:val="91"/>
              </w:rPr>
              <w:t>1M</w:t>
            </w:r>
          </w:p>
        </w:tc>
        <w:tc>
          <w:tcPr>
            <w:tcW w:w="540" w:type="dxa"/>
            <w:vAlign w:val="bottom"/>
            <w:gridSpan w:val="3"/>
            <w:shd w:val="clear" w:color="auto" w:fill="CCECFF"/>
          </w:tcPr>
          <w:p>
            <w:pPr>
              <w:jc w:val="right"/>
              <w:ind w:right="220"/>
              <w:spacing w:after="0"/>
              <w:rPr>
                <w:sz w:val="20"/>
                <w:szCs w:val="20"/>
                <w:color w:val="auto"/>
              </w:rPr>
            </w:pPr>
            <w:r>
              <w:rPr>
                <w:rFonts w:ascii="Arial" w:cs="Arial" w:eastAsia="Arial" w:hAnsi="Arial"/>
                <w:sz w:val="11"/>
                <w:szCs w:val="11"/>
                <w:color w:val="auto"/>
                <w:w w:val="96"/>
              </w:rPr>
              <w:t>L+525</w:t>
            </w: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4,987,500</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4,798,508</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4,725,656</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gridSpan w:val="2"/>
          </w:tcPr>
          <w:p>
            <w:pPr>
              <w:spacing w:after="0"/>
              <w:rPr>
                <w:sz w:val="20"/>
                <w:szCs w:val="20"/>
                <w:color w:val="auto"/>
              </w:rPr>
            </w:pPr>
            <w:r>
              <w:rPr>
                <w:rFonts w:ascii="Arial" w:cs="Arial" w:eastAsia="Arial" w:hAnsi="Arial"/>
                <w:sz w:val="11"/>
                <w:szCs w:val="11"/>
                <w:color w:val="auto"/>
              </w:rPr>
              <w:t>The Infosoft Group, LLC</w:t>
            </w:r>
          </w:p>
        </w:tc>
        <w:tc>
          <w:tcPr>
            <w:tcW w:w="640" w:type="dxa"/>
            <w:vAlign w:val="bottom"/>
            <w:gridSpan w:val="2"/>
          </w:tcPr>
          <w:p>
            <w:pPr>
              <w:jc w:val="center"/>
              <w:ind w:left="66"/>
              <w:spacing w:after="0"/>
              <w:rPr>
                <w:sz w:val="20"/>
                <w:szCs w:val="20"/>
                <w:color w:val="auto"/>
              </w:rPr>
            </w:pPr>
            <w:r>
              <w:rPr>
                <w:rFonts w:ascii="Arial" w:cs="Arial" w:eastAsia="Arial" w:hAnsi="Arial"/>
                <w:sz w:val="11"/>
                <w:szCs w:val="11"/>
                <w:color w:val="auto"/>
                <w:w w:val="87"/>
              </w:rPr>
              <w:t>09/16/2024</w:t>
            </w:r>
          </w:p>
        </w:tc>
        <w:tc>
          <w:tcPr>
            <w:tcW w:w="240" w:type="dxa"/>
            <w:vAlign w:val="bottom"/>
          </w:tcPr>
          <w:p>
            <w:pPr>
              <w:spacing w:after="0"/>
              <w:rPr>
                <w:sz w:val="11"/>
                <w:szCs w:val="11"/>
                <w:color w:val="auto"/>
              </w:rPr>
            </w:pPr>
          </w:p>
        </w:tc>
        <w:tc>
          <w:tcPr>
            <w:tcW w:w="2760" w:type="dxa"/>
            <w:vAlign w:val="bottom"/>
            <w:gridSpan w:val="2"/>
          </w:tcPr>
          <w:p>
            <w:pPr>
              <w:jc w:val="center"/>
              <w:ind w:right="140"/>
              <w:spacing w:after="0"/>
              <w:rPr>
                <w:sz w:val="20"/>
                <w:szCs w:val="20"/>
                <w:color w:val="auto"/>
              </w:rPr>
            </w:pPr>
            <w:r>
              <w:rPr>
                <w:rFonts w:ascii="Arial" w:cs="Arial" w:eastAsia="Arial" w:hAnsi="Arial"/>
                <w:sz w:val="11"/>
                <w:szCs w:val="11"/>
                <w:color w:val="auto"/>
                <w:w w:val="89"/>
              </w:rPr>
              <w:t>Media: Broadcasting and Subscription</w:t>
            </w:r>
          </w:p>
        </w:tc>
        <w:tc>
          <w:tcPr>
            <w:tcW w:w="860" w:type="dxa"/>
            <w:vAlign w:val="bottom"/>
            <w:gridSpan w:val="2"/>
          </w:tcPr>
          <w:p>
            <w:pPr>
              <w:jc w:val="right"/>
              <w:ind w:right="180"/>
              <w:spacing w:after="0"/>
              <w:rPr>
                <w:sz w:val="20"/>
                <w:szCs w:val="20"/>
                <w:color w:val="auto"/>
              </w:rPr>
            </w:pPr>
            <w:r>
              <w:rPr>
                <w:rFonts w:ascii="Arial" w:cs="Arial" w:eastAsia="Arial" w:hAnsi="Arial"/>
                <w:sz w:val="11"/>
                <w:szCs w:val="11"/>
                <w:color w:val="auto"/>
              </w:rPr>
              <w:t>7.32%</w:t>
            </w:r>
          </w:p>
        </w:tc>
        <w:tc>
          <w:tcPr>
            <w:tcW w:w="560" w:type="dxa"/>
            <w:vAlign w:val="bottom"/>
          </w:tcPr>
          <w:p>
            <w:pPr>
              <w:ind w:left="400"/>
              <w:spacing w:after="0"/>
              <w:rPr>
                <w:sz w:val="20"/>
                <w:szCs w:val="20"/>
                <w:color w:val="auto"/>
              </w:rPr>
            </w:pPr>
            <w:r>
              <w:rPr>
                <w:rFonts w:ascii="Arial" w:cs="Arial" w:eastAsia="Arial" w:hAnsi="Arial"/>
                <w:sz w:val="11"/>
                <w:szCs w:val="11"/>
                <w:color w:val="auto"/>
                <w:w w:val="91"/>
              </w:rPr>
              <w:t>6M</w:t>
            </w:r>
          </w:p>
        </w:tc>
        <w:tc>
          <w:tcPr>
            <w:tcW w:w="540" w:type="dxa"/>
            <w:vAlign w:val="bottom"/>
            <w:gridSpan w:val="3"/>
          </w:tcPr>
          <w:p>
            <w:pPr>
              <w:jc w:val="right"/>
              <w:ind w:right="220"/>
              <w:spacing w:after="0"/>
              <w:rPr>
                <w:sz w:val="20"/>
                <w:szCs w:val="20"/>
                <w:color w:val="auto"/>
              </w:rPr>
            </w:pPr>
            <w:r>
              <w:rPr>
                <w:rFonts w:ascii="Arial" w:cs="Arial" w:eastAsia="Arial" w:hAnsi="Arial"/>
                <w:sz w:val="11"/>
                <w:szCs w:val="11"/>
                <w:color w:val="auto"/>
                <w:w w:val="96"/>
              </w:rPr>
              <w:t>L+525</w:t>
            </w:r>
          </w:p>
        </w:tc>
        <w:tc>
          <w:tcPr>
            <w:tcW w:w="580" w:type="dxa"/>
            <w:vAlign w:val="bottom"/>
          </w:tcPr>
          <w:p>
            <w:pPr>
              <w:jc w:val="right"/>
              <w:spacing w:after="0"/>
              <w:rPr>
                <w:sz w:val="20"/>
                <w:szCs w:val="20"/>
                <w:color w:val="auto"/>
              </w:rPr>
            </w:pPr>
            <w:r>
              <w:rPr>
                <w:rFonts w:ascii="Arial" w:cs="Arial" w:eastAsia="Arial" w:hAnsi="Arial"/>
                <w:sz w:val="11"/>
                <w:szCs w:val="11"/>
                <w:color w:val="auto"/>
              </w:rPr>
              <w:t>8,799,611</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8,769,767</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8,711,615</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gridSpan w:val="2"/>
            <w:shd w:val="clear" w:color="auto" w:fill="CCECFF"/>
          </w:tcPr>
          <w:p>
            <w:pPr>
              <w:spacing w:after="0"/>
              <w:rPr>
                <w:sz w:val="20"/>
                <w:szCs w:val="20"/>
                <w:color w:val="auto"/>
              </w:rPr>
            </w:pPr>
            <w:r>
              <w:rPr>
                <w:rFonts w:ascii="Arial" w:cs="Arial" w:eastAsia="Arial" w:hAnsi="Arial"/>
                <w:sz w:val="11"/>
                <w:szCs w:val="11"/>
                <w:color w:val="auto"/>
              </w:rPr>
              <w:t>TPC Canada Parent, Inc. and TPC US Parent, LLC</w:t>
            </w:r>
          </w:p>
        </w:tc>
        <w:tc>
          <w:tcPr>
            <w:tcW w:w="64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87"/>
              </w:rPr>
              <w:t>11/24/2025</w:t>
            </w:r>
          </w:p>
        </w:tc>
        <w:tc>
          <w:tcPr>
            <w:tcW w:w="24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9"/>
              </w:rPr>
              <w:t>Consumer Goods: Non-Durable</w:t>
            </w:r>
          </w:p>
        </w:tc>
        <w:tc>
          <w:tcPr>
            <w:tcW w:w="86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7.02%</w:t>
            </w:r>
          </w:p>
        </w:tc>
        <w:tc>
          <w:tcPr>
            <w:tcW w:w="560" w:type="dxa"/>
            <w:vAlign w:val="bottom"/>
            <w:shd w:val="clear" w:color="auto" w:fill="CCECFF"/>
          </w:tcPr>
          <w:p>
            <w:pPr>
              <w:ind w:left="400"/>
              <w:spacing w:after="0"/>
              <w:rPr>
                <w:sz w:val="20"/>
                <w:szCs w:val="20"/>
                <w:color w:val="auto"/>
              </w:rPr>
            </w:pPr>
            <w:r>
              <w:rPr>
                <w:rFonts w:ascii="Arial" w:cs="Arial" w:eastAsia="Arial" w:hAnsi="Arial"/>
                <w:sz w:val="11"/>
                <w:szCs w:val="11"/>
                <w:color w:val="auto"/>
                <w:w w:val="91"/>
              </w:rPr>
              <w:t>3M</w:t>
            </w:r>
          </w:p>
        </w:tc>
        <w:tc>
          <w:tcPr>
            <w:tcW w:w="540" w:type="dxa"/>
            <w:vAlign w:val="bottom"/>
            <w:gridSpan w:val="3"/>
            <w:shd w:val="clear" w:color="auto" w:fill="CCECFF"/>
          </w:tcPr>
          <w:p>
            <w:pPr>
              <w:jc w:val="right"/>
              <w:ind w:right="220"/>
              <w:spacing w:after="0"/>
              <w:rPr>
                <w:sz w:val="20"/>
                <w:szCs w:val="20"/>
                <w:color w:val="auto"/>
              </w:rPr>
            </w:pPr>
            <w:r>
              <w:rPr>
                <w:rFonts w:ascii="Arial" w:cs="Arial" w:eastAsia="Arial" w:hAnsi="Arial"/>
                <w:sz w:val="11"/>
                <w:szCs w:val="11"/>
                <w:color w:val="auto"/>
                <w:w w:val="96"/>
              </w:rPr>
              <w:t>L+475</w:t>
            </w: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9,000,000</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8,912,812</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8,952,300</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gridSpan w:val="2"/>
          </w:tcPr>
          <w:p>
            <w:pPr>
              <w:spacing w:after="0"/>
              <w:rPr>
                <w:sz w:val="20"/>
                <w:szCs w:val="20"/>
                <w:color w:val="auto"/>
              </w:rPr>
            </w:pPr>
            <w:r>
              <w:rPr>
                <w:rFonts w:ascii="Arial" w:cs="Arial" w:eastAsia="Arial" w:hAnsi="Arial"/>
                <w:sz w:val="11"/>
                <w:szCs w:val="11"/>
                <w:color w:val="auto"/>
              </w:rPr>
              <w:t>TVC Enterprises, LLC</w:t>
            </w:r>
          </w:p>
        </w:tc>
        <w:tc>
          <w:tcPr>
            <w:tcW w:w="640" w:type="dxa"/>
            <w:vAlign w:val="bottom"/>
            <w:gridSpan w:val="2"/>
          </w:tcPr>
          <w:p>
            <w:pPr>
              <w:jc w:val="center"/>
              <w:ind w:left="66"/>
              <w:spacing w:after="0"/>
              <w:rPr>
                <w:sz w:val="20"/>
                <w:szCs w:val="20"/>
                <w:color w:val="auto"/>
              </w:rPr>
            </w:pPr>
            <w:r>
              <w:rPr>
                <w:rFonts w:ascii="Arial" w:cs="Arial" w:eastAsia="Arial" w:hAnsi="Arial"/>
                <w:sz w:val="11"/>
                <w:szCs w:val="11"/>
                <w:color w:val="auto"/>
                <w:w w:val="87"/>
              </w:rPr>
              <w:t>01/18/2024</w:t>
            </w:r>
          </w:p>
        </w:tc>
        <w:tc>
          <w:tcPr>
            <w:tcW w:w="240" w:type="dxa"/>
            <w:vAlign w:val="bottom"/>
          </w:tcPr>
          <w:p>
            <w:pPr>
              <w:spacing w:after="0"/>
              <w:rPr>
                <w:sz w:val="11"/>
                <w:szCs w:val="11"/>
                <w:color w:val="auto"/>
              </w:rPr>
            </w:pPr>
          </w:p>
        </w:tc>
        <w:tc>
          <w:tcPr>
            <w:tcW w:w="2760" w:type="dxa"/>
            <w:vAlign w:val="bottom"/>
            <w:gridSpan w:val="2"/>
          </w:tcPr>
          <w:p>
            <w:pPr>
              <w:jc w:val="center"/>
              <w:ind w:right="140"/>
              <w:spacing w:after="0"/>
              <w:rPr>
                <w:sz w:val="20"/>
                <w:szCs w:val="20"/>
                <w:color w:val="auto"/>
              </w:rPr>
            </w:pPr>
            <w:r>
              <w:rPr>
                <w:rFonts w:ascii="Arial" w:cs="Arial" w:eastAsia="Arial" w:hAnsi="Arial"/>
                <w:sz w:val="11"/>
                <w:szCs w:val="11"/>
                <w:color w:val="auto"/>
                <w:w w:val="89"/>
              </w:rPr>
              <w:t>Diversified Consumer Services</w:t>
            </w:r>
          </w:p>
        </w:tc>
        <w:tc>
          <w:tcPr>
            <w:tcW w:w="860" w:type="dxa"/>
            <w:vAlign w:val="bottom"/>
            <w:gridSpan w:val="2"/>
          </w:tcPr>
          <w:p>
            <w:pPr>
              <w:jc w:val="right"/>
              <w:ind w:right="180"/>
              <w:spacing w:after="0"/>
              <w:rPr>
                <w:sz w:val="20"/>
                <w:szCs w:val="20"/>
                <w:color w:val="auto"/>
              </w:rPr>
            </w:pPr>
            <w:r>
              <w:rPr>
                <w:rFonts w:ascii="Arial" w:cs="Arial" w:eastAsia="Arial" w:hAnsi="Arial"/>
                <w:sz w:val="11"/>
                <w:szCs w:val="11"/>
                <w:color w:val="auto"/>
              </w:rPr>
              <w:t>7.30%</w:t>
            </w:r>
          </w:p>
        </w:tc>
        <w:tc>
          <w:tcPr>
            <w:tcW w:w="560" w:type="dxa"/>
            <w:vAlign w:val="bottom"/>
          </w:tcPr>
          <w:p>
            <w:pPr>
              <w:ind w:left="400"/>
              <w:spacing w:after="0"/>
              <w:rPr>
                <w:sz w:val="20"/>
                <w:szCs w:val="20"/>
                <w:color w:val="auto"/>
              </w:rPr>
            </w:pPr>
            <w:r>
              <w:rPr>
                <w:rFonts w:ascii="Arial" w:cs="Arial" w:eastAsia="Arial" w:hAnsi="Arial"/>
                <w:sz w:val="11"/>
                <w:szCs w:val="11"/>
                <w:color w:val="auto"/>
                <w:w w:val="91"/>
              </w:rPr>
              <w:t>1M</w:t>
            </w:r>
          </w:p>
        </w:tc>
        <w:tc>
          <w:tcPr>
            <w:tcW w:w="540" w:type="dxa"/>
            <w:vAlign w:val="bottom"/>
            <w:gridSpan w:val="3"/>
          </w:tcPr>
          <w:p>
            <w:pPr>
              <w:jc w:val="right"/>
              <w:ind w:right="220"/>
              <w:spacing w:after="0"/>
              <w:rPr>
                <w:sz w:val="20"/>
                <w:szCs w:val="20"/>
                <w:color w:val="auto"/>
              </w:rPr>
            </w:pPr>
            <w:r>
              <w:rPr>
                <w:rFonts w:ascii="Arial" w:cs="Arial" w:eastAsia="Arial" w:hAnsi="Arial"/>
                <w:sz w:val="11"/>
                <w:szCs w:val="11"/>
                <w:color w:val="auto"/>
                <w:w w:val="96"/>
              </w:rPr>
              <w:t>L+550</w:t>
            </w:r>
          </w:p>
        </w:tc>
        <w:tc>
          <w:tcPr>
            <w:tcW w:w="580" w:type="dxa"/>
            <w:vAlign w:val="bottom"/>
          </w:tcPr>
          <w:p>
            <w:pPr>
              <w:jc w:val="right"/>
              <w:spacing w:after="0"/>
              <w:rPr>
                <w:sz w:val="20"/>
                <w:szCs w:val="20"/>
                <w:color w:val="auto"/>
              </w:rPr>
            </w:pPr>
            <w:r>
              <w:rPr>
                <w:rFonts w:ascii="Arial" w:cs="Arial" w:eastAsia="Arial" w:hAnsi="Arial"/>
                <w:sz w:val="11"/>
                <w:szCs w:val="11"/>
                <w:color w:val="auto"/>
              </w:rPr>
              <w:t>9,949,749</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9,949,749</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9,949,749</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gridSpan w:val="2"/>
            <w:shd w:val="clear" w:color="auto" w:fill="CCECFF"/>
          </w:tcPr>
          <w:p>
            <w:pPr>
              <w:spacing w:after="0"/>
              <w:rPr>
                <w:sz w:val="20"/>
                <w:szCs w:val="20"/>
                <w:color w:val="auto"/>
              </w:rPr>
            </w:pPr>
            <w:r>
              <w:rPr>
                <w:rFonts w:ascii="Arial" w:cs="Arial" w:eastAsia="Arial" w:hAnsi="Arial"/>
                <w:sz w:val="11"/>
                <w:szCs w:val="11"/>
                <w:color w:val="auto"/>
              </w:rPr>
              <w:t>TWS Acquisition Corporation</w:t>
            </w:r>
          </w:p>
        </w:tc>
        <w:tc>
          <w:tcPr>
            <w:tcW w:w="64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87"/>
              </w:rPr>
              <w:t>06/16/2025</w:t>
            </w:r>
          </w:p>
        </w:tc>
        <w:tc>
          <w:tcPr>
            <w:tcW w:w="24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9"/>
              </w:rPr>
              <w:t>Diversified Consumer Services</w:t>
            </w:r>
          </w:p>
        </w:tc>
        <w:tc>
          <w:tcPr>
            <w:tcW w:w="86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7.99%</w:t>
            </w:r>
          </w:p>
        </w:tc>
        <w:tc>
          <w:tcPr>
            <w:tcW w:w="560" w:type="dxa"/>
            <w:vAlign w:val="bottom"/>
            <w:shd w:val="clear" w:color="auto" w:fill="CCECFF"/>
          </w:tcPr>
          <w:p>
            <w:pPr>
              <w:ind w:left="400"/>
              <w:spacing w:after="0"/>
              <w:rPr>
                <w:sz w:val="20"/>
                <w:szCs w:val="20"/>
                <w:color w:val="auto"/>
              </w:rPr>
            </w:pPr>
            <w:r>
              <w:rPr>
                <w:rFonts w:ascii="Arial" w:cs="Arial" w:eastAsia="Arial" w:hAnsi="Arial"/>
                <w:sz w:val="11"/>
                <w:szCs w:val="11"/>
                <w:color w:val="auto"/>
                <w:w w:val="91"/>
              </w:rPr>
              <w:t>1M</w:t>
            </w:r>
          </w:p>
        </w:tc>
        <w:tc>
          <w:tcPr>
            <w:tcW w:w="540" w:type="dxa"/>
            <w:vAlign w:val="bottom"/>
            <w:gridSpan w:val="3"/>
            <w:shd w:val="clear" w:color="auto" w:fill="CCECFF"/>
          </w:tcPr>
          <w:p>
            <w:pPr>
              <w:jc w:val="right"/>
              <w:ind w:right="220"/>
              <w:spacing w:after="0"/>
              <w:rPr>
                <w:sz w:val="20"/>
                <w:szCs w:val="20"/>
                <w:color w:val="auto"/>
              </w:rPr>
            </w:pPr>
            <w:r>
              <w:rPr>
                <w:rFonts w:ascii="Arial" w:cs="Arial" w:eastAsia="Arial" w:hAnsi="Arial"/>
                <w:sz w:val="11"/>
                <w:szCs w:val="11"/>
                <w:color w:val="auto"/>
                <w:w w:val="96"/>
              </w:rPr>
              <w:t>L+625</w:t>
            </w: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7,075,000</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6,942,097</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7,075,000</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gridSpan w:val="2"/>
          </w:tcPr>
          <w:p>
            <w:pPr>
              <w:spacing w:after="0"/>
              <w:rPr>
                <w:sz w:val="20"/>
                <w:szCs w:val="20"/>
                <w:color w:val="auto"/>
              </w:rPr>
            </w:pPr>
            <w:r>
              <w:rPr>
                <w:rFonts w:ascii="Arial" w:cs="Arial" w:eastAsia="Arial" w:hAnsi="Arial"/>
                <w:sz w:val="11"/>
                <w:szCs w:val="11"/>
                <w:color w:val="auto"/>
              </w:rPr>
              <w:t>UBEO, LLC</w:t>
            </w:r>
          </w:p>
        </w:tc>
        <w:tc>
          <w:tcPr>
            <w:tcW w:w="640" w:type="dxa"/>
            <w:vAlign w:val="bottom"/>
            <w:gridSpan w:val="2"/>
          </w:tcPr>
          <w:p>
            <w:pPr>
              <w:jc w:val="center"/>
              <w:ind w:left="66"/>
              <w:spacing w:after="0"/>
              <w:rPr>
                <w:sz w:val="20"/>
                <w:szCs w:val="20"/>
                <w:color w:val="auto"/>
              </w:rPr>
            </w:pPr>
            <w:r>
              <w:rPr>
                <w:rFonts w:ascii="Arial" w:cs="Arial" w:eastAsia="Arial" w:hAnsi="Arial"/>
                <w:sz w:val="11"/>
                <w:szCs w:val="11"/>
                <w:color w:val="auto"/>
                <w:w w:val="87"/>
              </w:rPr>
              <w:t>04/03/2024</w:t>
            </w:r>
          </w:p>
        </w:tc>
        <w:tc>
          <w:tcPr>
            <w:tcW w:w="240" w:type="dxa"/>
            <w:vAlign w:val="bottom"/>
          </w:tcPr>
          <w:p>
            <w:pPr>
              <w:spacing w:after="0"/>
              <w:rPr>
                <w:sz w:val="11"/>
                <w:szCs w:val="11"/>
                <w:color w:val="auto"/>
              </w:rPr>
            </w:pPr>
          </w:p>
        </w:tc>
        <w:tc>
          <w:tcPr>
            <w:tcW w:w="2760" w:type="dxa"/>
            <w:vAlign w:val="bottom"/>
            <w:gridSpan w:val="2"/>
          </w:tcPr>
          <w:p>
            <w:pPr>
              <w:jc w:val="center"/>
              <w:ind w:right="140"/>
              <w:spacing w:after="0"/>
              <w:rPr>
                <w:sz w:val="20"/>
                <w:szCs w:val="20"/>
                <w:color w:val="auto"/>
              </w:rPr>
            </w:pPr>
            <w:r>
              <w:rPr>
                <w:rFonts w:ascii="Arial" w:cs="Arial" w:eastAsia="Arial" w:hAnsi="Arial"/>
                <w:sz w:val="11"/>
                <w:szCs w:val="11"/>
                <w:color w:val="auto"/>
                <w:w w:val="91"/>
              </w:rPr>
              <w:t>Capital Equipment</w:t>
            </w:r>
          </w:p>
        </w:tc>
        <w:tc>
          <w:tcPr>
            <w:tcW w:w="860" w:type="dxa"/>
            <w:vAlign w:val="bottom"/>
            <w:gridSpan w:val="2"/>
          </w:tcPr>
          <w:p>
            <w:pPr>
              <w:jc w:val="right"/>
              <w:ind w:right="180"/>
              <w:spacing w:after="0"/>
              <w:rPr>
                <w:sz w:val="20"/>
                <w:szCs w:val="20"/>
                <w:color w:val="auto"/>
              </w:rPr>
            </w:pPr>
            <w:r>
              <w:rPr>
                <w:rFonts w:ascii="Arial" w:cs="Arial" w:eastAsia="Arial" w:hAnsi="Arial"/>
                <w:sz w:val="11"/>
                <w:szCs w:val="11"/>
                <w:color w:val="auto"/>
              </w:rPr>
              <w:t>6.76%</w:t>
            </w:r>
          </w:p>
        </w:tc>
        <w:tc>
          <w:tcPr>
            <w:tcW w:w="560" w:type="dxa"/>
            <w:vAlign w:val="bottom"/>
          </w:tcPr>
          <w:p>
            <w:pPr>
              <w:ind w:left="400"/>
              <w:spacing w:after="0"/>
              <w:rPr>
                <w:sz w:val="20"/>
                <w:szCs w:val="20"/>
                <w:color w:val="auto"/>
              </w:rPr>
            </w:pPr>
            <w:r>
              <w:rPr>
                <w:rFonts w:ascii="Arial" w:cs="Arial" w:eastAsia="Arial" w:hAnsi="Arial"/>
                <w:sz w:val="11"/>
                <w:szCs w:val="11"/>
                <w:color w:val="auto"/>
                <w:w w:val="91"/>
              </w:rPr>
              <w:t>3M</w:t>
            </w:r>
          </w:p>
        </w:tc>
        <w:tc>
          <w:tcPr>
            <w:tcW w:w="540" w:type="dxa"/>
            <w:vAlign w:val="bottom"/>
            <w:gridSpan w:val="3"/>
          </w:tcPr>
          <w:p>
            <w:pPr>
              <w:jc w:val="right"/>
              <w:ind w:right="220"/>
              <w:spacing w:after="0"/>
              <w:rPr>
                <w:sz w:val="20"/>
                <w:szCs w:val="20"/>
                <w:color w:val="auto"/>
              </w:rPr>
            </w:pPr>
            <w:r>
              <w:rPr>
                <w:rFonts w:ascii="Arial" w:cs="Arial" w:eastAsia="Arial" w:hAnsi="Arial"/>
                <w:sz w:val="11"/>
                <w:szCs w:val="11"/>
                <w:color w:val="auto"/>
                <w:w w:val="96"/>
              </w:rPr>
              <w:t>L+450</w:t>
            </w:r>
          </w:p>
        </w:tc>
        <w:tc>
          <w:tcPr>
            <w:tcW w:w="580" w:type="dxa"/>
            <w:vAlign w:val="bottom"/>
          </w:tcPr>
          <w:p>
            <w:pPr>
              <w:jc w:val="right"/>
              <w:spacing w:after="0"/>
              <w:rPr>
                <w:sz w:val="20"/>
                <w:szCs w:val="20"/>
                <w:color w:val="auto"/>
              </w:rPr>
            </w:pPr>
            <w:r>
              <w:rPr>
                <w:rFonts w:ascii="Arial" w:cs="Arial" w:eastAsia="Arial" w:hAnsi="Arial"/>
                <w:sz w:val="11"/>
                <w:szCs w:val="11"/>
                <w:color w:val="auto"/>
                <w:w w:val="98"/>
              </w:rPr>
              <w:t>22,194,395</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21,998,444</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21,972,451</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gridSpan w:val="2"/>
            <w:shd w:val="clear" w:color="auto" w:fill="CCECFF"/>
          </w:tcPr>
          <w:p>
            <w:pPr>
              <w:spacing w:after="0"/>
              <w:rPr>
                <w:sz w:val="20"/>
                <w:szCs w:val="20"/>
                <w:color w:val="auto"/>
              </w:rPr>
            </w:pPr>
            <w:r>
              <w:rPr>
                <w:rFonts w:ascii="Arial" w:cs="Arial" w:eastAsia="Arial" w:hAnsi="Arial"/>
                <w:sz w:val="11"/>
                <w:szCs w:val="11"/>
                <w:color w:val="auto"/>
              </w:rPr>
              <w:t>Urology Management Associates, LLC</w:t>
            </w:r>
          </w:p>
        </w:tc>
        <w:tc>
          <w:tcPr>
            <w:tcW w:w="64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87"/>
              </w:rPr>
              <w:t>08/30/2024</w:t>
            </w:r>
          </w:p>
        </w:tc>
        <w:tc>
          <w:tcPr>
            <w:tcW w:w="24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6"/>
              </w:rPr>
              <w:t>Healthcare and Pharmaceuticals</w:t>
            </w:r>
          </w:p>
        </w:tc>
        <w:tc>
          <w:tcPr>
            <w:tcW w:w="86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6.80%</w:t>
            </w:r>
          </w:p>
        </w:tc>
        <w:tc>
          <w:tcPr>
            <w:tcW w:w="560" w:type="dxa"/>
            <w:vAlign w:val="bottom"/>
            <w:shd w:val="clear" w:color="auto" w:fill="CCECFF"/>
          </w:tcPr>
          <w:p>
            <w:pPr>
              <w:ind w:left="400"/>
              <w:spacing w:after="0"/>
              <w:rPr>
                <w:sz w:val="20"/>
                <w:szCs w:val="20"/>
                <w:color w:val="auto"/>
              </w:rPr>
            </w:pPr>
            <w:r>
              <w:rPr>
                <w:rFonts w:ascii="Arial" w:cs="Arial" w:eastAsia="Arial" w:hAnsi="Arial"/>
                <w:sz w:val="11"/>
                <w:szCs w:val="11"/>
                <w:color w:val="auto"/>
                <w:w w:val="91"/>
              </w:rPr>
              <w:t>3M</w:t>
            </w:r>
          </w:p>
        </w:tc>
        <w:tc>
          <w:tcPr>
            <w:tcW w:w="540" w:type="dxa"/>
            <w:vAlign w:val="bottom"/>
            <w:gridSpan w:val="3"/>
            <w:shd w:val="clear" w:color="auto" w:fill="CCECFF"/>
          </w:tcPr>
          <w:p>
            <w:pPr>
              <w:jc w:val="right"/>
              <w:ind w:right="220"/>
              <w:spacing w:after="0"/>
              <w:rPr>
                <w:sz w:val="20"/>
                <w:szCs w:val="20"/>
                <w:color w:val="auto"/>
              </w:rPr>
            </w:pPr>
            <w:r>
              <w:rPr>
                <w:rFonts w:ascii="Arial" w:cs="Arial" w:eastAsia="Arial" w:hAnsi="Arial"/>
                <w:sz w:val="11"/>
                <w:szCs w:val="11"/>
                <w:color w:val="auto"/>
                <w:w w:val="96"/>
              </w:rPr>
              <w:t>L+500</w:t>
            </w: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w w:val="98"/>
              </w:rPr>
              <w:t>11,550,932</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11,374,716</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11,550,932</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gridSpan w:val="2"/>
          </w:tcPr>
          <w:p>
            <w:pPr>
              <w:spacing w:after="0"/>
              <w:rPr>
                <w:sz w:val="20"/>
                <w:szCs w:val="20"/>
                <w:color w:val="auto"/>
              </w:rPr>
            </w:pPr>
            <w:r>
              <w:rPr>
                <w:rFonts w:ascii="Arial" w:cs="Arial" w:eastAsia="Arial" w:hAnsi="Arial"/>
                <w:sz w:val="11"/>
                <w:szCs w:val="11"/>
                <w:color w:val="auto"/>
              </w:rPr>
              <w:t>Walker Edison Furniture Company LLC</w:t>
            </w:r>
          </w:p>
        </w:tc>
        <w:tc>
          <w:tcPr>
            <w:tcW w:w="640" w:type="dxa"/>
            <w:vAlign w:val="bottom"/>
            <w:gridSpan w:val="2"/>
          </w:tcPr>
          <w:p>
            <w:pPr>
              <w:jc w:val="center"/>
              <w:ind w:left="66"/>
              <w:spacing w:after="0"/>
              <w:rPr>
                <w:sz w:val="20"/>
                <w:szCs w:val="20"/>
                <w:color w:val="auto"/>
              </w:rPr>
            </w:pPr>
            <w:r>
              <w:rPr>
                <w:rFonts w:ascii="Arial" w:cs="Arial" w:eastAsia="Arial" w:hAnsi="Arial"/>
                <w:sz w:val="11"/>
                <w:szCs w:val="11"/>
                <w:color w:val="auto"/>
                <w:w w:val="87"/>
              </w:rPr>
              <w:t>09/26/2024</w:t>
            </w:r>
          </w:p>
        </w:tc>
        <w:tc>
          <w:tcPr>
            <w:tcW w:w="240" w:type="dxa"/>
            <w:vAlign w:val="bottom"/>
          </w:tcPr>
          <w:p>
            <w:pPr>
              <w:spacing w:after="0"/>
              <w:rPr>
                <w:sz w:val="11"/>
                <w:szCs w:val="11"/>
                <w:color w:val="auto"/>
              </w:rPr>
            </w:pPr>
          </w:p>
        </w:tc>
        <w:tc>
          <w:tcPr>
            <w:tcW w:w="2760" w:type="dxa"/>
            <w:vAlign w:val="bottom"/>
            <w:gridSpan w:val="2"/>
          </w:tcPr>
          <w:p>
            <w:pPr>
              <w:jc w:val="center"/>
              <w:ind w:right="140"/>
              <w:spacing w:after="0"/>
              <w:rPr>
                <w:sz w:val="20"/>
                <w:szCs w:val="20"/>
                <w:color w:val="auto"/>
              </w:rPr>
            </w:pPr>
            <w:r>
              <w:rPr>
                <w:rFonts w:ascii="Arial" w:cs="Arial" w:eastAsia="Arial" w:hAnsi="Arial"/>
                <w:sz w:val="11"/>
                <w:szCs w:val="11"/>
                <w:color w:val="auto"/>
                <w:w w:val="89"/>
              </w:rPr>
              <w:t>Wholesale</w:t>
            </w:r>
          </w:p>
        </w:tc>
        <w:tc>
          <w:tcPr>
            <w:tcW w:w="860" w:type="dxa"/>
            <w:vAlign w:val="bottom"/>
            <w:gridSpan w:val="2"/>
          </w:tcPr>
          <w:p>
            <w:pPr>
              <w:jc w:val="right"/>
              <w:ind w:right="180"/>
              <w:spacing w:after="0"/>
              <w:rPr>
                <w:sz w:val="20"/>
                <w:szCs w:val="20"/>
                <w:color w:val="auto"/>
              </w:rPr>
            </w:pPr>
            <w:r>
              <w:rPr>
                <w:rFonts w:ascii="Arial" w:cs="Arial" w:eastAsia="Arial" w:hAnsi="Arial"/>
                <w:sz w:val="11"/>
                <w:szCs w:val="11"/>
                <w:color w:val="auto"/>
              </w:rPr>
              <w:t>8.60%</w:t>
            </w:r>
          </w:p>
        </w:tc>
        <w:tc>
          <w:tcPr>
            <w:tcW w:w="560" w:type="dxa"/>
            <w:vAlign w:val="bottom"/>
          </w:tcPr>
          <w:p>
            <w:pPr>
              <w:ind w:left="400"/>
              <w:spacing w:after="0"/>
              <w:rPr>
                <w:sz w:val="20"/>
                <w:szCs w:val="20"/>
                <w:color w:val="auto"/>
              </w:rPr>
            </w:pPr>
            <w:r>
              <w:rPr>
                <w:rFonts w:ascii="Arial" w:cs="Arial" w:eastAsia="Arial" w:hAnsi="Arial"/>
                <w:sz w:val="11"/>
                <w:szCs w:val="11"/>
                <w:color w:val="auto"/>
                <w:w w:val="91"/>
              </w:rPr>
              <w:t>3M</w:t>
            </w:r>
          </w:p>
        </w:tc>
        <w:tc>
          <w:tcPr>
            <w:tcW w:w="540" w:type="dxa"/>
            <w:vAlign w:val="bottom"/>
            <w:gridSpan w:val="3"/>
          </w:tcPr>
          <w:p>
            <w:pPr>
              <w:jc w:val="right"/>
              <w:ind w:right="220"/>
              <w:spacing w:after="0"/>
              <w:rPr>
                <w:sz w:val="20"/>
                <w:szCs w:val="20"/>
                <w:color w:val="auto"/>
              </w:rPr>
            </w:pPr>
            <w:r>
              <w:rPr>
                <w:rFonts w:ascii="Arial" w:cs="Arial" w:eastAsia="Arial" w:hAnsi="Arial"/>
                <w:sz w:val="11"/>
                <w:szCs w:val="11"/>
                <w:color w:val="auto"/>
                <w:w w:val="96"/>
              </w:rPr>
              <w:t>L+650</w:t>
            </w:r>
          </w:p>
        </w:tc>
        <w:tc>
          <w:tcPr>
            <w:tcW w:w="580" w:type="dxa"/>
            <w:vAlign w:val="bottom"/>
          </w:tcPr>
          <w:p>
            <w:pPr>
              <w:jc w:val="right"/>
              <w:spacing w:after="0"/>
              <w:rPr>
                <w:sz w:val="20"/>
                <w:szCs w:val="20"/>
                <w:color w:val="auto"/>
              </w:rPr>
            </w:pPr>
            <w:r>
              <w:rPr>
                <w:rFonts w:ascii="Arial" w:cs="Arial" w:eastAsia="Arial" w:hAnsi="Arial"/>
                <w:sz w:val="11"/>
                <w:szCs w:val="11"/>
                <w:color w:val="auto"/>
                <w:w w:val="98"/>
              </w:rPr>
              <w:t>15,899,813</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15,634,610</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15,995,211</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gridSpan w:val="2"/>
            <w:shd w:val="clear" w:color="auto" w:fill="CCECFF"/>
          </w:tcPr>
          <w:p>
            <w:pPr>
              <w:spacing w:after="0"/>
              <w:rPr>
                <w:sz w:val="20"/>
                <w:szCs w:val="20"/>
                <w:color w:val="auto"/>
              </w:rPr>
            </w:pPr>
            <w:r>
              <w:rPr>
                <w:rFonts w:ascii="Arial" w:cs="Arial" w:eastAsia="Arial" w:hAnsi="Arial"/>
                <w:sz w:val="11"/>
                <w:szCs w:val="11"/>
                <w:color w:val="auto"/>
              </w:rPr>
              <w:t>Whitney, Bradley &amp; Brown, Inc.</w:t>
            </w:r>
          </w:p>
        </w:tc>
        <w:tc>
          <w:tcPr>
            <w:tcW w:w="64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87"/>
              </w:rPr>
              <w:t>10/18/2022</w:t>
            </w:r>
          </w:p>
        </w:tc>
        <w:tc>
          <w:tcPr>
            <w:tcW w:w="24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6"/>
              </w:rPr>
              <w:t>Aerospace and Defense</w:t>
            </w:r>
          </w:p>
        </w:tc>
        <w:tc>
          <w:tcPr>
            <w:tcW w:w="86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9.30%</w:t>
            </w:r>
          </w:p>
        </w:tc>
        <w:tc>
          <w:tcPr>
            <w:tcW w:w="560" w:type="dxa"/>
            <w:vAlign w:val="bottom"/>
            <w:shd w:val="clear" w:color="auto" w:fill="CCECFF"/>
          </w:tcPr>
          <w:p>
            <w:pPr>
              <w:ind w:left="400"/>
              <w:spacing w:after="0"/>
              <w:rPr>
                <w:sz w:val="20"/>
                <w:szCs w:val="20"/>
                <w:color w:val="auto"/>
              </w:rPr>
            </w:pPr>
            <w:r>
              <w:rPr>
                <w:rFonts w:ascii="Arial" w:cs="Arial" w:eastAsia="Arial" w:hAnsi="Arial"/>
                <w:sz w:val="11"/>
                <w:szCs w:val="11"/>
                <w:color w:val="auto"/>
                <w:w w:val="91"/>
              </w:rPr>
              <w:t>1M</w:t>
            </w:r>
          </w:p>
        </w:tc>
        <w:tc>
          <w:tcPr>
            <w:tcW w:w="540" w:type="dxa"/>
            <w:vAlign w:val="bottom"/>
            <w:gridSpan w:val="3"/>
            <w:shd w:val="clear" w:color="auto" w:fill="CCECFF"/>
          </w:tcPr>
          <w:p>
            <w:pPr>
              <w:jc w:val="right"/>
              <w:ind w:right="220"/>
              <w:spacing w:after="0"/>
              <w:rPr>
                <w:sz w:val="20"/>
                <w:szCs w:val="20"/>
                <w:color w:val="auto"/>
              </w:rPr>
            </w:pPr>
            <w:r>
              <w:rPr>
                <w:rFonts w:ascii="Arial" w:cs="Arial" w:eastAsia="Arial" w:hAnsi="Arial"/>
                <w:sz w:val="11"/>
                <w:szCs w:val="11"/>
                <w:color w:val="auto"/>
                <w:w w:val="96"/>
              </w:rPr>
              <w:t>L+750</w:t>
            </w: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5,395,982</w:t>
            </w:r>
          </w:p>
        </w:tc>
        <w:tc>
          <w:tcPr>
            <w:tcW w:w="240" w:type="dxa"/>
            <w:vAlign w:val="bottom"/>
            <w:shd w:val="clear" w:color="auto" w:fill="CCECFF"/>
          </w:tcPr>
          <w:p>
            <w:pPr>
              <w:spacing w:after="0"/>
              <w:rPr>
                <w:sz w:val="11"/>
                <w:szCs w:val="11"/>
                <w:color w:val="auto"/>
              </w:rPr>
            </w:pPr>
          </w:p>
        </w:tc>
        <w:tc>
          <w:tcPr>
            <w:tcW w:w="80" w:type="dxa"/>
            <w:vAlign w:val="bottom"/>
            <w:tcBorders>
              <w:bottom w:val="single" w:sz="8" w:color="auto"/>
            </w:tcBorders>
            <w:shd w:val="clear" w:color="auto" w:fill="CCECFF"/>
          </w:tcPr>
          <w:p>
            <w:pPr>
              <w:spacing w:after="0"/>
              <w:rPr>
                <w:sz w:val="11"/>
                <w:szCs w:val="11"/>
                <w:color w:val="auto"/>
              </w:rPr>
            </w:pPr>
          </w:p>
        </w:tc>
        <w:tc>
          <w:tcPr>
            <w:tcW w:w="6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5,325,863</w:t>
            </w:r>
          </w:p>
        </w:tc>
        <w:tc>
          <w:tcPr>
            <w:tcW w:w="220" w:type="dxa"/>
            <w:vAlign w:val="bottom"/>
            <w:shd w:val="clear" w:color="auto" w:fill="CCECFF"/>
          </w:tcPr>
          <w:p>
            <w:pPr>
              <w:spacing w:after="0"/>
              <w:rPr>
                <w:sz w:val="11"/>
                <w:szCs w:val="11"/>
                <w:color w:val="auto"/>
              </w:rPr>
            </w:pPr>
          </w:p>
        </w:tc>
        <w:tc>
          <w:tcPr>
            <w:tcW w:w="100" w:type="dxa"/>
            <w:vAlign w:val="bottom"/>
            <w:tcBorders>
              <w:bottom w:val="single" w:sz="8" w:color="auto"/>
            </w:tcBorders>
            <w:shd w:val="clear" w:color="auto" w:fill="CCECFF"/>
          </w:tcPr>
          <w:p>
            <w:pPr>
              <w:spacing w:after="0"/>
              <w:rPr>
                <w:sz w:val="11"/>
                <w:szCs w:val="11"/>
                <w:color w:val="auto"/>
              </w:rPr>
            </w:pPr>
          </w:p>
        </w:tc>
        <w:tc>
          <w:tcPr>
            <w:tcW w:w="6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5,395,982</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060" w:type="dxa"/>
            <w:vAlign w:val="bottom"/>
            <w:tcBorders>
              <w:bottom w:val="single" w:sz="8" w:color="CCECFF"/>
            </w:tcBorders>
            <w:gridSpan w:val="2"/>
          </w:tcPr>
          <w:p>
            <w:pPr>
              <w:spacing w:after="0"/>
              <w:rPr>
                <w:sz w:val="20"/>
                <w:szCs w:val="20"/>
                <w:color w:val="auto"/>
              </w:rPr>
            </w:pPr>
            <w:r>
              <w:rPr>
                <w:rFonts w:ascii="Arial" w:cs="Arial" w:eastAsia="Arial" w:hAnsi="Arial"/>
                <w:sz w:val="11"/>
                <w:szCs w:val="11"/>
                <w:b w:val="1"/>
                <w:bCs w:val="1"/>
                <w:color w:val="auto"/>
              </w:rPr>
              <w:t>Total First Lien Secured Debt</w:t>
            </w:r>
          </w:p>
        </w:tc>
        <w:tc>
          <w:tcPr>
            <w:tcW w:w="120" w:type="dxa"/>
            <w:vAlign w:val="bottom"/>
            <w:tcBorders>
              <w:bottom w:val="single" w:sz="8" w:color="CCECFF"/>
            </w:tcBorders>
          </w:tcPr>
          <w:p>
            <w:pPr>
              <w:spacing w:after="0"/>
              <w:rPr>
                <w:sz w:val="11"/>
                <w:szCs w:val="11"/>
                <w:color w:val="auto"/>
              </w:rPr>
            </w:pPr>
          </w:p>
        </w:tc>
        <w:tc>
          <w:tcPr>
            <w:tcW w:w="520" w:type="dxa"/>
            <w:vAlign w:val="bottom"/>
            <w:tcBorders>
              <w:bottom w:val="single" w:sz="8" w:color="CCECFF"/>
            </w:tcBorders>
          </w:tcPr>
          <w:p>
            <w:pPr>
              <w:spacing w:after="0"/>
              <w:rPr>
                <w:sz w:val="11"/>
                <w:szCs w:val="11"/>
                <w:color w:val="auto"/>
              </w:rPr>
            </w:pPr>
          </w:p>
        </w:tc>
        <w:tc>
          <w:tcPr>
            <w:tcW w:w="240" w:type="dxa"/>
            <w:vAlign w:val="bottom"/>
            <w:tcBorders>
              <w:bottom w:val="single" w:sz="8" w:color="CCECFF"/>
            </w:tcBorders>
          </w:tcPr>
          <w:p>
            <w:pPr>
              <w:spacing w:after="0"/>
              <w:rPr>
                <w:sz w:val="11"/>
                <w:szCs w:val="11"/>
                <w:color w:val="auto"/>
              </w:rPr>
            </w:pPr>
          </w:p>
        </w:tc>
        <w:tc>
          <w:tcPr>
            <w:tcW w:w="2620" w:type="dxa"/>
            <w:vAlign w:val="bottom"/>
            <w:tcBorders>
              <w:bottom w:val="single" w:sz="8" w:color="CCECFF"/>
            </w:tcBorders>
          </w:tcPr>
          <w:p>
            <w:pPr>
              <w:spacing w:after="0"/>
              <w:rPr>
                <w:sz w:val="11"/>
                <w:szCs w:val="11"/>
                <w:color w:val="auto"/>
              </w:rPr>
            </w:pPr>
          </w:p>
        </w:tc>
        <w:tc>
          <w:tcPr>
            <w:tcW w:w="140" w:type="dxa"/>
            <w:vAlign w:val="bottom"/>
            <w:tcBorders>
              <w:bottom w:val="single" w:sz="8" w:color="CCECFF"/>
            </w:tcBorders>
          </w:tcPr>
          <w:p>
            <w:pPr>
              <w:spacing w:after="0"/>
              <w:rPr>
                <w:sz w:val="11"/>
                <w:szCs w:val="11"/>
                <w:color w:val="auto"/>
              </w:rPr>
            </w:pPr>
          </w:p>
        </w:tc>
        <w:tc>
          <w:tcPr>
            <w:tcW w:w="600" w:type="dxa"/>
            <w:vAlign w:val="bottom"/>
            <w:tcBorders>
              <w:bottom w:val="single" w:sz="8" w:color="CCECFF"/>
            </w:tcBorders>
          </w:tcPr>
          <w:p>
            <w:pPr>
              <w:spacing w:after="0"/>
              <w:rPr>
                <w:sz w:val="11"/>
                <w:szCs w:val="11"/>
                <w:color w:val="auto"/>
              </w:rPr>
            </w:pPr>
          </w:p>
        </w:tc>
        <w:tc>
          <w:tcPr>
            <w:tcW w:w="260" w:type="dxa"/>
            <w:vAlign w:val="bottom"/>
            <w:tcBorders>
              <w:bottom w:val="single" w:sz="8" w:color="CCECFF"/>
            </w:tcBorders>
          </w:tcPr>
          <w:p>
            <w:pPr>
              <w:spacing w:after="0"/>
              <w:rPr>
                <w:sz w:val="11"/>
                <w:szCs w:val="11"/>
                <w:color w:val="auto"/>
              </w:rPr>
            </w:pPr>
          </w:p>
        </w:tc>
        <w:tc>
          <w:tcPr>
            <w:tcW w:w="560" w:type="dxa"/>
            <w:vAlign w:val="bottom"/>
            <w:tcBorders>
              <w:bottom w:val="single" w:sz="8" w:color="CCECFF"/>
            </w:tcBorders>
          </w:tcPr>
          <w:p>
            <w:pPr>
              <w:spacing w:after="0"/>
              <w:rPr>
                <w:sz w:val="11"/>
                <w:szCs w:val="11"/>
                <w:color w:val="auto"/>
              </w:rPr>
            </w:pPr>
          </w:p>
        </w:tc>
        <w:tc>
          <w:tcPr>
            <w:tcW w:w="320" w:type="dxa"/>
            <w:vAlign w:val="bottom"/>
            <w:tcBorders>
              <w:bottom w:val="single" w:sz="8" w:color="CCECFF"/>
            </w:tcBorders>
          </w:tcPr>
          <w:p>
            <w:pPr>
              <w:spacing w:after="0"/>
              <w:rPr>
                <w:sz w:val="11"/>
                <w:szCs w:val="11"/>
                <w:color w:val="auto"/>
              </w:rPr>
            </w:pPr>
          </w:p>
        </w:tc>
        <w:tc>
          <w:tcPr>
            <w:tcW w:w="120" w:type="dxa"/>
            <w:vAlign w:val="bottom"/>
            <w:tcBorders>
              <w:bottom w:val="single" w:sz="8" w:color="CCECFF"/>
            </w:tcBorders>
          </w:tcPr>
          <w:p>
            <w:pPr>
              <w:spacing w:after="0"/>
              <w:rPr>
                <w:sz w:val="11"/>
                <w:szCs w:val="11"/>
                <w:color w:val="auto"/>
              </w:rPr>
            </w:pPr>
          </w:p>
        </w:tc>
        <w:tc>
          <w:tcPr>
            <w:tcW w:w="100" w:type="dxa"/>
            <w:vAlign w:val="bottom"/>
            <w:tcBorders>
              <w:bottom w:val="single" w:sz="8" w:color="CCECFF"/>
            </w:tcBorders>
          </w:tcPr>
          <w:p>
            <w:pPr>
              <w:spacing w:after="0"/>
              <w:rPr>
                <w:sz w:val="11"/>
                <w:szCs w:val="11"/>
                <w:color w:val="auto"/>
              </w:rPr>
            </w:pPr>
          </w:p>
        </w:tc>
        <w:tc>
          <w:tcPr>
            <w:tcW w:w="580" w:type="dxa"/>
            <w:vAlign w:val="bottom"/>
            <w:tcBorders>
              <w:bottom w:val="single" w:sz="8" w:color="CCECFF"/>
            </w:tcBorders>
          </w:tcPr>
          <w:p>
            <w:pPr>
              <w:spacing w:after="0"/>
              <w:rPr>
                <w:sz w:val="11"/>
                <w:szCs w:val="11"/>
                <w:color w:val="auto"/>
              </w:rPr>
            </w:pPr>
          </w:p>
        </w:tc>
        <w:tc>
          <w:tcPr>
            <w:tcW w:w="240" w:type="dxa"/>
            <w:vAlign w:val="bottom"/>
            <w:tcBorders>
              <w:bottom w:val="single" w:sz="8" w:color="CCEC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w w:val="91"/>
              </w:rPr>
              <w:t>482,172,440</w:t>
            </w:r>
          </w:p>
        </w:tc>
        <w:tc>
          <w:tcPr>
            <w:tcW w:w="220" w:type="dxa"/>
            <w:vAlign w:val="bottom"/>
            <w:tcBorders>
              <w:bottom w:val="single" w:sz="8" w:color="CCEC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w w:val="98"/>
              </w:rPr>
              <w:t>479,446,351</w:t>
            </w:r>
          </w:p>
        </w:tc>
        <w:tc>
          <w:tcPr>
            <w:tcW w:w="120" w:type="dxa"/>
            <w:vAlign w:val="bottom"/>
            <w:tcBorders>
              <w:bottom w:val="single" w:sz="8" w:color="CCECFF"/>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3060" w:type="dxa"/>
            <w:vAlign w:val="bottom"/>
            <w:gridSpan w:val="2"/>
            <w:shd w:val="clear" w:color="auto" w:fill="CCECFF"/>
          </w:tcPr>
          <w:p>
            <w:pPr>
              <w:spacing w:after="0"/>
              <w:rPr>
                <w:sz w:val="20"/>
                <w:szCs w:val="20"/>
                <w:color w:val="auto"/>
              </w:rPr>
            </w:pPr>
            <w:r>
              <w:rPr>
                <w:rFonts w:ascii="Arial" w:cs="Arial" w:eastAsia="Arial" w:hAnsi="Arial"/>
                <w:sz w:val="11"/>
                <w:szCs w:val="11"/>
                <w:b w:val="1"/>
                <w:bCs w:val="1"/>
                <w:color w:val="auto"/>
              </w:rPr>
              <w:t>Second Lien Secured Debt</w:t>
            </w:r>
          </w:p>
        </w:tc>
        <w:tc>
          <w:tcPr>
            <w:tcW w:w="120" w:type="dxa"/>
            <w:vAlign w:val="bottom"/>
            <w:shd w:val="clear" w:color="auto" w:fill="CCECFF"/>
          </w:tcPr>
          <w:p>
            <w:pPr>
              <w:spacing w:after="0"/>
              <w:rPr>
                <w:sz w:val="11"/>
                <w:szCs w:val="11"/>
                <w:color w:val="auto"/>
              </w:rPr>
            </w:pPr>
          </w:p>
        </w:tc>
        <w:tc>
          <w:tcPr>
            <w:tcW w:w="52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262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600" w:type="dxa"/>
            <w:vAlign w:val="bottom"/>
            <w:shd w:val="clear" w:color="auto" w:fill="CCECFF"/>
          </w:tcPr>
          <w:p>
            <w:pPr>
              <w:spacing w:after="0"/>
              <w:rPr>
                <w:sz w:val="11"/>
                <w:szCs w:val="11"/>
                <w:color w:val="auto"/>
              </w:rPr>
            </w:pPr>
          </w:p>
        </w:tc>
        <w:tc>
          <w:tcPr>
            <w:tcW w:w="260" w:type="dxa"/>
            <w:vAlign w:val="bottom"/>
            <w:shd w:val="clear" w:color="auto" w:fill="CCECFF"/>
          </w:tcPr>
          <w:p>
            <w:pPr>
              <w:spacing w:after="0"/>
              <w:rPr>
                <w:sz w:val="11"/>
                <w:szCs w:val="11"/>
                <w:color w:val="auto"/>
              </w:rPr>
            </w:pPr>
          </w:p>
        </w:tc>
        <w:tc>
          <w:tcPr>
            <w:tcW w:w="560" w:type="dxa"/>
            <w:vAlign w:val="bottom"/>
            <w:shd w:val="clear" w:color="auto" w:fill="CCECFF"/>
          </w:tcPr>
          <w:p>
            <w:pPr>
              <w:spacing w:after="0"/>
              <w:rPr>
                <w:sz w:val="11"/>
                <w:szCs w:val="11"/>
                <w:color w:val="auto"/>
              </w:rPr>
            </w:pPr>
          </w:p>
        </w:tc>
        <w:tc>
          <w:tcPr>
            <w:tcW w:w="3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8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3060" w:type="dxa"/>
            <w:vAlign w:val="bottom"/>
            <w:gridSpan w:val="2"/>
          </w:tcPr>
          <w:p>
            <w:pPr>
              <w:spacing w:after="0"/>
              <w:rPr>
                <w:sz w:val="20"/>
                <w:szCs w:val="20"/>
                <w:color w:val="auto"/>
              </w:rPr>
            </w:pPr>
            <w:r>
              <w:rPr>
                <w:rFonts w:ascii="Arial" w:cs="Arial" w:eastAsia="Arial" w:hAnsi="Arial"/>
                <w:sz w:val="11"/>
                <w:szCs w:val="11"/>
                <w:color w:val="auto"/>
              </w:rPr>
              <w:t>Country Fresh Holdings, LLC</w:t>
            </w:r>
          </w:p>
        </w:tc>
        <w:tc>
          <w:tcPr>
            <w:tcW w:w="640" w:type="dxa"/>
            <w:vAlign w:val="bottom"/>
            <w:gridSpan w:val="2"/>
          </w:tcPr>
          <w:p>
            <w:pPr>
              <w:jc w:val="center"/>
              <w:ind w:left="66"/>
              <w:spacing w:after="0"/>
              <w:rPr>
                <w:sz w:val="20"/>
                <w:szCs w:val="20"/>
                <w:color w:val="auto"/>
              </w:rPr>
            </w:pPr>
            <w:r>
              <w:rPr>
                <w:rFonts w:ascii="Arial" w:cs="Arial" w:eastAsia="Arial" w:hAnsi="Arial"/>
                <w:sz w:val="11"/>
                <w:szCs w:val="11"/>
                <w:color w:val="auto"/>
                <w:w w:val="87"/>
              </w:rPr>
              <w:t>04/29/2024</w:t>
            </w:r>
          </w:p>
        </w:tc>
        <w:tc>
          <w:tcPr>
            <w:tcW w:w="240" w:type="dxa"/>
            <w:vAlign w:val="bottom"/>
          </w:tcPr>
          <w:p>
            <w:pPr>
              <w:spacing w:after="0"/>
              <w:rPr>
                <w:sz w:val="12"/>
                <w:szCs w:val="12"/>
                <w:color w:val="auto"/>
              </w:rPr>
            </w:pPr>
          </w:p>
        </w:tc>
        <w:tc>
          <w:tcPr>
            <w:tcW w:w="2760" w:type="dxa"/>
            <w:vAlign w:val="bottom"/>
            <w:gridSpan w:val="2"/>
          </w:tcPr>
          <w:p>
            <w:pPr>
              <w:jc w:val="center"/>
              <w:ind w:right="140"/>
              <w:spacing w:after="0"/>
              <w:rPr>
                <w:sz w:val="20"/>
                <w:szCs w:val="20"/>
                <w:color w:val="auto"/>
              </w:rPr>
            </w:pPr>
            <w:r>
              <w:rPr>
                <w:rFonts w:ascii="Arial" w:cs="Arial" w:eastAsia="Arial" w:hAnsi="Arial"/>
                <w:sz w:val="11"/>
                <w:szCs w:val="11"/>
                <w:color w:val="auto"/>
                <w:w w:val="86"/>
              </w:rPr>
              <w:t>Beverage, Food and Tobacco</w:t>
            </w:r>
          </w:p>
        </w:tc>
        <w:tc>
          <w:tcPr>
            <w:tcW w:w="860" w:type="dxa"/>
            <w:vAlign w:val="bottom"/>
            <w:gridSpan w:val="2"/>
          </w:tcPr>
          <w:p>
            <w:pPr>
              <w:jc w:val="right"/>
              <w:ind w:right="180"/>
              <w:spacing w:after="0"/>
              <w:rPr>
                <w:sz w:val="20"/>
                <w:szCs w:val="20"/>
                <w:color w:val="auto"/>
              </w:rPr>
            </w:pPr>
            <w:r>
              <w:rPr>
                <w:rFonts w:ascii="Arial" w:cs="Arial" w:eastAsia="Arial" w:hAnsi="Arial"/>
                <w:sz w:val="11"/>
                <w:szCs w:val="11"/>
                <w:color w:val="auto"/>
              </w:rPr>
              <w:t>10.60%</w:t>
            </w:r>
          </w:p>
        </w:tc>
        <w:tc>
          <w:tcPr>
            <w:tcW w:w="560" w:type="dxa"/>
            <w:vAlign w:val="bottom"/>
          </w:tcPr>
          <w:p>
            <w:pPr>
              <w:ind w:left="400"/>
              <w:spacing w:after="0"/>
              <w:rPr>
                <w:sz w:val="20"/>
                <w:szCs w:val="20"/>
                <w:color w:val="auto"/>
              </w:rPr>
            </w:pPr>
            <w:r>
              <w:rPr>
                <w:rFonts w:ascii="Arial" w:cs="Arial" w:eastAsia="Arial" w:hAnsi="Arial"/>
                <w:sz w:val="11"/>
                <w:szCs w:val="11"/>
                <w:color w:val="auto"/>
                <w:w w:val="91"/>
              </w:rPr>
              <w:t>1M</w:t>
            </w:r>
          </w:p>
        </w:tc>
        <w:tc>
          <w:tcPr>
            <w:tcW w:w="540" w:type="dxa"/>
            <w:vAlign w:val="bottom"/>
            <w:gridSpan w:val="3"/>
          </w:tcPr>
          <w:p>
            <w:pPr>
              <w:jc w:val="right"/>
              <w:ind w:right="220"/>
              <w:spacing w:after="0"/>
              <w:rPr>
                <w:sz w:val="20"/>
                <w:szCs w:val="20"/>
                <w:color w:val="auto"/>
              </w:rPr>
            </w:pPr>
            <w:r>
              <w:rPr>
                <w:rFonts w:ascii="Arial" w:cs="Arial" w:eastAsia="Arial" w:hAnsi="Arial"/>
                <w:sz w:val="11"/>
                <w:szCs w:val="11"/>
                <w:color w:val="auto"/>
                <w:w w:val="96"/>
              </w:rPr>
              <w:t>L+850</w:t>
            </w:r>
          </w:p>
        </w:tc>
        <w:tc>
          <w:tcPr>
            <w:tcW w:w="580" w:type="dxa"/>
            <w:vAlign w:val="bottom"/>
          </w:tcPr>
          <w:p>
            <w:pPr>
              <w:jc w:val="right"/>
              <w:spacing w:after="0"/>
              <w:rPr>
                <w:sz w:val="20"/>
                <w:szCs w:val="20"/>
                <w:color w:val="auto"/>
              </w:rPr>
            </w:pPr>
            <w:r>
              <w:rPr>
                <w:rFonts w:ascii="Arial" w:cs="Arial" w:eastAsia="Arial" w:hAnsi="Arial"/>
                <w:sz w:val="11"/>
                <w:szCs w:val="11"/>
                <w:color w:val="auto"/>
              </w:rPr>
              <w:t>894,487</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894,487</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894,487</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2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1"/>
                <w:szCs w:val="11"/>
                <w:color w:val="auto"/>
              </w:rPr>
              <w:t>(PIK 10.60%)</w:t>
            </w: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gridSpan w:val="2"/>
            <w:shd w:val="clear" w:color="auto" w:fill="CCECFF"/>
          </w:tcPr>
          <w:p>
            <w:pPr>
              <w:spacing w:after="0"/>
              <w:rPr>
                <w:sz w:val="20"/>
                <w:szCs w:val="20"/>
                <w:color w:val="auto"/>
              </w:rPr>
            </w:pPr>
            <w:r>
              <w:rPr>
                <w:rFonts w:ascii="Arial" w:cs="Arial" w:eastAsia="Arial" w:hAnsi="Arial"/>
                <w:sz w:val="11"/>
                <w:szCs w:val="11"/>
                <w:color w:val="auto"/>
              </w:rPr>
              <w:t>DBI Holding, LLC, Term Loan B</w:t>
            </w:r>
          </w:p>
        </w:tc>
        <w:tc>
          <w:tcPr>
            <w:tcW w:w="64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87"/>
              </w:rPr>
              <w:t>03/26/2021</w:t>
            </w:r>
          </w:p>
        </w:tc>
        <w:tc>
          <w:tcPr>
            <w:tcW w:w="24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6"/>
              </w:rPr>
              <w:t>Business Services</w:t>
            </w:r>
          </w:p>
        </w:tc>
        <w:tc>
          <w:tcPr>
            <w:tcW w:w="86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8.00%</w:t>
            </w:r>
          </w:p>
        </w:tc>
        <w:tc>
          <w:tcPr>
            <w:tcW w:w="560" w:type="dxa"/>
            <w:vAlign w:val="bottom"/>
            <w:shd w:val="clear" w:color="auto" w:fill="CCECFF"/>
          </w:tcPr>
          <w:p>
            <w:pPr>
              <w:spacing w:after="0"/>
              <w:rPr>
                <w:sz w:val="11"/>
                <w:szCs w:val="11"/>
                <w:color w:val="auto"/>
              </w:rPr>
            </w:pPr>
          </w:p>
        </w:tc>
        <w:tc>
          <w:tcPr>
            <w:tcW w:w="3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15,946</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15,946</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15,946</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2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262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860" w:type="dxa"/>
            <w:vAlign w:val="bottom"/>
            <w:gridSpan w:val="2"/>
            <w:shd w:val="clear" w:color="auto" w:fill="CCECFF"/>
          </w:tcPr>
          <w:p>
            <w:pPr>
              <w:jc w:val="right"/>
              <w:ind w:right="140"/>
              <w:spacing w:after="0"/>
              <w:rPr>
                <w:sz w:val="20"/>
                <w:szCs w:val="20"/>
                <w:color w:val="auto"/>
              </w:rPr>
            </w:pPr>
            <w:r>
              <w:rPr>
                <w:rFonts w:ascii="Arial" w:cs="Arial" w:eastAsia="Arial" w:hAnsi="Arial"/>
                <w:sz w:val="11"/>
                <w:szCs w:val="11"/>
                <w:color w:val="auto"/>
              </w:rPr>
              <w:t>(PIK 8.00%)</w:t>
            </w:r>
          </w:p>
        </w:tc>
        <w:tc>
          <w:tcPr>
            <w:tcW w:w="560" w:type="dxa"/>
            <w:vAlign w:val="bottom"/>
            <w:shd w:val="clear" w:color="auto" w:fill="CCECFF"/>
          </w:tcPr>
          <w:p>
            <w:pPr>
              <w:spacing w:after="0"/>
              <w:rPr>
                <w:sz w:val="11"/>
                <w:szCs w:val="11"/>
                <w:color w:val="auto"/>
              </w:rPr>
            </w:pPr>
          </w:p>
        </w:tc>
        <w:tc>
          <w:tcPr>
            <w:tcW w:w="3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8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3060" w:type="dxa"/>
            <w:vAlign w:val="bottom"/>
            <w:gridSpan w:val="2"/>
          </w:tcPr>
          <w:p>
            <w:pPr>
              <w:spacing w:after="0"/>
              <w:rPr>
                <w:sz w:val="20"/>
                <w:szCs w:val="20"/>
                <w:color w:val="auto"/>
              </w:rPr>
            </w:pPr>
            <w:r>
              <w:rPr>
                <w:rFonts w:ascii="Arial" w:cs="Arial" w:eastAsia="Arial" w:hAnsi="Arial"/>
                <w:sz w:val="11"/>
                <w:szCs w:val="11"/>
                <w:color w:val="auto"/>
              </w:rPr>
              <w:t>DBI Holding, LLC, Term Loan C</w:t>
            </w:r>
          </w:p>
        </w:tc>
        <w:tc>
          <w:tcPr>
            <w:tcW w:w="640" w:type="dxa"/>
            <w:vAlign w:val="bottom"/>
            <w:gridSpan w:val="2"/>
          </w:tcPr>
          <w:p>
            <w:pPr>
              <w:jc w:val="center"/>
              <w:ind w:left="66"/>
              <w:spacing w:after="0"/>
              <w:rPr>
                <w:sz w:val="20"/>
                <w:szCs w:val="20"/>
                <w:color w:val="auto"/>
              </w:rPr>
            </w:pPr>
            <w:r>
              <w:rPr>
                <w:rFonts w:ascii="Arial" w:cs="Arial" w:eastAsia="Arial" w:hAnsi="Arial"/>
                <w:sz w:val="11"/>
                <w:szCs w:val="11"/>
                <w:color w:val="auto"/>
                <w:w w:val="87"/>
              </w:rPr>
              <w:t>02/02/2026</w:t>
            </w:r>
          </w:p>
        </w:tc>
        <w:tc>
          <w:tcPr>
            <w:tcW w:w="240" w:type="dxa"/>
            <w:vAlign w:val="bottom"/>
          </w:tcPr>
          <w:p>
            <w:pPr>
              <w:spacing w:after="0"/>
              <w:rPr>
                <w:sz w:val="12"/>
                <w:szCs w:val="12"/>
                <w:color w:val="auto"/>
              </w:rPr>
            </w:pPr>
          </w:p>
        </w:tc>
        <w:tc>
          <w:tcPr>
            <w:tcW w:w="2760" w:type="dxa"/>
            <w:vAlign w:val="bottom"/>
            <w:gridSpan w:val="2"/>
          </w:tcPr>
          <w:p>
            <w:pPr>
              <w:jc w:val="center"/>
              <w:ind w:right="140"/>
              <w:spacing w:after="0"/>
              <w:rPr>
                <w:sz w:val="20"/>
                <w:szCs w:val="20"/>
                <w:color w:val="auto"/>
              </w:rPr>
            </w:pPr>
            <w:r>
              <w:rPr>
                <w:rFonts w:ascii="Arial" w:cs="Arial" w:eastAsia="Arial" w:hAnsi="Arial"/>
                <w:sz w:val="11"/>
                <w:szCs w:val="11"/>
                <w:color w:val="auto"/>
                <w:w w:val="86"/>
              </w:rPr>
              <w:t>Business Services</w:t>
            </w:r>
          </w:p>
        </w:tc>
        <w:tc>
          <w:tcPr>
            <w:tcW w:w="860" w:type="dxa"/>
            <w:vAlign w:val="bottom"/>
            <w:gridSpan w:val="2"/>
          </w:tcPr>
          <w:p>
            <w:pPr>
              <w:jc w:val="right"/>
              <w:ind w:right="180"/>
              <w:spacing w:after="0"/>
              <w:rPr>
                <w:sz w:val="20"/>
                <w:szCs w:val="20"/>
                <w:color w:val="auto"/>
              </w:rPr>
            </w:pPr>
            <w:r>
              <w:rPr>
                <w:rFonts w:ascii="Arial" w:cs="Arial" w:eastAsia="Arial" w:hAnsi="Arial"/>
                <w:sz w:val="11"/>
                <w:szCs w:val="11"/>
                <w:color w:val="auto"/>
              </w:rPr>
              <w:t>8.00%</w:t>
            </w:r>
          </w:p>
        </w:tc>
        <w:tc>
          <w:tcPr>
            <w:tcW w:w="560" w:type="dxa"/>
            <w:vAlign w:val="bottom"/>
          </w:tcPr>
          <w:p>
            <w:pPr>
              <w:spacing w:after="0"/>
              <w:rPr>
                <w:sz w:val="12"/>
                <w:szCs w:val="12"/>
                <w:color w:val="auto"/>
              </w:rPr>
            </w:pPr>
          </w:p>
        </w:tc>
        <w:tc>
          <w:tcPr>
            <w:tcW w:w="540" w:type="dxa"/>
            <w:vAlign w:val="bottom"/>
            <w:gridSpan w:val="3"/>
          </w:tcPr>
          <w:p>
            <w:pPr>
              <w:jc w:val="right"/>
              <w:ind w:right="220"/>
              <w:spacing w:after="0"/>
              <w:rPr>
                <w:sz w:val="20"/>
                <w:szCs w:val="20"/>
                <w:color w:val="auto"/>
              </w:rPr>
            </w:pPr>
            <w:r>
              <w:rPr>
                <w:rFonts w:ascii="Arial" w:cs="Arial" w:eastAsia="Arial" w:hAnsi="Arial"/>
                <w:sz w:val="11"/>
                <w:szCs w:val="11"/>
                <w:color w:val="auto"/>
              </w:rPr>
              <w:t>—</w:t>
            </w:r>
          </w:p>
        </w:tc>
        <w:tc>
          <w:tcPr>
            <w:tcW w:w="580" w:type="dxa"/>
            <w:vAlign w:val="bottom"/>
          </w:tcPr>
          <w:p>
            <w:pPr>
              <w:jc w:val="right"/>
              <w:spacing w:after="0"/>
              <w:rPr>
                <w:sz w:val="20"/>
                <w:szCs w:val="20"/>
                <w:color w:val="auto"/>
              </w:rPr>
            </w:pPr>
            <w:r>
              <w:rPr>
                <w:rFonts w:ascii="Arial" w:cs="Arial" w:eastAsia="Arial" w:hAnsi="Arial"/>
                <w:sz w:val="11"/>
                <w:szCs w:val="11"/>
                <w:color w:val="auto"/>
              </w:rPr>
              <w:t>7,977,513</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7,977,513</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7,937,625</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2940" w:type="dxa"/>
            <w:vAlign w:val="bottom"/>
            <w:tcBorders>
              <w:bottom w:val="single" w:sz="8" w:color="CCECFF"/>
            </w:tcBorders>
          </w:tcPr>
          <w:p>
            <w:pPr>
              <w:spacing w:after="0"/>
              <w:rPr>
                <w:sz w:val="11"/>
                <w:szCs w:val="11"/>
                <w:color w:val="auto"/>
              </w:rPr>
            </w:pPr>
          </w:p>
        </w:tc>
        <w:tc>
          <w:tcPr>
            <w:tcW w:w="120" w:type="dxa"/>
            <w:vAlign w:val="bottom"/>
            <w:tcBorders>
              <w:bottom w:val="single" w:sz="8" w:color="CCECFF"/>
            </w:tcBorders>
          </w:tcPr>
          <w:p>
            <w:pPr>
              <w:spacing w:after="0"/>
              <w:rPr>
                <w:sz w:val="11"/>
                <w:szCs w:val="11"/>
                <w:color w:val="auto"/>
              </w:rPr>
            </w:pPr>
          </w:p>
        </w:tc>
        <w:tc>
          <w:tcPr>
            <w:tcW w:w="120" w:type="dxa"/>
            <w:vAlign w:val="bottom"/>
            <w:tcBorders>
              <w:bottom w:val="single" w:sz="8" w:color="CCECFF"/>
            </w:tcBorders>
          </w:tcPr>
          <w:p>
            <w:pPr>
              <w:spacing w:after="0"/>
              <w:rPr>
                <w:sz w:val="11"/>
                <w:szCs w:val="11"/>
                <w:color w:val="auto"/>
              </w:rPr>
            </w:pPr>
          </w:p>
        </w:tc>
        <w:tc>
          <w:tcPr>
            <w:tcW w:w="520" w:type="dxa"/>
            <w:vAlign w:val="bottom"/>
            <w:tcBorders>
              <w:bottom w:val="single" w:sz="8" w:color="CCECFF"/>
            </w:tcBorders>
          </w:tcPr>
          <w:p>
            <w:pPr>
              <w:spacing w:after="0"/>
              <w:rPr>
                <w:sz w:val="11"/>
                <w:szCs w:val="11"/>
                <w:color w:val="auto"/>
              </w:rPr>
            </w:pPr>
          </w:p>
        </w:tc>
        <w:tc>
          <w:tcPr>
            <w:tcW w:w="240" w:type="dxa"/>
            <w:vAlign w:val="bottom"/>
            <w:tcBorders>
              <w:bottom w:val="single" w:sz="8" w:color="CCECFF"/>
            </w:tcBorders>
          </w:tcPr>
          <w:p>
            <w:pPr>
              <w:spacing w:after="0"/>
              <w:rPr>
                <w:sz w:val="11"/>
                <w:szCs w:val="11"/>
                <w:color w:val="auto"/>
              </w:rPr>
            </w:pPr>
          </w:p>
        </w:tc>
        <w:tc>
          <w:tcPr>
            <w:tcW w:w="2620" w:type="dxa"/>
            <w:vAlign w:val="bottom"/>
            <w:tcBorders>
              <w:bottom w:val="single" w:sz="8" w:color="CCECFF"/>
            </w:tcBorders>
          </w:tcPr>
          <w:p>
            <w:pPr>
              <w:spacing w:after="0"/>
              <w:rPr>
                <w:sz w:val="11"/>
                <w:szCs w:val="11"/>
                <w:color w:val="auto"/>
              </w:rPr>
            </w:pPr>
          </w:p>
        </w:tc>
        <w:tc>
          <w:tcPr>
            <w:tcW w:w="140" w:type="dxa"/>
            <w:vAlign w:val="bottom"/>
            <w:tcBorders>
              <w:bottom w:val="single" w:sz="8" w:color="CCECFF"/>
            </w:tcBorders>
          </w:tcPr>
          <w:p>
            <w:pPr>
              <w:spacing w:after="0"/>
              <w:rPr>
                <w:sz w:val="11"/>
                <w:szCs w:val="11"/>
                <w:color w:val="auto"/>
              </w:rPr>
            </w:pPr>
          </w:p>
        </w:tc>
        <w:tc>
          <w:tcPr>
            <w:tcW w:w="860" w:type="dxa"/>
            <w:vAlign w:val="bottom"/>
            <w:tcBorders>
              <w:bottom w:val="single" w:sz="8" w:color="CCECFF"/>
            </w:tcBorders>
            <w:gridSpan w:val="2"/>
          </w:tcPr>
          <w:p>
            <w:pPr>
              <w:jc w:val="right"/>
              <w:ind w:right="140"/>
              <w:spacing w:after="0"/>
              <w:rPr>
                <w:sz w:val="20"/>
                <w:szCs w:val="20"/>
                <w:color w:val="auto"/>
              </w:rPr>
            </w:pPr>
            <w:r>
              <w:rPr>
                <w:rFonts w:ascii="Arial" w:cs="Arial" w:eastAsia="Arial" w:hAnsi="Arial"/>
                <w:sz w:val="11"/>
                <w:szCs w:val="11"/>
                <w:color w:val="auto"/>
              </w:rPr>
              <w:t>(PIK 8.00%)</w:t>
            </w:r>
          </w:p>
        </w:tc>
        <w:tc>
          <w:tcPr>
            <w:tcW w:w="560" w:type="dxa"/>
            <w:vAlign w:val="bottom"/>
            <w:tcBorders>
              <w:bottom w:val="single" w:sz="8" w:color="CCECFF"/>
            </w:tcBorders>
          </w:tcPr>
          <w:p>
            <w:pPr>
              <w:spacing w:after="0"/>
              <w:rPr>
                <w:sz w:val="11"/>
                <w:szCs w:val="11"/>
                <w:color w:val="auto"/>
              </w:rPr>
            </w:pPr>
          </w:p>
        </w:tc>
        <w:tc>
          <w:tcPr>
            <w:tcW w:w="320" w:type="dxa"/>
            <w:vAlign w:val="bottom"/>
            <w:tcBorders>
              <w:bottom w:val="single" w:sz="8" w:color="CCECFF"/>
            </w:tcBorders>
          </w:tcPr>
          <w:p>
            <w:pPr>
              <w:spacing w:after="0"/>
              <w:rPr>
                <w:sz w:val="11"/>
                <w:szCs w:val="11"/>
                <w:color w:val="auto"/>
              </w:rPr>
            </w:pPr>
          </w:p>
        </w:tc>
        <w:tc>
          <w:tcPr>
            <w:tcW w:w="120" w:type="dxa"/>
            <w:vAlign w:val="bottom"/>
            <w:tcBorders>
              <w:bottom w:val="single" w:sz="8" w:color="CCECFF"/>
            </w:tcBorders>
          </w:tcPr>
          <w:p>
            <w:pPr>
              <w:spacing w:after="0"/>
              <w:rPr>
                <w:sz w:val="11"/>
                <w:szCs w:val="11"/>
                <w:color w:val="auto"/>
              </w:rPr>
            </w:pPr>
          </w:p>
        </w:tc>
        <w:tc>
          <w:tcPr>
            <w:tcW w:w="100" w:type="dxa"/>
            <w:vAlign w:val="bottom"/>
            <w:tcBorders>
              <w:bottom w:val="single" w:sz="8" w:color="CCECFF"/>
            </w:tcBorders>
          </w:tcPr>
          <w:p>
            <w:pPr>
              <w:spacing w:after="0"/>
              <w:rPr>
                <w:sz w:val="11"/>
                <w:szCs w:val="11"/>
                <w:color w:val="auto"/>
              </w:rPr>
            </w:pPr>
          </w:p>
        </w:tc>
        <w:tc>
          <w:tcPr>
            <w:tcW w:w="580" w:type="dxa"/>
            <w:vAlign w:val="bottom"/>
            <w:tcBorders>
              <w:bottom w:val="single" w:sz="8" w:color="CCECFF"/>
            </w:tcBorders>
          </w:tcPr>
          <w:p>
            <w:pPr>
              <w:spacing w:after="0"/>
              <w:rPr>
                <w:sz w:val="11"/>
                <w:szCs w:val="11"/>
                <w:color w:val="auto"/>
              </w:rPr>
            </w:pPr>
          </w:p>
        </w:tc>
        <w:tc>
          <w:tcPr>
            <w:tcW w:w="240" w:type="dxa"/>
            <w:vAlign w:val="bottom"/>
            <w:tcBorders>
              <w:bottom w:val="single" w:sz="8" w:color="CCEC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220" w:type="dxa"/>
            <w:vAlign w:val="bottom"/>
            <w:tcBorders>
              <w:bottom w:val="single" w:sz="8" w:color="CCEC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120" w:type="dxa"/>
            <w:vAlign w:val="bottom"/>
            <w:tcBorders>
              <w:bottom w:val="single" w:sz="8" w:color="CCECFF"/>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060" w:type="dxa"/>
            <w:vAlign w:val="bottom"/>
            <w:gridSpan w:val="2"/>
            <w:shd w:val="clear" w:color="auto" w:fill="CCECFF"/>
          </w:tcPr>
          <w:p>
            <w:pPr>
              <w:spacing w:after="0"/>
              <w:rPr>
                <w:sz w:val="20"/>
                <w:szCs w:val="20"/>
                <w:color w:val="auto"/>
              </w:rPr>
            </w:pPr>
            <w:r>
              <w:rPr>
                <w:rFonts w:ascii="Arial" w:cs="Arial" w:eastAsia="Arial" w:hAnsi="Arial"/>
                <w:sz w:val="11"/>
                <w:szCs w:val="11"/>
                <w:b w:val="1"/>
                <w:bCs w:val="1"/>
                <w:color w:val="auto"/>
              </w:rPr>
              <w:t>Total Second Lien Secured Debt</w:t>
            </w:r>
          </w:p>
        </w:tc>
        <w:tc>
          <w:tcPr>
            <w:tcW w:w="120" w:type="dxa"/>
            <w:vAlign w:val="bottom"/>
            <w:shd w:val="clear" w:color="auto" w:fill="CCECFF"/>
          </w:tcPr>
          <w:p>
            <w:pPr>
              <w:spacing w:after="0"/>
              <w:rPr>
                <w:sz w:val="11"/>
                <w:szCs w:val="11"/>
                <w:color w:val="auto"/>
              </w:rPr>
            </w:pPr>
          </w:p>
        </w:tc>
        <w:tc>
          <w:tcPr>
            <w:tcW w:w="52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262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600" w:type="dxa"/>
            <w:vAlign w:val="bottom"/>
            <w:shd w:val="clear" w:color="auto" w:fill="CCECFF"/>
          </w:tcPr>
          <w:p>
            <w:pPr>
              <w:spacing w:after="0"/>
              <w:rPr>
                <w:sz w:val="11"/>
                <w:szCs w:val="11"/>
                <w:color w:val="auto"/>
              </w:rPr>
            </w:pPr>
          </w:p>
        </w:tc>
        <w:tc>
          <w:tcPr>
            <w:tcW w:w="260" w:type="dxa"/>
            <w:vAlign w:val="bottom"/>
            <w:shd w:val="clear" w:color="auto" w:fill="CCECFF"/>
          </w:tcPr>
          <w:p>
            <w:pPr>
              <w:spacing w:after="0"/>
              <w:rPr>
                <w:sz w:val="11"/>
                <w:szCs w:val="11"/>
                <w:color w:val="auto"/>
              </w:rPr>
            </w:pPr>
          </w:p>
        </w:tc>
        <w:tc>
          <w:tcPr>
            <w:tcW w:w="560" w:type="dxa"/>
            <w:vAlign w:val="bottom"/>
            <w:shd w:val="clear" w:color="auto" w:fill="CCECFF"/>
          </w:tcPr>
          <w:p>
            <w:pPr>
              <w:spacing w:after="0"/>
              <w:rPr>
                <w:sz w:val="11"/>
                <w:szCs w:val="11"/>
                <w:color w:val="auto"/>
              </w:rPr>
            </w:pPr>
          </w:p>
        </w:tc>
        <w:tc>
          <w:tcPr>
            <w:tcW w:w="3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8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80" w:type="dxa"/>
            <w:vAlign w:val="bottom"/>
            <w:tcBorders>
              <w:bottom w:val="single" w:sz="8" w:color="auto"/>
            </w:tcBorders>
            <w:shd w:val="clear" w:color="auto" w:fill="CCECFF"/>
          </w:tcPr>
          <w:p>
            <w:pPr>
              <w:spacing w:after="0"/>
              <w:rPr>
                <w:sz w:val="11"/>
                <w:szCs w:val="11"/>
                <w:color w:val="auto"/>
              </w:rPr>
            </w:pPr>
          </w:p>
        </w:tc>
        <w:tc>
          <w:tcPr>
            <w:tcW w:w="6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8,887,946</w:t>
            </w:r>
          </w:p>
        </w:tc>
        <w:tc>
          <w:tcPr>
            <w:tcW w:w="220" w:type="dxa"/>
            <w:vAlign w:val="bottom"/>
            <w:shd w:val="clear" w:color="auto" w:fill="CCECFF"/>
          </w:tcPr>
          <w:p>
            <w:pPr>
              <w:spacing w:after="0"/>
              <w:rPr>
                <w:sz w:val="11"/>
                <w:szCs w:val="11"/>
                <w:color w:val="auto"/>
              </w:rPr>
            </w:pPr>
          </w:p>
        </w:tc>
        <w:tc>
          <w:tcPr>
            <w:tcW w:w="100" w:type="dxa"/>
            <w:vAlign w:val="bottom"/>
            <w:tcBorders>
              <w:bottom w:val="single" w:sz="8" w:color="auto"/>
            </w:tcBorders>
            <w:shd w:val="clear" w:color="auto" w:fill="CCECFF"/>
          </w:tcPr>
          <w:p>
            <w:pPr>
              <w:spacing w:after="0"/>
              <w:rPr>
                <w:sz w:val="11"/>
                <w:szCs w:val="11"/>
                <w:color w:val="auto"/>
              </w:rPr>
            </w:pPr>
          </w:p>
        </w:tc>
        <w:tc>
          <w:tcPr>
            <w:tcW w:w="6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8,848,058</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060" w:type="dxa"/>
            <w:vAlign w:val="bottom"/>
            <w:gridSpan w:val="2"/>
          </w:tcPr>
          <w:p>
            <w:pPr>
              <w:spacing w:after="0"/>
              <w:rPr>
                <w:sz w:val="20"/>
                <w:szCs w:val="20"/>
                <w:color w:val="auto"/>
              </w:rPr>
            </w:pPr>
            <w:r>
              <w:rPr>
                <w:rFonts w:ascii="Arial" w:cs="Arial" w:eastAsia="Arial" w:hAnsi="Arial"/>
                <w:sz w:val="11"/>
                <w:szCs w:val="11"/>
                <w:b w:val="1"/>
                <w:bCs w:val="1"/>
                <w:color w:val="auto"/>
              </w:rPr>
              <w:t>Equity Securities</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gridSpan w:val="2"/>
            <w:shd w:val="clear" w:color="auto" w:fill="CCECFF"/>
          </w:tcPr>
          <w:p>
            <w:pPr>
              <w:spacing w:after="0"/>
              <w:rPr>
                <w:sz w:val="20"/>
                <w:szCs w:val="20"/>
                <w:color w:val="auto"/>
              </w:rPr>
            </w:pPr>
            <w:r>
              <w:rPr>
                <w:rFonts w:ascii="Arial" w:cs="Arial" w:eastAsia="Arial" w:hAnsi="Arial"/>
                <w:sz w:val="11"/>
                <w:szCs w:val="11"/>
                <w:color w:val="auto"/>
              </w:rPr>
              <w:t>Country Fresh Holding Company Inc.</w:t>
            </w:r>
          </w:p>
        </w:tc>
        <w:tc>
          <w:tcPr>
            <w:tcW w:w="120" w:type="dxa"/>
            <w:vAlign w:val="bottom"/>
            <w:shd w:val="clear" w:color="auto" w:fill="CCECFF"/>
          </w:tcPr>
          <w:p>
            <w:pPr>
              <w:spacing w:after="0"/>
              <w:rPr>
                <w:sz w:val="11"/>
                <w:szCs w:val="11"/>
                <w:color w:val="auto"/>
              </w:rPr>
            </w:pPr>
          </w:p>
        </w:tc>
        <w:tc>
          <w:tcPr>
            <w:tcW w:w="760" w:type="dxa"/>
            <w:vAlign w:val="bottom"/>
            <w:gridSpan w:val="2"/>
            <w:shd w:val="clear" w:color="auto" w:fill="CCECFF"/>
          </w:tcPr>
          <w:p>
            <w:pPr>
              <w:ind w:left="260"/>
              <w:spacing w:after="0"/>
              <w:rPr>
                <w:sz w:val="20"/>
                <w:szCs w:val="20"/>
                <w:color w:val="auto"/>
              </w:rPr>
            </w:pPr>
            <w:r>
              <w:rPr>
                <w:rFonts w:ascii="Arial" w:cs="Arial" w:eastAsia="Arial" w:hAnsi="Arial"/>
                <w:sz w:val="11"/>
                <w:szCs w:val="11"/>
                <w:color w:val="auto"/>
              </w:rPr>
              <w:t>—</w:t>
            </w: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6"/>
              </w:rPr>
              <w:t>Beverage, Food and Tobacco</w:t>
            </w:r>
          </w:p>
        </w:tc>
        <w:tc>
          <w:tcPr>
            <w:tcW w:w="600" w:type="dxa"/>
            <w:vAlign w:val="bottom"/>
            <w:shd w:val="clear" w:color="auto" w:fill="CCECFF"/>
          </w:tcPr>
          <w:p>
            <w:pPr>
              <w:spacing w:after="0"/>
              <w:rPr>
                <w:sz w:val="11"/>
                <w:szCs w:val="11"/>
                <w:color w:val="auto"/>
              </w:rPr>
            </w:pPr>
          </w:p>
        </w:tc>
        <w:tc>
          <w:tcPr>
            <w:tcW w:w="260" w:type="dxa"/>
            <w:vAlign w:val="bottom"/>
            <w:shd w:val="clear" w:color="auto" w:fill="CCECFF"/>
          </w:tcPr>
          <w:p>
            <w:pPr>
              <w:spacing w:after="0"/>
              <w:rPr>
                <w:sz w:val="11"/>
                <w:szCs w:val="11"/>
                <w:color w:val="auto"/>
              </w:rPr>
            </w:pPr>
          </w:p>
        </w:tc>
        <w:tc>
          <w:tcPr>
            <w:tcW w:w="560" w:type="dxa"/>
            <w:vAlign w:val="bottom"/>
            <w:shd w:val="clear" w:color="auto" w:fill="CCECFF"/>
          </w:tcPr>
          <w:p>
            <w:pPr>
              <w:spacing w:after="0"/>
              <w:rPr>
                <w:sz w:val="11"/>
                <w:szCs w:val="11"/>
                <w:color w:val="auto"/>
              </w:rPr>
            </w:pPr>
          </w:p>
        </w:tc>
        <w:tc>
          <w:tcPr>
            <w:tcW w:w="3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1,317</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1,713,106</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715,328</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gridSpan w:val="2"/>
          </w:tcPr>
          <w:p>
            <w:pPr>
              <w:spacing w:after="0"/>
              <w:rPr>
                <w:sz w:val="20"/>
                <w:szCs w:val="20"/>
                <w:color w:val="auto"/>
              </w:rPr>
            </w:pPr>
            <w:r>
              <w:rPr>
                <w:rFonts w:ascii="Arial" w:cs="Arial" w:eastAsia="Arial" w:hAnsi="Arial"/>
                <w:sz w:val="11"/>
                <w:szCs w:val="11"/>
                <w:color w:val="auto"/>
              </w:rPr>
              <w:t>DBI Holding, LLC, Series A-1</w:t>
            </w:r>
          </w:p>
        </w:tc>
        <w:tc>
          <w:tcPr>
            <w:tcW w:w="120" w:type="dxa"/>
            <w:vAlign w:val="bottom"/>
          </w:tcPr>
          <w:p>
            <w:pPr>
              <w:spacing w:after="0"/>
              <w:rPr>
                <w:sz w:val="11"/>
                <w:szCs w:val="11"/>
                <w:color w:val="auto"/>
              </w:rPr>
            </w:pPr>
          </w:p>
        </w:tc>
        <w:tc>
          <w:tcPr>
            <w:tcW w:w="760" w:type="dxa"/>
            <w:vAlign w:val="bottom"/>
            <w:gridSpan w:val="2"/>
          </w:tcPr>
          <w:p>
            <w:pPr>
              <w:ind w:left="260"/>
              <w:spacing w:after="0"/>
              <w:rPr>
                <w:sz w:val="20"/>
                <w:szCs w:val="20"/>
                <w:color w:val="auto"/>
              </w:rPr>
            </w:pPr>
            <w:r>
              <w:rPr>
                <w:rFonts w:ascii="Arial" w:cs="Arial" w:eastAsia="Arial" w:hAnsi="Arial"/>
                <w:sz w:val="11"/>
                <w:szCs w:val="11"/>
                <w:color w:val="auto"/>
              </w:rPr>
              <w:t>—</w:t>
            </w:r>
          </w:p>
        </w:tc>
        <w:tc>
          <w:tcPr>
            <w:tcW w:w="2760" w:type="dxa"/>
            <w:vAlign w:val="bottom"/>
            <w:gridSpan w:val="2"/>
          </w:tcPr>
          <w:p>
            <w:pPr>
              <w:jc w:val="center"/>
              <w:ind w:right="140"/>
              <w:spacing w:after="0"/>
              <w:rPr>
                <w:sz w:val="20"/>
                <w:szCs w:val="20"/>
                <w:color w:val="auto"/>
              </w:rPr>
            </w:pPr>
            <w:r>
              <w:rPr>
                <w:rFonts w:ascii="Arial" w:cs="Arial" w:eastAsia="Arial" w:hAnsi="Arial"/>
                <w:sz w:val="11"/>
                <w:szCs w:val="11"/>
                <w:color w:val="auto"/>
                <w:w w:val="86"/>
              </w:rPr>
              <w:t>Business Services</w:t>
            </w:r>
          </w:p>
        </w:tc>
        <w:tc>
          <w:tcPr>
            <w:tcW w:w="86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560" w:type="dxa"/>
            <w:vAlign w:val="bottom"/>
          </w:tcPr>
          <w:p>
            <w:pPr>
              <w:spacing w:after="0"/>
              <w:rPr>
                <w:sz w:val="11"/>
                <w:szCs w:val="11"/>
                <w:color w:val="auto"/>
              </w:rPr>
            </w:pPr>
          </w:p>
        </w:tc>
        <w:tc>
          <w:tcPr>
            <w:tcW w:w="540" w:type="dxa"/>
            <w:vAlign w:val="bottom"/>
            <w:gridSpan w:val="3"/>
          </w:tcPr>
          <w:p>
            <w:pPr>
              <w:jc w:val="right"/>
              <w:ind w:right="220"/>
              <w:spacing w:after="0"/>
              <w:rPr>
                <w:sz w:val="20"/>
                <w:szCs w:val="20"/>
                <w:color w:val="auto"/>
              </w:rPr>
            </w:pPr>
            <w:r>
              <w:rPr>
                <w:rFonts w:ascii="Arial" w:cs="Arial" w:eastAsia="Arial" w:hAnsi="Arial"/>
                <w:sz w:val="11"/>
                <w:szCs w:val="11"/>
                <w:color w:val="auto"/>
              </w:rPr>
              <w:t>—</w:t>
            </w:r>
          </w:p>
        </w:tc>
        <w:tc>
          <w:tcPr>
            <w:tcW w:w="580" w:type="dxa"/>
            <w:vAlign w:val="bottom"/>
          </w:tcPr>
          <w:p>
            <w:pPr>
              <w:jc w:val="right"/>
              <w:spacing w:after="0"/>
              <w:rPr>
                <w:sz w:val="20"/>
                <w:szCs w:val="20"/>
                <w:color w:val="auto"/>
              </w:rPr>
            </w:pPr>
            <w:r>
              <w:rPr>
                <w:rFonts w:ascii="Arial" w:cs="Arial" w:eastAsia="Arial" w:hAnsi="Arial"/>
                <w:sz w:val="11"/>
                <w:szCs w:val="11"/>
                <w:color w:val="auto"/>
              </w:rPr>
              <w:t>5,034</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5,034,310</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4,181,067</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gridSpan w:val="2"/>
            <w:shd w:val="clear" w:color="auto" w:fill="CCECFF"/>
          </w:tcPr>
          <w:p>
            <w:pPr>
              <w:spacing w:after="0"/>
              <w:rPr>
                <w:sz w:val="20"/>
                <w:szCs w:val="20"/>
                <w:color w:val="auto"/>
              </w:rPr>
            </w:pPr>
            <w:r>
              <w:rPr>
                <w:rFonts w:ascii="Arial" w:cs="Arial" w:eastAsia="Arial" w:hAnsi="Arial"/>
                <w:sz w:val="11"/>
                <w:szCs w:val="11"/>
                <w:color w:val="auto"/>
              </w:rPr>
              <w:t>DBI Holding, LLC, Series B</w:t>
            </w:r>
          </w:p>
        </w:tc>
        <w:tc>
          <w:tcPr>
            <w:tcW w:w="120" w:type="dxa"/>
            <w:vAlign w:val="bottom"/>
            <w:shd w:val="clear" w:color="auto" w:fill="CCECFF"/>
          </w:tcPr>
          <w:p>
            <w:pPr>
              <w:spacing w:after="0"/>
              <w:rPr>
                <w:sz w:val="11"/>
                <w:szCs w:val="11"/>
                <w:color w:val="auto"/>
              </w:rPr>
            </w:pPr>
          </w:p>
        </w:tc>
        <w:tc>
          <w:tcPr>
            <w:tcW w:w="760" w:type="dxa"/>
            <w:vAlign w:val="bottom"/>
            <w:gridSpan w:val="2"/>
            <w:shd w:val="clear" w:color="auto" w:fill="CCECFF"/>
          </w:tcPr>
          <w:p>
            <w:pPr>
              <w:ind w:left="260"/>
              <w:spacing w:after="0"/>
              <w:rPr>
                <w:sz w:val="20"/>
                <w:szCs w:val="20"/>
                <w:color w:val="auto"/>
              </w:rPr>
            </w:pPr>
            <w:r>
              <w:rPr>
                <w:rFonts w:ascii="Arial" w:cs="Arial" w:eastAsia="Arial" w:hAnsi="Arial"/>
                <w:sz w:val="11"/>
                <w:szCs w:val="11"/>
                <w:color w:val="auto"/>
              </w:rPr>
              <w:t>—</w:t>
            </w: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6"/>
              </w:rPr>
              <w:t>Business Services</w:t>
            </w:r>
          </w:p>
        </w:tc>
        <w:tc>
          <w:tcPr>
            <w:tcW w:w="86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560" w:type="dxa"/>
            <w:vAlign w:val="bottom"/>
            <w:shd w:val="clear" w:color="auto" w:fill="CCECFF"/>
          </w:tcPr>
          <w:p>
            <w:pPr>
              <w:spacing w:after="0"/>
              <w:rPr>
                <w:sz w:val="11"/>
                <w:szCs w:val="11"/>
                <w:color w:val="auto"/>
              </w:rPr>
            </w:pPr>
          </w:p>
        </w:tc>
        <w:tc>
          <w:tcPr>
            <w:tcW w:w="540" w:type="dxa"/>
            <w:vAlign w:val="bottom"/>
            <w:gridSpan w:val="3"/>
            <w:shd w:val="clear" w:color="auto" w:fill="CCECFF"/>
          </w:tcPr>
          <w:p>
            <w:pPr>
              <w:jc w:val="right"/>
              <w:ind w:right="220"/>
              <w:spacing w:after="0"/>
              <w:rPr>
                <w:sz w:val="20"/>
                <w:szCs w:val="20"/>
                <w:color w:val="auto"/>
              </w:rPr>
            </w:pPr>
            <w:r>
              <w:rPr>
                <w:rFonts w:ascii="Arial" w:cs="Arial" w:eastAsia="Arial" w:hAnsi="Arial"/>
                <w:sz w:val="11"/>
                <w:szCs w:val="11"/>
                <w:color w:val="auto"/>
              </w:rPr>
              <w:t>—</w:t>
            </w: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1,065,021</w:t>
            </w:r>
          </w:p>
        </w:tc>
        <w:tc>
          <w:tcPr>
            <w:tcW w:w="240" w:type="dxa"/>
            <w:vAlign w:val="bottom"/>
            <w:shd w:val="clear" w:color="auto" w:fill="CCECFF"/>
          </w:tcPr>
          <w:p>
            <w:pPr>
              <w:spacing w:after="0"/>
              <w:rPr>
                <w:sz w:val="11"/>
                <w:szCs w:val="11"/>
                <w:color w:val="auto"/>
              </w:rPr>
            </w:pPr>
          </w:p>
        </w:tc>
        <w:tc>
          <w:tcPr>
            <w:tcW w:w="80" w:type="dxa"/>
            <w:vAlign w:val="bottom"/>
            <w:tcBorders>
              <w:bottom w:val="single" w:sz="8" w:color="auto"/>
            </w:tcBorders>
            <w:shd w:val="clear" w:color="auto" w:fill="CCECFF"/>
          </w:tcPr>
          <w:p>
            <w:pPr>
              <w:spacing w:after="0"/>
              <w:rPr>
                <w:sz w:val="11"/>
                <w:szCs w:val="11"/>
                <w:color w:val="auto"/>
              </w:rPr>
            </w:pPr>
          </w:p>
        </w:tc>
        <w:tc>
          <w:tcPr>
            <w:tcW w:w="6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236,521</w:t>
            </w:r>
          </w:p>
        </w:tc>
        <w:tc>
          <w:tcPr>
            <w:tcW w:w="220" w:type="dxa"/>
            <w:vAlign w:val="bottom"/>
            <w:shd w:val="clear" w:color="auto" w:fill="CCECFF"/>
          </w:tcPr>
          <w:p>
            <w:pPr>
              <w:spacing w:after="0"/>
              <w:rPr>
                <w:sz w:val="11"/>
                <w:szCs w:val="11"/>
                <w:color w:val="auto"/>
              </w:rPr>
            </w:pPr>
          </w:p>
        </w:tc>
        <w:tc>
          <w:tcPr>
            <w:tcW w:w="100" w:type="dxa"/>
            <w:vAlign w:val="bottom"/>
            <w:tcBorders>
              <w:bottom w:val="single" w:sz="8" w:color="auto"/>
            </w:tcBorders>
            <w:shd w:val="clear" w:color="auto" w:fill="CCECFF"/>
          </w:tcPr>
          <w:p>
            <w:pPr>
              <w:spacing w:after="0"/>
              <w:rPr>
                <w:sz w:val="11"/>
                <w:szCs w:val="11"/>
                <w:color w:val="auto"/>
              </w:rPr>
            </w:pPr>
          </w:p>
        </w:tc>
        <w:tc>
          <w:tcPr>
            <w:tcW w:w="6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3060" w:type="dxa"/>
            <w:vAlign w:val="bottom"/>
            <w:tcBorders>
              <w:bottom w:val="single" w:sz="8" w:color="CCECFF"/>
            </w:tcBorders>
            <w:gridSpan w:val="2"/>
          </w:tcPr>
          <w:p>
            <w:pPr>
              <w:spacing w:after="0"/>
              <w:rPr>
                <w:sz w:val="20"/>
                <w:szCs w:val="20"/>
                <w:color w:val="auto"/>
              </w:rPr>
            </w:pPr>
            <w:r>
              <w:rPr>
                <w:rFonts w:ascii="Arial" w:cs="Arial" w:eastAsia="Arial" w:hAnsi="Arial"/>
                <w:sz w:val="11"/>
                <w:szCs w:val="11"/>
                <w:b w:val="1"/>
                <w:bCs w:val="1"/>
                <w:color w:val="auto"/>
              </w:rPr>
              <w:t>Total Equity Securities</w:t>
            </w:r>
          </w:p>
        </w:tc>
        <w:tc>
          <w:tcPr>
            <w:tcW w:w="120" w:type="dxa"/>
            <w:vAlign w:val="bottom"/>
            <w:tcBorders>
              <w:bottom w:val="single" w:sz="8" w:color="CCECFF"/>
            </w:tcBorders>
          </w:tcPr>
          <w:p>
            <w:pPr>
              <w:spacing w:after="0"/>
              <w:rPr>
                <w:sz w:val="11"/>
                <w:szCs w:val="11"/>
                <w:color w:val="auto"/>
              </w:rPr>
            </w:pPr>
          </w:p>
        </w:tc>
        <w:tc>
          <w:tcPr>
            <w:tcW w:w="520" w:type="dxa"/>
            <w:vAlign w:val="bottom"/>
            <w:tcBorders>
              <w:bottom w:val="single" w:sz="8" w:color="CCECFF"/>
            </w:tcBorders>
          </w:tcPr>
          <w:p>
            <w:pPr>
              <w:spacing w:after="0"/>
              <w:rPr>
                <w:sz w:val="11"/>
                <w:szCs w:val="11"/>
                <w:color w:val="auto"/>
              </w:rPr>
            </w:pPr>
          </w:p>
        </w:tc>
        <w:tc>
          <w:tcPr>
            <w:tcW w:w="240" w:type="dxa"/>
            <w:vAlign w:val="bottom"/>
            <w:tcBorders>
              <w:bottom w:val="single" w:sz="8" w:color="CCECFF"/>
            </w:tcBorders>
          </w:tcPr>
          <w:p>
            <w:pPr>
              <w:spacing w:after="0"/>
              <w:rPr>
                <w:sz w:val="11"/>
                <w:szCs w:val="11"/>
                <w:color w:val="auto"/>
              </w:rPr>
            </w:pPr>
          </w:p>
        </w:tc>
        <w:tc>
          <w:tcPr>
            <w:tcW w:w="2620" w:type="dxa"/>
            <w:vAlign w:val="bottom"/>
            <w:tcBorders>
              <w:bottom w:val="single" w:sz="8" w:color="CCECFF"/>
            </w:tcBorders>
          </w:tcPr>
          <w:p>
            <w:pPr>
              <w:spacing w:after="0"/>
              <w:rPr>
                <w:sz w:val="11"/>
                <w:szCs w:val="11"/>
                <w:color w:val="auto"/>
              </w:rPr>
            </w:pPr>
          </w:p>
        </w:tc>
        <w:tc>
          <w:tcPr>
            <w:tcW w:w="140" w:type="dxa"/>
            <w:vAlign w:val="bottom"/>
            <w:tcBorders>
              <w:bottom w:val="single" w:sz="8" w:color="CCECFF"/>
            </w:tcBorders>
          </w:tcPr>
          <w:p>
            <w:pPr>
              <w:spacing w:after="0"/>
              <w:rPr>
                <w:sz w:val="11"/>
                <w:szCs w:val="11"/>
                <w:color w:val="auto"/>
              </w:rPr>
            </w:pPr>
          </w:p>
        </w:tc>
        <w:tc>
          <w:tcPr>
            <w:tcW w:w="600" w:type="dxa"/>
            <w:vAlign w:val="bottom"/>
            <w:tcBorders>
              <w:bottom w:val="single" w:sz="8" w:color="CCECFF"/>
            </w:tcBorders>
          </w:tcPr>
          <w:p>
            <w:pPr>
              <w:spacing w:after="0"/>
              <w:rPr>
                <w:sz w:val="11"/>
                <w:szCs w:val="11"/>
                <w:color w:val="auto"/>
              </w:rPr>
            </w:pPr>
          </w:p>
        </w:tc>
        <w:tc>
          <w:tcPr>
            <w:tcW w:w="260" w:type="dxa"/>
            <w:vAlign w:val="bottom"/>
            <w:tcBorders>
              <w:bottom w:val="single" w:sz="8" w:color="CCECFF"/>
            </w:tcBorders>
          </w:tcPr>
          <w:p>
            <w:pPr>
              <w:spacing w:after="0"/>
              <w:rPr>
                <w:sz w:val="11"/>
                <w:szCs w:val="11"/>
                <w:color w:val="auto"/>
              </w:rPr>
            </w:pPr>
          </w:p>
        </w:tc>
        <w:tc>
          <w:tcPr>
            <w:tcW w:w="560" w:type="dxa"/>
            <w:vAlign w:val="bottom"/>
            <w:tcBorders>
              <w:bottom w:val="single" w:sz="8" w:color="CCECFF"/>
            </w:tcBorders>
          </w:tcPr>
          <w:p>
            <w:pPr>
              <w:spacing w:after="0"/>
              <w:rPr>
                <w:sz w:val="11"/>
                <w:szCs w:val="11"/>
                <w:color w:val="auto"/>
              </w:rPr>
            </w:pPr>
          </w:p>
        </w:tc>
        <w:tc>
          <w:tcPr>
            <w:tcW w:w="320" w:type="dxa"/>
            <w:vAlign w:val="bottom"/>
            <w:tcBorders>
              <w:bottom w:val="single" w:sz="8" w:color="CCECFF"/>
            </w:tcBorders>
          </w:tcPr>
          <w:p>
            <w:pPr>
              <w:spacing w:after="0"/>
              <w:rPr>
                <w:sz w:val="11"/>
                <w:szCs w:val="11"/>
                <w:color w:val="auto"/>
              </w:rPr>
            </w:pPr>
          </w:p>
        </w:tc>
        <w:tc>
          <w:tcPr>
            <w:tcW w:w="120" w:type="dxa"/>
            <w:vAlign w:val="bottom"/>
            <w:tcBorders>
              <w:bottom w:val="single" w:sz="8" w:color="CCECFF"/>
            </w:tcBorders>
          </w:tcPr>
          <w:p>
            <w:pPr>
              <w:spacing w:after="0"/>
              <w:rPr>
                <w:sz w:val="11"/>
                <w:szCs w:val="11"/>
                <w:color w:val="auto"/>
              </w:rPr>
            </w:pPr>
          </w:p>
        </w:tc>
        <w:tc>
          <w:tcPr>
            <w:tcW w:w="100" w:type="dxa"/>
            <w:vAlign w:val="bottom"/>
            <w:tcBorders>
              <w:bottom w:val="single" w:sz="8" w:color="CCECFF"/>
            </w:tcBorders>
          </w:tcPr>
          <w:p>
            <w:pPr>
              <w:spacing w:after="0"/>
              <w:rPr>
                <w:sz w:val="11"/>
                <w:szCs w:val="11"/>
                <w:color w:val="auto"/>
              </w:rPr>
            </w:pPr>
          </w:p>
        </w:tc>
        <w:tc>
          <w:tcPr>
            <w:tcW w:w="580" w:type="dxa"/>
            <w:vAlign w:val="bottom"/>
            <w:tcBorders>
              <w:bottom w:val="single" w:sz="8" w:color="CCECFF"/>
            </w:tcBorders>
          </w:tcPr>
          <w:p>
            <w:pPr>
              <w:spacing w:after="0"/>
              <w:rPr>
                <w:sz w:val="11"/>
                <w:szCs w:val="11"/>
                <w:color w:val="auto"/>
              </w:rPr>
            </w:pPr>
          </w:p>
        </w:tc>
        <w:tc>
          <w:tcPr>
            <w:tcW w:w="240" w:type="dxa"/>
            <w:vAlign w:val="bottom"/>
            <w:tcBorders>
              <w:bottom w:val="single" w:sz="8" w:color="CCEC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6,983,937</w:t>
            </w:r>
          </w:p>
        </w:tc>
        <w:tc>
          <w:tcPr>
            <w:tcW w:w="220" w:type="dxa"/>
            <w:vAlign w:val="bottom"/>
            <w:tcBorders>
              <w:bottom w:val="single" w:sz="8" w:color="CCEC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4,896,395</w:t>
            </w:r>
          </w:p>
        </w:tc>
        <w:tc>
          <w:tcPr>
            <w:tcW w:w="120" w:type="dxa"/>
            <w:vAlign w:val="bottom"/>
            <w:tcBorders>
              <w:bottom w:val="single" w:sz="8" w:color="CCECFF"/>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060" w:type="dxa"/>
            <w:vAlign w:val="bottom"/>
            <w:gridSpan w:val="2"/>
            <w:shd w:val="clear" w:color="auto" w:fill="CCECFF"/>
          </w:tcPr>
          <w:p>
            <w:pPr>
              <w:spacing w:after="0"/>
              <w:rPr>
                <w:sz w:val="20"/>
                <w:szCs w:val="20"/>
                <w:color w:val="auto"/>
              </w:rPr>
            </w:pPr>
            <w:r>
              <w:rPr>
                <w:rFonts w:ascii="Arial" w:cs="Arial" w:eastAsia="Arial" w:hAnsi="Arial"/>
                <w:sz w:val="11"/>
                <w:szCs w:val="11"/>
                <w:b w:val="1"/>
                <w:bCs w:val="1"/>
                <w:color w:val="auto"/>
              </w:rPr>
              <w:t>Cash and Cash Equivalents</w:t>
            </w:r>
          </w:p>
        </w:tc>
        <w:tc>
          <w:tcPr>
            <w:tcW w:w="120" w:type="dxa"/>
            <w:vAlign w:val="bottom"/>
            <w:shd w:val="clear" w:color="auto" w:fill="CCECFF"/>
          </w:tcPr>
          <w:p>
            <w:pPr>
              <w:spacing w:after="0"/>
              <w:rPr>
                <w:sz w:val="11"/>
                <w:szCs w:val="11"/>
                <w:color w:val="auto"/>
              </w:rPr>
            </w:pPr>
          </w:p>
        </w:tc>
        <w:tc>
          <w:tcPr>
            <w:tcW w:w="52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262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600" w:type="dxa"/>
            <w:vAlign w:val="bottom"/>
            <w:shd w:val="clear" w:color="auto" w:fill="CCECFF"/>
          </w:tcPr>
          <w:p>
            <w:pPr>
              <w:spacing w:after="0"/>
              <w:rPr>
                <w:sz w:val="11"/>
                <w:szCs w:val="11"/>
                <w:color w:val="auto"/>
              </w:rPr>
            </w:pPr>
          </w:p>
        </w:tc>
        <w:tc>
          <w:tcPr>
            <w:tcW w:w="260" w:type="dxa"/>
            <w:vAlign w:val="bottom"/>
            <w:shd w:val="clear" w:color="auto" w:fill="CCECFF"/>
          </w:tcPr>
          <w:p>
            <w:pPr>
              <w:spacing w:after="0"/>
              <w:rPr>
                <w:sz w:val="11"/>
                <w:szCs w:val="11"/>
                <w:color w:val="auto"/>
              </w:rPr>
            </w:pPr>
          </w:p>
        </w:tc>
        <w:tc>
          <w:tcPr>
            <w:tcW w:w="560" w:type="dxa"/>
            <w:vAlign w:val="bottom"/>
            <w:shd w:val="clear" w:color="auto" w:fill="CCECFF"/>
          </w:tcPr>
          <w:p>
            <w:pPr>
              <w:spacing w:after="0"/>
              <w:rPr>
                <w:sz w:val="11"/>
                <w:szCs w:val="11"/>
                <w:color w:val="auto"/>
              </w:rPr>
            </w:pPr>
          </w:p>
        </w:tc>
        <w:tc>
          <w:tcPr>
            <w:tcW w:w="3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8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gridSpan w:val="2"/>
          </w:tcPr>
          <w:p>
            <w:pPr>
              <w:spacing w:after="0"/>
              <w:rPr>
                <w:sz w:val="20"/>
                <w:szCs w:val="20"/>
                <w:color w:val="auto"/>
              </w:rPr>
            </w:pPr>
            <w:r>
              <w:rPr>
                <w:rFonts w:ascii="Arial" w:cs="Arial" w:eastAsia="Arial" w:hAnsi="Arial"/>
                <w:sz w:val="11"/>
                <w:szCs w:val="11"/>
                <w:color w:val="auto"/>
              </w:rPr>
              <w:t>BlackRock Federal FD Institutional 30</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8,874,900</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8,874,900</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gridSpan w:val="2"/>
            <w:shd w:val="clear" w:color="auto" w:fill="CCECFF"/>
          </w:tcPr>
          <w:p>
            <w:pPr>
              <w:spacing w:after="0"/>
              <w:rPr>
                <w:sz w:val="20"/>
                <w:szCs w:val="20"/>
                <w:color w:val="auto"/>
              </w:rPr>
            </w:pPr>
            <w:r>
              <w:rPr>
                <w:rFonts w:ascii="Arial" w:cs="Arial" w:eastAsia="Arial" w:hAnsi="Arial"/>
                <w:sz w:val="11"/>
                <w:szCs w:val="11"/>
                <w:color w:val="auto"/>
              </w:rPr>
              <w:t>US Bank Cash</w:t>
            </w:r>
          </w:p>
        </w:tc>
        <w:tc>
          <w:tcPr>
            <w:tcW w:w="120" w:type="dxa"/>
            <w:vAlign w:val="bottom"/>
            <w:shd w:val="clear" w:color="auto" w:fill="CCECFF"/>
          </w:tcPr>
          <w:p>
            <w:pPr>
              <w:spacing w:after="0"/>
              <w:rPr>
                <w:sz w:val="11"/>
                <w:szCs w:val="11"/>
                <w:color w:val="auto"/>
              </w:rPr>
            </w:pPr>
          </w:p>
        </w:tc>
        <w:tc>
          <w:tcPr>
            <w:tcW w:w="52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262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600" w:type="dxa"/>
            <w:vAlign w:val="bottom"/>
            <w:shd w:val="clear" w:color="auto" w:fill="CCECFF"/>
          </w:tcPr>
          <w:p>
            <w:pPr>
              <w:spacing w:after="0"/>
              <w:rPr>
                <w:sz w:val="11"/>
                <w:szCs w:val="11"/>
                <w:color w:val="auto"/>
              </w:rPr>
            </w:pPr>
          </w:p>
        </w:tc>
        <w:tc>
          <w:tcPr>
            <w:tcW w:w="260" w:type="dxa"/>
            <w:vAlign w:val="bottom"/>
            <w:shd w:val="clear" w:color="auto" w:fill="CCECFF"/>
          </w:tcPr>
          <w:p>
            <w:pPr>
              <w:spacing w:after="0"/>
              <w:rPr>
                <w:sz w:val="11"/>
                <w:szCs w:val="11"/>
                <w:color w:val="auto"/>
              </w:rPr>
            </w:pPr>
          </w:p>
        </w:tc>
        <w:tc>
          <w:tcPr>
            <w:tcW w:w="560" w:type="dxa"/>
            <w:vAlign w:val="bottom"/>
            <w:shd w:val="clear" w:color="auto" w:fill="CCECFF"/>
          </w:tcPr>
          <w:p>
            <w:pPr>
              <w:spacing w:after="0"/>
              <w:rPr>
                <w:sz w:val="11"/>
                <w:szCs w:val="11"/>
                <w:color w:val="auto"/>
              </w:rPr>
            </w:pPr>
          </w:p>
        </w:tc>
        <w:tc>
          <w:tcPr>
            <w:tcW w:w="3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8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80" w:type="dxa"/>
            <w:vAlign w:val="bottom"/>
            <w:tcBorders>
              <w:bottom w:val="single" w:sz="8" w:color="auto"/>
            </w:tcBorders>
            <w:shd w:val="clear" w:color="auto" w:fill="CCECFF"/>
          </w:tcPr>
          <w:p>
            <w:pPr>
              <w:spacing w:after="0"/>
              <w:rPr>
                <w:sz w:val="11"/>
                <w:szCs w:val="11"/>
                <w:color w:val="auto"/>
              </w:rPr>
            </w:pPr>
          </w:p>
        </w:tc>
        <w:tc>
          <w:tcPr>
            <w:tcW w:w="6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3,113,145</w:t>
            </w:r>
          </w:p>
        </w:tc>
        <w:tc>
          <w:tcPr>
            <w:tcW w:w="220" w:type="dxa"/>
            <w:vAlign w:val="bottom"/>
            <w:shd w:val="clear" w:color="auto" w:fill="CCECFF"/>
          </w:tcPr>
          <w:p>
            <w:pPr>
              <w:spacing w:after="0"/>
              <w:rPr>
                <w:sz w:val="11"/>
                <w:szCs w:val="11"/>
                <w:color w:val="auto"/>
              </w:rPr>
            </w:pPr>
          </w:p>
        </w:tc>
        <w:tc>
          <w:tcPr>
            <w:tcW w:w="100" w:type="dxa"/>
            <w:vAlign w:val="bottom"/>
            <w:tcBorders>
              <w:bottom w:val="single" w:sz="8" w:color="auto"/>
            </w:tcBorders>
            <w:shd w:val="clear" w:color="auto" w:fill="CCECFF"/>
          </w:tcPr>
          <w:p>
            <w:pPr>
              <w:spacing w:after="0"/>
              <w:rPr>
                <w:sz w:val="11"/>
                <w:szCs w:val="11"/>
                <w:color w:val="auto"/>
              </w:rPr>
            </w:pPr>
          </w:p>
        </w:tc>
        <w:tc>
          <w:tcPr>
            <w:tcW w:w="6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3,154,459</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060" w:type="dxa"/>
            <w:vAlign w:val="bottom"/>
            <w:tcBorders>
              <w:bottom w:val="single" w:sz="8" w:color="CCECFF"/>
            </w:tcBorders>
            <w:gridSpan w:val="2"/>
          </w:tcPr>
          <w:p>
            <w:pPr>
              <w:spacing w:after="0"/>
              <w:rPr>
                <w:sz w:val="20"/>
                <w:szCs w:val="20"/>
                <w:color w:val="auto"/>
              </w:rPr>
            </w:pPr>
            <w:r>
              <w:rPr>
                <w:rFonts w:ascii="Arial" w:cs="Arial" w:eastAsia="Arial" w:hAnsi="Arial"/>
                <w:sz w:val="11"/>
                <w:szCs w:val="11"/>
                <w:b w:val="1"/>
                <w:bCs w:val="1"/>
                <w:color w:val="auto"/>
              </w:rPr>
              <w:t>Total Cash and Cash Equivalents</w:t>
            </w:r>
          </w:p>
        </w:tc>
        <w:tc>
          <w:tcPr>
            <w:tcW w:w="120" w:type="dxa"/>
            <w:vAlign w:val="bottom"/>
            <w:tcBorders>
              <w:bottom w:val="single" w:sz="8" w:color="CCECFF"/>
            </w:tcBorders>
          </w:tcPr>
          <w:p>
            <w:pPr>
              <w:spacing w:after="0"/>
              <w:rPr>
                <w:sz w:val="11"/>
                <w:szCs w:val="11"/>
                <w:color w:val="auto"/>
              </w:rPr>
            </w:pPr>
          </w:p>
        </w:tc>
        <w:tc>
          <w:tcPr>
            <w:tcW w:w="520" w:type="dxa"/>
            <w:vAlign w:val="bottom"/>
            <w:tcBorders>
              <w:bottom w:val="single" w:sz="8" w:color="CCECFF"/>
            </w:tcBorders>
          </w:tcPr>
          <w:p>
            <w:pPr>
              <w:spacing w:after="0"/>
              <w:rPr>
                <w:sz w:val="11"/>
                <w:szCs w:val="11"/>
                <w:color w:val="auto"/>
              </w:rPr>
            </w:pPr>
          </w:p>
        </w:tc>
        <w:tc>
          <w:tcPr>
            <w:tcW w:w="240" w:type="dxa"/>
            <w:vAlign w:val="bottom"/>
            <w:tcBorders>
              <w:bottom w:val="single" w:sz="8" w:color="CCECFF"/>
            </w:tcBorders>
          </w:tcPr>
          <w:p>
            <w:pPr>
              <w:spacing w:after="0"/>
              <w:rPr>
                <w:sz w:val="11"/>
                <w:szCs w:val="11"/>
                <w:color w:val="auto"/>
              </w:rPr>
            </w:pPr>
          </w:p>
        </w:tc>
        <w:tc>
          <w:tcPr>
            <w:tcW w:w="2620" w:type="dxa"/>
            <w:vAlign w:val="bottom"/>
            <w:tcBorders>
              <w:bottom w:val="single" w:sz="8" w:color="CCECFF"/>
            </w:tcBorders>
          </w:tcPr>
          <w:p>
            <w:pPr>
              <w:spacing w:after="0"/>
              <w:rPr>
                <w:sz w:val="11"/>
                <w:szCs w:val="11"/>
                <w:color w:val="auto"/>
              </w:rPr>
            </w:pPr>
          </w:p>
        </w:tc>
        <w:tc>
          <w:tcPr>
            <w:tcW w:w="140" w:type="dxa"/>
            <w:vAlign w:val="bottom"/>
            <w:tcBorders>
              <w:bottom w:val="single" w:sz="8" w:color="CCECFF"/>
            </w:tcBorders>
          </w:tcPr>
          <w:p>
            <w:pPr>
              <w:spacing w:after="0"/>
              <w:rPr>
                <w:sz w:val="11"/>
                <w:szCs w:val="11"/>
                <w:color w:val="auto"/>
              </w:rPr>
            </w:pPr>
          </w:p>
        </w:tc>
        <w:tc>
          <w:tcPr>
            <w:tcW w:w="600" w:type="dxa"/>
            <w:vAlign w:val="bottom"/>
            <w:tcBorders>
              <w:bottom w:val="single" w:sz="8" w:color="CCECFF"/>
            </w:tcBorders>
          </w:tcPr>
          <w:p>
            <w:pPr>
              <w:spacing w:after="0"/>
              <w:rPr>
                <w:sz w:val="11"/>
                <w:szCs w:val="11"/>
                <w:color w:val="auto"/>
              </w:rPr>
            </w:pPr>
          </w:p>
        </w:tc>
        <w:tc>
          <w:tcPr>
            <w:tcW w:w="260" w:type="dxa"/>
            <w:vAlign w:val="bottom"/>
            <w:tcBorders>
              <w:bottom w:val="single" w:sz="8" w:color="CCECFF"/>
            </w:tcBorders>
          </w:tcPr>
          <w:p>
            <w:pPr>
              <w:spacing w:after="0"/>
              <w:rPr>
                <w:sz w:val="11"/>
                <w:szCs w:val="11"/>
                <w:color w:val="auto"/>
              </w:rPr>
            </w:pPr>
          </w:p>
        </w:tc>
        <w:tc>
          <w:tcPr>
            <w:tcW w:w="560" w:type="dxa"/>
            <w:vAlign w:val="bottom"/>
            <w:tcBorders>
              <w:bottom w:val="single" w:sz="8" w:color="CCECFF"/>
            </w:tcBorders>
          </w:tcPr>
          <w:p>
            <w:pPr>
              <w:spacing w:after="0"/>
              <w:rPr>
                <w:sz w:val="11"/>
                <w:szCs w:val="11"/>
                <w:color w:val="auto"/>
              </w:rPr>
            </w:pPr>
          </w:p>
        </w:tc>
        <w:tc>
          <w:tcPr>
            <w:tcW w:w="320" w:type="dxa"/>
            <w:vAlign w:val="bottom"/>
            <w:tcBorders>
              <w:bottom w:val="single" w:sz="8" w:color="CCECFF"/>
            </w:tcBorders>
          </w:tcPr>
          <w:p>
            <w:pPr>
              <w:spacing w:after="0"/>
              <w:rPr>
                <w:sz w:val="11"/>
                <w:szCs w:val="11"/>
                <w:color w:val="auto"/>
              </w:rPr>
            </w:pPr>
          </w:p>
        </w:tc>
        <w:tc>
          <w:tcPr>
            <w:tcW w:w="120" w:type="dxa"/>
            <w:vAlign w:val="bottom"/>
            <w:tcBorders>
              <w:bottom w:val="single" w:sz="8" w:color="CCECFF"/>
            </w:tcBorders>
          </w:tcPr>
          <w:p>
            <w:pPr>
              <w:spacing w:after="0"/>
              <w:rPr>
                <w:sz w:val="11"/>
                <w:szCs w:val="11"/>
                <w:color w:val="auto"/>
              </w:rPr>
            </w:pPr>
          </w:p>
        </w:tc>
        <w:tc>
          <w:tcPr>
            <w:tcW w:w="100" w:type="dxa"/>
            <w:vAlign w:val="bottom"/>
            <w:tcBorders>
              <w:bottom w:val="single" w:sz="8" w:color="CCECFF"/>
            </w:tcBorders>
          </w:tcPr>
          <w:p>
            <w:pPr>
              <w:spacing w:after="0"/>
              <w:rPr>
                <w:sz w:val="11"/>
                <w:szCs w:val="11"/>
                <w:color w:val="auto"/>
              </w:rPr>
            </w:pPr>
          </w:p>
        </w:tc>
        <w:tc>
          <w:tcPr>
            <w:tcW w:w="580" w:type="dxa"/>
            <w:vAlign w:val="bottom"/>
            <w:tcBorders>
              <w:bottom w:val="single" w:sz="8" w:color="CCECFF"/>
            </w:tcBorders>
          </w:tcPr>
          <w:p>
            <w:pPr>
              <w:spacing w:after="0"/>
              <w:rPr>
                <w:sz w:val="11"/>
                <w:szCs w:val="11"/>
                <w:color w:val="auto"/>
              </w:rPr>
            </w:pPr>
          </w:p>
        </w:tc>
        <w:tc>
          <w:tcPr>
            <w:tcW w:w="240" w:type="dxa"/>
            <w:vAlign w:val="bottom"/>
            <w:tcBorders>
              <w:bottom w:val="single" w:sz="8" w:color="CCEC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11,988,045</w:t>
            </w:r>
          </w:p>
        </w:tc>
        <w:tc>
          <w:tcPr>
            <w:tcW w:w="220" w:type="dxa"/>
            <w:vAlign w:val="bottom"/>
            <w:tcBorders>
              <w:bottom w:val="single" w:sz="8" w:color="CCEC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12,029,359</w:t>
            </w:r>
          </w:p>
        </w:tc>
        <w:tc>
          <w:tcPr>
            <w:tcW w:w="120" w:type="dxa"/>
            <w:vAlign w:val="bottom"/>
            <w:tcBorders>
              <w:bottom w:val="single" w:sz="8" w:color="CCECFF"/>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3060" w:type="dxa"/>
            <w:vAlign w:val="bottom"/>
            <w:gridSpan w:val="2"/>
            <w:shd w:val="clear" w:color="auto" w:fill="CCECFF"/>
          </w:tcPr>
          <w:p>
            <w:pPr>
              <w:spacing w:after="0"/>
              <w:rPr>
                <w:sz w:val="20"/>
                <w:szCs w:val="20"/>
                <w:color w:val="auto"/>
              </w:rPr>
            </w:pPr>
            <w:r>
              <w:rPr>
                <w:rFonts w:ascii="Arial" w:cs="Arial" w:eastAsia="Arial" w:hAnsi="Arial"/>
                <w:sz w:val="11"/>
                <w:szCs w:val="11"/>
                <w:b w:val="1"/>
                <w:bCs w:val="1"/>
                <w:color w:val="auto"/>
              </w:rPr>
              <w:t>Total Investments and Cash Equivalents</w:t>
            </w:r>
          </w:p>
        </w:tc>
        <w:tc>
          <w:tcPr>
            <w:tcW w:w="120" w:type="dxa"/>
            <w:vAlign w:val="bottom"/>
            <w:shd w:val="clear" w:color="auto" w:fill="CCECFF"/>
          </w:tcPr>
          <w:p>
            <w:pPr>
              <w:spacing w:after="0"/>
              <w:rPr>
                <w:sz w:val="11"/>
                <w:szCs w:val="11"/>
                <w:color w:val="auto"/>
              </w:rPr>
            </w:pPr>
          </w:p>
        </w:tc>
        <w:tc>
          <w:tcPr>
            <w:tcW w:w="52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262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600" w:type="dxa"/>
            <w:vAlign w:val="bottom"/>
            <w:shd w:val="clear" w:color="auto" w:fill="CCECFF"/>
          </w:tcPr>
          <w:p>
            <w:pPr>
              <w:spacing w:after="0"/>
              <w:rPr>
                <w:sz w:val="11"/>
                <w:szCs w:val="11"/>
                <w:color w:val="auto"/>
              </w:rPr>
            </w:pPr>
          </w:p>
        </w:tc>
        <w:tc>
          <w:tcPr>
            <w:tcW w:w="260" w:type="dxa"/>
            <w:vAlign w:val="bottom"/>
            <w:shd w:val="clear" w:color="auto" w:fill="CCECFF"/>
          </w:tcPr>
          <w:p>
            <w:pPr>
              <w:spacing w:after="0"/>
              <w:rPr>
                <w:sz w:val="11"/>
                <w:szCs w:val="11"/>
                <w:color w:val="auto"/>
              </w:rPr>
            </w:pPr>
          </w:p>
        </w:tc>
        <w:tc>
          <w:tcPr>
            <w:tcW w:w="560" w:type="dxa"/>
            <w:vAlign w:val="bottom"/>
            <w:shd w:val="clear" w:color="auto" w:fill="CCECFF"/>
          </w:tcPr>
          <w:p>
            <w:pPr>
              <w:spacing w:after="0"/>
              <w:rPr>
                <w:sz w:val="11"/>
                <w:szCs w:val="11"/>
                <w:color w:val="auto"/>
              </w:rPr>
            </w:pPr>
          </w:p>
        </w:tc>
        <w:tc>
          <w:tcPr>
            <w:tcW w:w="3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80" w:type="dxa"/>
            <w:vAlign w:val="bottom"/>
            <w:shd w:val="clear" w:color="auto" w:fill="CCECFF"/>
          </w:tcPr>
          <w:p>
            <w:pPr>
              <w:spacing w:after="0"/>
              <w:rPr>
                <w:sz w:val="11"/>
                <w:szCs w:val="11"/>
                <w:color w:val="auto"/>
              </w:rPr>
            </w:pPr>
          </w:p>
        </w:tc>
        <w:tc>
          <w:tcPr>
            <w:tcW w:w="320" w:type="dxa"/>
            <w:vAlign w:val="bottom"/>
            <w:gridSpan w:val="2"/>
            <w:shd w:val="clear" w:color="auto" w:fill="CCECFF"/>
          </w:tcPr>
          <w:p>
            <w:pPr>
              <w:jc w:val="right"/>
              <w:ind w:right="40"/>
              <w:spacing w:after="0"/>
              <w:rPr>
                <w:sz w:val="20"/>
                <w:szCs w:val="20"/>
                <w:color w:val="auto"/>
              </w:rPr>
            </w:pPr>
            <w:r>
              <w:rPr>
                <w:rFonts w:ascii="Arial" w:cs="Arial" w:eastAsia="Arial" w:hAnsi="Arial"/>
                <w:sz w:val="11"/>
                <w:szCs w:val="11"/>
                <w:color w:val="auto"/>
              </w:rPr>
              <w:t>$</w:t>
            </w: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w w:val="91"/>
              </w:rPr>
              <w:t>510,032,368</w:t>
            </w:r>
          </w:p>
        </w:tc>
        <w:tc>
          <w:tcPr>
            <w:tcW w:w="3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w w:val="98"/>
              </w:rPr>
              <w:t>505,220,163</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3060" w:type="dxa"/>
            <w:vAlign w:val="bottom"/>
            <w:tcBorders>
              <w:top w:val="single" w:sz="8" w:color="CCECFF"/>
              <w:bottom w:val="single" w:sz="8" w:color="CCECFF"/>
            </w:tcBorders>
            <w:gridSpan w:val="2"/>
            <w:vMerge w:val="restart"/>
          </w:tcPr>
          <w:p>
            <w:pPr>
              <w:spacing w:after="0"/>
              <w:rPr>
                <w:sz w:val="20"/>
                <w:szCs w:val="20"/>
                <w:color w:val="auto"/>
              </w:rPr>
            </w:pPr>
            <w:r>
              <w:rPr>
                <w:rFonts w:ascii="Arial" w:cs="Arial" w:eastAsia="Arial" w:hAnsi="Arial"/>
                <w:sz w:val="11"/>
                <w:szCs w:val="11"/>
                <w:b w:val="1"/>
                <w:bCs w:val="1"/>
                <w:color w:val="auto"/>
              </w:rPr>
              <w:t>Liabilities in Excess of Other Assets</w:t>
            </w:r>
          </w:p>
        </w:tc>
        <w:tc>
          <w:tcPr>
            <w:tcW w:w="120" w:type="dxa"/>
            <w:vAlign w:val="bottom"/>
            <w:tcBorders>
              <w:top w:val="single" w:sz="8" w:color="CCECFF"/>
            </w:tcBorders>
          </w:tcPr>
          <w:p>
            <w:pPr>
              <w:spacing w:after="0" w:line="20" w:lineRule="exact"/>
              <w:rPr>
                <w:sz w:val="1"/>
                <w:szCs w:val="1"/>
                <w:color w:val="auto"/>
              </w:rPr>
            </w:pPr>
          </w:p>
        </w:tc>
        <w:tc>
          <w:tcPr>
            <w:tcW w:w="520" w:type="dxa"/>
            <w:vAlign w:val="bottom"/>
            <w:tcBorders>
              <w:top w:val="single" w:sz="8" w:color="CCECFF"/>
            </w:tcBorders>
          </w:tcPr>
          <w:p>
            <w:pPr>
              <w:spacing w:after="0" w:line="20" w:lineRule="exact"/>
              <w:rPr>
                <w:sz w:val="1"/>
                <w:szCs w:val="1"/>
                <w:color w:val="auto"/>
              </w:rPr>
            </w:pPr>
          </w:p>
        </w:tc>
        <w:tc>
          <w:tcPr>
            <w:tcW w:w="240" w:type="dxa"/>
            <w:vAlign w:val="bottom"/>
            <w:tcBorders>
              <w:top w:val="single" w:sz="8" w:color="CCECFF"/>
            </w:tcBorders>
          </w:tcPr>
          <w:p>
            <w:pPr>
              <w:spacing w:after="0" w:line="20" w:lineRule="exact"/>
              <w:rPr>
                <w:sz w:val="1"/>
                <w:szCs w:val="1"/>
                <w:color w:val="auto"/>
              </w:rPr>
            </w:pPr>
          </w:p>
        </w:tc>
        <w:tc>
          <w:tcPr>
            <w:tcW w:w="2620" w:type="dxa"/>
            <w:vAlign w:val="bottom"/>
            <w:tcBorders>
              <w:top w:val="single" w:sz="8" w:color="CCECFF"/>
            </w:tcBorders>
          </w:tcPr>
          <w:p>
            <w:pPr>
              <w:spacing w:after="0" w:line="20" w:lineRule="exact"/>
              <w:rPr>
                <w:sz w:val="1"/>
                <w:szCs w:val="1"/>
                <w:color w:val="auto"/>
              </w:rPr>
            </w:pPr>
          </w:p>
        </w:tc>
        <w:tc>
          <w:tcPr>
            <w:tcW w:w="140" w:type="dxa"/>
            <w:vAlign w:val="bottom"/>
            <w:tcBorders>
              <w:top w:val="single" w:sz="8" w:color="CCECFF"/>
            </w:tcBorders>
          </w:tcPr>
          <w:p>
            <w:pPr>
              <w:spacing w:after="0" w:line="20" w:lineRule="exact"/>
              <w:rPr>
                <w:sz w:val="1"/>
                <w:szCs w:val="1"/>
                <w:color w:val="auto"/>
              </w:rPr>
            </w:pPr>
          </w:p>
        </w:tc>
        <w:tc>
          <w:tcPr>
            <w:tcW w:w="600" w:type="dxa"/>
            <w:vAlign w:val="bottom"/>
            <w:tcBorders>
              <w:top w:val="single" w:sz="8" w:color="CCECFF"/>
            </w:tcBorders>
          </w:tcPr>
          <w:p>
            <w:pPr>
              <w:spacing w:after="0" w:line="20" w:lineRule="exact"/>
              <w:rPr>
                <w:sz w:val="1"/>
                <w:szCs w:val="1"/>
                <w:color w:val="auto"/>
              </w:rPr>
            </w:pPr>
          </w:p>
        </w:tc>
        <w:tc>
          <w:tcPr>
            <w:tcW w:w="260" w:type="dxa"/>
            <w:vAlign w:val="bottom"/>
            <w:tcBorders>
              <w:top w:val="single" w:sz="8" w:color="CCECFF"/>
            </w:tcBorders>
          </w:tcPr>
          <w:p>
            <w:pPr>
              <w:spacing w:after="0" w:line="20" w:lineRule="exact"/>
              <w:rPr>
                <w:sz w:val="1"/>
                <w:szCs w:val="1"/>
                <w:color w:val="auto"/>
              </w:rPr>
            </w:pPr>
          </w:p>
        </w:tc>
        <w:tc>
          <w:tcPr>
            <w:tcW w:w="560" w:type="dxa"/>
            <w:vAlign w:val="bottom"/>
            <w:tcBorders>
              <w:top w:val="single" w:sz="8" w:color="CCECFF"/>
            </w:tcBorders>
          </w:tcPr>
          <w:p>
            <w:pPr>
              <w:spacing w:after="0" w:line="20" w:lineRule="exact"/>
              <w:rPr>
                <w:sz w:val="1"/>
                <w:szCs w:val="1"/>
                <w:color w:val="auto"/>
              </w:rPr>
            </w:pPr>
          </w:p>
        </w:tc>
        <w:tc>
          <w:tcPr>
            <w:tcW w:w="320" w:type="dxa"/>
            <w:vAlign w:val="bottom"/>
            <w:tcBorders>
              <w:top w:val="single" w:sz="8" w:color="CCECFF"/>
            </w:tcBorders>
          </w:tcPr>
          <w:p>
            <w:pPr>
              <w:spacing w:after="0" w:line="20" w:lineRule="exact"/>
              <w:rPr>
                <w:sz w:val="1"/>
                <w:szCs w:val="1"/>
                <w:color w:val="auto"/>
              </w:rPr>
            </w:pPr>
          </w:p>
        </w:tc>
        <w:tc>
          <w:tcPr>
            <w:tcW w:w="120" w:type="dxa"/>
            <w:vAlign w:val="bottom"/>
            <w:tcBorders>
              <w:top w:val="single" w:sz="8" w:color="CCECFF"/>
            </w:tcBorders>
          </w:tcPr>
          <w:p>
            <w:pPr>
              <w:spacing w:after="0" w:line="20" w:lineRule="exact"/>
              <w:rPr>
                <w:sz w:val="1"/>
                <w:szCs w:val="1"/>
                <w:color w:val="auto"/>
              </w:rPr>
            </w:pPr>
          </w:p>
        </w:tc>
        <w:tc>
          <w:tcPr>
            <w:tcW w:w="100" w:type="dxa"/>
            <w:vAlign w:val="bottom"/>
            <w:tcBorders>
              <w:top w:val="single" w:sz="8" w:color="CCECFF"/>
            </w:tcBorders>
          </w:tcPr>
          <w:p>
            <w:pPr>
              <w:spacing w:after="0" w:line="20" w:lineRule="exact"/>
              <w:rPr>
                <w:sz w:val="1"/>
                <w:szCs w:val="1"/>
                <w:color w:val="auto"/>
              </w:rPr>
            </w:pPr>
          </w:p>
        </w:tc>
        <w:tc>
          <w:tcPr>
            <w:tcW w:w="580" w:type="dxa"/>
            <w:vAlign w:val="bottom"/>
            <w:tcBorders>
              <w:top w:val="single" w:sz="8" w:color="CCECFF"/>
            </w:tcBorders>
          </w:tcPr>
          <w:p>
            <w:pPr>
              <w:spacing w:after="0" w:line="20" w:lineRule="exact"/>
              <w:rPr>
                <w:sz w:val="1"/>
                <w:szCs w:val="1"/>
                <w:color w:val="auto"/>
              </w:rPr>
            </w:pPr>
          </w:p>
        </w:tc>
        <w:tc>
          <w:tcPr>
            <w:tcW w:w="240" w:type="dxa"/>
            <w:vAlign w:val="bottom"/>
            <w:tcBorders>
              <w:top w:val="single" w:sz="8" w:color="CCEC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C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C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306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gridSpan w:val="2"/>
          </w:tcPr>
          <w:p>
            <w:pPr>
              <w:jc w:val="right"/>
              <w:ind w:right="80"/>
              <w:spacing w:after="0" w:line="116" w:lineRule="exact"/>
              <w:rPr>
                <w:sz w:val="20"/>
                <w:szCs w:val="20"/>
                <w:color w:val="auto"/>
              </w:rPr>
            </w:pPr>
            <w:r>
              <w:rPr>
                <w:rFonts w:ascii="Arial" w:cs="Arial" w:eastAsia="Arial" w:hAnsi="Arial"/>
                <w:sz w:val="11"/>
                <w:szCs w:val="11"/>
                <w:color w:val="auto"/>
                <w:w w:val="96"/>
              </w:rPr>
              <w:t>(448,388,336)</w:t>
            </w:r>
          </w:p>
        </w:tc>
        <w:tc>
          <w:tcPr>
            <w:tcW w:w="0" w:type="dxa"/>
            <w:vAlign w:val="bottom"/>
          </w:tcPr>
          <w:p>
            <w:pPr>
              <w:spacing w:after="0"/>
              <w:rPr>
                <w:sz w:val="1"/>
                <w:szCs w:val="1"/>
                <w:color w:val="auto"/>
              </w:rPr>
            </w:pPr>
          </w:p>
        </w:tc>
      </w:tr>
      <w:tr>
        <w:trPr>
          <w:trHeight w:val="129"/>
        </w:trPr>
        <w:tc>
          <w:tcPr>
            <w:tcW w:w="3060" w:type="dxa"/>
            <w:vAlign w:val="bottom"/>
            <w:tcBorders>
              <w:top w:val="single" w:sz="8" w:color="CCECFF"/>
              <w:bottom w:val="single" w:sz="8" w:color="CCECFF"/>
            </w:tcBorders>
            <w:gridSpan w:val="2"/>
            <w:shd w:val="clear" w:color="auto" w:fill="CCECFF"/>
          </w:tcPr>
          <w:p>
            <w:pPr>
              <w:spacing w:after="0"/>
              <w:rPr>
                <w:sz w:val="20"/>
                <w:szCs w:val="20"/>
                <w:color w:val="auto"/>
              </w:rPr>
            </w:pPr>
            <w:r>
              <w:rPr>
                <w:rFonts w:ascii="Arial" w:cs="Arial" w:eastAsia="Arial" w:hAnsi="Arial"/>
                <w:sz w:val="11"/>
                <w:szCs w:val="11"/>
                <w:b w:val="1"/>
                <w:bCs w:val="1"/>
                <w:color w:val="auto"/>
              </w:rPr>
              <w:t>Members' Equity</w:t>
            </w:r>
          </w:p>
        </w:tc>
        <w:tc>
          <w:tcPr>
            <w:tcW w:w="120" w:type="dxa"/>
            <w:vAlign w:val="bottom"/>
            <w:tcBorders>
              <w:top w:val="single" w:sz="8" w:color="CCECFF"/>
              <w:bottom w:val="single" w:sz="8" w:color="CCECFF"/>
            </w:tcBorders>
            <w:shd w:val="clear" w:color="auto" w:fill="CCECFF"/>
          </w:tcPr>
          <w:p>
            <w:pPr>
              <w:spacing w:after="0"/>
              <w:rPr>
                <w:sz w:val="11"/>
                <w:szCs w:val="11"/>
                <w:color w:val="auto"/>
              </w:rPr>
            </w:pPr>
          </w:p>
        </w:tc>
        <w:tc>
          <w:tcPr>
            <w:tcW w:w="520" w:type="dxa"/>
            <w:vAlign w:val="bottom"/>
            <w:tcBorders>
              <w:top w:val="single" w:sz="8" w:color="CCECFF"/>
              <w:bottom w:val="single" w:sz="8" w:color="CCECFF"/>
            </w:tcBorders>
            <w:shd w:val="clear" w:color="auto" w:fill="CCECFF"/>
          </w:tcPr>
          <w:p>
            <w:pPr>
              <w:spacing w:after="0"/>
              <w:rPr>
                <w:sz w:val="11"/>
                <w:szCs w:val="11"/>
                <w:color w:val="auto"/>
              </w:rPr>
            </w:pPr>
          </w:p>
        </w:tc>
        <w:tc>
          <w:tcPr>
            <w:tcW w:w="240" w:type="dxa"/>
            <w:vAlign w:val="bottom"/>
            <w:tcBorders>
              <w:top w:val="single" w:sz="8" w:color="CCECFF"/>
              <w:bottom w:val="single" w:sz="8" w:color="CCECFF"/>
            </w:tcBorders>
            <w:shd w:val="clear" w:color="auto" w:fill="CCECFF"/>
          </w:tcPr>
          <w:p>
            <w:pPr>
              <w:spacing w:after="0"/>
              <w:rPr>
                <w:sz w:val="11"/>
                <w:szCs w:val="11"/>
                <w:color w:val="auto"/>
              </w:rPr>
            </w:pPr>
          </w:p>
        </w:tc>
        <w:tc>
          <w:tcPr>
            <w:tcW w:w="2620" w:type="dxa"/>
            <w:vAlign w:val="bottom"/>
            <w:tcBorders>
              <w:top w:val="single" w:sz="8" w:color="CCECFF"/>
              <w:bottom w:val="single" w:sz="8" w:color="CCECFF"/>
            </w:tcBorders>
            <w:shd w:val="clear" w:color="auto" w:fill="CCECFF"/>
          </w:tcPr>
          <w:p>
            <w:pPr>
              <w:spacing w:after="0"/>
              <w:rPr>
                <w:sz w:val="11"/>
                <w:szCs w:val="11"/>
                <w:color w:val="auto"/>
              </w:rPr>
            </w:pPr>
          </w:p>
        </w:tc>
        <w:tc>
          <w:tcPr>
            <w:tcW w:w="140" w:type="dxa"/>
            <w:vAlign w:val="bottom"/>
            <w:tcBorders>
              <w:top w:val="single" w:sz="8" w:color="CCECFF"/>
              <w:bottom w:val="single" w:sz="8" w:color="CCECFF"/>
            </w:tcBorders>
            <w:shd w:val="clear" w:color="auto" w:fill="CCECFF"/>
          </w:tcPr>
          <w:p>
            <w:pPr>
              <w:spacing w:after="0"/>
              <w:rPr>
                <w:sz w:val="11"/>
                <w:szCs w:val="11"/>
                <w:color w:val="auto"/>
              </w:rPr>
            </w:pPr>
          </w:p>
        </w:tc>
        <w:tc>
          <w:tcPr>
            <w:tcW w:w="600" w:type="dxa"/>
            <w:vAlign w:val="bottom"/>
            <w:tcBorders>
              <w:top w:val="single" w:sz="8" w:color="CCECFF"/>
              <w:bottom w:val="single" w:sz="8" w:color="CCECFF"/>
            </w:tcBorders>
            <w:shd w:val="clear" w:color="auto" w:fill="CCECFF"/>
          </w:tcPr>
          <w:p>
            <w:pPr>
              <w:spacing w:after="0"/>
              <w:rPr>
                <w:sz w:val="11"/>
                <w:szCs w:val="11"/>
                <w:color w:val="auto"/>
              </w:rPr>
            </w:pPr>
          </w:p>
        </w:tc>
        <w:tc>
          <w:tcPr>
            <w:tcW w:w="260" w:type="dxa"/>
            <w:vAlign w:val="bottom"/>
            <w:tcBorders>
              <w:top w:val="single" w:sz="8" w:color="CCECFF"/>
              <w:bottom w:val="single" w:sz="8" w:color="CCECFF"/>
            </w:tcBorders>
            <w:shd w:val="clear" w:color="auto" w:fill="CCECFF"/>
          </w:tcPr>
          <w:p>
            <w:pPr>
              <w:spacing w:after="0"/>
              <w:rPr>
                <w:sz w:val="11"/>
                <w:szCs w:val="11"/>
                <w:color w:val="auto"/>
              </w:rPr>
            </w:pPr>
          </w:p>
        </w:tc>
        <w:tc>
          <w:tcPr>
            <w:tcW w:w="560" w:type="dxa"/>
            <w:vAlign w:val="bottom"/>
            <w:tcBorders>
              <w:top w:val="single" w:sz="8" w:color="CCECFF"/>
              <w:bottom w:val="single" w:sz="8" w:color="CCECFF"/>
            </w:tcBorders>
            <w:shd w:val="clear" w:color="auto" w:fill="CCECFF"/>
          </w:tcPr>
          <w:p>
            <w:pPr>
              <w:spacing w:after="0"/>
              <w:rPr>
                <w:sz w:val="11"/>
                <w:szCs w:val="11"/>
                <w:color w:val="auto"/>
              </w:rPr>
            </w:pPr>
          </w:p>
        </w:tc>
        <w:tc>
          <w:tcPr>
            <w:tcW w:w="320" w:type="dxa"/>
            <w:vAlign w:val="bottom"/>
            <w:tcBorders>
              <w:top w:val="single" w:sz="8" w:color="CCECFF"/>
              <w:bottom w:val="single" w:sz="8" w:color="CCECFF"/>
            </w:tcBorders>
            <w:shd w:val="clear" w:color="auto" w:fill="CCECFF"/>
          </w:tcPr>
          <w:p>
            <w:pPr>
              <w:spacing w:after="0"/>
              <w:rPr>
                <w:sz w:val="11"/>
                <w:szCs w:val="11"/>
                <w:color w:val="auto"/>
              </w:rPr>
            </w:pPr>
          </w:p>
        </w:tc>
        <w:tc>
          <w:tcPr>
            <w:tcW w:w="120" w:type="dxa"/>
            <w:vAlign w:val="bottom"/>
            <w:tcBorders>
              <w:top w:val="single" w:sz="8" w:color="CCECFF"/>
              <w:bottom w:val="single" w:sz="8" w:color="CCECFF"/>
            </w:tcBorders>
            <w:shd w:val="clear" w:color="auto" w:fill="CCECFF"/>
          </w:tcPr>
          <w:p>
            <w:pPr>
              <w:spacing w:after="0"/>
              <w:rPr>
                <w:sz w:val="11"/>
                <w:szCs w:val="11"/>
                <w:color w:val="auto"/>
              </w:rPr>
            </w:pPr>
          </w:p>
        </w:tc>
        <w:tc>
          <w:tcPr>
            <w:tcW w:w="100" w:type="dxa"/>
            <w:vAlign w:val="bottom"/>
            <w:tcBorders>
              <w:top w:val="single" w:sz="8" w:color="CCECFF"/>
              <w:bottom w:val="single" w:sz="8" w:color="CCECFF"/>
            </w:tcBorders>
            <w:shd w:val="clear" w:color="auto" w:fill="CCECFF"/>
          </w:tcPr>
          <w:p>
            <w:pPr>
              <w:spacing w:after="0"/>
              <w:rPr>
                <w:sz w:val="11"/>
                <w:szCs w:val="11"/>
                <w:color w:val="auto"/>
              </w:rPr>
            </w:pPr>
          </w:p>
        </w:tc>
        <w:tc>
          <w:tcPr>
            <w:tcW w:w="580" w:type="dxa"/>
            <w:vAlign w:val="bottom"/>
            <w:tcBorders>
              <w:top w:val="single" w:sz="8" w:color="CCECFF"/>
              <w:bottom w:val="single" w:sz="8" w:color="CCECFF"/>
            </w:tcBorders>
            <w:shd w:val="clear" w:color="auto" w:fill="CCECFF"/>
          </w:tcPr>
          <w:p>
            <w:pPr>
              <w:spacing w:after="0"/>
              <w:rPr>
                <w:sz w:val="11"/>
                <w:szCs w:val="11"/>
                <w:color w:val="auto"/>
              </w:rPr>
            </w:pPr>
          </w:p>
        </w:tc>
        <w:tc>
          <w:tcPr>
            <w:tcW w:w="240" w:type="dxa"/>
            <w:vAlign w:val="bottom"/>
            <w:tcBorders>
              <w:top w:val="single" w:sz="8" w:color="CCECFF"/>
              <w:bottom w:val="single" w:sz="8" w:color="CCECFF"/>
            </w:tcBorders>
            <w:shd w:val="clear" w:color="auto" w:fill="CCECFF"/>
          </w:tcPr>
          <w:p>
            <w:pPr>
              <w:spacing w:after="0"/>
              <w:rPr>
                <w:sz w:val="11"/>
                <w:szCs w:val="11"/>
                <w:color w:val="auto"/>
              </w:rPr>
            </w:pPr>
          </w:p>
        </w:tc>
        <w:tc>
          <w:tcPr>
            <w:tcW w:w="80" w:type="dxa"/>
            <w:vAlign w:val="bottom"/>
            <w:tcBorders>
              <w:top w:val="single" w:sz="8" w:color="CCECFF"/>
              <w:bottom w:val="single" w:sz="8" w:color="CCECFF"/>
            </w:tcBorders>
            <w:shd w:val="clear" w:color="auto" w:fill="CCECFF"/>
          </w:tcPr>
          <w:p>
            <w:pPr>
              <w:spacing w:after="0"/>
              <w:rPr>
                <w:sz w:val="11"/>
                <w:szCs w:val="11"/>
                <w:color w:val="auto"/>
              </w:rPr>
            </w:pPr>
          </w:p>
        </w:tc>
        <w:tc>
          <w:tcPr>
            <w:tcW w:w="600" w:type="dxa"/>
            <w:vAlign w:val="bottom"/>
            <w:tcBorders>
              <w:top w:val="single" w:sz="8" w:color="CCECFF"/>
              <w:bottom w:val="single" w:sz="8" w:color="CCECFF"/>
            </w:tcBorders>
            <w:shd w:val="clear" w:color="auto" w:fill="CCECFF"/>
          </w:tcPr>
          <w:p>
            <w:pPr>
              <w:spacing w:after="0"/>
              <w:rPr>
                <w:sz w:val="11"/>
                <w:szCs w:val="11"/>
                <w:color w:val="auto"/>
              </w:rPr>
            </w:pPr>
          </w:p>
        </w:tc>
        <w:tc>
          <w:tcPr>
            <w:tcW w:w="220" w:type="dxa"/>
            <w:vAlign w:val="bottom"/>
            <w:tcBorders>
              <w:top w:val="single" w:sz="8" w:color="CCECFF"/>
              <w:bottom w:val="single" w:sz="8" w:color="CCECFF"/>
            </w:tcBorders>
            <w:shd w:val="clear" w:color="auto" w:fill="CCECFF"/>
          </w:tcPr>
          <w:p>
            <w:pPr>
              <w:spacing w:after="0"/>
              <w:rPr>
                <w:sz w:val="11"/>
                <w:szCs w:val="11"/>
                <w:color w:val="auto"/>
              </w:rPr>
            </w:pPr>
          </w:p>
        </w:tc>
        <w:tc>
          <w:tcPr>
            <w:tcW w:w="10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56,831,827</w:t>
            </w:r>
          </w:p>
        </w:tc>
        <w:tc>
          <w:tcPr>
            <w:tcW w:w="120" w:type="dxa"/>
            <w:vAlign w:val="bottom"/>
            <w:tcBorders>
              <w:top w:val="single" w:sz="8" w:color="CCECFF"/>
              <w:bottom w:val="single" w:sz="8" w:color="CCECFF"/>
            </w:tcBorders>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940" w:type="dxa"/>
            <w:vAlign w:val="bottom"/>
            <w:tcBorders>
              <w:bottom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520" w:type="dxa"/>
            <w:vAlign w:val="bottom"/>
          </w:tcPr>
          <w:p>
            <w:pPr>
              <w:spacing w:after="0"/>
              <w:rPr>
                <w:sz w:val="7"/>
                <w:szCs w:val="7"/>
                <w:color w:val="auto"/>
              </w:rPr>
            </w:pPr>
          </w:p>
        </w:tc>
        <w:tc>
          <w:tcPr>
            <w:tcW w:w="240" w:type="dxa"/>
            <w:vAlign w:val="bottom"/>
          </w:tcPr>
          <w:p>
            <w:pPr>
              <w:spacing w:after="0"/>
              <w:rPr>
                <w:sz w:val="7"/>
                <w:szCs w:val="7"/>
                <w:color w:val="auto"/>
              </w:rPr>
            </w:pPr>
          </w:p>
        </w:tc>
        <w:tc>
          <w:tcPr>
            <w:tcW w:w="2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tcPr>
          <w:p>
            <w:pPr>
              <w:spacing w:after="0"/>
              <w:rPr>
                <w:sz w:val="7"/>
                <w:szCs w:val="7"/>
                <w:color w:val="auto"/>
              </w:rPr>
            </w:pPr>
          </w:p>
        </w:tc>
        <w:tc>
          <w:tcPr>
            <w:tcW w:w="260" w:type="dxa"/>
            <w:vAlign w:val="bottom"/>
          </w:tcPr>
          <w:p>
            <w:pPr>
              <w:spacing w:after="0"/>
              <w:rPr>
                <w:sz w:val="7"/>
                <w:szCs w:val="7"/>
                <w:color w:val="auto"/>
              </w:rPr>
            </w:pPr>
          </w:p>
        </w:tc>
        <w:tc>
          <w:tcPr>
            <w:tcW w:w="560" w:type="dxa"/>
            <w:vAlign w:val="bottom"/>
          </w:tcPr>
          <w:p>
            <w:pPr>
              <w:spacing w:after="0"/>
              <w:rPr>
                <w:sz w:val="7"/>
                <w:szCs w:val="7"/>
                <w:color w:val="auto"/>
              </w:rPr>
            </w:pPr>
          </w:p>
        </w:tc>
        <w:tc>
          <w:tcPr>
            <w:tcW w:w="3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34" w:lineRule="exact"/>
        <w:rPr>
          <w:sz w:val="20"/>
          <w:szCs w:val="20"/>
          <w:color w:val="auto"/>
        </w:rPr>
      </w:pPr>
    </w:p>
    <w:p>
      <w:pPr>
        <w:ind w:left="380" w:right="60" w:hanging="372"/>
        <w:spacing w:after="0" w:line="262" w:lineRule="auto"/>
        <w:tabs>
          <w:tab w:leader="none" w:pos="380" w:val="left"/>
        </w:tabs>
        <w:numPr>
          <w:ilvl w:val="0"/>
          <w:numId w:val="7"/>
        </w:numPr>
        <w:rPr>
          <w:rFonts w:ascii="Arial" w:cs="Arial" w:eastAsia="Arial" w:hAnsi="Arial"/>
          <w:sz w:val="11"/>
          <w:szCs w:val="11"/>
          <w:color w:val="auto"/>
        </w:rPr>
      </w:pPr>
      <w:r>
        <w:rPr>
          <w:rFonts w:ascii="Arial" w:cs="Arial" w:eastAsia="Arial" w:hAnsi="Arial"/>
          <w:sz w:val="11"/>
          <w:szCs w:val="11"/>
          <w:color w:val="auto"/>
        </w:rPr>
        <w:t>Represents floating rate instruments that accrue interest at a predetermined spread relative to an index, typically the applicable LIBOR or “L” or Prime rate or “P”. The spread may change based on the type of rate used. The terms in the Schedule of Investments disclose the actual interest rate in effect as of the reporting period. LIBOR loans are typically indexed to a 30-day, 60-day, 90-day or 180-day LIBOR rate (1M L, 2M L, 3M L, or 6M L, respectively), at the borrower’s option. All securities are subject to a LIBOR or Prime rate floor where a spread is provided, unless noted. The spread provided includes PIK interest and other fee rates, if any.</w:t>
      </w:r>
    </w:p>
    <w:p>
      <w:pPr>
        <w:ind w:left="380" w:hanging="372"/>
        <w:spacing w:after="0" w:line="234" w:lineRule="auto"/>
        <w:tabs>
          <w:tab w:leader="none" w:pos="380" w:val="left"/>
        </w:tabs>
        <w:numPr>
          <w:ilvl w:val="0"/>
          <w:numId w:val="7"/>
        </w:numPr>
        <w:rPr>
          <w:rFonts w:ascii="Arial" w:cs="Arial" w:eastAsia="Arial" w:hAnsi="Arial"/>
          <w:sz w:val="12"/>
          <w:szCs w:val="12"/>
          <w:color w:val="auto"/>
        </w:rPr>
      </w:pPr>
      <w:r>
        <w:rPr>
          <w:rFonts w:ascii="Arial" w:cs="Arial" w:eastAsia="Arial" w:hAnsi="Arial"/>
          <w:sz w:val="12"/>
          <w:szCs w:val="12"/>
          <w:color w:val="auto"/>
        </w:rPr>
        <w:t>Valued based on PSSL’s accounting policy.</w:t>
      </w:r>
    </w:p>
    <w:p>
      <w:pPr>
        <w:ind w:left="380" w:hanging="372"/>
        <w:spacing w:after="0" w:line="234" w:lineRule="auto"/>
        <w:tabs>
          <w:tab w:leader="none" w:pos="380" w:val="left"/>
        </w:tabs>
        <w:numPr>
          <w:ilvl w:val="0"/>
          <w:numId w:val="7"/>
        </w:numPr>
        <w:rPr>
          <w:rFonts w:ascii="Arial" w:cs="Arial" w:eastAsia="Arial" w:hAnsi="Arial"/>
          <w:sz w:val="12"/>
          <w:szCs w:val="12"/>
          <w:color w:val="auto"/>
        </w:rPr>
      </w:pPr>
      <w:r>
        <w:rPr>
          <w:rFonts w:ascii="Arial" w:cs="Arial" w:eastAsia="Arial" w:hAnsi="Arial"/>
          <w:sz w:val="12"/>
          <w:szCs w:val="12"/>
          <w:color w:val="auto"/>
        </w:rPr>
        <w:t>Non-U.S. company or principal place of business outside the United States.</w:t>
      </w:r>
    </w:p>
    <w:p>
      <w:pPr>
        <w:ind w:left="380" w:hanging="372"/>
        <w:spacing w:after="0" w:line="234" w:lineRule="auto"/>
        <w:tabs>
          <w:tab w:leader="none" w:pos="380" w:val="left"/>
        </w:tabs>
        <w:numPr>
          <w:ilvl w:val="0"/>
          <w:numId w:val="7"/>
        </w:numPr>
        <w:rPr>
          <w:rFonts w:ascii="Arial" w:cs="Arial" w:eastAsia="Arial" w:hAnsi="Arial"/>
          <w:sz w:val="12"/>
          <w:szCs w:val="12"/>
          <w:color w:val="auto"/>
        </w:rPr>
      </w:pPr>
      <w:r>
        <w:rPr>
          <w:rFonts w:ascii="Arial" w:cs="Arial" w:eastAsia="Arial" w:hAnsi="Arial"/>
          <w:sz w:val="12"/>
          <w:szCs w:val="12"/>
          <w:color w:val="auto"/>
        </w:rPr>
        <w:t>Par amount is denominated in Australian Dollars (A$) or in Canadian Dollars (C$) as denoted.</w:t>
      </w:r>
    </w:p>
    <w:p>
      <w:pPr>
        <w:ind w:left="380" w:hanging="372"/>
        <w:spacing w:after="0"/>
        <w:tabs>
          <w:tab w:leader="none" w:pos="380" w:val="left"/>
        </w:tabs>
        <w:numPr>
          <w:ilvl w:val="0"/>
          <w:numId w:val="7"/>
        </w:numPr>
        <w:rPr>
          <w:rFonts w:ascii="Arial" w:cs="Arial" w:eastAsia="Arial" w:hAnsi="Arial"/>
          <w:sz w:val="11"/>
          <w:szCs w:val="11"/>
          <w:color w:val="auto"/>
        </w:rPr>
      </w:pPr>
      <w:r>
        <w:rPr>
          <w:rFonts w:ascii="Arial" w:cs="Arial" w:eastAsia="Arial" w:hAnsi="Arial"/>
          <w:sz w:val="11"/>
          <w:szCs w:val="11"/>
          <w:color w:val="auto"/>
        </w:rPr>
        <w:t>Represents the purchase of a security with delayed settlement or a revolving line of credit that is currently an unfunded investment. This security does not earn a basis point spread above an index while it is unfunded.</w:t>
      </w: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149465"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1" w:name="page22"/>
    <w:bookmarkEnd w:id="21"/>
    <w:p>
      <w:pPr>
        <w:jc w:val="center"/>
        <w:spacing w:after="0"/>
        <w:rPr>
          <w:sz w:val="20"/>
          <w:szCs w:val="20"/>
          <w:color w:val="auto"/>
        </w:rPr>
      </w:pPr>
      <w:r>
        <w:rPr>
          <w:rFonts w:ascii="Arial" w:cs="Arial" w:eastAsia="Arial" w:hAnsi="Arial"/>
          <w:sz w:val="14"/>
          <w:szCs w:val="14"/>
          <w:b w:val="1"/>
          <w:bCs w:val="1"/>
          <w:color w:val="auto"/>
        </w:rPr>
        <w:t>PENNANTPARK FLOATING RATE CAPITAL LTD. AND SUBSIDIARIES</w:t>
      </w:r>
    </w:p>
    <w:p>
      <w:pPr>
        <w:jc w:val="center"/>
        <w:spacing w:after="0" w:line="225" w:lineRule="auto"/>
        <w:rPr>
          <w:sz w:val="20"/>
          <w:szCs w:val="20"/>
          <w:color w:val="auto"/>
        </w:rPr>
      </w:pPr>
      <w:r>
        <w:rPr>
          <w:rFonts w:ascii="Arial" w:cs="Arial" w:eastAsia="Arial" w:hAnsi="Arial"/>
          <w:sz w:val="14"/>
          <w:szCs w:val="14"/>
          <w:b w:val="1"/>
          <w:bCs w:val="1"/>
          <w:color w:val="auto"/>
        </w:rPr>
        <w:t>NOTES TO CONSOLIDATED FINANCIAL STATEMENTS-(Continued)</w:t>
      </w:r>
    </w:p>
    <w:p>
      <w:pPr>
        <w:jc w:val="center"/>
        <w:spacing w:after="0" w:line="221" w:lineRule="auto"/>
        <w:rPr>
          <w:sz w:val="20"/>
          <w:szCs w:val="20"/>
          <w:color w:val="auto"/>
        </w:rPr>
      </w:pPr>
      <w:r>
        <w:rPr>
          <w:rFonts w:ascii="Arial" w:cs="Arial" w:eastAsia="Arial" w:hAnsi="Arial"/>
          <w:sz w:val="14"/>
          <w:szCs w:val="14"/>
          <w:b w:val="1"/>
          <w:bCs w:val="1"/>
          <w:color w:val="auto"/>
        </w:rPr>
        <w:t>DECEMBER 31, 2019</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273" w:lineRule="exact"/>
        <w:rPr>
          <w:sz w:val="20"/>
          <w:szCs w:val="20"/>
          <w:color w:val="auto"/>
        </w:rPr>
      </w:pPr>
    </w:p>
    <w:p>
      <w:pPr>
        <w:ind w:left="440"/>
        <w:spacing w:after="0"/>
        <w:rPr>
          <w:sz w:val="20"/>
          <w:szCs w:val="20"/>
          <w:color w:val="auto"/>
        </w:rPr>
      </w:pPr>
      <w:r>
        <w:rPr>
          <w:rFonts w:ascii="Arial" w:cs="Arial" w:eastAsia="Arial" w:hAnsi="Arial"/>
          <w:sz w:val="14"/>
          <w:szCs w:val="14"/>
          <w:color w:val="auto"/>
        </w:rPr>
        <w:t>Below is a listing of PSSL’s individual investments as of September 30, 2019:</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30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100" w:type="dxa"/>
            <w:vAlign w:val="bottom"/>
            <w:gridSpan w:val="4"/>
          </w:tcPr>
          <w:p>
            <w:pPr>
              <w:jc w:val="center"/>
              <w:ind w:right="220"/>
              <w:spacing w:after="0"/>
              <w:rPr>
                <w:sz w:val="20"/>
                <w:szCs w:val="20"/>
                <w:color w:val="auto"/>
              </w:rPr>
            </w:pPr>
            <w:r>
              <w:rPr>
                <w:rFonts w:ascii="Arial" w:cs="Arial" w:eastAsia="Arial" w:hAnsi="Arial"/>
                <w:sz w:val="11"/>
                <w:szCs w:val="11"/>
                <w:b w:val="1"/>
                <w:bCs w:val="1"/>
                <w:color w:val="auto"/>
                <w:w w:val="86"/>
              </w:rPr>
              <w:t>Basis Point</w:t>
            </w:r>
          </w:p>
        </w:tc>
        <w:tc>
          <w:tcPr>
            <w:tcW w:w="5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0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gridSpan w:val="2"/>
          </w:tcPr>
          <w:p>
            <w:pPr>
              <w:jc w:val="right"/>
              <w:ind w:right="380"/>
              <w:spacing w:after="0" w:line="122" w:lineRule="exact"/>
              <w:rPr>
                <w:sz w:val="20"/>
                <w:szCs w:val="20"/>
                <w:color w:val="auto"/>
              </w:rPr>
            </w:pPr>
            <w:r>
              <w:rPr>
                <w:rFonts w:ascii="Arial" w:cs="Arial" w:eastAsia="Arial" w:hAnsi="Arial"/>
                <w:sz w:val="11"/>
                <w:szCs w:val="11"/>
                <w:b w:val="1"/>
                <w:bCs w:val="1"/>
                <w:color w:val="auto"/>
              </w:rPr>
              <w:t>Current</w:t>
            </w:r>
          </w:p>
        </w:tc>
        <w:tc>
          <w:tcPr>
            <w:tcW w:w="1100" w:type="dxa"/>
            <w:vAlign w:val="bottom"/>
            <w:gridSpan w:val="4"/>
          </w:tcPr>
          <w:p>
            <w:pPr>
              <w:jc w:val="center"/>
              <w:ind w:right="220"/>
              <w:spacing w:after="0" w:line="122" w:lineRule="exact"/>
              <w:rPr>
                <w:sz w:val="20"/>
                <w:szCs w:val="20"/>
                <w:color w:val="auto"/>
              </w:rPr>
            </w:pPr>
            <w:r>
              <w:rPr>
                <w:rFonts w:ascii="Arial" w:cs="Arial" w:eastAsia="Arial" w:hAnsi="Arial"/>
                <w:sz w:val="11"/>
                <w:szCs w:val="11"/>
                <w:b w:val="1"/>
                <w:bCs w:val="1"/>
                <w:color w:val="auto"/>
                <w:w w:val="86"/>
              </w:rPr>
              <w:t>Spread Above</w:t>
            </w:r>
          </w:p>
        </w:tc>
        <w:tc>
          <w:tcPr>
            <w:tcW w:w="5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3060" w:type="dxa"/>
            <w:vAlign w:val="bottom"/>
          </w:tcPr>
          <w:p>
            <w:pPr>
              <w:spacing w:after="0"/>
              <w:rPr>
                <w:sz w:val="20"/>
                <w:szCs w:val="20"/>
                <w:color w:val="auto"/>
              </w:rPr>
            </w:pPr>
            <w:r>
              <w:rPr>
                <w:rFonts w:ascii="Arial" w:cs="Arial" w:eastAsia="Arial" w:hAnsi="Arial"/>
                <w:sz w:val="11"/>
                <w:szCs w:val="11"/>
                <w:b w:val="1"/>
                <w:bCs w:val="1"/>
                <w:color w:val="auto"/>
              </w:rPr>
              <w:t>Issuer Name</w:t>
            </w:r>
          </w:p>
        </w:tc>
        <w:tc>
          <w:tcPr>
            <w:tcW w:w="120" w:type="dxa"/>
            <w:vAlign w:val="bottom"/>
          </w:tcPr>
          <w:p>
            <w:pPr>
              <w:spacing w:after="0"/>
              <w:rPr>
                <w:sz w:val="11"/>
                <w:szCs w:val="11"/>
                <w:color w:val="auto"/>
              </w:rPr>
            </w:pPr>
          </w:p>
        </w:tc>
        <w:tc>
          <w:tcPr>
            <w:tcW w:w="760" w:type="dxa"/>
            <w:vAlign w:val="bottom"/>
            <w:gridSpan w:val="2"/>
          </w:tcPr>
          <w:p>
            <w:pPr>
              <w:ind w:left="40"/>
              <w:spacing w:after="0"/>
              <w:rPr>
                <w:sz w:val="20"/>
                <w:szCs w:val="20"/>
                <w:color w:val="auto"/>
              </w:rPr>
            </w:pPr>
            <w:r>
              <w:rPr>
                <w:rFonts w:ascii="Arial" w:cs="Arial" w:eastAsia="Arial" w:hAnsi="Arial"/>
                <w:sz w:val="11"/>
                <w:szCs w:val="11"/>
                <w:b w:val="1"/>
                <w:bCs w:val="1"/>
                <w:color w:val="auto"/>
              </w:rPr>
              <w:t>Maturity</w:t>
            </w:r>
          </w:p>
        </w:tc>
        <w:tc>
          <w:tcPr>
            <w:tcW w:w="2760" w:type="dxa"/>
            <w:vAlign w:val="bottom"/>
            <w:gridSpan w:val="2"/>
          </w:tcPr>
          <w:p>
            <w:pPr>
              <w:jc w:val="center"/>
              <w:ind w:right="160"/>
              <w:spacing w:after="0"/>
              <w:rPr>
                <w:sz w:val="20"/>
                <w:szCs w:val="20"/>
                <w:color w:val="auto"/>
              </w:rPr>
            </w:pPr>
            <w:r>
              <w:rPr>
                <w:rFonts w:ascii="Arial" w:cs="Arial" w:eastAsia="Arial" w:hAnsi="Arial"/>
                <w:sz w:val="11"/>
                <w:szCs w:val="11"/>
                <w:b w:val="1"/>
                <w:bCs w:val="1"/>
                <w:color w:val="auto"/>
                <w:w w:val="92"/>
              </w:rPr>
              <w:t>Industry</w:t>
            </w:r>
          </w:p>
        </w:tc>
        <w:tc>
          <w:tcPr>
            <w:tcW w:w="860" w:type="dxa"/>
            <w:vAlign w:val="bottom"/>
            <w:gridSpan w:val="2"/>
          </w:tcPr>
          <w:p>
            <w:pPr>
              <w:jc w:val="right"/>
              <w:ind w:right="380"/>
              <w:spacing w:after="0"/>
              <w:rPr>
                <w:sz w:val="20"/>
                <w:szCs w:val="20"/>
                <w:color w:val="auto"/>
              </w:rPr>
            </w:pPr>
            <w:r>
              <w:rPr>
                <w:rFonts w:ascii="Arial" w:cs="Arial" w:eastAsia="Arial" w:hAnsi="Arial"/>
                <w:sz w:val="11"/>
                <w:szCs w:val="11"/>
                <w:b w:val="1"/>
                <w:bCs w:val="1"/>
                <w:color w:val="auto"/>
              </w:rPr>
              <w:t>Coupon</w:t>
            </w:r>
          </w:p>
        </w:tc>
        <w:tc>
          <w:tcPr>
            <w:tcW w:w="1100" w:type="dxa"/>
            <w:vAlign w:val="bottom"/>
            <w:gridSpan w:val="4"/>
          </w:tcPr>
          <w:p>
            <w:pPr>
              <w:jc w:val="center"/>
              <w:ind w:right="220"/>
              <w:spacing w:after="0"/>
              <w:rPr>
                <w:sz w:val="20"/>
                <w:szCs w:val="20"/>
                <w:color w:val="auto"/>
              </w:rPr>
            </w:pPr>
            <w:r>
              <w:rPr>
                <w:rFonts w:ascii="Arial" w:cs="Arial" w:eastAsia="Arial" w:hAnsi="Arial"/>
                <w:sz w:val="11"/>
                <w:szCs w:val="11"/>
                <w:b w:val="1"/>
                <w:bCs w:val="1"/>
                <w:color w:val="auto"/>
                <w:w w:val="93"/>
              </w:rPr>
              <w:t xml:space="preserve">Index </w:t>
            </w:r>
            <w:r>
              <w:rPr>
                <w:rFonts w:ascii="Arial" w:cs="Arial" w:eastAsia="Arial" w:hAnsi="Arial"/>
                <w:sz w:val="9"/>
                <w:szCs w:val="9"/>
                <w:b w:val="1"/>
                <w:bCs w:val="1"/>
                <w:color w:val="auto"/>
                <w:w w:val="93"/>
              </w:rPr>
              <w:t>(1)</w:t>
            </w:r>
          </w:p>
        </w:tc>
        <w:tc>
          <w:tcPr>
            <w:tcW w:w="580" w:type="dxa"/>
            <w:vAlign w:val="bottom"/>
          </w:tcPr>
          <w:p>
            <w:pPr>
              <w:jc w:val="right"/>
              <w:ind w:right="206"/>
              <w:spacing w:after="0"/>
              <w:rPr>
                <w:sz w:val="20"/>
                <w:szCs w:val="20"/>
                <w:color w:val="auto"/>
              </w:rPr>
            </w:pPr>
            <w:r>
              <w:rPr>
                <w:rFonts w:ascii="Arial" w:cs="Arial" w:eastAsia="Arial" w:hAnsi="Arial"/>
                <w:sz w:val="11"/>
                <w:szCs w:val="11"/>
                <w:b w:val="1"/>
                <w:bCs w:val="1"/>
                <w:color w:val="auto"/>
              </w:rPr>
              <w:t>Par</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gridSpan w:val="2"/>
          </w:tcPr>
          <w:p>
            <w:pPr>
              <w:ind w:left="140"/>
              <w:spacing w:after="0"/>
              <w:rPr>
                <w:sz w:val="20"/>
                <w:szCs w:val="20"/>
                <w:color w:val="auto"/>
              </w:rPr>
            </w:pPr>
            <w:r>
              <w:rPr>
                <w:rFonts w:ascii="Arial" w:cs="Arial" w:eastAsia="Arial" w:hAnsi="Arial"/>
                <w:sz w:val="11"/>
                <w:szCs w:val="11"/>
                <w:b w:val="1"/>
                <w:bCs w:val="1"/>
                <w:color w:val="auto"/>
              </w:rPr>
              <w:t>Cost</w:t>
            </w:r>
          </w:p>
        </w:tc>
        <w:tc>
          <w:tcPr>
            <w:tcW w:w="860" w:type="dxa"/>
            <w:vAlign w:val="bottom"/>
            <w:gridSpan w:val="3"/>
          </w:tcPr>
          <w:p>
            <w:pPr>
              <w:jc w:val="right"/>
              <w:ind w:right="180"/>
              <w:spacing w:after="0"/>
              <w:rPr>
                <w:sz w:val="20"/>
                <w:szCs w:val="20"/>
                <w:color w:val="auto"/>
              </w:rPr>
            </w:pPr>
            <w:r>
              <w:rPr>
                <w:rFonts w:ascii="Arial" w:cs="Arial" w:eastAsia="Arial" w:hAnsi="Arial"/>
                <w:sz w:val="11"/>
                <w:szCs w:val="11"/>
                <w:b w:val="1"/>
                <w:bCs w:val="1"/>
                <w:color w:val="auto"/>
                <w:w w:val="98"/>
              </w:rPr>
              <w:t xml:space="preserve">Fair Value </w:t>
            </w:r>
            <w:r>
              <w:rPr>
                <w:rFonts w:ascii="Arial" w:cs="Arial" w:eastAsia="Arial" w:hAnsi="Arial"/>
                <w:sz w:val="9"/>
                <w:szCs w:val="9"/>
                <w:b w:val="1"/>
                <w:bCs w:val="1"/>
                <w:color w:val="auto"/>
                <w:w w:val="98"/>
              </w:rPr>
              <w:t>(2)</w:t>
            </w:r>
          </w:p>
        </w:tc>
        <w:tc>
          <w:tcPr>
            <w:tcW w:w="0" w:type="dxa"/>
            <w:vAlign w:val="bottom"/>
          </w:tcPr>
          <w:p>
            <w:pPr>
              <w:spacing w:after="0"/>
              <w:rPr>
                <w:sz w:val="1"/>
                <w:szCs w:val="1"/>
                <w:color w:val="auto"/>
              </w:rPr>
            </w:pPr>
          </w:p>
        </w:tc>
      </w:tr>
      <w:tr>
        <w:trPr>
          <w:trHeight w:val="128"/>
        </w:trPr>
        <w:tc>
          <w:tcPr>
            <w:tcW w:w="3060" w:type="dxa"/>
            <w:vAlign w:val="bottom"/>
            <w:tcBorders>
              <w:top w:val="single" w:sz="8" w:color="auto"/>
            </w:tcBorders>
            <w:shd w:val="clear" w:color="auto" w:fill="CCECFF"/>
          </w:tcPr>
          <w:p>
            <w:pPr>
              <w:spacing w:after="0"/>
              <w:rPr>
                <w:sz w:val="20"/>
                <w:szCs w:val="20"/>
                <w:color w:val="auto"/>
              </w:rPr>
            </w:pPr>
            <w:r>
              <w:rPr>
                <w:rFonts w:ascii="Arial" w:cs="Arial" w:eastAsia="Arial" w:hAnsi="Arial"/>
                <w:sz w:val="11"/>
                <w:szCs w:val="11"/>
                <w:b w:val="1"/>
                <w:bCs w:val="1"/>
                <w:color w:val="auto"/>
              </w:rPr>
              <w:t>First Lien Secured Debt</w:t>
            </w:r>
          </w:p>
        </w:tc>
        <w:tc>
          <w:tcPr>
            <w:tcW w:w="120" w:type="dxa"/>
            <w:vAlign w:val="bottom"/>
            <w:tcBorders>
              <w:top w:val="single" w:sz="8" w:color="CCECFF"/>
            </w:tcBorders>
            <w:shd w:val="clear" w:color="auto" w:fill="CCECFF"/>
          </w:tcPr>
          <w:p>
            <w:pPr>
              <w:spacing w:after="0"/>
              <w:rPr>
                <w:sz w:val="11"/>
                <w:szCs w:val="11"/>
                <w:color w:val="auto"/>
              </w:rPr>
            </w:pPr>
          </w:p>
        </w:tc>
        <w:tc>
          <w:tcPr>
            <w:tcW w:w="520" w:type="dxa"/>
            <w:vAlign w:val="bottom"/>
            <w:tcBorders>
              <w:top w:val="single" w:sz="8" w:color="auto"/>
            </w:tcBorders>
            <w:shd w:val="clear" w:color="auto" w:fill="CCECFF"/>
          </w:tcPr>
          <w:p>
            <w:pPr>
              <w:spacing w:after="0"/>
              <w:rPr>
                <w:sz w:val="11"/>
                <w:szCs w:val="11"/>
                <w:color w:val="auto"/>
              </w:rPr>
            </w:pPr>
          </w:p>
        </w:tc>
        <w:tc>
          <w:tcPr>
            <w:tcW w:w="240" w:type="dxa"/>
            <w:vAlign w:val="bottom"/>
            <w:tcBorders>
              <w:top w:val="single" w:sz="8" w:color="CCECFF"/>
            </w:tcBorders>
            <w:shd w:val="clear" w:color="auto" w:fill="CCECFF"/>
          </w:tcPr>
          <w:p>
            <w:pPr>
              <w:spacing w:after="0"/>
              <w:rPr>
                <w:sz w:val="11"/>
                <w:szCs w:val="11"/>
                <w:color w:val="auto"/>
              </w:rPr>
            </w:pPr>
          </w:p>
        </w:tc>
        <w:tc>
          <w:tcPr>
            <w:tcW w:w="2620" w:type="dxa"/>
            <w:vAlign w:val="bottom"/>
            <w:tcBorders>
              <w:top w:val="single" w:sz="8" w:color="auto"/>
            </w:tcBorders>
            <w:shd w:val="clear" w:color="auto" w:fill="CCECFF"/>
          </w:tcPr>
          <w:p>
            <w:pPr>
              <w:spacing w:after="0"/>
              <w:rPr>
                <w:sz w:val="11"/>
                <w:szCs w:val="11"/>
                <w:color w:val="auto"/>
              </w:rPr>
            </w:pPr>
          </w:p>
        </w:tc>
        <w:tc>
          <w:tcPr>
            <w:tcW w:w="140" w:type="dxa"/>
            <w:vAlign w:val="bottom"/>
            <w:tcBorders>
              <w:top w:val="single" w:sz="8" w:color="CCECFF"/>
            </w:tcBorders>
            <w:shd w:val="clear" w:color="auto" w:fill="CCECFF"/>
          </w:tcPr>
          <w:p>
            <w:pPr>
              <w:spacing w:after="0"/>
              <w:rPr>
                <w:sz w:val="11"/>
                <w:szCs w:val="11"/>
                <w:color w:val="auto"/>
              </w:rPr>
            </w:pPr>
          </w:p>
        </w:tc>
        <w:tc>
          <w:tcPr>
            <w:tcW w:w="600" w:type="dxa"/>
            <w:vAlign w:val="bottom"/>
            <w:tcBorders>
              <w:top w:val="single" w:sz="8" w:color="auto"/>
            </w:tcBorders>
            <w:shd w:val="clear" w:color="auto" w:fill="CCECFF"/>
          </w:tcPr>
          <w:p>
            <w:pPr>
              <w:spacing w:after="0"/>
              <w:rPr>
                <w:sz w:val="11"/>
                <w:szCs w:val="11"/>
                <w:color w:val="auto"/>
              </w:rPr>
            </w:pPr>
          </w:p>
        </w:tc>
        <w:tc>
          <w:tcPr>
            <w:tcW w:w="260" w:type="dxa"/>
            <w:vAlign w:val="bottom"/>
            <w:tcBorders>
              <w:top w:val="single" w:sz="8" w:color="CCECFF"/>
            </w:tcBorders>
            <w:shd w:val="clear" w:color="auto" w:fill="CCECFF"/>
          </w:tcPr>
          <w:p>
            <w:pPr>
              <w:spacing w:after="0"/>
              <w:rPr>
                <w:sz w:val="11"/>
                <w:szCs w:val="11"/>
                <w:color w:val="auto"/>
              </w:rPr>
            </w:pPr>
          </w:p>
        </w:tc>
        <w:tc>
          <w:tcPr>
            <w:tcW w:w="560" w:type="dxa"/>
            <w:vAlign w:val="bottom"/>
            <w:tcBorders>
              <w:top w:val="single" w:sz="8" w:color="auto"/>
            </w:tcBorders>
            <w:shd w:val="clear" w:color="auto" w:fill="CCECFF"/>
          </w:tcPr>
          <w:p>
            <w:pPr>
              <w:spacing w:after="0"/>
              <w:rPr>
                <w:sz w:val="11"/>
                <w:szCs w:val="11"/>
                <w:color w:val="auto"/>
              </w:rPr>
            </w:pPr>
          </w:p>
        </w:tc>
        <w:tc>
          <w:tcPr>
            <w:tcW w:w="320" w:type="dxa"/>
            <w:vAlign w:val="bottom"/>
            <w:tcBorders>
              <w:top w:val="single" w:sz="8" w:color="auto"/>
            </w:tcBorders>
            <w:shd w:val="clear" w:color="auto" w:fill="CCECFF"/>
          </w:tcPr>
          <w:p>
            <w:pPr>
              <w:spacing w:after="0"/>
              <w:rPr>
                <w:sz w:val="11"/>
                <w:szCs w:val="11"/>
                <w:color w:val="auto"/>
              </w:rPr>
            </w:pPr>
          </w:p>
        </w:tc>
        <w:tc>
          <w:tcPr>
            <w:tcW w:w="120" w:type="dxa"/>
            <w:vAlign w:val="bottom"/>
            <w:tcBorders>
              <w:top w:val="single" w:sz="8" w:color="CCECFF"/>
            </w:tcBorders>
            <w:shd w:val="clear" w:color="auto" w:fill="CCECFF"/>
          </w:tcPr>
          <w:p>
            <w:pPr>
              <w:spacing w:after="0"/>
              <w:rPr>
                <w:sz w:val="11"/>
                <w:szCs w:val="11"/>
                <w:color w:val="auto"/>
              </w:rPr>
            </w:pPr>
          </w:p>
        </w:tc>
        <w:tc>
          <w:tcPr>
            <w:tcW w:w="100" w:type="dxa"/>
            <w:vAlign w:val="bottom"/>
            <w:tcBorders>
              <w:top w:val="single" w:sz="8" w:color="auto"/>
            </w:tcBorders>
            <w:shd w:val="clear" w:color="auto" w:fill="CCECFF"/>
          </w:tcPr>
          <w:p>
            <w:pPr>
              <w:spacing w:after="0"/>
              <w:rPr>
                <w:sz w:val="11"/>
                <w:szCs w:val="11"/>
                <w:color w:val="auto"/>
              </w:rPr>
            </w:pPr>
          </w:p>
        </w:tc>
        <w:tc>
          <w:tcPr>
            <w:tcW w:w="580" w:type="dxa"/>
            <w:vAlign w:val="bottom"/>
            <w:tcBorders>
              <w:top w:val="single" w:sz="8" w:color="auto"/>
            </w:tcBorders>
            <w:shd w:val="clear" w:color="auto" w:fill="CCECFF"/>
          </w:tcPr>
          <w:p>
            <w:pPr>
              <w:spacing w:after="0"/>
              <w:rPr>
                <w:sz w:val="11"/>
                <w:szCs w:val="11"/>
                <w:color w:val="auto"/>
              </w:rPr>
            </w:pPr>
          </w:p>
        </w:tc>
        <w:tc>
          <w:tcPr>
            <w:tcW w:w="240" w:type="dxa"/>
            <w:vAlign w:val="bottom"/>
            <w:tcBorders>
              <w:top w:val="single" w:sz="8" w:color="CCECFF"/>
            </w:tcBorders>
            <w:shd w:val="clear" w:color="auto" w:fill="CCECFF"/>
          </w:tcPr>
          <w:p>
            <w:pPr>
              <w:spacing w:after="0"/>
              <w:rPr>
                <w:sz w:val="11"/>
                <w:szCs w:val="11"/>
                <w:color w:val="auto"/>
              </w:rPr>
            </w:pPr>
          </w:p>
        </w:tc>
        <w:tc>
          <w:tcPr>
            <w:tcW w:w="80" w:type="dxa"/>
            <w:vAlign w:val="bottom"/>
            <w:tcBorders>
              <w:top w:val="single" w:sz="8" w:color="auto"/>
            </w:tcBorders>
            <w:shd w:val="clear" w:color="auto" w:fill="CCECFF"/>
          </w:tcPr>
          <w:p>
            <w:pPr>
              <w:spacing w:after="0"/>
              <w:rPr>
                <w:sz w:val="11"/>
                <w:szCs w:val="11"/>
                <w:color w:val="auto"/>
              </w:rPr>
            </w:pPr>
          </w:p>
        </w:tc>
        <w:tc>
          <w:tcPr>
            <w:tcW w:w="600" w:type="dxa"/>
            <w:vAlign w:val="bottom"/>
            <w:tcBorders>
              <w:top w:val="single" w:sz="8" w:color="auto"/>
            </w:tcBorders>
            <w:shd w:val="clear" w:color="auto" w:fill="CCECFF"/>
          </w:tcPr>
          <w:p>
            <w:pPr>
              <w:spacing w:after="0"/>
              <w:rPr>
                <w:sz w:val="11"/>
                <w:szCs w:val="11"/>
                <w:color w:val="auto"/>
              </w:rPr>
            </w:pPr>
          </w:p>
        </w:tc>
        <w:tc>
          <w:tcPr>
            <w:tcW w:w="220" w:type="dxa"/>
            <w:vAlign w:val="bottom"/>
            <w:tcBorders>
              <w:top w:val="single" w:sz="8" w:color="CCECFF"/>
            </w:tcBorders>
            <w:shd w:val="clear" w:color="auto" w:fill="CCECFF"/>
          </w:tcPr>
          <w:p>
            <w:pPr>
              <w:spacing w:after="0"/>
              <w:rPr>
                <w:sz w:val="11"/>
                <w:szCs w:val="11"/>
                <w:color w:val="auto"/>
              </w:rPr>
            </w:pPr>
          </w:p>
        </w:tc>
        <w:tc>
          <w:tcPr>
            <w:tcW w:w="100" w:type="dxa"/>
            <w:vAlign w:val="bottom"/>
            <w:tcBorders>
              <w:top w:val="single" w:sz="8" w:color="auto"/>
            </w:tcBorders>
            <w:shd w:val="clear" w:color="auto" w:fill="CCECFF"/>
          </w:tcPr>
          <w:p>
            <w:pPr>
              <w:spacing w:after="0"/>
              <w:rPr>
                <w:sz w:val="11"/>
                <w:szCs w:val="11"/>
                <w:color w:val="auto"/>
              </w:rPr>
            </w:pPr>
          </w:p>
        </w:tc>
        <w:tc>
          <w:tcPr>
            <w:tcW w:w="640" w:type="dxa"/>
            <w:vAlign w:val="bottom"/>
            <w:tcBorders>
              <w:top w:val="single" w:sz="8" w:color="auto"/>
            </w:tcBorders>
            <w:shd w:val="clear" w:color="auto" w:fill="CCECFF"/>
          </w:tcPr>
          <w:p>
            <w:pPr>
              <w:spacing w:after="0"/>
              <w:rPr>
                <w:sz w:val="11"/>
                <w:szCs w:val="11"/>
                <w:color w:val="auto"/>
              </w:rPr>
            </w:pPr>
          </w:p>
        </w:tc>
        <w:tc>
          <w:tcPr>
            <w:tcW w:w="120" w:type="dxa"/>
            <w:vAlign w:val="bottom"/>
            <w:tcBorders>
              <w:top w:val="single" w:sz="8" w:color="CCECFF"/>
            </w:tcBorders>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tcPr>
          <w:p>
            <w:pPr>
              <w:spacing w:after="0"/>
              <w:rPr>
                <w:sz w:val="20"/>
                <w:szCs w:val="20"/>
                <w:color w:val="auto"/>
              </w:rPr>
            </w:pPr>
            <w:r>
              <w:rPr>
                <w:rFonts w:ascii="Arial" w:cs="Arial" w:eastAsia="Arial" w:hAnsi="Arial"/>
                <w:sz w:val="11"/>
                <w:szCs w:val="11"/>
                <w:color w:val="auto"/>
              </w:rPr>
              <w:t>Altamira Technologies, LLC</w:t>
            </w:r>
          </w:p>
        </w:tc>
        <w:tc>
          <w:tcPr>
            <w:tcW w:w="640" w:type="dxa"/>
            <w:vAlign w:val="bottom"/>
            <w:gridSpan w:val="2"/>
          </w:tcPr>
          <w:p>
            <w:pPr>
              <w:jc w:val="center"/>
              <w:ind w:left="66"/>
              <w:spacing w:after="0"/>
              <w:rPr>
                <w:sz w:val="20"/>
                <w:szCs w:val="20"/>
                <w:color w:val="auto"/>
              </w:rPr>
            </w:pPr>
            <w:r>
              <w:rPr>
                <w:rFonts w:ascii="Arial" w:cs="Arial" w:eastAsia="Arial" w:hAnsi="Arial"/>
                <w:sz w:val="11"/>
                <w:szCs w:val="11"/>
                <w:color w:val="auto"/>
                <w:w w:val="87"/>
              </w:rPr>
              <w:t>07/24/2025</w:t>
            </w:r>
          </w:p>
        </w:tc>
        <w:tc>
          <w:tcPr>
            <w:tcW w:w="240" w:type="dxa"/>
            <w:vAlign w:val="bottom"/>
          </w:tcPr>
          <w:p>
            <w:pPr>
              <w:spacing w:after="0"/>
              <w:rPr>
                <w:sz w:val="11"/>
                <w:szCs w:val="11"/>
                <w:color w:val="auto"/>
              </w:rPr>
            </w:pPr>
          </w:p>
        </w:tc>
        <w:tc>
          <w:tcPr>
            <w:tcW w:w="2760" w:type="dxa"/>
            <w:vAlign w:val="bottom"/>
            <w:gridSpan w:val="2"/>
          </w:tcPr>
          <w:p>
            <w:pPr>
              <w:jc w:val="center"/>
              <w:ind w:right="140"/>
              <w:spacing w:after="0"/>
              <w:rPr>
                <w:sz w:val="20"/>
                <w:szCs w:val="20"/>
                <w:color w:val="auto"/>
              </w:rPr>
            </w:pPr>
            <w:r>
              <w:rPr>
                <w:rFonts w:ascii="Arial" w:cs="Arial" w:eastAsia="Arial" w:hAnsi="Arial"/>
                <w:sz w:val="11"/>
                <w:szCs w:val="11"/>
                <w:color w:val="auto"/>
                <w:w w:val="89"/>
              </w:rPr>
              <w:t>High Tech Industries</w:t>
            </w:r>
          </w:p>
        </w:tc>
        <w:tc>
          <w:tcPr>
            <w:tcW w:w="860" w:type="dxa"/>
            <w:vAlign w:val="bottom"/>
            <w:gridSpan w:val="2"/>
          </w:tcPr>
          <w:p>
            <w:pPr>
              <w:jc w:val="right"/>
              <w:ind w:right="180"/>
              <w:spacing w:after="0"/>
              <w:rPr>
                <w:sz w:val="20"/>
                <w:szCs w:val="20"/>
                <w:color w:val="auto"/>
              </w:rPr>
            </w:pPr>
            <w:r>
              <w:rPr>
                <w:rFonts w:ascii="Arial" w:cs="Arial" w:eastAsia="Arial" w:hAnsi="Arial"/>
                <w:sz w:val="11"/>
                <w:szCs w:val="11"/>
                <w:color w:val="auto"/>
              </w:rPr>
              <w:t>8.28%</w:t>
            </w:r>
          </w:p>
        </w:tc>
        <w:tc>
          <w:tcPr>
            <w:tcW w:w="560" w:type="dxa"/>
            <w:vAlign w:val="bottom"/>
          </w:tcPr>
          <w:p>
            <w:pPr>
              <w:ind w:left="400"/>
              <w:spacing w:after="0"/>
              <w:rPr>
                <w:sz w:val="20"/>
                <w:szCs w:val="20"/>
                <w:color w:val="auto"/>
              </w:rPr>
            </w:pPr>
            <w:r>
              <w:rPr>
                <w:rFonts w:ascii="Arial" w:cs="Arial" w:eastAsia="Arial" w:hAnsi="Arial"/>
                <w:sz w:val="11"/>
                <w:szCs w:val="11"/>
                <w:color w:val="auto"/>
                <w:w w:val="91"/>
              </w:rPr>
              <w:t>3M</w:t>
            </w:r>
          </w:p>
        </w:tc>
        <w:tc>
          <w:tcPr>
            <w:tcW w:w="540" w:type="dxa"/>
            <w:vAlign w:val="bottom"/>
            <w:gridSpan w:val="3"/>
          </w:tcPr>
          <w:p>
            <w:pPr>
              <w:jc w:val="right"/>
              <w:ind w:right="220"/>
              <w:spacing w:after="0"/>
              <w:rPr>
                <w:sz w:val="20"/>
                <w:szCs w:val="20"/>
                <w:color w:val="auto"/>
              </w:rPr>
            </w:pPr>
            <w:r>
              <w:rPr>
                <w:rFonts w:ascii="Arial" w:cs="Arial" w:eastAsia="Arial" w:hAnsi="Arial"/>
                <w:sz w:val="11"/>
                <w:szCs w:val="11"/>
                <w:color w:val="auto"/>
                <w:w w:val="96"/>
              </w:rPr>
              <w:t>L+600</w:t>
            </w:r>
          </w:p>
        </w:tc>
        <w:tc>
          <w:tcPr>
            <w:tcW w:w="580" w:type="dxa"/>
            <w:vAlign w:val="bottom"/>
          </w:tcPr>
          <w:p>
            <w:pPr>
              <w:jc w:val="right"/>
              <w:spacing w:after="0"/>
              <w:rPr>
                <w:sz w:val="20"/>
                <w:szCs w:val="20"/>
                <w:color w:val="auto"/>
              </w:rPr>
            </w:pPr>
            <w:r>
              <w:rPr>
                <w:rFonts w:ascii="Arial" w:cs="Arial" w:eastAsia="Arial" w:hAnsi="Arial"/>
                <w:sz w:val="11"/>
                <w:szCs w:val="11"/>
                <w:color w:val="auto"/>
              </w:rPr>
              <w:t>5,000,000</w:t>
            </w:r>
          </w:p>
        </w:tc>
        <w:tc>
          <w:tcPr>
            <w:tcW w:w="320" w:type="dxa"/>
            <w:vAlign w:val="bottom"/>
            <w:gridSpan w:val="2"/>
          </w:tcPr>
          <w:p>
            <w:pPr>
              <w:jc w:val="right"/>
              <w:ind w:right="40"/>
              <w:spacing w:after="0"/>
              <w:rPr>
                <w:sz w:val="20"/>
                <w:szCs w:val="20"/>
                <w:color w:val="auto"/>
              </w:rPr>
            </w:pPr>
            <w:r>
              <w:rPr>
                <w:rFonts w:ascii="Arial" w:cs="Arial" w:eastAsia="Arial" w:hAnsi="Arial"/>
                <w:sz w:val="11"/>
                <w:szCs w:val="11"/>
                <w:color w:val="auto"/>
              </w:rPr>
              <w:t>$</w:t>
            </w:r>
          </w:p>
        </w:tc>
        <w:tc>
          <w:tcPr>
            <w:tcW w:w="600" w:type="dxa"/>
            <w:vAlign w:val="bottom"/>
          </w:tcPr>
          <w:p>
            <w:pPr>
              <w:jc w:val="right"/>
              <w:spacing w:after="0"/>
              <w:rPr>
                <w:sz w:val="20"/>
                <w:szCs w:val="20"/>
                <w:color w:val="auto"/>
              </w:rPr>
            </w:pPr>
            <w:r>
              <w:rPr>
                <w:rFonts w:ascii="Arial" w:cs="Arial" w:eastAsia="Arial" w:hAnsi="Arial"/>
                <w:sz w:val="11"/>
                <w:szCs w:val="11"/>
                <w:color w:val="auto"/>
              </w:rPr>
              <w:t>4,927,149</w:t>
            </w:r>
          </w:p>
        </w:tc>
        <w:tc>
          <w:tcPr>
            <w:tcW w:w="220" w:type="dxa"/>
            <w:vAlign w:val="bottom"/>
          </w:tcPr>
          <w:p>
            <w:pPr>
              <w:spacing w:after="0"/>
              <w:rPr>
                <w:sz w:val="11"/>
                <w:szCs w:val="11"/>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tcPr>
          <w:p>
            <w:pPr>
              <w:jc w:val="right"/>
              <w:spacing w:after="0"/>
              <w:rPr>
                <w:sz w:val="20"/>
                <w:szCs w:val="20"/>
                <w:color w:val="auto"/>
              </w:rPr>
            </w:pPr>
            <w:r>
              <w:rPr>
                <w:rFonts w:ascii="Arial" w:cs="Arial" w:eastAsia="Arial" w:hAnsi="Arial"/>
                <w:sz w:val="11"/>
                <w:szCs w:val="11"/>
                <w:color w:val="auto"/>
              </w:rPr>
              <w:t>5,000,000</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shd w:val="clear" w:color="auto" w:fill="CCECFF"/>
          </w:tcPr>
          <w:p>
            <w:pPr>
              <w:spacing w:after="0"/>
              <w:rPr>
                <w:sz w:val="20"/>
                <w:szCs w:val="20"/>
                <w:color w:val="auto"/>
              </w:rPr>
            </w:pPr>
            <w:r>
              <w:rPr>
                <w:rFonts w:ascii="Arial" w:cs="Arial" w:eastAsia="Arial" w:hAnsi="Arial"/>
                <w:sz w:val="11"/>
                <w:szCs w:val="11"/>
                <w:color w:val="auto"/>
              </w:rPr>
              <w:t>American Auto Auction Group, LLC</w:t>
            </w:r>
          </w:p>
        </w:tc>
        <w:tc>
          <w:tcPr>
            <w:tcW w:w="64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87"/>
              </w:rPr>
              <w:t>01/02/2024</w:t>
            </w:r>
          </w:p>
        </w:tc>
        <w:tc>
          <w:tcPr>
            <w:tcW w:w="24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9"/>
              </w:rPr>
              <w:t>Transportation: Consumer</w:t>
            </w:r>
          </w:p>
        </w:tc>
        <w:tc>
          <w:tcPr>
            <w:tcW w:w="86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6.85%</w:t>
            </w:r>
          </w:p>
        </w:tc>
        <w:tc>
          <w:tcPr>
            <w:tcW w:w="560" w:type="dxa"/>
            <w:vAlign w:val="bottom"/>
            <w:shd w:val="clear" w:color="auto" w:fill="CCECFF"/>
          </w:tcPr>
          <w:p>
            <w:pPr>
              <w:ind w:left="400"/>
              <w:spacing w:after="0"/>
              <w:rPr>
                <w:sz w:val="20"/>
                <w:szCs w:val="20"/>
                <w:color w:val="auto"/>
              </w:rPr>
            </w:pPr>
            <w:r>
              <w:rPr>
                <w:rFonts w:ascii="Arial" w:cs="Arial" w:eastAsia="Arial" w:hAnsi="Arial"/>
                <w:sz w:val="11"/>
                <w:szCs w:val="11"/>
                <w:color w:val="auto"/>
                <w:w w:val="91"/>
              </w:rPr>
              <w:t>3M</w:t>
            </w:r>
          </w:p>
        </w:tc>
        <w:tc>
          <w:tcPr>
            <w:tcW w:w="540" w:type="dxa"/>
            <w:vAlign w:val="bottom"/>
            <w:gridSpan w:val="3"/>
            <w:shd w:val="clear" w:color="auto" w:fill="CCECFF"/>
          </w:tcPr>
          <w:p>
            <w:pPr>
              <w:jc w:val="right"/>
              <w:ind w:right="220"/>
              <w:spacing w:after="0"/>
              <w:rPr>
                <w:sz w:val="20"/>
                <w:szCs w:val="20"/>
                <w:color w:val="auto"/>
              </w:rPr>
            </w:pPr>
            <w:r>
              <w:rPr>
                <w:rFonts w:ascii="Arial" w:cs="Arial" w:eastAsia="Arial" w:hAnsi="Arial"/>
                <w:sz w:val="11"/>
                <w:szCs w:val="11"/>
                <w:color w:val="auto"/>
                <w:w w:val="96"/>
              </w:rPr>
              <w:t>L+475</w:t>
            </w: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7,749,274</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7,674,216</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7,671,781</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tcPr>
          <w:p>
            <w:pPr>
              <w:spacing w:after="0"/>
              <w:rPr>
                <w:sz w:val="20"/>
                <w:szCs w:val="20"/>
                <w:color w:val="auto"/>
              </w:rPr>
            </w:pPr>
            <w:r>
              <w:rPr>
                <w:rFonts w:ascii="Arial" w:cs="Arial" w:eastAsia="Arial" w:hAnsi="Arial"/>
                <w:sz w:val="11"/>
                <w:szCs w:val="11"/>
                <w:color w:val="auto"/>
              </w:rPr>
              <w:t>By Light Professional IT Services, LLC</w:t>
            </w:r>
          </w:p>
        </w:tc>
        <w:tc>
          <w:tcPr>
            <w:tcW w:w="640" w:type="dxa"/>
            <w:vAlign w:val="bottom"/>
            <w:gridSpan w:val="2"/>
          </w:tcPr>
          <w:p>
            <w:pPr>
              <w:jc w:val="center"/>
              <w:ind w:left="66"/>
              <w:spacing w:after="0"/>
              <w:rPr>
                <w:sz w:val="20"/>
                <w:szCs w:val="20"/>
                <w:color w:val="auto"/>
              </w:rPr>
            </w:pPr>
            <w:r>
              <w:rPr>
                <w:rFonts w:ascii="Arial" w:cs="Arial" w:eastAsia="Arial" w:hAnsi="Arial"/>
                <w:sz w:val="11"/>
                <w:szCs w:val="11"/>
                <w:color w:val="auto"/>
                <w:w w:val="87"/>
              </w:rPr>
              <w:t>05/16/2022</w:t>
            </w:r>
          </w:p>
        </w:tc>
        <w:tc>
          <w:tcPr>
            <w:tcW w:w="240" w:type="dxa"/>
            <w:vAlign w:val="bottom"/>
          </w:tcPr>
          <w:p>
            <w:pPr>
              <w:spacing w:after="0"/>
              <w:rPr>
                <w:sz w:val="11"/>
                <w:szCs w:val="11"/>
                <w:color w:val="auto"/>
              </w:rPr>
            </w:pPr>
          </w:p>
        </w:tc>
        <w:tc>
          <w:tcPr>
            <w:tcW w:w="2760" w:type="dxa"/>
            <w:vAlign w:val="bottom"/>
            <w:gridSpan w:val="2"/>
          </w:tcPr>
          <w:p>
            <w:pPr>
              <w:jc w:val="center"/>
              <w:ind w:right="140"/>
              <w:spacing w:after="0"/>
              <w:rPr>
                <w:sz w:val="20"/>
                <w:szCs w:val="20"/>
                <w:color w:val="auto"/>
              </w:rPr>
            </w:pPr>
            <w:r>
              <w:rPr>
                <w:rFonts w:ascii="Arial" w:cs="Arial" w:eastAsia="Arial" w:hAnsi="Arial"/>
                <w:sz w:val="11"/>
                <w:szCs w:val="11"/>
                <w:color w:val="auto"/>
                <w:w w:val="89"/>
              </w:rPr>
              <w:t>High Tech Industries</w:t>
            </w:r>
          </w:p>
        </w:tc>
        <w:tc>
          <w:tcPr>
            <w:tcW w:w="860" w:type="dxa"/>
            <w:vAlign w:val="bottom"/>
            <w:gridSpan w:val="2"/>
          </w:tcPr>
          <w:p>
            <w:pPr>
              <w:jc w:val="right"/>
              <w:ind w:right="180"/>
              <w:spacing w:after="0"/>
              <w:rPr>
                <w:sz w:val="20"/>
                <w:szCs w:val="20"/>
                <w:color w:val="auto"/>
              </w:rPr>
            </w:pPr>
            <w:r>
              <w:rPr>
                <w:rFonts w:ascii="Arial" w:cs="Arial" w:eastAsia="Arial" w:hAnsi="Arial"/>
                <w:sz w:val="11"/>
                <w:szCs w:val="11"/>
                <w:color w:val="auto"/>
              </w:rPr>
              <w:t>8.52%</w:t>
            </w:r>
          </w:p>
        </w:tc>
        <w:tc>
          <w:tcPr>
            <w:tcW w:w="560" w:type="dxa"/>
            <w:vAlign w:val="bottom"/>
          </w:tcPr>
          <w:p>
            <w:pPr>
              <w:ind w:left="400"/>
              <w:spacing w:after="0"/>
              <w:rPr>
                <w:sz w:val="20"/>
                <w:szCs w:val="20"/>
                <w:color w:val="auto"/>
              </w:rPr>
            </w:pPr>
            <w:r>
              <w:rPr>
                <w:rFonts w:ascii="Arial" w:cs="Arial" w:eastAsia="Arial" w:hAnsi="Arial"/>
                <w:sz w:val="11"/>
                <w:szCs w:val="11"/>
                <w:color w:val="auto"/>
                <w:w w:val="91"/>
              </w:rPr>
              <w:t>1M</w:t>
            </w:r>
          </w:p>
        </w:tc>
        <w:tc>
          <w:tcPr>
            <w:tcW w:w="540" w:type="dxa"/>
            <w:vAlign w:val="bottom"/>
            <w:gridSpan w:val="3"/>
          </w:tcPr>
          <w:p>
            <w:pPr>
              <w:jc w:val="right"/>
              <w:ind w:right="220"/>
              <w:spacing w:after="0"/>
              <w:rPr>
                <w:sz w:val="20"/>
                <w:szCs w:val="20"/>
                <w:color w:val="auto"/>
              </w:rPr>
            </w:pPr>
            <w:r>
              <w:rPr>
                <w:rFonts w:ascii="Arial" w:cs="Arial" w:eastAsia="Arial" w:hAnsi="Arial"/>
                <w:sz w:val="11"/>
                <w:szCs w:val="11"/>
                <w:color w:val="auto"/>
                <w:w w:val="96"/>
              </w:rPr>
              <w:t>L+725</w:t>
            </w:r>
          </w:p>
        </w:tc>
        <w:tc>
          <w:tcPr>
            <w:tcW w:w="580" w:type="dxa"/>
            <w:vAlign w:val="bottom"/>
          </w:tcPr>
          <w:p>
            <w:pPr>
              <w:jc w:val="right"/>
              <w:spacing w:after="0"/>
              <w:rPr>
                <w:sz w:val="20"/>
                <w:szCs w:val="20"/>
                <w:color w:val="auto"/>
              </w:rPr>
            </w:pPr>
            <w:r>
              <w:rPr>
                <w:rFonts w:ascii="Arial" w:cs="Arial" w:eastAsia="Arial" w:hAnsi="Arial"/>
                <w:sz w:val="11"/>
                <w:szCs w:val="11"/>
                <w:color w:val="auto"/>
                <w:w w:val="98"/>
              </w:rPr>
              <w:t>13,772,261</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13,531,751</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13,772,261</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shd w:val="clear" w:color="auto" w:fill="CCECFF"/>
          </w:tcPr>
          <w:p>
            <w:pPr>
              <w:spacing w:after="0"/>
              <w:rPr>
                <w:sz w:val="20"/>
                <w:szCs w:val="20"/>
                <w:color w:val="auto"/>
              </w:rPr>
            </w:pPr>
            <w:r>
              <w:rPr>
                <w:rFonts w:ascii="Arial" w:cs="Arial" w:eastAsia="Arial" w:hAnsi="Arial"/>
                <w:sz w:val="11"/>
                <w:szCs w:val="11"/>
                <w:color w:val="auto"/>
              </w:rPr>
              <w:t>Cadence Aerospace, LLC</w:t>
            </w:r>
          </w:p>
        </w:tc>
        <w:tc>
          <w:tcPr>
            <w:tcW w:w="64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87"/>
              </w:rPr>
              <w:t>11/14/2023</w:t>
            </w:r>
          </w:p>
        </w:tc>
        <w:tc>
          <w:tcPr>
            <w:tcW w:w="24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6"/>
              </w:rPr>
              <w:t>Aerospace and Defense</w:t>
            </w:r>
          </w:p>
        </w:tc>
        <w:tc>
          <w:tcPr>
            <w:tcW w:w="86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8.54%</w:t>
            </w:r>
          </w:p>
        </w:tc>
        <w:tc>
          <w:tcPr>
            <w:tcW w:w="560" w:type="dxa"/>
            <w:vAlign w:val="bottom"/>
            <w:shd w:val="clear" w:color="auto" w:fill="CCECFF"/>
          </w:tcPr>
          <w:p>
            <w:pPr>
              <w:ind w:left="400"/>
              <w:spacing w:after="0"/>
              <w:rPr>
                <w:sz w:val="20"/>
                <w:szCs w:val="20"/>
                <w:color w:val="auto"/>
              </w:rPr>
            </w:pPr>
            <w:r>
              <w:rPr>
                <w:rFonts w:ascii="Arial" w:cs="Arial" w:eastAsia="Arial" w:hAnsi="Arial"/>
                <w:sz w:val="11"/>
                <w:szCs w:val="11"/>
                <w:color w:val="auto"/>
                <w:w w:val="91"/>
              </w:rPr>
              <w:t>3M</w:t>
            </w:r>
          </w:p>
        </w:tc>
        <w:tc>
          <w:tcPr>
            <w:tcW w:w="540" w:type="dxa"/>
            <w:vAlign w:val="bottom"/>
            <w:gridSpan w:val="3"/>
            <w:shd w:val="clear" w:color="auto" w:fill="CCECFF"/>
          </w:tcPr>
          <w:p>
            <w:pPr>
              <w:jc w:val="right"/>
              <w:ind w:right="220"/>
              <w:spacing w:after="0"/>
              <w:rPr>
                <w:sz w:val="20"/>
                <w:szCs w:val="20"/>
                <w:color w:val="auto"/>
              </w:rPr>
            </w:pPr>
            <w:r>
              <w:rPr>
                <w:rFonts w:ascii="Arial" w:cs="Arial" w:eastAsia="Arial" w:hAnsi="Arial"/>
                <w:sz w:val="11"/>
                <w:szCs w:val="11"/>
                <w:color w:val="auto"/>
                <w:w w:val="96"/>
              </w:rPr>
              <w:t>L+650</w:t>
            </w: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w w:val="98"/>
              </w:rPr>
              <w:t>11,735,208</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11,644,440</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11,680,054</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tcPr>
          <w:p>
            <w:pPr>
              <w:spacing w:after="0"/>
              <w:rPr>
                <w:sz w:val="20"/>
                <w:szCs w:val="20"/>
                <w:color w:val="auto"/>
              </w:rPr>
            </w:pPr>
            <w:r>
              <w:rPr>
                <w:rFonts w:ascii="Arial" w:cs="Arial" w:eastAsia="Arial" w:hAnsi="Arial"/>
                <w:sz w:val="11"/>
                <w:szCs w:val="11"/>
                <w:color w:val="auto"/>
              </w:rPr>
              <w:t>Cardenas Markets LLC</w:t>
            </w:r>
          </w:p>
        </w:tc>
        <w:tc>
          <w:tcPr>
            <w:tcW w:w="640" w:type="dxa"/>
            <w:vAlign w:val="bottom"/>
            <w:gridSpan w:val="2"/>
          </w:tcPr>
          <w:p>
            <w:pPr>
              <w:jc w:val="center"/>
              <w:ind w:left="66"/>
              <w:spacing w:after="0"/>
              <w:rPr>
                <w:sz w:val="20"/>
                <w:szCs w:val="20"/>
                <w:color w:val="auto"/>
              </w:rPr>
            </w:pPr>
            <w:r>
              <w:rPr>
                <w:rFonts w:ascii="Arial" w:cs="Arial" w:eastAsia="Arial" w:hAnsi="Arial"/>
                <w:sz w:val="11"/>
                <w:szCs w:val="11"/>
                <w:color w:val="auto"/>
                <w:w w:val="87"/>
              </w:rPr>
              <w:t>11/29/2023</w:t>
            </w:r>
          </w:p>
        </w:tc>
        <w:tc>
          <w:tcPr>
            <w:tcW w:w="240" w:type="dxa"/>
            <w:vAlign w:val="bottom"/>
          </w:tcPr>
          <w:p>
            <w:pPr>
              <w:spacing w:after="0"/>
              <w:rPr>
                <w:sz w:val="11"/>
                <w:szCs w:val="11"/>
                <w:color w:val="auto"/>
              </w:rPr>
            </w:pPr>
          </w:p>
        </w:tc>
        <w:tc>
          <w:tcPr>
            <w:tcW w:w="2760" w:type="dxa"/>
            <w:vAlign w:val="bottom"/>
            <w:gridSpan w:val="2"/>
          </w:tcPr>
          <w:p>
            <w:pPr>
              <w:jc w:val="center"/>
              <w:ind w:right="140"/>
              <w:spacing w:after="0"/>
              <w:rPr>
                <w:sz w:val="20"/>
                <w:szCs w:val="20"/>
                <w:color w:val="auto"/>
              </w:rPr>
            </w:pPr>
            <w:r>
              <w:rPr>
                <w:rFonts w:ascii="Arial" w:cs="Arial" w:eastAsia="Arial" w:hAnsi="Arial"/>
                <w:sz w:val="11"/>
                <w:szCs w:val="11"/>
                <w:color w:val="auto"/>
                <w:w w:val="86"/>
              </w:rPr>
              <w:t>Beverage, Food and Tobacco</w:t>
            </w:r>
          </w:p>
        </w:tc>
        <w:tc>
          <w:tcPr>
            <w:tcW w:w="860" w:type="dxa"/>
            <w:vAlign w:val="bottom"/>
            <w:gridSpan w:val="2"/>
          </w:tcPr>
          <w:p>
            <w:pPr>
              <w:jc w:val="right"/>
              <w:ind w:right="180"/>
              <w:spacing w:after="0"/>
              <w:rPr>
                <w:sz w:val="20"/>
                <w:szCs w:val="20"/>
                <w:color w:val="auto"/>
              </w:rPr>
            </w:pPr>
            <w:r>
              <w:rPr>
                <w:rFonts w:ascii="Arial" w:cs="Arial" w:eastAsia="Arial" w:hAnsi="Arial"/>
                <w:sz w:val="11"/>
                <w:szCs w:val="11"/>
                <w:color w:val="auto"/>
              </w:rPr>
              <w:t>7.79%</w:t>
            </w:r>
          </w:p>
        </w:tc>
        <w:tc>
          <w:tcPr>
            <w:tcW w:w="560" w:type="dxa"/>
            <w:vAlign w:val="bottom"/>
          </w:tcPr>
          <w:p>
            <w:pPr>
              <w:ind w:left="400"/>
              <w:spacing w:after="0"/>
              <w:rPr>
                <w:sz w:val="20"/>
                <w:szCs w:val="20"/>
                <w:color w:val="auto"/>
              </w:rPr>
            </w:pPr>
            <w:r>
              <w:rPr>
                <w:rFonts w:ascii="Arial" w:cs="Arial" w:eastAsia="Arial" w:hAnsi="Arial"/>
                <w:sz w:val="11"/>
                <w:szCs w:val="11"/>
                <w:color w:val="auto"/>
                <w:w w:val="91"/>
              </w:rPr>
              <w:t>1M</w:t>
            </w:r>
          </w:p>
        </w:tc>
        <w:tc>
          <w:tcPr>
            <w:tcW w:w="540" w:type="dxa"/>
            <w:vAlign w:val="bottom"/>
            <w:gridSpan w:val="3"/>
          </w:tcPr>
          <w:p>
            <w:pPr>
              <w:jc w:val="right"/>
              <w:ind w:right="220"/>
              <w:spacing w:after="0"/>
              <w:rPr>
                <w:sz w:val="20"/>
                <w:szCs w:val="20"/>
                <w:color w:val="auto"/>
              </w:rPr>
            </w:pPr>
            <w:r>
              <w:rPr>
                <w:rFonts w:ascii="Arial" w:cs="Arial" w:eastAsia="Arial" w:hAnsi="Arial"/>
                <w:sz w:val="11"/>
                <w:szCs w:val="11"/>
                <w:color w:val="auto"/>
                <w:w w:val="96"/>
              </w:rPr>
              <w:t>L+575</w:t>
            </w:r>
          </w:p>
        </w:tc>
        <w:tc>
          <w:tcPr>
            <w:tcW w:w="580" w:type="dxa"/>
            <w:vAlign w:val="bottom"/>
          </w:tcPr>
          <w:p>
            <w:pPr>
              <w:jc w:val="right"/>
              <w:spacing w:after="0"/>
              <w:rPr>
                <w:sz w:val="20"/>
                <w:szCs w:val="20"/>
                <w:color w:val="auto"/>
              </w:rPr>
            </w:pPr>
            <w:r>
              <w:rPr>
                <w:rFonts w:ascii="Arial" w:cs="Arial" w:eastAsia="Arial" w:hAnsi="Arial"/>
                <w:sz w:val="11"/>
                <w:szCs w:val="11"/>
                <w:color w:val="auto"/>
              </w:rPr>
              <w:t>7,348,866</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7,311,507</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7,128,400</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shd w:val="clear" w:color="auto" w:fill="CCECFF"/>
          </w:tcPr>
          <w:p>
            <w:pPr>
              <w:spacing w:after="0"/>
              <w:rPr>
                <w:sz w:val="20"/>
                <w:szCs w:val="20"/>
                <w:color w:val="auto"/>
              </w:rPr>
            </w:pPr>
            <w:r>
              <w:rPr>
                <w:rFonts w:ascii="Arial" w:cs="Arial" w:eastAsia="Arial" w:hAnsi="Arial"/>
                <w:sz w:val="11"/>
                <w:szCs w:val="11"/>
                <w:color w:val="auto"/>
              </w:rPr>
              <w:t>Centauri Group Holdings, LLC</w:t>
            </w:r>
          </w:p>
        </w:tc>
        <w:tc>
          <w:tcPr>
            <w:tcW w:w="64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87"/>
              </w:rPr>
              <w:t>02/12/2024</w:t>
            </w:r>
          </w:p>
        </w:tc>
        <w:tc>
          <w:tcPr>
            <w:tcW w:w="24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6"/>
              </w:rPr>
              <w:t>Aerospace and Defense</w:t>
            </w:r>
          </w:p>
        </w:tc>
        <w:tc>
          <w:tcPr>
            <w:tcW w:w="86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7.36%</w:t>
            </w:r>
          </w:p>
        </w:tc>
        <w:tc>
          <w:tcPr>
            <w:tcW w:w="560" w:type="dxa"/>
            <w:vAlign w:val="bottom"/>
            <w:shd w:val="clear" w:color="auto" w:fill="CCECFF"/>
          </w:tcPr>
          <w:p>
            <w:pPr>
              <w:ind w:left="400"/>
              <w:spacing w:after="0"/>
              <w:rPr>
                <w:sz w:val="20"/>
                <w:szCs w:val="20"/>
                <w:color w:val="auto"/>
              </w:rPr>
            </w:pPr>
            <w:r>
              <w:rPr>
                <w:rFonts w:ascii="Arial" w:cs="Arial" w:eastAsia="Arial" w:hAnsi="Arial"/>
                <w:sz w:val="11"/>
                <w:szCs w:val="11"/>
                <w:color w:val="auto"/>
                <w:w w:val="91"/>
              </w:rPr>
              <w:t>1M</w:t>
            </w:r>
          </w:p>
        </w:tc>
        <w:tc>
          <w:tcPr>
            <w:tcW w:w="540" w:type="dxa"/>
            <w:vAlign w:val="bottom"/>
            <w:gridSpan w:val="3"/>
            <w:shd w:val="clear" w:color="auto" w:fill="CCECFF"/>
          </w:tcPr>
          <w:p>
            <w:pPr>
              <w:jc w:val="right"/>
              <w:ind w:right="220"/>
              <w:spacing w:after="0"/>
              <w:rPr>
                <w:sz w:val="20"/>
                <w:szCs w:val="20"/>
                <w:color w:val="auto"/>
              </w:rPr>
            </w:pPr>
            <w:r>
              <w:rPr>
                <w:rFonts w:ascii="Arial" w:cs="Arial" w:eastAsia="Arial" w:hAnsi="Arial"/>
                <w:sz w:val="11"/>
                <w:szCs w:val="11"/>
                <w:color w:val="auto"/>
                <w:w w:val="96"/>
              </w:rPr>
              <w:t>L+525</w:t>
            </w: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w w:val="98"/>
              </w:rPr>
              <w:t>10,422,726</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10,413,416</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10,396,669</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tcPr>
          <w:p>
            <w:pPr>
              <w:spacing w:after="0"/>
              <w:rPr>
                <w:sz w:val="20"/>
                <w:szCs w:val="20"/>
                <w:color w:val="auto"/>
              </w:rPr>
            </w:pPr>
            <w:r>
              <w:rPr>
                <w:rFonts w:ascii="Arial" w:cs="Arial" w:eastAsia="Arial" w:hAnsi="Arial"/>
                <w:sz w:val="11"/>
                <w:szCs w:val="11"/>
                <w:color w:val="auto"/>
              </w:rPr>
              <w:t>Challenger Performance Optimization, Inc.</w:t>
            </w:r>
          </w:p>
        </w:tc>
        <w:tc>
          <w:tcPr>
            <w:tcW w:w="640" w:type="dxa"/>
            <w:vAlign w:val="bottom"/>
            <w:gridSpan w:val="2"/>
          </w:tcPr>
          <w:p>
            <w:pPr>
              <w:jc w:val="center"/>
              <w:ind w:left="66"/>
              <w:spacing w:after="0"/>
              <w:rPr>
                <w:sz w:val="20"/>
                <w:szCs w:val="20"/>
                <w:color w:val="auto"/>
              </w:rPr>
            </w:pPr>
            <w:r>
              <w:rPr>
                <w:rFonts w:ascii="Arial" w:cs="Arial" w:eastAsia="Arial" w:hAnsi="Arial"/>
                <w:sz w:val="11"/>
                <w:szCs w:val="11"/>
                <w:color w:val="auto"/>
                <w:w w:val="87"/>
              </w:rPr>
              <w:t>08/31/2023</w:t>
            </w:r>
          </w:p>
        </w:tc>
        <w:tc>
          <w:tcPr>
            <w:tcW w:w="240" w:type="dxa"/>
            <w:vAlign w:val="bottom"/>
          </w:tcPr>
          <w:p>
            <w:pPr>
              <w:spacing w:after="0"/>
              <w:rPr>
                <w:sz w:val="11"/>
                <w:szCs w:val="11"/>
                <w:color w:val="auto"/>
              </w:rPr>
            </w:pPr>
          </w:p>
        </w:tc>
        <w:tc>
          <w:tcPr>
            <w:tcW w:w="2760" w:type="dxa"/>
            <w:vAlign w:val="bottom"/>
            <w:gridSpan w:val="2"/>
          </w:tcPr>
          <w:p>
            <w:pPr>
              <w:jc w:val="center"/>
              <w:ind w:right="140"/>
              <w:spacing w:after="0"/>
              <w:rPr>
                <w:sz w:val="20"/>
                <w:szCs w:val="20"/>
                <w:color w:val="auto"/>
              </w:rPr>
            </w:pPr>
            <w:r>
              <w:rPr>
                <w:rFonts w:ascii="Arial" w:cs="Arial" w:eastAsia="Arial" w:hAnsi="Arial"/>
                <w:sz w:val="11"/>
                <w:szCs w:val="11"/>
                <w:color w:val="auto"/>
                <w:w w:val="86"/>
              </w:rPr>
              <w:t>Business Services</w:t>
            </w:r>
          </w:p>
        </w:tc>
        <w:tc>
          <w:tcPr>
            <w:tcW w:w="860" w:type="dxa"/>
            <w:vAlign w:val="bottom"/>
            <w:gridSpan w:val="2"/>
          </w:tcPr>
          <w:p>
            <w:pPr>
              <w:jc w:val="right"/>
              <w:ind w:right="180"/>
              <w:spacing w:after="0"/>
              <w:rPr>
                <w:sz w:val="20"/>
                <w:szCs w:val="20"/>
                <w:color w:val="auto"/>
              </w:rPr>
            </w:pPr>
            <w:r>
              <w:rPr>
                <w:rFonts w:ascii="Arial" w:cs="Arial" w:eastAsia="Arial" w:hAnsi="Arial"/>
                <w:sz w:val="11"/>
                <w:szCs w:val="11"/>
                <w:color w:val="auto"/>
              </w:rPr>
              <w:t>7.87%</w:t>
            </w:r>
          </w:p>
        </w:tc>
        <w:tc>
          <w:tcPr>
            <w:tcW w:w="560" w:type="dxa"/>
            <w:vAlign w:val="bottom"/>
          </w:tcPr>
          <w:p>
            <w:pPr>
              <w:ind w:left="400"/>
              <w:spacing w:after="0"/>
              <w:rPr>
                <w:sz w:val="20"/>
                <w:szCs w:val="20"/>
                <w:color w:val="auto"/>
              </w:rPr>
            </w:pPr>
            <w:r>
              <w:rPr>
                <w:rFonts w:ascii="Arial" w:cs="Arial" w:eastAsia="Arial" w:hAnsi="Arial"/>
                <w:sz w:val="11"/>
                <w:szCs w:val="11"/>
                <w:color w:val="auto"/>
                <w:w w:val="91"/>
              </w:rPr>
              <w:t>1M</w:t>
            </w:r>
          </w:p>
        </w:tc>
        <w:tc>
          <w:tcPr>
            <w:tcW w:w="540" w:type="dxa"/>
            <w:vAlign w:val="bottom"/>
            <w:gridSpan w:val="3"/>
          </w:tcPr>
          <w:p>
            <w:pPr>
              <w:jc w:val="right"/>
              <w:ind w:right="220"/>
              <w:spacing w:after="0"/>
              <w:rPr>
                <w:sz w:val="20"/>
                <w:szCs w:val="20"/>
                <w:color w:val="auto"/>
              </w:rPr>
            </w:pPr>
            <w:r>
              <w:rPr>
                <w:rFonts w:ascii="Arial" w:cs="Arial" w:eastAsia="Arial" w:hAnsi="Arial"/>
                <w:sz w:val="11"/>
                <w:szCs w:val="11"/>
                <w:color w:val="auto"/>
                <w:w w:val="96"/>
              </w:rPr>
              <w:t>L+575</w:t>
            </w:r>
          </w:p>
        </w:tc>
        <w:tc>
          <w:tcPr>
            <w:tcW w:w="580" w:type="dxa"/>
            <w:vAlign w:val="bottom"/>
          </w:tcPr>
          <w:p>
            <w:pPr>
              <w:jc w:val="right"/>
              <w:spacing w:after="0"/>
              <w:rPr>
                <w:sz w:val="20"/>
                <w:szCs w:val="20"/>
                <w:color w:val="auto"/>
              </w:rPr>
            </w:pPr>
            <w:r>
              <w:rPr>
                <w:rFonts w:ascii="Arial" w:cs="Arial" w:eastAsia="Arial" w:hAnsi="Arial"/>
                <w:sz w:val="11"/>
                <w:szCs w:val="11"/>
                <w:color w:val="auto"/>
                <w:w w:val="98"/>
              </w:rPr>
              <w:t>10,127,447</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10,040,432</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9,874,261</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shd w:val="clear" w:color="auto" w:fill="CCECFF"/>
          </w:tcPr>
          <w:p>
            <w:pPr>
              <w:spacing w:after="0"/>
              <w:rPr>
                <w:sz w:val="20"/>
                <w:szCs w:val="20"/>
                <w:color w:val="auto"/>
              </w:rPr>
            </w:pPr>
            <w:r>
              <w:rPr>
                <w:rFonts w:ascii="Arial" w:cs="Arial" w:eastAsia="Arial" w:hAnsi="Arial"/>
                <w:sz w:val="11"/>
                <w:szCs w:val="11"/>
                <w:color w:val="auto"/>
              </w:rPr>
              <w:t>Country Fresh Holdings, LLC</w:t>
            </w:r>
          </w:p>
        </w:tc>
        <w:tc>
          <w:tcPr>
            <w:tcW w:w="64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87"/>
              </w:rPr>
              <w:t>05/01/2023</w:t>
            </w:r>
          </w:p>
        </w:tc>
        <w:tc>
          <w:tcPr>
            <w:tcW w:w="24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6"/>
              </w:rPr>
              <w:t>Beverage, Food and Tobacco</w:t>
            </w:r>
          </w:p>
        </w:tc>
        <w:tc>
          <w:tcPr>
            <w:tcW w:w="86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7.10%</w:t>
            </w:r>
          </w:p>
        </w:tc>
        <w:tc>
          <w:tcPr>
            <w:tcW w:w="560" w:type="dxa"/>
            <w:vAlign w:val="bottom"/>
            <w:shd w:val="clear" w:color="auto" w:fill="CCECFF"/>
          </w:tcPr>
          <w:p>
            <w:pPr>
              <w:ind w:left="400"/>
              <w:spacing w:after="0"/>
              <w:rPr>
                <w:sz w:val="20"/>
                <w:szCs w:val="20"/>
                <w:color w:val="auto"/>
              </w:rPr>
            </w:pPr>
            <w:r>
              <w:rPr>
                <w:rFonts w:ascii="Arial" w:cs="Arial" w:eastAsia="Arial" w:hAnsi="Arial"/>
                <w:sz w:val="11"/>
                <w:szCs w:val="11"/>
                <w:color w:val="auto"/>
                <w:w w:val="91"/>
              </w:rPr>
              <w:t>1M</w:t>
            </w:r>
          </w:p>
        </w:tc>
        <w:tc>
          <w:tcPr>
            <w:tcW w:w="540" w:type="dxa"/>
            <w:vAlign w:val="bottom"/>
            <w:gridSpan w:val="3"/>
            <w:shd w:val="clear" w:color="auto" w:fill="CCECFF"/>
          </w:tcPr>
          <w:p>
            <w:pPr>
              <w:jc w:val="right"/>
              <w:ind w:right="220"/>
              <w:spacing w:after="0"/>
              <w:rPr>
                <w:sz w:val="20"/>
                <w:szCs w:val="20"/>
                <w:color w:val="auto"/>
              </w:rPr>
            </w:pPr>
            <w:r>
              <w:rPr>
                <w:rFonts w:ascii="Arial" w:cs="Arial" w:eastAsia="Arial" w:hAnsi="Arial"/>
                <w:sz w:val="11"/>
                <w:szCs w:val="11"/>
                <w:color w:val="auto"/>
                <w:w w:val="96"/>
              </w:rPr>
              <w:t>L+500</w:t>
            </w: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182,403</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179,170</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182,403</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tcPr>
          <w:p>
            <w:pPr>
              <w:spacing w:after="0"/>
              <w:rPr>
                <w:sz w:val="20"/>
                <w:szCs w:val="20"/>
                <w:color w:val="auto"/>
              </w:rPr>
            </w:pPr>
            <w:r>
              <w:rPr>
                <w:rFonts w:ascii="Arial" w:cs="Arial" w:eastAsia="Arial" w:hAnsi="Arial"/>
                <w:sz w:val="11"/>
                <w:szCs w:val="11"/>
                <w:color w:val="auto"/>
              </w:rPr>
              <w:t>Country Fresh Holdings, LLC (Revolver)</w:t>
            </w:r>
          </w:p>
        </w:tc>
        <w:tc>
          <w:tcPr>
            <w:tcW w:w="640" w:type="dxa"/>
            <w:vAlign w:val="bottom"/>
            <w:gridSpan w:val="2"/>
          </w:tcPr>
          <w:p>
            <w:pPr>
              <w:jc w:val="center"/>
              <w:ind w:left="66"/>
              <w:spacing w:after="0"/>
              <w:rPr>
                <w:sz w:val="20"/>
                <w:szCs w:val="20"/>
                <w:color w:val="auto"/>
              </w:rPr>
            </w:pPr>
            <w:r>
              <w:rPr>
                <w:rFonts w:ascii="Arial" w:cs="Arial" w:eastAsia="Arial" w:hAnsi="Arial"/>
                <w:sz w:val="11"/>
                <w:szCs w:val="11"/>
                <w:color w:val="auto"/>
                <w:w w:val="87"/>
              </w:rPr>
              <w:t>05/01/2023</w:t>
            </w:r>
          </w:p>
        </w:tc>
        <w:tc>
          <w:tcPr>
            <w:tcW w:w="240" w:type="dxa"/>
            <w:vAlign w:val="bottom"/>
          </w:tcPr>
          <w:p>
            <w:pPr>
              <w:spacing w:after="0"/>
              <w:rPr>
                <w:sz w:val="11"/>
                <w:szCs w:val="11"/>
                <w:color w:val="auto"/>
              </w:rPr>
            </w:pPr>
          </w:p>
        </w:tc>
        <w:tc>
          <w:tcPr>
            <w:tcW w:w="2760" w:type="dxa"/>
            <w:vAlign w:val="bottom"/>
            <w:gridSpan w:val="2"/>
          </w:tcPr>
          <w:p>
            <w:pPr>
              <w:jc w:val="center"/>
              <w:ind w:right="140"/>
              <w:spacing w:after="0"/>
              <w:rPr>
                <w:sz w:val="20"/>
                <w:szCs w:val="20"/>
                <w:color w:val="auto"/>
              </w:rPr>
            </w:pPr>
            <w:r>
              <w:rPr>
                <w:rFonts w:ascii="Arial" w:cs="Arial" w:eastAsia="Arial" w:hAnsi="Arial"/>
                <w:sz w:val="11"/>
                <w:szCs w:val="11"/>
                <w:color w:val="auto"/>
                <w:w w:val="86"/>
              </w:rPr>
              <w:t>Beverage, Food and Tobacco</w:t>
            </w:r>
          </w:p>
        </w:tc>
        <w:tc>
          <w:tcPr>
            <w:tcW w:w="860" w:type="dxa"/>
            <w:vAlign w:val="bottom"/>
            <w:gridSpan w:val="2"/>
          </w:tcPr>
          <w:p>
            <w:pPr>
              <w:jc w:val="right"/>
              <w:ind w:right="180"/>
              <w:spacing w:after="0"/>
              <w:rPr>
                <w:sz w:val="20"/>
                <w:szCs w:val="20"/>
                <w:color w:val="auto"/>
              </w:rPr>
            </w:pPr>
            <w:r>
              <w:rPr>
                <w:rFonts w:ascii="Arial" w:cs="Arial" w:eastAsia="Arial" w:hAnsi="Arial"/>
                <w:sz w:val="11"/>
                <w:szCs w:val="11"/>
                <w:color w:val="auto"/>
              </w:rPr>
              <w:t>7.10%</w:t>
            </w:r>
          </w:p>
        </w:tc>
        <w:tc>
          <w:tcPr>
            <w:tcW w:w="560" w:type="dxa"/>
            <w:vAlign w:val="bottom"/>
          </w:tcPr>
          <w:p>
            <w:pPr>
              <w:ind w:left="400"/>
              <w:spacing w:after="0"/>
              <w:rPr>
                <w:sz w:val="20"/>
                <w:szCs w:val="20"/>
                <w:color w:val="auto"/>
              </w:rPr>
            </w:pPr>
            <w:r>
              <w:rPr>
                <w:rFonts w:ascii="Arial" w:cs="Arial" w:eastAsia="Arial" w:hAnsi="Arial"/>
                <w:sz w:val="11"/>
                <w:szCs w:val="11"/>
                <w:color w:val="auto"/>
                <w:w w:val="91"/>
              </w:rPr>
              <w:t>1M</w:t>
            </w:r>
          </w:p>
        </w:tc>
        <w:tc>
          <w:tcPr>
            <w:tcW w:w="540" w:type="dxa"/>
            <w:vAlign w:val="bottom"/>
            <w:gridSpan w:val="3"/>
          </w:tcPr>
          <w:p>
            <w:pPr>
              <w:jc w:val="right"/>
              <w:ind w:right="220"/>
              <w:spacing w:after="0"/>
              <w:rPr>
                <w:sz w:val="20"/>
                <w:szCs w:val="20"/>
                <w:color w:val="auto"/>
              </w:rPr>
            </w:pPr>
            <w:r>
              <w:rPr>
                <w:rFonts w:ascii="Arial" w:cs="Arial" w:eastAsia="Arial" w:hAnsi="Arial"/>
                <w:sz w:val="11"/>
                <w:szCs w:val="11"/>
                <w:color w:val="auto"/>
                <w:w w:val="96"/>
              </w:rPr>
              <w:t>L+500</w:t>
            </w:r>
          </w:p>
        </w:tc>
        <w:tc>
          <w:tcPr>
            <w:tcW w:w="580" w:type="dxa"/>
            <w:vAlign w:val="bottom"/>
          </w:tcPr>
          <w:p>
            <w:pPr>
              <w:jc w:val="right"/>
              <w:spacing w:after="0"/>
              <w:rPr>
                <w:sz w:val="20"/>
                <w:szCs w:val="20"/>
                <w:color w:val="auto"/>
              </w:rPr>
            </w:pPr>
            <w:r>
              <w:rPr>
                <w:rFonts w:ascii="Arial" w:cs="Arial" w:eastAsia="Arial" w:hAnsi="Arial"/>
                <w:sz w:val="11"/>
                <w:szCs w:val="11"/>
                <w:color w:val="auto"/>
              </w:rPr>
              <w:t>126,031</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126,031</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126,031</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Country Fresh Holdings, LLC - (Revolver) </w:t>
            </w:r>
            <w:r>
              <w:rPr>
                <w:rFonts w:ascii="Arial" w:cs="Arial" w:eastAsia="Arial" w:hAnsi="Arial"/>
                <w:sz w:val="9"/>
                <w:szCs w:val="9"/>
                <w:color w:val="auto"/>
              </w:rPr>
              <w:t>(5)</w:t>
            </w:r>
          </w:p>
        </w:tc>
        <w:tc>
          <w:tcPr>
            <w:tcW w:w="64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87"/>
              </w:rPr>
              <w:t>05/01/2023</w:t>
            </w:r>
          </w:p>
        </w:tc>
        <w:tc>
          <w:tcPr>
            <w:tcW w:w="24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6"/>
              </w:rPr>
              <w:t>Beverage, Food and Tobacco</w:t>
            </w:r>
          </w:p>
        </w:tc>
        <w:tc>
          <w:tcPr>
            <w:tcW w:w="86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560" w:type="dxa"/>
            <w:vAlign w:val="bottom"/>
            <w:shd w:val="clear" w:color="auto" w:fill="CCECFF"/>
          </w:tcPr>
          <w:p>
            <w:pPr>
              <w:spacing w:after="0"/>
              <w:rPr>
                <w:sz w:val="11"/>
                <w:szCs w:val="11"/>
                <w:color w:val="auto"/>
              </w:rPr>
            </w:pPr>
          </w:p>
        </w:tc>
        <w:tc>
          <w:tcPr>
            <w:tcW w:w="540" w:type="dxa"/>
            <w:vAlign w:val="bottom"/>
            <w:gridSpan w:val="3"/>
            <w:shd w:val="clear" w:color="auto" w:fill="CCECFF"/>
          </w:tcPr>
          <w:p>
            <w:pPr>
              <w:jc w:val="right"/>
              <w:ind w:right="220"/>
              <w:spacing w:after="0"/>
              <w:rPr>
                <w:sz w:val="20"/>
                <w:szCs w:val="20"/>
                <w:color w:val="auto"/>
              </w:rPr>
            </w:pPr>
            <w:r>
              <w:rPr>
                <w:rFonts w:ascii="Arial" w:cs="Arial" w:eastAsia="Arial" w:hAnsi="Arial"/>
                <w:sz w:val="11"/>
                <w:szCs w:val="11"/>
                <w:color w:val="auto"/>
              </w:rPr>
              <w:t>—</w:t>
            </w: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324,080</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82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CFF"/>
          </w:tcPr>
          <w:p>
            <w:pPr>
              <w:spacing w:after="0"/>
              <w:rPr>
                <w:sz w:val="11"/>
                <w:szCs w:val="11"/>
                <w:color w:val="auto"/>
              </w:rPr>
            </w:pPr>
          </w:p>
        </w:tc>
        <w:tc>
          <w:tcPr>
            <w:tcW w:w="760" w:type="dxa"/>
            <w:vAlign w:val="bottom"/>
            <w:gridSpan w:val="2"/>
            <w:shd w:val="clear" w:color="auto" w:fill="CCECFF"/>
          </w:tcPr>
          <w:p>
            <w:pPr>
              <w:jc w:val="right"/>
              <w:ind w:right="14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5"/>
        </w:trPr>
        <w:tc>
          <w:tcPr>
            <w:tcW w:w="3060" w:type="dxa"/>
            <w:vAlign w:val="bottom"/>
          </w:tcPr>
          <w:p>
            <w:pPr>
              <w:spacing w:after="0"/>
              <w:rPr>
                <w:sz w:val="20"/>
                <w:szCs w:val="20"/>
                <w:color w:val="auto"/>
              </w:rPr>
            </w:pPr>
            <w:r>
              <w:rPr>
                <w:rFonts w:ascii="Arial" w:cs="Arial" w:eastAsia="Arial" w:hAnsi="Arial"/>
                <w:sz w:val="11"/>
                <w:szCs w:val="11"/>
                <w:color w:val="auto"/>
              </w:rPr>
              <w:t>Deva Holdings, Inc.</w:t>
            </w:r>
          </w:p>
        </w:tc>
        <w:tc>
          <w:tcPr>
            <w:tcW w:w="640" w:type="dxa"/>
            <w:vAlign w:val="bottom"/>
            <w:gridSpan w:val="2"/>
          </w:tcPr>
          <w:p>
            <w:pPr>
              <w:jc w:val="center"/>
              <w:ind w:left="66"/>
              <w:spacing w:after="0"/>
              <w:rPr>
                <w:sz w:val="20"/>
                <w:szCs w:val="20"/>
                <w:color w:val="auto"/>
              </w:rPr>
            </w:pPr>
            <w:r>
              <w:rPr>
                <w:rFonts w:ascii="Arial" w:cs="Arial" w:eastAsia="Arial" w:hAnsi="Arial"/>
                <w:sz w:val="11"/>
                <w:szCs w:val="11"/>
                <w:color w:val="auto"/>
                <w:w w:val="87"/>
              </w:rPr>
              <w:t>10/31/2023</w:t>
            </w:r>
          </w:p>
        </w:tc>
        <w:tc>
          <w:tcPr>
            <w:tcW w:w="240" w:type="dxa"/>
            <w:vAlign w:val="bottom"/>
          </w:tcPr>
          <w:p>
            <w:pPr>
              <w:spacing w:after="0"/>
              <w:rPr>
                <w:sz w:val="11"/>
                <w:szCs w:val="11"/>
                <w:color w:val="auto"/>
              </w:rPr>
            </w:pPr>
          </w:p>
        </w:tc>
        <w:tc>
          <w:tcPr>
            <w:tcW w:w="2760" w:type="dxa"/>
            <w:vAlign w:val="bottom"/>
            <w:gridSpan w:val="2"/>
          </w:tcPr>
          <w:p>
            <w:pPr>
              <w:jc w:val="center"/>
              <w:ind w:right="140"/>
              <w:spacing w:after="0"/>
              <w:rPr>
                <w:sz w:val="20"/>
                <w:szCs w:val="20"/>
                <w:color w:val="auto"/>
              </w:rPr>
            </w:pPr>
            <w:r>
              <w:rPr>
                <w:rFonts w:ascii="Arial" w:cs="Arial" w:eastAsia="Arial" w:hAnsi="Arial"/>
                <w:sz w:val="11"/>
                <w:szCs w:val="11"/>
                <w:color w:val="auto"/>
                <w:w w:val="89"/>
              </w:rPr>
              <w:t>Consumer Goods: Non-Durable</w:t>
            </w:r>
          </w:p>
        </w:tc>
        <w:tc>
          <w:tcPr>
            <w:tcW w:w="860" w:type="dxa"/>
            <w:vAlign w:val="bottom"/>
            <w:gridSpan w:val="2"/>
          </w:tcPr>
          <w:p>
            <w:pPr>
              <w:jc w:val="right"/>
              <w:ind w:right="180"/>
              <w:spacing w:after="0"/>
              <w:rPr>
                <w:sz w:val="20"/>
                <w:szCs w:val="20"/>
                <w:color w:val="auto"/>
              </w:rPr>
            </w:pPr>
            <w:r>
              <w:rPr>
                <w:rFonts w:ascii="Arial" w:cs="Arial" w:eastAsia="Arial" w:hAnsi="Arial"/>
                <w:sz w:val="11"/>
                <w:szCs w:val="11"/>
                <w:color w:val="auto"/>
              </w:rPr>
              <w:t>7.54%</w:t>
            </w:r>
          </w:p>
        </w:tc>
        <w:tc>
          <w:tcPr>
            <w:tcW w:w="560" w:type="dxa"/>
            <w:vAlign w:val="bottom"/>
          </w:tcPr>
          <w:p>
            <w:pPr>
              <w:ind w:left="400"/>
              <w:spacing w:after="0"/>
              <w:rPr>
                <w:sz w:val="20"/>
                <w:szCs w:val="20"/>
                <w:color w:val="auto"/>
              </w:rPr>
            </w:pPr>
            <w:r>
              <w:rPr>
                <w:rFonts w:ascii="Arial" w:cs="Arial" w:eastAsia="Arial" w:hAnsi="Arial"/>
                <w:sz w:val="11"/>
                <w:szCs w:val="11"/>
                <w:color w:val="auto"/>
                <w:w w:val="91"/>
              </w:rPr>
              <w:t>3M</w:t>
            </w:r>
          </w:p>
        </w:tc>
        <w:tc>
          <w:tcPr>
            <w:tcW w:w="540" w:type="dxa"/>
            <w:vAlign w:val="bottom"/>
            <w:gridSpan w:val="3"/>
          </w:tcPr>
          <w:p>
            <w:pPr>
              <w:jc w:val="right"/>
              <w:ind w:right="220"/>
              <w:spacing w:after="0"/>
              <w:rPr>
                <w:sz w:val="20"/>
                <w:szCs w:val="20"/>
                <w:color w:val="auto"/>
              </w:rPr>
            </w:pPr>
            <w:r>
              <w:rPr>
                <w:rFonts w:ascii="Arial" w:cs="Arial" w:eastAsia="Arial" w:hAnsi="Arial"/>
                <w:sz w:val="11"/>
                <w:szCs w:val="11"/>
                <w:color w:val="auto"/>
                <w:w w:val="96"/>
              </w:rPr>
              <w:t>L+625</w:t>
            </w:r>
          </w:p>
        </w:tc>
        <w:tc>
          <w:tcPr>
            <w:tcW w:w="580" w:type="dxa"/>
            <w:vAlign w:val="bottom"/>
          </w:tcPr>
          <w:p>
            <w:pPr>
              <w:jc w:val="right"/>
              <w:spacing w:after="0"/>
              <w:rPr>
                <w:sz w:val="20"/>
                <w:szCs w:val="20"/>
                <w:color w:val="auto"/>
              </w:rPr>
            </w:pPr>
            <w:r>
              <w:rPr>
                <w:rFonts w:ascii="Arial" w:cs="Arial" w:eastAsia="Arial" w:hAnsi="Arial"/>
                <w:sz w:val="11"/>
                <w:szCs w:val="11"/>
                <w:color w:val="auto"/>
                <w:w w:val="98"/>
              </w:rPr>
              <w:t>19,748,744</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19,748,744</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19,748,744</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shd w:val="clear" w:color="auto" w:fill="CCECFF"/>
          </w:tcPr>
          <w:p>
            <w:pPr>
              <w:spacing w:after="0"/>
              <w:rPr>
                <w:sz w:val="20"/>
                <w:szCs w:val="20"/>
                <w:color w:val="auto"/>
              </w:rPr>
            </w:pPr>
            <w:r>
              <w:rPr>
                <w:rFonts w:ascii="Arial" w:cs="Arial" w:eastAsia="Arial" w:hAnsi="Arial"/>
                <w:sz w:val="11"/>
                <w:szCs w:val="11"/>
                <w:color w:val="auto"/>
              </w:rPr>
              <w:t>Douglas Products and Packaging Company LLC</w:t>
            </w:r>
          </w:p>
        </w:tc>
        <w:tc>
          <w:tcPr>
            <w:tcW w:w="64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87"/>
              </w:rPr>
              <w:t>10/19/2022</w:t>
            </w:r>
          </w:p>
        </w:tc>
        <w:tc>
          <w:tcPr>
            <w:tcW w:w="24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8"/>
              </w:rPr>
              <w:t>Chemicals, Plastics and Rubber</w:t>
            </w:r>
          </w:p>
        </w:tc>
        <w:tc>
          <w:tcPr>
            <w:tcW w:w="86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7.85%</w:t>
            </w:r>
          </w:p>
        </w:tc>
        <w:tc>
          <w:tcPr>
            <w:tcW w:w="560" w:type="dxa"/>
            <w:vAlign w:val="bottom"/>
            <w:shd w:val="clear" w:color="auto" w:fill="CCECFF"/>
          </w:tcPr>
          <w:p>
            <w:pPr>
              <w:ind w:left="400"/>
              <w:spacing w:after="0"/>
              <w:rPr>
                <w:sz w:val="20"/>
                <w:szCs w:val="20"/>
                <w:color w:val="auto"/>
              </w:rPr>
            </w:pPr>
            <w:r>
              <w:rPr>
                <w:rFonts w:ascii="Arial" w:cs="Arial" w:eastAsia="Arial" w:hAnsi="Arial"/>
                <w:sz w:val="11"/>
                <w:szCs w:val="11"/>
                <w:color w:val="auto"/>
                <w:w w:val="91"/>
              </w:rPr>
              <w:t>3M</w:t>
            </w:r>
          </w:p>
        </w:tc>
        <w:tc>
          <w:tcPr>
            <w:tcW w:w="540" w:type="dxa"/>
            <w:vAlign w:val="bottom"/>
            <w:gridSpan w:val="3"/>
            <w:shd w:val="clear" w:color="auto" w:fill="CCECFF"/>
          </w:tcPr>
          <w:p>
            <w:pPr>
              <w:jc w:val="right"/>
              <w:ind w:right="220"/>
              <w:spacing w:after="0"/>
              <w:rPr>
                <w:sz w:val="20"/>
                <w:szCs w:val="20"/>
                <w:color w:val="auto"/>
              </w:rPr>
            </w:pPr>
            <w:r>
              <w:rPr>
                <w:rFonts w:ascii="Arial" w:cs="Arial" w:eastAsia="Arial" w:hAnsi="Arial"/>
                <w:sz w:val="11"/>
                <w:szCs w:val="11"/>
                <w:color w:val="auto"/>
                <w:w w:val="96"/>
              </w:rPr>
              <w:t>L+575</w:t>
            </w: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w w:val="98"/>
              </w:rPr>
              <w:t>12,312,500</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12,157,345</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12,189,375</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tcPr>
          <w:p>
            <w:pPr>
              <w:spacing w:after="0"/>
              <w:rPr>
                <w:sz w:val="20"/>
                <w:szCs w:val="20"/>
                <w:color w:val="auto"/>
              </w:rPr>
            </w:pPr>
            <w:r>
              <w:rPr>
                <w:rFonts w:ascii="Arial" w:cs="Arial" w:eastAsia="Arial" w:hAnsi="Arial"/>
                <w:sz w:val="11"/>
                <w:szCs w:val="11"/>
                <w:color w:val="auto"/>
              </w:rPr>
              <w:t>Douglas Sewer Intermediate, LLC</w:t>
            </w:r>
          </w:p>
        </w:tc>
        <w:tc>
          <w:tcPr>
            <w:tcW w:w="640" w:type="dxa"/>
            <w:vAlign w:val="bottom"/>
            <w:gridSpan w:val="2"/>
          </w:tcPr>
          <w:p>
            <w:pPr>
              <w:jc w:val="center"/>
              <w:ind w:left="66"/>
              <w:spacing w:after="0"/>
              <w:rPr>
                <w:sz w:val="20"/>
                <w:szCs w:val="20"/>
                <w:color w:val="auto"/>
              </w:rPr>
            </w:pPr>
            <w:r>
              <w:rPr>
                <w:rFonts w:ascii="Arial" w:cs="Arial" w:eastAsia="Arial" w:hAnsi="Arial"/>
                <w:sz w:val="11"/>
                <w:szCs w:val="11"/>
                <w:color w:val="auto"/>
                <w:w w:val="87"/>
              </w:rPr>
              <w:t>10/19/2022</w:t>
            </w:r>
          </w:p>
        </w:tc>
        <w:tc>
          <w:tcPr>
            <w:tcW w:w="240" w:type="dxa"/>
            <w:vAlign w:val="bottom"/>
          </w:tcPr>
          <w:p>
            <w:pPr>
              <w:spacing w:after="0"/>
              <w:rPr>
                <w:sz w:val="11"/>
                <w:szCs w:val="11"/>
                <w:color w:val="auto"/>
              </w:rPr>
            </w:pPr>
          </w:p>
        </w:tc>
        <w:tc>
          <w:tcPr>
            <w:tcW w:w="2760" w:type="dxa"/>
            <w:vAlign w:val="bottom"/>
            <w:gridSpan w:val="2"/>
          </w:tcPr>
          <w:p>
            <w:pPr>
              <w:jc w:val="center"/>
              <w:ind w:right="140"/>
              <w:spacing w:after="0"/>
              <w:rPr>
                <w:sz w:val="20"/>
                <w:szCs w:val="20"/>
                <w:color w:val="auto"/>
              </w:rPr>
            </w:pPr>
            <w:r>
              <w:rPr>
                <w:rFonts w:ascii="Arial" w:cs="Arial" w:eastAsia="Arial" w:hAnsi="Arial"/>
                <w:sz w:val="11"/>
                <w:szCs w:val="11"/>
                <w:color w:val="auto"/>
                <w:w w:val="88"/>
              </w:rPr>
              <w:t>Chemicals, Plastics and Rubber</w:t>
            </w:r>
          </w:p>
        </w:tc>
        <w:tc>
          <w:tcPr>
            <w:tcW w:w="860" w:type="dxa"/>
            <w:vAlign w:val="bottom"/>
            <w:gridSpan w:val="2"/>
          </w:tcPr>
          <w:p>
            <w:pPr>
              <w:jc w:val="right"/>
              <w:ind w:right="180"/>
              <w:spacing w:after="0"/>
              <w:rPr>
                <w:sz w:val="20"/>
                <w:szCs w:val="20"/>
                <w:color w:val="auto"/>
              </w:rPr>
            </w:pPr>
            <w:r>
              <w:rPr>
                <w:rFonts w:ascii="Arial" w:cs="Arial" w:eastAsia="Arial" w:hAnsi="Arial"/>
                <w:sz w:val="11"/>
                <w:szCs w:val="11"/>
                <w:color w:val="auto"/>
              </w:rPr>
              <w:t>7.85%</w:t>
            </w:r>
          </w:p>
        </w:tc>
        <w:tc>
          <w:tcPr>
            <w:tcW w:w="560" w:type="dxa"/>
            <w:vAlign w:val="bottom"/>
          </w:tcPr>
          <w:p>
            <w:pPr>
              <w:ind w:left="400"/>
              <w:spacing w:after="0"/>
              <w:rPr>
                <w:sz w:val="20"/>
                <w:szCs w:val="20"/>
                <w:color w:val="auto"/>
              </w:rPr>
            </w:pPr>
            <w:r>
              <w:rPr>
                <w:rFonts w:ascii="Arial" w:cs="Arial" w:eastAsia="Arial" w:hAnsi="Arial"/>
                <w:sz w:val="11"/>
                <w:szCs w:val="11"/>
                <w:color w:val="auto"/>
                <w:w w:val="91"/>
              </w:rPr>
              <w:t>3M</w:t>
            </w:r>
          </w:p>
        </w:tc>
        <w:tc>
          <w:tcPr>
            <w:tcW w:w="540" w:type="dxa"/>
            <w:vAlign w:val="bottom"/>
            <w:gridSpan w:val="3"/>
          </w:tcPr>
          <w:p>
            <w:pPr>
              <w:jc w:val="right"/>
              <w:ind w:right="220"/>
              <w:spacing w:after="0"/>
              <w:rPr>
                <w:sz w:val="20"/>
                <w:szCs w:val="20"/>
                <w:color w:val="auto"/>
              </w:rPr>
            </w:pPr>
            <w:r>
              <w:rPr>
                <w:rFonts w:ascii="Arial" w:cs="Arial" w:eastAsia="Arial" w:hAnsi="Arial"/>
                <w:sz w:val="11"/>
                <w:szCs w:val="11"/>
                <w:color w:val="auto"/>
                <w:w w:val="96"/>
              </w:rPr>
              <w:t>L+575</w:t>
            </w:r>
          </w:p>
        </w:tc>
        <w:tc>
          <w:tcPr>
            <w:tcW w:w="580" w:type="dxa"/>
            <w:vAlign w:val="bottom"/>
          </w:tcPr>
          <w:p>
            <w:pPr>
              <w:jc w:val="right"/>
              <w:spacing w:after="0"/>
              <w:rPr>
                <w:sz w:val="20"/>
                <w:szCs w:val="20"/>
                <w:color w:val="auto"/>
              </w:rPr>
            </w:pPr>
            <w:r>
              <w:rPr>
                <w:rFonts w:ascii="Arial" w:cs="Arial" w:eastAsia="Arial" w:hAnsi="Arial"/>
                <w:sz w:val="11"/>
                <w:szCs w:val="11"/>
                <w:color w:val="auto"/>
              </w:rPr>
              <w:t>8,166,594</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8,116,022</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8,084,928</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06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Findex Group Limited </w:t>
            </w:r>
            <w:r>
              <w:rPr>
                <w:rFonts w:ascii="Arial" w:cs="Arial" w:eastAsia="Arial" w:hAnsi="Arial"/>
                <w:sz w:val="9"/>
                <w:szCs w:val="9"/>
                <w:color w:val="auto"/>
              </w:rPr>
              <w:t>(3), (4)</w:t>
            </w:r>
          </w:p>
        </w:tc>
        <w:tc>
          <w:tcPr>
            <w:tcW w:w="64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87"/>
              </w:rPr>
              <w:t>05/31/2024</w:t>
            </w:r>
          </w:p>
        </w:tc>
        <w:tc>
          <w:tcPr>
            <w:tcW w:w="240" w:type="dxa"/>
            <w:vAlign w:val="bottom"/>
            <w:shd w:val="clear" w:color="auto" w:fill="CCECFF"/>
          </w:tcPr>
          <w:p>
            <w:pPr>
              <w:spacing w:after="0"/>
              <w:rPr>
                <w:sz w:val="12"/>
                <w:szCs w:val="12"/>
                <w:color w:val="auto"/>
              </w:rPr>
            </w:pP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7"/>
              </w:rPr>
              <w:t>Banking, Finance, Insurance and Real Estate</w:t>
            </w:r>
          </w:p>
        </w:tc>
        <w:tc>
          <w:tcPr>
            <w:tcW w:w="86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6.26%</w:t>
            </w:r>
          </w:p>
        </w:tc>
        <w:tc>
          <w:tcPr>
            <w:tcW w:w="560" w:type="dxa"/>
            <w:vAlign w:val="bottom"/>
            <w:shd w:val="clear" w:color="auto" w:fill="CCECFF"/>
          </w:tcPr>
          <w:p>
            <w:pPr>
              <w:ind w:left="400"/>
              <w:spacing w:after="0"/>
              <w:rPr>
                <w:sz w:val="20"/>
                <w:szCs w:val="20"/>
                <w:color w:val="auto"/>
              </w:rPr>
            </w:pPr>
            <w:r>
              <w:rPr>
                <w:rFonts w:ascii="Arial" w:cs="Arial" w:eastAsia="Arial" w:hAnsi="Arial"/>
                <w:sz w:val="11"/>
                <w:szCs w:val="11"/>
                <w:color w:val="auto"/>
                <w:w w:val="91"/>
              </w:rPr>
              <w:t>3M</w:t>
            </w:r>
          </w:p>
        </w:tc>
        <w:tc>
          <w:tcPr>
            <w:tcW w:w="540" w:type="dxa"/>
            <w:vAlign w:val="bottom"/>
            <w:gridSpan w:val="3"/>
            <w:shd w:val="clear" w:color="auto" w:fill="CCECFF"/>
          </w:tcPr>
          <w:p>
            <w:pPr>
              <w:jc w:val="right"/>
              <w:ind w:right="40"/>
              <w:spacing w:after="0"/>
              <w:rPr>
                <w:sz w:val="20"/>
                <w:szCs w:val="20"/>
                <w:color w:val="auto"/>
              </w:rPr>
            </w:pPr>
            <w:r>
              <w:rPr>
                <w:rFonts w:ascii="Arial" w:cs="Arial" w:eastAsia="Arial" w:hAnsi="Arial"/>
                <w:sz w:val="11"/>
                <w:szCs w:val="11"/>
                <w:color w:val="auto"/>
              </w:rPr>
              <w:t>L+525A $</w:t>
            </w: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w w:val="89"/>
              </w:rPr>
              <w:t>10,000,000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7,376,173</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6,542,165</w:t>
            </w:r>
          </w:p>
        </w:tc>
        <w:tc>
          <w:tcPr>
            <w:tcW w:w="12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060" w:type="dxa"/>
            <w:vAlign w:val="bottom"/>
          </w:tcPr>
          <w:p>
            <w:pPr>
              <w:spacing w:after="0"/>
              <w:rPr>
                <w:sz w:val="20"/>
                <w:szCs w:val="20"/>
                <w:color w:val="auto"/>
              </w:rPr>
            </w:pPr>
            <w:r>
              <w:rPr>
                <w:rFonts w:ascii="Arial" w:cs="Arial" w:eastAsia="Arial" w:hAnsi="Arial"/>
                <w:sz w:val="11"/>
                <w:szCs w:val="11"/>
                <w:color w:val="auto"/>
              </w:rPr>
              <w:t>GCOM Software LLC</w:t>
            </w:r>
          </w:p>
        </w:tc>
        <w:tc>
          <w:tcPr>
            <w:tcW w:w="640" w:type="dxa"/>
            <w:vAlign w:val="bottom"/>
            <w:gridSpan w:val="2"/>
          </w:tcPr>
          <w:p>
            <w:pPr>
              <w:jc w:val="center"/>
              <w:ind w:left="66"/>
              <w:spacing w:after="0"/>
              <w:rPr>
                <w:sz w:val="20"/>
                <w:szCs w:val="20"/>
                <w:color w:val="auto"/>
              </w:rPr>
            </w:pPr>
            <w:r>
              <w:rPr>
                <w:rFonts w:ascii="Arial" w:cs="Arial" w:eastAsia="Arial" w:hAnsi="Arial"/>
                <w:sz w:val="11"/>
                <w:szCs w:val="11"/>
                <w:color w:val="auto"/>
                <w:w w:val="87"/>
              </w:rPr>
              <w:t>11/14/2022</w:t>
            </w:r>
          </w:p>
        </w:tc>
        <w:tc>
          <w:tcPr>
            <w:tcW w:w="240" w:type="dxa"/>
            <w:vAlign w:val="bottom"/>
          </w:tcPr>
          <w:p>
            <w:pPr>
              <w:spacing w:after="0"/>
              <w:rPr>
                <w:sz w:val="11"/>
                <w:szCs w:val="11"/>
                <w:color w:val="auto"/>
              </w:rPr>
            </w:pPr>
          </w:p>
        </w:tc>
        <w:tc>
          <w:tcPr>
            <w:tcW w:w="2760" w:type="dxa"/>
            <w:vAlign w:val="bottom"/>
            <w:gridSpan w:val="2"/>
          </w:tcPr>
          <w:p>
            <w:pPr>
              <w:jc w:val="center"/>
              <w:ind w:right="140"/>
              <w:spacing w:after="0"/>
              <w:rPr>
                <w:sz w:val="20"/>
                <w:szCs w:val="20"/>
                <w:color w:val="auto"/>
              </w:rPr>
            </w:pPr>
            <w:r>
              <w:rPr>
                <w:rFonts w:ascii="Arial" w:cs="Arial" w:eastAsia="Arial" w:hAnsi="Arial"/>
                <w:sz w:val="11"/>
                <w:szCs w:val="11"/>
                <w:color w:val="auto"/>
                <w:w w:val="89"/>
              </w:rPr>
              <w:t>High Tech Industries</w:t>
            </w:r>
          </w:p>
        </w:tc>
        <w:tc>
          <w:tcPr>
            <w:tcW w:w="860" w:type="dxa"/>
            <w:vAlign w:val="bottom"/>
            <w:gridSpan w:val="2"/>
          </w:tcPr>
          <w:p>
            <w:pPr>
              <w:jc w:val="right"/>
              <w:ind w:right="180"/>
              <w:spacing w:after="0"/>
              <w:rPr>
                <w:sz w:val="20"/>
                <w:szCs w:val="20"/>
                <w:color w:val="auto"/>
              </w:rPr>
            </w:pPr>
            <w:r>
              <w:rPr>
                <w:rFonts w:ascii="Arial" w:cs="Arial" w:eastAsia="Arial" w:hAnsi="Arial"/>
                <w:sz w:val="11"/>
                <w:szCs w:val="11"/>
                <w:color w:val="auto"/>
              </w:rPr>
              <w:t>8.37%</w:t>
            </w:r>
          </w:p>
        </w:tc>
        <w:tc>
          <w:tcPr>
            <w:tcW w:w="560" w:type="dxa"/>
            <w:vAlign w:val="bottom"/>
          </w:tcPr>
          <w:p>
            <w:pPr>
              <w:ind w:left="400"/>
              <w:spacing w:after="0"/>
              <w:rPr>
                <w:sz w:val="20"/>
                <w:szCs w:val="20"/>
                <w:color w:val="auto"/>
              </w:rPr>
            </w:pPr>
            <w:r>
              <w:rPr>
                <w:rFonts w:ascii="Arial" w:cs="Arial" w:eastAsia="Arial" w:hAnsi="Arial"/>
                <w:sz w:val="11"/>
                <w:szCs w:val="11"/>
                <w:color w:val="auto"/>
                <w:w w:val="91"/>
              </w:rPr>
              <w:t>1M</w:t>
            </w:r>
          </w:p>
        </w:tc>
        <w:tc>
          <w:tcPr>
            <w:tcW w:w="540" w:type="dxa"/>
            <w:vAlign w:val="bottom"/>
            <w:gridSpan w:val="3"/>
          </w:tcPr>
          <w:p>
            <w:pPr>
              <w:jc w:val="right"/>
              <w:ind w:right="220"/>
              <w:spacing w:after="0"/>
              <w:rPr>
                <w:sz w:val="20"/>
                <w:szCs w:val="20"/>
                <w:color w:val="auto"/>
              </w:rPr>
            </w:pPr>
            <w:r>
              <w:rPr>
                <w:rFonts w:ascii="Arial" w:cs="Arial" w:eastAsia="Arial" w:hAnsi="Arial"/>
                <w:sz w:val="11"/>
                <w:szCs w:val="11"/>
                <w:color w:val="auto"/>
                <w:w w:val="96"/>
              </w:rPr>
              <w:t>L+750</w:t>
            </w:r>
          </w:p>
        </w:tc>
        <w:tc>
          <w:tcPr>
            <w:tcW w:w="580" w:type="dxa"/>
            <w:vAlign w:val="bottom"/>
          </w:tcPr>
          <w:p>
            <w:pPr>
              <w:jc w:val="right"/>
              <w:spacing w:after="0"/>
              <w:rPr>
                <w:sz w:val="20"/>
                <w:szCs w:val="20"/>
                <w:color w:val="auto"/>
              </w:rPr>
            </w:pPr>
            <w:r>
              <w:rPr>
                <w:rFonts w:ascii="Arial" w:cs="Arial" w:eastAsia="Arial" w:hAnsi="Arial"/>
                <w:sz w:val="11"/>
                <w:szCs w:val="11"/>
                <w:color w:val="auto"/>
                <w:w w:val="98"/>
              </w:rPr>
              <w:t>17,384,864</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17,263,748</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17,384,864</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shd w:val="clear" w:color="auto" w:fill="CCECFF"/>
          </w:tcPr>
          <w:p>
            <w:pPr>
              <w:spacing w:after="0"/>
              <w:rPr>
                <w:sz w:val="20"/>
                <w:szCs w:val="20"/>
                <w:color w:val="auto"/>
              </w:rPr>
            </w:pPr>
            <w:r>
              <w:rPr>
                <w:rFonts w:ascii="Arial" w:cs="Arial" w:eastAsia="Arial" w:hAnsi="Arial"/>
                <w:sz w:val="11"/>
                <w:szCs w:val="11"/>
                <w:color w:val="auto"/>
              </w:rPr>
              <w:t>Good2Grow LLC</w:t>
            </w:r>
          </w:p>
        </w:tc>
        <w:tc>
          <w:tcPr>
            <w:tcW w:w="64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87"/>
              </w:rPr>
              <w:t>11/18/2024</w:t>
            </w:r>
          </w:p>
        </w:tc>
        <w:tc>
          <w:tcPr>
            <w:tcW w:w="24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7"/>
              </w:rPr>
              <w:t>Beverages</w:t>
            </w:r>
          </w:p>
        </w:tc>
        <w:tc>
          <w:tcPr>
            <w:tcW w:w="86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6.35%</w:t>
            </w:r>
          </w:p>
        </w:tc>
        <w:tc>
          <w:tcPr>
            <w:tcW w:w="560" w:type="dxa"/>
            <w:vAlign w:val="bottom"/>
            <w:shd w:val="clear" w:color="auto" w:fill="CCECFF"/>
          </w:tcPr>
          <w:p>
            <w:pPr>
              <w:ind w:left="400"/>
              <w:spacing w:after="0"/>
              <w:rPr>
                <w:sz w:val="20"/>
                <w:szCs w:val="20"/>
                <w:color w:val="auto"/>
              </w:rPr>
            </w:pPr>
            <w:r>
              <w:rPr>
                <w:rFonts w:ascii="Arial" w:cs="Arial" w:eastAsia="Arial" w:hAnsi="Arial"/>
                <w:sz w:val="11"/>
                <w:szCs w:val="11"/>
                <w:color w:val="auto"/>
                <w:w w:val="91"/>
              </w:rPr>
              <w:t>3M</w:t>
            </w:r>
          </w:p>
        </w:tc>
        <w:tc>
          <w:tcPr>
            <w:tcW w:w="540" w:type="dxa"/>
            <w:vAlign w:val="bottom"/>
            <w:gridSpan w:val="3"/>
            <w:shd w:val="clear" w:color="auto" w:fill="CCECFF"/>
          </w:tcPr>
          <w:p>
            <w:pPr>
              <w:jc w:val="right"/>
              <w:ind w:right="220"/>
              <w:spacing w:after="0"/>
              <w:rPr>
                <w:sz w:val="20"/>
                <w:szCs w:val="20"/>
                <w:color w:val="auto"/>
              </w:rPr>
            </w:pPr>
            <w:r>
              <w:rPr>
                <w:rFonts w:ascii="Arial" w:cs="Arial" w:eastAsia="Arial" w:hAnsi="Arial"/>
                <w:sz w:val="11"/>
                <w:szCs w:val="11"/>
                <w:color w:val="auto"/>
                <w:w w:val="96"/>
              </w:rPr>
              <w:t>L+425</w:t>
            </w: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w w:val="98"/>
              </w:rPr>
              <w:t>11,752,655</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11,649,126</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11,576,366</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tcPr>
          <w:p>
            <w:pPr>
              <w:spacing w:after="0"/>
              <w:rPr>
                <w:sz w:val="20"/>
                <w:szCs w:val="20"/>
                <w:color w:val="auto"/>
              </w:rPr>
            </w:pPr>
            <w:r>
              <w:rPr>
                <w:rFonts w:ascii="Arial" w:cs="Arial" w:eastAsia="Arial" w:hAnsi="Arial"/>
                <w:sz w:val="11"/>
                <w:szCs w:val="11"/>
                <w:color w:val="auto"/>
              </w:rPr>
              <w:t>Good Source Solutions, Inc.</w:t>
            </w:r>
          </w:p>
        </w:tc>
        <w:tc>
          <w:tcPr>
            <w:tcW w:w="640" w:type="dxa"/>
            <w:vAlign w:val="bottom"/>
            <w:gridSpan w:val="2"/>
          </w:tcPr>
          <w:p>
            <w:pPr>
              <w:jc w:val="center"/>
              <w:ind w:left="66"/>
              <w:spacing w:after="0"/>
              <w:rPr>
                <w:sz w:val="20"/>
                <w:szCs w:val="20"/>
                <w:color w:val="auto"/>
              </w:rPr>
            </w:pPr>
            <w:r>
              <w:rPr>
                <w:rFonts w:ascii="Arial" w:cs="Arial" w:eastAsia="Arial" w:hAnsi="Arial"/>
                <w:sz w:val="11"/>
                <w:szCs w:val="11"/>
                <w:color w:val="auto"/>
                <w:w w:val="87"/>
              </w:rPr>
              <w:t>06/29/2023</w:t>
            </w:r>
          </w:p>
        </w:tc>
        <w:tc>
          <w:tcPr>
            <w:tcW w:w="240" w:type="dxa"/>
            <w:vAlign w:val="bottom"/>
          </w:tcPr>
          <w:p>
            <w:pPr>
              <w:spacing w:after="0"/>
              <w:rPr>
                <w:sz w:val="11"/>
                <w:szCs w:val="11"/>
                <w:color w:val="auto"/>
              </w:rPr>
            </w:pPr>
          </w:p>
        </w:tc>
        <w:tc>
          <w:tcPr>
            <w:tcW w:w="2760" w:type="dxa"/>
            <w:vAlign w:val="bottom"/>
            <w:gridSpan w:val="2"/>
          </w:tcPr>
          <w:p>
            <w:pPr>
              <w:jc w:val="center"/>
              <w:ind w:right="140"/>
              <w:spacing w:after="0"/>
              <w:rPr>
                <w:sz w:val="20"/>
                <w:szCs w:val="20"/>
                <w:color w:val="auto"/>
              </w:rPr>
            </w:pPr>
            <w:r>
              <w:rPr>
                <w:rFonts w:ascii="Arial" w:cs="Arial" w:eastAsia="Arial" w:hAnsi="Arial"/>
                <w:sz w:val="11"/>
                <w:szCs w:val="11"/>
                <w:color w:val="auto"/>
                <w:w w:val="86"/>
              </w:rPr>
              <w:t>Beverage, Food and Tobacco</w:t>
            </w:r>
          </w:p>
        </w:tc>
        <w:tc>
          <w:tcPr>
            <w:tcW w:w="860" w:type="dxa"/>
            <w:vAlign w:val="bottom"/>
            <w:gridSpan w:val="2"/>
          </w:tcPr>
          <w:p>
            <w:pPr>
              <w:jc w:val="right"/>
              <w:ind w:right="180"/>
              <w:spacing w:after="0"/>
              <w:rPr>
                <w:sz w:val="20"/>
                <w:szCs w:val="20"/>
                <w:color w:val="auto"/>
              </w:rPr>
            </w:pPr>
            <w:r>
              <w:rPr>
                <w:rFonts w:ascii="Arial" w:cs="Arial" w:eastAsia="Arial" w:hAnsi="Arial"/>
                <w:sz w:val="11"/>
                <w:szCs w:val="11"/>
                <w:color w:val="auto"/>
              </w:rPr>
              <w:t>6.37%</w:t>
            </w:r>
          </w:p>
        </w:tc>
        <w:tc>
          <w:tcPr>
            <w:tcW w:w="560" w:type="dxa"/>
            <w:vAlign w:val="bottom"/>
          </w:tcPr>
          <w:p>
            <w:pPr>
              <w:ind w:left="400"/>
              <w:spacing w:after="0"/>
              <w:rPr>
                <w:sz w:val="20"/>
                <w:szCs w:val="20"/>
                <w:color w:val="auto"/>
              </w:rPr>
            </w:pPr>
            <w:r>
              <w:rPr>
                <w:rFonts w:ascii="Arial" w:cs="Arial" w:eastAsia="Arial" w:hAnsi="Arial"/>
                <w:sz w:val="11"/>
                <w:szCs w:val="11"/>
                <w:color w:val="auto"/>
                <w:w w:val="91"/>
              </w:rPr>
              <w:t>3M</w:t>
            </w:r>
          </w:p>
        </w:tc>
        <w:tc>
          <w:tcPr>
            <w:tcW w:w="540" w:type="dxa"/>
            <w:vAlign w:val="bottom"/>
            <w:gridSpan w:val="3"/>
          </w:tcPr>
          <w:p>
            <w:pPr>
              <w:jc w:val="right"/>
              <w:ind w:right="220"/>
              <w:spacing w:after="0"/>
              <w:rPr>
                <w:sz w:val="20"/>
                <w:szCs w:val="20"/>
                <w:color w:val="auto"/>
              </w:rPr>
            </w:pPr>
            <w:r>
              <w:rPr>
                <w:rFonts w:ascii="Arial" w:cs="Arial" w:eastAsia="Arial" w:hAnsi="Arial"/>
                <w:sz w:val="11"/>
                <w:szCs w:val="11"/>
                <w:color w:val="auto"/>
                <w:w w:val="96"/>
              </w:rPr>
              <w:t>L+600</w:t>
            </w:r>
          </w:p>
        </w:tc>
        <w:tc>
          <w:tcPr>
            <w:tcW w:w="580" w:type="dxa"/>
            <w:vAlign w:val="bottom"/>
          </w:tcPr>
          <w:p>
            <w:pPr>
              <w:jc w:val="right"/>
              <w:spacing w:after="0"/>
              <w:rPr>
                <w:sz w:val="20"/>
                <w:szCs w:val="20"/>
                <w:color w:val="auto"/>
              </w:rPr>
            </w:pPr>
            <w:r>
              <w:rPr>
                <w:rFonts w:ascii="Arial" w:cs="Arial" w:eastAsia="Arial" w:hAnsi="Arial"/>
                <w:sz w:val="11"/>
                <w:szCs w:val="11"/>
                <w:color w:val="auto"/>
                <w:w w:val="98"/>
              </w:rPr>
              <w:t>14,357,813</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14,241,579</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14,135,267</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shd w:val="clear" w:color="auto" w:fill="CCECFF"/>
          </w:tcPr>
          <w:p>
            <w:pPr>
              <w:spacing w:after="0"/>
              <w:rPr>
                <w:sz w:val="20"/>
                <w:szCs w:val="20"/>
                <w:color w:val="auto"/>
              </w:rPr>
            </w:pPr>
            <w:r>
              <w:rPr>
                <w:rFonts w:ascii="Arial" w:cs="Arial" w:eastAsia="Arial" w:hAnsi="Arial"/>
                <w:sz w:val="11"/>
                <w:szCs w:val="11"/>
                <w:color w:val="auto"/>
              </w:rPr>
              <w:t>GSM Holdings, Inc.</w:t>
            </w:r>
          </w:p>
        </w:tc>
        <w:tc>
          <w:tcPr>
            <w:tcW w:w="64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87"/>
              </w:rPr>
              <w:t>06/03/2024</w:t>
            </w:r>
          </w:p>
        </w:tc>
        <w:tc>
          <w:tcPr>
            <w:tcW w:w="24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60"/>
              <w:spacing w:after="0"/>
              <w:rPr>
                <w:sz w:val="20"/>
                <w:szCs w:val="20"/>
                <w:color w:val="auto"/>
              </w:rPr>
            </w:pPr>
            <w:r>
              <w:rPr>
                <w:rFonts w:ascii="Arial" w:cs="Arial" w:eastAsia="Arial" w:hAnsi="Arial"/>
                <w:sz w:val="11"/>
                <w:szCs w:val="11"/>
                <w:color w:val="auto"/>
                <w:w w:val="88"/>
              </w:rPr>
              <w:t>Consumer Goods: Durable</w:t>
            </w:r>
          </w:p>
        </w:tc>
        <w:tc>
          <w:tcPr>
            <w:tcW w:w="86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6.60%</w:t>
            </w:r>
          </w:p>
        </w:tc>
        <w:tc>
          <w:tcPr>
            <w:tcW w:w="560" w:type="dxa"/>
            <w:vAlign w:val="bottom"/>
            <w:shd w:val="clear" w:color="auto" w:fill="CCECFF"/>
          </w:tcPr>
          <w:p>
            <w:pPr>
              <w:ind w:left="400"/>
              <w:spacing w:after="0"/>
              <w:rPr>
                <w:sz w:val="20"/>
                <w:szCs w:val="20"/>
                <w:color w:val="auto"/>
              </w:rPr>
            </w:pPr>
            <w:r>
              <w:rPr>
                <w:rFonts w:ascii="Arial" w:cs="Arial" w:eastAsia="Arial" w:hAnsi="Arial"/>
                <w:sz w:val="11"/>
                <w:szCs w:val="11"/>
                <w:color w:val="auto"/>
                <w:w w:val="91"/>
              </w:rPr>
              <w:t>3M</w:t>
            </w:r>
          </w:p>
        </w:tc>
        <w:tc>
          <w:tcPr>
            <w:tcW w:w="540" w:type="dxa"/>
            <w:vAlign w:val="bottom"/>
            <w:gridSpan w:val="3"/>
            <w:shd w:val="clear" w:color="auto" w:fill="CCECFF"/>
          </w:tcPr>
          <w:p>
            <w:pPr>
              <w:jc w:val="right"/>
              <w:ind w:right="220"/>
              <w:spacing w:after="0"/>
              <w:rPr>
                <w:sz w:val="20"/>
                <w:szCs w:val="20"/>
                <w:color w:val="auto"/>
              </w:rPr>
            </w:pPr>
            <w:r>
              <w:rPr>
                <w:rFonts w:ascii="Arial" w:cs="Arial" w:eastAsia="Arial" w:hAnsi="Arial"/>
                <w:sz w:val="11"/>
                <w:szCs w:val="11"/>
                <w:color w:val="auto"/>
                <w:w w:val="96"/>
              </w:rPr>
              <w:t>L+450</w:t>
            </w: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w w:val="98"/>
              </w:rPr>
              <w:t>19,669,098</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19,524,460</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19,472,406</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tcPr>
          <w:p>
            <w:pPr>
              <w:spacing w:after="0"/>
              <w:rPr>
                <w:sz w:val="20"/>
                <w:szCs w:val="20"/>
                <w:color w:val="auto"/>
              </w:rPr>
            </w:pPr>
            <w:r>
              <w:rPr>
                <w:rFonts w:ascii="Arial" w:cs="Arial" w:eastAsia="Arial" w:hAnsi="Arial"/>
                <w:sz w:val="11"/>
                <w:szCs w:val="11"/>
                <w:color w:val="auto"/>
              </w:rPr>
              <w:t>IMIA Holdings, Inc.</w:t>
            </w:r>
          </w:p>
        </w:tc>
        <w:tc>
          <w:tcPr>
            <w:tcW w:w="640" w:type="dxa"/>
            <w:vAlign w:val="bottom"/>
            <w:gridSpan w:val="2"/>
          </w:tcPr>
          <w:p>
            <w:pPr>
              <w:jc w:val="center"/>
              <w:ind w:left="66"/>
              <w:spacing w:after="0"/>
              <w:rPr>
                <w:sz w:val="20"/>
                <w:szCs w:val="20"/>
                <w:color w:val="auto"/>
              </w:rPr>
            </w:pPr>
            <w:r>
              <w:rPr>
                <w:rFonts w:ascii="Arial" w:cs="Arial" w:eastAsia="Arial" w:hAnsi="Arial"/>
                <w:sz w:val="11"/>
                <w:szCs w:val="11"/>
                <w:color w:val="auto"/>
                <w:w w:val="87"/>
              </w:rPr>
              <w:t>10/28/2024</w:t>
            </w:r>
          </w:p>
        </w:tc>
        <w:tc>
          <w:tcPr>
            <w:tcW w:w="240" w:type="dxa"/>
            <w:vAlign w:val="bottom"/>
          </w:tcPr>
          <w:p>
            <w:pPr>
              <w:spacing w:after="0"/>
              <w:rPr>
                <w:sz w:val="11"/>
                <w:szCs w:val="11"/>
                <w:color w:val="auto"/>
              </w:rPr>
            </w:pPr>
          </w:p>
        </w:tc>
        <w:tc>
          <w:tcPr>
            <w:tcW w:w="2760" w:type="dxa"/>
            <w:vAlign w:val="bottom"/>
            <w:gridSpan w:val="2"/>
          </w:tcPr>
          <w:p>
            <w:pPr>
              <w:jc w:val="center"/>
              <w:ind w:right="140"/>
              <w:spacing w:after="0"/>
              <w:rPr>
                <w:sz w:val="20"/>
                <w:szCs w:val="20"/>
                <w:color w:val="auto"/>
              </w:rPr>
            </w:pPr>
            <w:r>
              <w:rPr>
                <w:rFonts w:ascii="Arial" w:cs="Arial" w:eastAsia="Arial" w:hAnsi="Arial"/>
                <w:sz w:val="11"/>
                <w:szCs w:val="11"/>
                <w:color w:val="auto"/>
                <w:w w:val="86"/>
              </w:rPr>
              <w:t>Aerospace and Defense</w:t>
            </w:r>
          </w:p>
        </w:tc>
        <w:tc>
          <w:tcPr>
            <w:tcW w:w="860" w:type="dxa"/>
            <w:vAlign w:val="bottom"/>
            <w:gridSpan w:val="2"/>
          </w:tcPr>
          <w:p>
            <w:pPr>
              <w:jc w:val="right"/>
              <w:ind w:right="180"/>
              <w:spacing w:after="0"/>
              <w:rPr>
                <w:sz w:val="20"/>
                <w:szCs w:val="20"/>
                <w:color w:val="auto"/>
              </w:rPr>
            </w:pPr>
            <w:r>
              <w:rPr>
                <w:rFonts w:ascii="Arial" w:cs="Arial" w:eastAsia="Arial" w:hAnsi="Arial"/>
                <w:sz w:val="11"/>
                <w:szCs w:val="11"/>
                <w:color w:val="auto"/>
              </w:rPr>
              <w:t>6.60%</w:t>
            </w:r>
          </w:p>
        </w:tc>
        <w:tc>
          <w:tcPr>
            <w:tcW w:w="560" w:type="dxa"/>
            <w:vAlign w:val="bottom"/>
          </w:tcPr>
          <w:p>
            <w:pPr>
              <w:ind w:left="400"/>
              <w:spacing w:after="0"/>
              <w:rPr>
                <w:sz w:val="20"/>
                <w:szCs w:val="20"/>
                <w:color w:val="auto"/>
              </w:rPr>
            </w:pPr>
            <w:r>
              <w:rPr>
                <w:rFonts w:ascii="Arial" w:cs="Arial" w:eastAsia="Arial" w:hAnsi="Arial"/>
                <w:sz w:val="11"/>
                <w:szCs w:val="11"/>
                <w:color w:val="auto"/>
                <w:w w:val="91"/>
              </w:rPr>
              <w:t>3M</w:t>
            </w:r>
          </w:p>
        </w:tc>
        <w:tc>
          <w:tcPr>
            <w:tcW w:w="540" w:type="dxa"/>
            <w:vAlign w:val="bottom"/>
            <w:gridSpan w:val="3"/>
          </w:tcPr>
          <w:p>
            <w:pPr>
              <w:jc w:val="right"/>
              <w:ind w:right="220"/>
              <w:spacing w:after="0"/>
              <w:rPr>
                <w:sz w:val="20"/>
                <w:szCs w:val="20"/>
                <w:color w:val="auto"/>
              </w:rPr>
            </w:pPr>
            <w:r>
              <w:rPr>
                <w:rFonts w:ascii="Arial" w:cs="Arial" w:eastAsia="Arial" w:hAnsi="Arial"/>
                <w:sz w:val="11"/>
                <w:szCs w:val="11"/>
                <w:color w:val="auto"/>
                <w:w w:val="96"/>
              </w:rPr>
              <w:t>L+450</w:t>
            </w:r>
          </w:p>
        </w:tc>
        <w:tc>
          <w:tcPr>
            <w:tcW w:w="580" w:type="dxa"/>
            <w:vAlign w:val="bottom"/>
          </w:tcPr>
          <w:p>
            <w:pPr>
              <w:jc w:val="right"/>
              <w:spacing w:after="0"/>
              <w:rPr>
                <w:sz w:val="20"/>
                <w:szCs w:val="20"/>
                <w:color w:val="auto"/>
              </w:rPr>
            </w:pPr>
            <w:r>
              <w:rPr>
                <w:rFonts w:ascii="Arial" w:cs="Arial" w:eastAsia="Arial" w:hAnsi="Arial"/>
                <w:sz w:val="11"/>
                <w:szCs w:val="11"/>
                <w:color w:val="auto"/>
                <w:w w:val="98"/>
              </w:rPr>
              <w:t>12,406,250</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12,351,255</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12,344,219</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shd w:val="clear" w:color="auto" w:fill="CCECFF"/>
          </w:tcPr>
          <w:p>
            <w:pPr>
              <w:spacing w:after="0"/>
              <w:rPr>
                <w:sz w:val="20"/>
                <w:szCs w:val="20"/>
                <w:color w:val="auto"/>
              </w:rPr>
            </w:pPr>
            <w:r>
              <w:rPr>
                <w:rFonts w:ascii="Arial" w:cs="Arial" w:eastAsia="Arial" w:hAnsi="Arial"/>
                <w:sz w:val="11"/>
                <w:szCs w:val="11"/>
                <w:color w:val="auto"/>
              </w:rPr>
              <w:t>Impact Group, LLC</w:t>
            </w:r>
          </w:p>
        </w:tc>
        <w:tc>
          <w:tcPr>
            <w:tcW w:w="64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87"/>
              </w:rPr>
              <w:t>06/27/2023</w:t>
            </w:r>
          </w:p>
        </w:tc>
        <w:tc>
          <w:tcPr>
            <w:tcW w:w="24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9"/>
              </w:rPr>
              <w:t>Wholesale</w:t>
            </w:r>
          </w:p>
        </w:tc>
        <w:tc>
          <w:tcPr>
            <w:tcW w:w="86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8.60%</w:t>
            </w:r>
          </w:p>
        </w:tc>
        <w:tc>
          <w:tcPr>
            <w:tcW w:w="560" w:type="dxa"/>
            <w:vAlign w:val="bottom"/>
            <w:shd w:val="clear" w:color="auto" w:fill="CCECFF"/>
          </w:tcPr>
          <w:p>
            <w:pPr>
              <w:ind w:left="400"/>
              <w:spacing w:after="0"/>
              <w:rPr>
                <w:sz w:val="20"/>
                <w:szCs w:val="20"/>
                <w:color w:val="auto"/>
              </w:rPr>
            </w:pPr>
            <w:r>
              <w:rPr>
                <w:rFonts w:ascii="Arial" w:cs="Arial" w:eastAsia="Arial" w:hAnsi="Arial"/>
                <w:sz w:val="11"/>
                <w:szCs w:val="11"/>
                <w:color w:val="auto"/>
                <w:w w:val="91"/>
              </w:rPr>
              <w:t>1M</w:t>
            </w:r>
          </w:p>
        </w:tc>
        <w:tc>
          <w:tcPr>
            <w:tcW w:w="540" w:type="dxa"/>
            <w:vAlign w:val="bottom"/>
            <w:gridSpan w:val="3"/>
            <w:shd w:val="clear" w:color="auto" w:fill="CCECFF"/>
          </w:tcPr>
          <w:p>
            <w:pPr>
              <w:jc w:val="right"/>
              <w:ind w:right="220"/>
              <w:spacing w:after="0"/>
              <w:rPr>
                <w:sz w:val="20"/>
                <w:szCs w:val="20"/>
                <w:color w:val="auto"/>
              </w:rPr>
            </w:pPr>
            <w:r>
              <w:rPr>
                <w:rFonts w:ascii="Arial" w:cs="Arial" w:eastAsia="Arial" w:hAnsi="Arial"/>
                <w:sz w:val="11"/>
                <w:szCs w:val="11"/>
                <w:color w:val="auto"/>
                <w:w w:val="96"/>
              </w:rPr>
              <w:t>L+650</w:t>
            </w: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9,390,185</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9,296,753</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9,296,283</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060" w:type="dxa"/>
            <w:vAlign w:val="bottom"/>
          </w:tcPr>
          <w:p>
            <w:pPr>
              <w:spacing w:after="0"/>
              <w:rPr>
                <w:sz w:val="20"/>
                <w:szCs w:val="20"/>
                <w:color w:val="auto"/>
              </w:rPr>
            </w:pPr>
            <w:r>
              <w:rPr>
                <w:rFonts w:ascii="Arial" w:cs="Arial" w:eastAsia="Arial" w:hAnsi="Arial"/>
                <w:sz w:val="11"/>
                <w:szCs w:val="11"/>
                <w:color w:val="auto"/>
              </w:rPr>
              <w:t xml:space="preserve">Infrastructure Supply Operations Pty Ltd. </w:t>
            </w:r>
            <w:r>
              <w:rPr>
                <w:rFonts w:ascii="Arial" w:cs="Arial" w:eastAsia="Arial" w:hAnsi="Arial"/>
                <w:sz w:val="9"/>
                <w:szCs w:val="9"/>
                <w:color w:val="auto"/>
              </w:rPr>
              <w:t>(3), (4)</w:t>
            </w:r>
          </w:p>
        </w:tc>
        <w:tc>
          <w:tcPr>
            <w:tcW w:w="640" w:type="dxa"/>
            <w:vAlign w:val="bottom"/>
            <w:gridSpan w:val="2"/>
          </w:tcPr>
          <w:p>
            <w:pPr>
              <w:jc w:val="center"/>
              <w:ind w:left="66"/>
              <w:spacing w:after="0"/>
              <w:rPr>
                <w:sz w:val="20"/>
                <w:szCs w:val="20"/>
                <w:color w:val="auto"/>
              </w:rPr>
            </w:pPr>
            <w:r>
              <w:rPr>
                <w:rFonts w:ascii="Arial" w:cs="Arial" w:eastAsia="Arial" w:hAnsi="Arial"/>
                <w:sz w:val="11"/>
                <w:szCs w:val="11"/>
                <w:color w:val="auto"/>
                <w:w w:val="87"/>
              </w:rPr>
              <w:t>12/12/2023</w:t>
            </w:r>
          </w:p>
        </w:tc>
        <w:tc>
          <w:tcPr>
            <w:tcW w:w="240" w:type="dxa"/>
            <w:vAlign w:val="bottom"/>
          </w:tcPr>
          <w:p>
            <w:pPr>
              <w:spacing w:after="0"/>
              <w:rPr>
                <w:sz w:val="12"/>
                <w:szCs w:val="12"/>
                <w:color w:val="auto"/>
              </w:rPr>
            </w:pPr>
          </w:p>
        </w:tc>
        <w:tc>
          <w:tcPr>
            <w:tcW w:w="2760" w:type="dxa"/>
            <w:vAlign w:val="bottom"/>
            <w:gridSpan w:val="2"/>
          </w:tcPr>
          <w:p>
            <w:pPr>
              <w:jc w:val="center"/>
              <w:ind w:right="140"/>
              <w:spacing w:after="0"/>
              <w:rPr>
                <w:sz w:val="20"/>
                <w:szCs w:val="20"/>
                <w:color w:val="auto"/>
              </w:rPr>
            </w:pPr>
            <w:r>
              <w:rPr>
                <w:rFonts w:ascii="Arial" w:cs="Arial" w:eastAsia="Arial" w:hAnsi="Arial"/>
                <w:sz w:val="11"/>
                <w:szCs w:val="11"/>
                <w:color w:val="auto"/>
                <w:w w:val="89"/>
              </w:rPr>
              <w:t>Wholesale</w:t>
            </w:r>
          </w:p>
        </w:tc>
        <w:tc>
          <w:tcPr>
            <w:tcW w:w="860" w:type="dxa"/>
            <w:vAlign w:val="bottom"/>
            <w:gridSpan w:val="2"/>
          </w:tcPr>
          <w:p>
            <w:pPr>
              <w:jc w:val="right"/>
              <w:ind w:right="180"/>
              <w:spacing w:after="0"/>
              <w:rPr>
                <w:sz w:val="20"/>
                <w:szCs w:val="20"/>
                <w:color w:val="auto"/>
              </w:rPr>
            </w:pPr>
            <w:r>
              <w:rPr>
                <w:rFonts w:ascii="Arial" w:cs="Arial" w:eastAsia="Arial" w:hAnsi="Arial"/>
                <w:sz w:val="11"/>
                <w:szCs w:val="11"/>
                <w:color w:val="auto"/>
              </w:rPr>
              <w:t>5.80%</w:t>
            </w:r>
          </w:p>
        </w:tc>
        <w:tc>
          <w:tcPr>
            <w:tcW w:w="560" w:type="dxa"/>
            <w:vAlign w:val="bottom"/>
          </w:tcPr>
          <w:p>
            <w:pPr>
              <w:ind w:left="400"/>
              <w:spacing w:after="0"/>
              <w:rPr>
                <w:sz w:val="20"/>
                <w:szCs w:val="20"/>
                <w:color w:val="auto"/>
              </w:rPr>
            </w:pPr>
            <w:r>
              <w:rPr>
                <w:rFonts w:ascii="Arial" w:cs="Arial" w:eastAsia="Arial" w:hAnsi="Arial"/>
                <w:sz w:val="11"/>
                <w:szCs w:val="11"/>
                <w:color w:val="auto"/>
                <w:w w:val="91"/>
              </w:rPr>
              <w:t>1M</w:t>
            </w:r>
          </w:p>
        </w:tc>
        <w:tc>
          <w:tcPr>
            <w:tcW w:w="540" w:type="dxa"/>
            <w:vAlign w:val="bottom"/>
            <w:gridSpan w:val="3"/>
          </w:tcPr>
          <w:p>
            <w:pPr>
              <w:jc w:val="right"/>
              <w:ind w:right="40"/>
              <w:spacing w:after="0"/>
              <w:rPr>
                <w:sz w:val="20"/>
                <w:szCs w:val="20"/>
                <w:color w:val="auto"/>
              </w:rPr>
            </w:pPr>
            <w:r>
              <w:rPr>
                <w:rFonts w:ascii="Arial" w:cs="Arial" w:eastAsia="Arial" w:hAnsi="Arial"/>
                <w:sz w:val="11"/>
                <w:szCs w:val="11"/>
                <w:color w:val="auto"/>
              </w:rPr>
              <w:t>L+425A $</w:t>
            </w:r>
          </w:p>
        </w:tc>
        <w:tc>
          <w:tcPr>
            <w:tcW w:w="580" w:type="dxa"/>
            <w:vAlign w:val="bottom"/>
          </w:tcPr>
          <w:p>
            <w:pPr>
              <w:jc w:val="right"/>
              <w:spacing w:after="0"/>
              <w:rPr>
                <w:sz w:val="20"/>
                <w:szCs w:val="20"/>
                <w:color w:val="auto"/>
              </w:rPr>
            </w:pPr>
            <w:r>
              <w:rPr>
                <w:rFonts w:ascii="Arial" w:cs="Arial" w:eastAsia="Arial" w:hAnsi="Arial"/>
                <w:sz w:val="12"/>
                <w:szCs w:val="12"/>
                <w:color w:val="auto"/>
                <w:w w:val="89"/>
              </w:rPr>
              <w:t>15,000,000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10,973,919</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9,717,138</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060" w:type="dxa"/>
            <w:vAlign w:val="bottom"/>
            <w:shd w:val="clear" w:color="auto" w:fill="CCECFF"/>
          </w:tcPr>
          <w:p>
            <w:pPr>
              <w:spacing w:after="0"/>
              <w:rPr>
                <w:sz w:val="20"/>
                <w:szCs w:val="20"/>
                <w:color w:val="auto"/>
              </w:rPr>
            </w:pPr>
            <w:r>
              <w:rPr>
                <w:rFonts w:ascii="Arial" w:cs="Arial" w:eastAsia="Arial" w:hAnsi="Arial"/>
                <w:sz w:val="11"/>
                <w:szCs w:val="11"/>
                <w:color w:val="auto"/>
              </w:rPr>
              <w:t>Integrative Nutrition, LLC</w:t>
            </w:r>
          </w:p>
        </w:tc>
        <w:tc>
          <w:tcPr>
            <w:tcW w:w="64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87"/>
              </w:rPr>
              <w:t>09/29/2023</w:t>
            </w:r>
          </w:p>
        </w:tc>
        <w:tc>
          <w:tcPr>
            <w:tcW w:w="24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9"/>
              </w:rPr>
              <w:t>Diversified Consumer Services</w:t>
            </w:r>
          </w:p>
        </w:tc>
        <w:tc>
          <w:tcPr>
            <w:tcW w:w="86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6.85%</w:t>
            </w:r>
          </w:p>
        </w:tc>
        <w:tc>
          <w:tcPr>
            <w:tcW w:w="560" w:type="dxa"/>
            <w:vAlign w:val="bottom"/>
            <w:shd w:val="clear" w:color="auto" w:fill="CCECFF"/>
          </w:tcPr>
          <w:p>
            <w:pPr>
              <w:ind w:left="400"/>
              <w:spacing w:after="0"/>
              <w:rPr>
                <w:sz w:val="20"/>
                <w:szCs w:val="20"/>
                <w:color w:val="auto"/>
              </w:rPr>
            </w:pPr>
            <w:r>
              <w:rPr>
                <w:rFonts w:ascii="Arial" w:cs="Arial" w:eastAsia="Arial" w:hAnsi="Arial"/>
                <w:sz w:val="11"/>
                <w:szCs w:val="11"/>
                <w:color w:val="auto"/>
                <w:w w:val="91"/>
              </w:rPr>
              <w:t>1M</w:t>
            </w:r>
          </w:p>
        </w:tc>
        <w:tc>
          <w:tcPr>
            <w:tcW w:w="540" w:type="dxa"/>
            <w:vAlign w:val="bottom"/>
            <w:gridSpan w:val="3"/>
            <w:shd w:val="clear" w:color="auto" w:fill="CCECFF"/>
          </w:tcPr>
          <w:p>
            <w:pPr>
              <w:jc w:val="right"/>
              <w:ind w:right="220"/>
              <w:spacing w:after="0"/>
              <w:rPr>
                <w:sz w:val="20"/>
                <w:szCs w:val="20"/>
                <w:color w:val="auto"/>
              </w:rPr>
            </w:pPr>
            <w:r>
              <w:rPr>
                <w:rFonts w:ascii="Arial" w:cs="Arial" w:eastAsia="Arial" w:hAnsi="Arial"/>
                <w:sz w:val="11"/>
                <w:szCs w:val="11"/>
                <w:color w:val="auto"/>
                <w:w w:val="96"/>
              </w:rPr>
              <w:t>L+475</w:t>
            </w: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9,974,874</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9,974,874</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9,974,874</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tcPr>
          <w:p>
            <w:pPr>
              <w:spacing w:after="0"/>
              <w:rPr>
                <w:sz w:val="20"/>
                <w:szCs w:val="20"/>
                <w:color w:val="auto"/>
              </w:rPr>
            </w:pPr>
            <w:r>
              <w:rPr>
                <w:rFonts w:ascii="Arial" w:cs="Arial" w:eastAsia="Arial" w:hAnsi="Arial"/>
                <w:sz w:val="11"/>
                <w:szCs w:val="11"/>
                <w:color w:val="auto"/>
              </w:rPr>
              <w:t>K2 Pure Solutions NoCal, L.P.</w:t>
            </w:r>
          </w:p>
        </w:tc>
        <w:tc>
          <w:tcPr>
            <w:tcW w:w="640" w:type="dxa"/>
            <w:vAlign w:val="bottom"/>
            <w:gridSpan w:val="2"/>
          </w:tcPr>
          <w:p>
            <w:pPr>
              <w:jc w:val="center"/>
              <w:ind w:left="66"/>
              <w:spacing w:after="0"/>
              <w:rPr>
                <w:sz w:val="20"/>
                <w:szCs w:val="20"/>
                <w:color w:val="auto"/>
              </w:rPr>
            </w:pPr>
            <w:r>
              <w:rPr>
                <w:rFonts w:ascii="Arial" w:cs="Arial" w:eastAsia="Arial" w:hAnsi="Arial"/>
                <w:sz w:val="11"/>
                <w:szCs w:val="11"/>
                <w:color w:val="auto"/>
                <w:w w:val="87"/>
              </w:rPr>
              <w:t>12/20/2023</w:t>
            </w:r>
          </w:p>
        </w:tc>
        <w:tc>
          <w:tcPr>
            <w:tcW w:w="240" w:type="dxa"/>
            <w:vAlign w:val="bottom"/>
          </w:tcPr>
          <w:p>
            <w:pPr>
              <w:spacing w:after="0"/>
              <w:rPr>
                <w:sz w:val="11"/>
                <w:szCs w:val="11"/>
                <w:color w:val="auto"/>
              </w:rPr>
            </w:pPr>
          </w:p>
        </w:tc>
        <w:tc>
          <w:tcPr>
            <w:tcW w:w="2760" w:type="dxa"/>
            <w:vAlign w:val="bottom"/>
            <w:gridSpan w:val="2"/>
          </w:tcPr>
          <w:p>
            <w:pPr>
              <w:jc w:val="center"/>
              <w:ind w:right="140"/>
              <w:spacing w:after="0"/>
              <w:rPr>
                <w:sz w:val="20"/>
                <w:szCs w:val="20"/>
                <w:color w:val="auto"/>
              </w:rPr>
            </w:pPr>
            <w:r>
              <w:rPr>
                <w:rFonts w:ascii="Arial" w:cs="Arial" w:eastAsia="Arial" w:hAnsi="Arial"/>
                <w:sz w:val="11"/>
                <w:szCs w:val="11"/>
                <w:color w:val="auto"/>
                <w:w w:val="88"/>
              </w:rPr>
              <w:t>Chemicals, Plastics and Rubber</w:t>
            </w:r>
          </w:p>
        </w:tc>
        <w:tc>
          <w:tcPr>
            <w:tcW w:w="860" w:type="dxa"/>
            <w:vAlign w:val="bottom"/>
            <w:gridSpan w:val="2"/>
          </w:tcPr>
          <w:p>
            <w:pPr>
              <w:jc w:val="right"/>
              <w:ind w:right="180"/>
              <w:spacing w:after="0"/>
              <w:rPr>
                <w:sz w:val="20"/>
                <w:szCs w:val="20"/>
                <w:color w:val="auto"/>
              </w:rPr>
            </w:pPr>
            <w:r>
              <w:rPr>
                <w:rFonts w:ascii="Arial" w:cs="Arial" w:eastAsia="Arial" w:hAnsi="Arial"/>
                <w:sz w:val="11"/>
                <w:szCs w:val="11"/>
                <w:color w:val="auto"/>
              </w:rPr>
              <w:t>7.30%</w:t>
            </w:r>
          </w:p>
        </w:tc>
        <w:tc>
          <w:tcPr>
            <w:tcW w:w="560" w:type="dxa"/>
            <w:vAlign w:val="bottom"/>
          </w:tcPr>
          <w:p>
            <w:pPr>
              <w:ind w:left="400"/>
              <w:spacing w:after="0"/>
              <w:rPr>
                <w:sz w:val="20"/>
                <w:szCs w:val="20"/>
                <w:color w:val="auto"/>
              </w:rPr>
            </w:pPr>
            <w:r>
              <w:rPr>
                <w:rFonts w:ascii="Arial" w:cs="Arial" w:eastAsia="Arial" w:hAnsi="Arial"/>
                <w:sz w:val="11"/>
                <w:szCs w:val="11"/>
                <w:color w:val="auto"/>
                <w:w w:val="91"/>
              </w:rPr>
              <w:t>1M</w:t>
            </w:r>
          </w:p>
        </w:tc>
        <w:tc>
          <w:tcPr>
            <w:tcW w:w="540" w:type="dxa"/>
            <w:vAlign w:val="bottom"/>
            <w:gridSpan w:val="3"/>
          </w:tcPr>
          <w:p>
            <w:pPr>
              <w:jc w:val="right"/>
              <w:ind w:right="220"/>
              <w:spacing w:after="0"/>
              <w:rPr>
                <w:sz w:val="20"/>
                <w:szCs w:val="20"/>
                <w:color w:val="auto"/>
              </w:rPr>
            </w:pPr>
            <w:r>
              <w:rPr>
                <w:rFonts w:ascii="Arial" w:cs="Arial" w:eastAsia="Arial" w:hAnsi="Arial"/>
                <w:sz w:val="11"/>
                <w:szCs w:val="11"/>
                <w:color w:val="auto"/>
                <w:w w:val="96"/>
              </w:rPr>
              <w:t>L+525</w:t>
            </w:r>
          </w:p>
        </w:tc>
        <w:tc>
          <w:tcPr>
            <w:tcW w:w="580" w:type="dxa"/>
            <w:vAlign w:val="bottom"/>
          </w:tcPr>
          <w:p>
            <w:pPr>
              <w:jc w:val="right"/>
              <w:spacing w:after="0"/>
              <w:rPr>
                <w:sz w:val="20"/>
                <w:szCs w:val="20"/>
                <w:color w:val="auto"/>
              </w:rPr>
            </w:pPr>
            <w:r>
              <w:rPr>
                <w:rFonts w:ascii="Arial" w:cs="Arial" w:eastAsia="Arial" w:hAnsi="Arial"/>
                <w:sz w:val="11"/>
                <w:szCs w:val="11"/>
                <w:color w:val="auto"/>
                <w:w w:val="98"/>
              </w:rPr>
              <w:t>19,850,000</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19,586,294</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19,609,815</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shd w:val="clear" w:color="auto" w:fill="CCECFF"/>
          </w:tcPr>
          <w:p>
            <w:pPr>
              <w:spacing w:after="0"/>
              <w:rPr>
                <w:sz w:val="20"/>
                <w:szCs w:val="20"/>
                <w:color w:val="auto"/>
              </w:rPr>
            </w:pPr>
            <w:r>
              <w:rPr>
                <w:rFonts w:ascii="Arial" w:cs="Arial" w:eastAsia="Arial" w:hAnsi="Arial"/>
                <w:sz w:val="11"/>
                <w:szCs w:val="11"/>
                <w:color w:val="auto"/>
              </w:rPr>
              <w:t>LAV Gear Holdings, Inc.</w:t>
            </w:r>
          </w:p>
        </w:tc>
        <w:tc>
          <w:tcPr>
            <w:tcW w:w="64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87"/>
              </w:rPr>
              <w:t>10/31/2024</w:t>
            </w:r>
          </w:p>
        </w:tc>
        <w:tc>
          <w:tcPr>
            <w:tcW w:w="24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91"/>
              </w:rPr>
              <w:t>Capital Equipment</w:t>
            </w:r>
          </w:p>
        </w:tc>
        <w:tc>
          <w:tcPr>
            <w:tcW w:w="86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7.60%</w:t>
            </w:r>
          </w:p>
        </w:tc>
        <w:tc>
          <w:tcPr>
            <w:tcW w:w="560" w:type="dxa"/>
            <w:vAlign w:val="bottom"/>
            <w:shd w:val="clear" w:color="auto" w:fill="CCECFF"/>
          </w:tcPr>
          <w:p>
            <w:pPr>
              <w:ind w:left="400"/>
              <w:spacing w:after="0"/>
              <w:rPr>
                <w:sz w:val="20"/>
                <w:szCs w:val="20"/>
                <w:color w:val="auto"/>
              </w:rPr>
            </w:pPr>
            <w:r>
              <w:rPr>
                <w:rFonts w:ascii="Arial" w:cs="Arial" w:eastAsia="Arial" w:hAnsi="Arial"/>
                <w:sz w:val="11"/>
                <w:szCs w:val="11"/>
                <w:color w:val="auto"/>
                <w:w w:val="91"/>
              </w:rPr>
              <w:t>3M</w:t>
            </w:r>
          </w:p>
        </w:tc>
        <w:tc>
          <w:tcPr>
            <w:tcW w:w="540" w:type="dxa"/>
            <w:vAlign w:val="bottom"/>
            <w:gridSpan w:val="3"/>
            <w:shd w:val="clear" w:color="auto" w:fill="CCECFF"/>
          </w:tcPr>
          <w:p>
            <w:pPr>
              <w:jc w:val="right"/>
              <w:ind w:right="220"/>
              <w:spacing w:after="0"/>
              <w:rPr>
                <w:sz w:val="20"/>
                <w:szCs w:val="20"/>
                <w:color w:val="auto"/>
              </w:rPr>
            </w:pPr>
            <w:r>
              <w:rPr>
                <w:rFonts w:ascii="Arial" w:cs="Arial" w:eastAsia="Arial" w:hAnsi="Arial"/>
                <w:sz w:val="11"/>
                <w:szCs w:val="11"/>
                <w:color w:val="auto"/>
                <w:w w:val="96"/>
              </w:rPr>
              <w:t>L+550</w:t>
            </w: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9,925,000</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9,837,686</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9,916,068</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060" w:type="dxa"/>
            <w:vAlign w:val="bottom"/>
          </w:tcPr>
          <w:p>
            <w:pPr>
              <w:spacing w:after="0"/>
              <w:rPr>
                <w:sz w:val="20"/>
                <w:szCs w:val="20"/>
                <w:color w:val="auto"/>
              </w:rPr>
            </w:pPr>
            <w:r>
              <w:rPr>
                <w:rFonts w:ascii="Arial" w:cs="Arial" w:eastAsia="Arial" w:hAnsi="Arial"/>
                <w:sz w:val="11"/>
                <w:szCs w:val="11"/>
                <w:color w:val="auto"/>
              </w:rPr>
              <w:t xml:space="preserve">Leap Legal Software Pty Ltd </w:t>
            </w:r>
            <w:r>
              <w:rPr>
                <w:rFonts w:ascii="Arial" w:cs="Arial" w:eastAsia="Arial" w:hAnsi="Arial"/>
                <w:sz w:val="9"/>
                <w:szCs w:val="9"/>
                <w:color w:val="auto"/>
              </w:rPr>
              <w:t>(3), (4)</w:t>
            </w:r>
          </w:p>
        </w:tc>
        <w:tc>
          <w:tcPr>
            <w:tcW w:w="640" w:type="dxa"/>
            <w:vAlign w:val="bottom"/>
            <w:gridSpan w:val="2"/>
          </w:tcPr>
          <w:p>
            <w:pPr>
              <w:jc w:val="center"/>
              <w:ind w:left="66"/>
              <w:spacing w:after="0"/>
              <w:rPr>
                <w:sz w:val="20"/>
                <w:szCs w:val="20"/>
                <w:color w:val="auto"/>
              </w:rPr>
            </w:pPr>
            <w:r>
              <w:rPr>
                <w:rFonts w:ascii="Arial" w:cs="Arial" w:eastAsia="Arial" w:hAnsi="Arial"/>
                <w:sz w:val="11"/>
                <w:szCs w:val="11"/>
                <w:color w:val="auto"/>
                <w:w w:val="87"/>
              </w:rPr>
              <w:t>09/12/2022</w:t>
            </w:r>
          </w:p>
        </w:tc>
        <w:tc>
          <w:tcPr>
            <w:tcW w:w="240" w:type="dxa"/>
            <w:vAlign w:val="bottom"/>
          </w:tcPr>
          <w:p>
            <w:pPr>
              <w:spacing w:after="0"/>
              <w:rPr>
                <w:sz w:val="12"/>
                <w:szCs w:val="12"/>
                <w:color w:val="auto"/>
              </w:rPr>
            </w:pPr>
          </w:p>
        </w:tc>
        <w:tc>
          <w:tcPr>
            <w:tcW w:w="2760" w:type="dxa"/>
            <w:vAlign w:val="bottom"/>
            <w:gridSpan w:val="2"/>
          </w:tcPr>
          <w:p>
            <w:pPr>
              <w:jc w:val="center"/>
              <w:ind w:right="140"/>
              <w:spacing w:after="0"/>
              <w:rPr>
                <w:sz w:val="20"/>
                <w:szCs w:val="20"/>
                <w:color w:val="auto"/>
              </w:rPr>
            </w:pPr>
            <w:r>
              <w:rPr>
                <w:rFonts w:ascii="Arial" w:cs="Arial" w:eastAsia="Arial" w:hAnsi="Arial"/>
                <w:sz w:val="11"/>
                <w:szCs w:val="11"/>
                <w:color w:val="auto"/>
                <w:w w:val="89"/>
              </w:rPr>
              <w:t>High Tech Industries</w:t>
            </w:r>
          </w:p>
        </w:tc>
        <w:tc>
          <w:tcPr>
            <w:tcW w:w="860" w:type="dxa"/>
            <w:vAlign w:val="bottom"/>
            <w:gridSpan w:val="2"/>
          </w:tcPr>
          <w:p>
            <w:pPr>
              <w:jc w:val="right"/>
              <w:ind w:right="180"/>
              <w:spacing w:after="0"/>
              <w:rPr>
                <w:sz w:val="20"/>
                <w:szCs w:val="20"/>
                <w:color w:val="auto"/>
              </w:rPr>
            </w:pPr>
            <w:r>
              <w:rPr>
                <w:rFonts w:ascii="Arial" w:cs="Arial" w:eastAsia="Arial" w:hAnsi="Arial"/>
                <w:sz w:val="11"/>
                <w:szCs w:val="11"/>
                <w:color w:val="auto"/>
              </w:rPr>
              <w:t>6.80%</w:t>
            </w:r>
          </w:p>
        </w:tc>
        <w:tc>
          <w:tcPr>
            <w:tcW w:w="560" w:type="dxa"/>
            <w:vAlign w:val="bottom"/>
          </w:tcPr>
          <w:p>
            <w:pPr>
              <w:ind w:left="400"/>
              <w:spacing w:after="0"/>
              <w:rPr>
                <w:sz w:val="20"/>
                <w:szCs w:val="20"/>
                <w:color w:val="auto"/>
              </w:rPr>
            </w:pPr>
            <w:r>
              <w:rPr>
                <w:rFonts w:ascii="Arial" w:cs="Arial" w:eastAsia="Arial" w:hAnsi="Arial"/>
                <w:sz w:val="11"/>
                <w:szCs w:val="11"/>
                <w:color w:val="auto"/>
                <w:w w:val="91"/>
              </w:rPr>
              <w:t>3M</w:t>
            </w:r>
          </w:p>
        </w:tc>
        <w:tc>
          <w:tcPr>
            <w:tcW w:w="540" w:type="dxa"/>
            <w:vAlign w:val="bottom"/>
            <w:gridSpan w:val="3"/>
          </w:tcPr>
          <w:p>
            <w:pPr>
              <w:jc w:val="right"/>
              <w:ind w:right="40"/>
              <w:spacing w:after="0"/>
              <w:rPr>
                <w:sz w:val="20"/>
                <w:szCs w:val="20"/>
                <w:color w:val="auto"/>
              </w:rPr>
            </w:pPr>
            <w:r>
              <w:rPr>
                <w:rFonts w:ascii="Arial" w:cs="Arial" w:eastAsia="Arial" w:hAnsi="Arial"/>
                <w:sz w:val="11"/>
                <w:szCs w:val="11"/>
                <w:color w:val="auto"/>
              </w:rPr>
              <w:t>L+575A $</w:t>
            </w:r>
          </w:p>
        </w:tc>
        <w:tc>
          <w:tcPr>
            <w:tcW w:w="580" w:type="dxa"/>
            <w:vAlign w:val="bottom"/>
          </w:tcPr>
          <w:p>
            <w:pPr>
              <w:jc w:val="right"/>
              <w:spacing w:after="0"/>
              <w:rPr>
                <w:sz w:val="20"/>
                <w:szCs w:val="20"/>
                <w:color w:val="auto"/>
              </w:rPr>
            </w:pPr>
            <w:r>
              <w:rPr>
                <w:rFonts w:ascii="Arial" w:cs="Arial" w:eastAsia="Arial" w:hAnsi="Arial"/>
                <w:sz w:val="12"/>
                <w:szCs w:val="12"/>
                <w:color w:val="auto"/>
                <w:w w:val="89"/>
              </w:rPr>
              <w:t>14,755,747</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10,483,859</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9,952,014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060" w:type="dxa"/>
            <w:vAlign w:val="bottom"/>
            <w:shd w:val="clear" w:color="auto" w:fill="CCECFF"/>
          </w:tcPr>
          <w:p>
            <w:pPr>
              <w:spacing w:after="0"/>
              <w:rPr>
                <w:sz w:val="20"/>
                <w:szCs w:val="20"/>
                <w:color w:val="auto"/>
              </w:rPr>
            </w:pPr>
            <w:r>
              <w:rPr>
                <w:rFonts w:ascii="Arial" w:cs="Arial" w:eastAsia="Arial" w:hAnsi="Arial"/>
                <w:sz w:val="11"/>
                <w:szCs w:val="11"/>
                <w:color w:val="auto"/>
              </w:rPr>
              <w:t>Long's Drugs Incorporated</w:t>
            </w:r>
          </w:p>
        </w:tc>
        <w:tc>
          <w:tcPr>
            <w:tcW w:w="64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87"/>
              </w:rPr>
              <w:t>08/19/2022</w:t>
            </w:r>
          </w:p>
        </w:tc>
        <w:tc>
          <w:tcPr>
            <w:tcW w:w="24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6"/>
              </w:rPr>
              <w:t>Healthcare and Pharmaceuticals</w:t>
            </w:r>
          </w:p>
        </w:tc>
        <w:tc>
          <w:tcPr>
            <w:tcW w:w="86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7.10%</w:t>
            </w:r>
          </w:p>
        </w:tc>
        <w:tc>
          <w:tcPr>
            <w:tcW w:w="560" w:type="dxa"/>
            <w:vAlign w:val="bottom"/>
            <w:shd w:val="clear" w:color="auto" w:fill="CCECFF"/>
          </w:tcPr>
          <w:p>
            <w:pPr>
              <w:ind w:left="400"/>
              <w:spacing w:after="0"/>
              <w:rPr>
                <w:sz w:val="20"/>
                <w:szCs w:val="20"/>
                <w:color w:val="auto"/>
              </w:rPr>
            </w:pPr>
            <w:r>
              <w:rPr>
                <w:rFonts w:ascii="Arial" w:cs="Arial" w:eastAsia="Arial" w:hAnsi="Arial"/>
                <w:sz w:val="11"/>
                <w:szCs w:val="11"/>
                <w:color w:val="auto"/>
                <w:w w:val="91"/>
              </w:rPr>
              <w:t>1M</w:t>
            </w:r>
          </w:p>
        </w:tc>
        <w:tc>
          <w:tcPr>
            <w:tcW w:w="540" w:type="dxa"/>
            <w:vAlign w:val="bottom"/>
            <w:gridSpan w:val="3"/>
            <w:shd w:val="clear" w:color="auto" w:fill="CCECFF"/>
          </w:tcPr>
          <w:p>
            <w:pPr>
              <w:jc w:val="right"/>
              <w:ind w:right="220"/>
              <w:spacing w:after="0"/>
              <w:rPr>
                <w:sz w:val="20"/>
                <w:szCs w:val="20"/>
                <w:color w:val="auto"/>
              </w:rPr>
            </w:pPr>
            <w:r>
              <w:rPr>
                <w:rFonts w:ascii="Arial" w:cs="Arial" w:eastAsia="Arial" w:hAnsi="Arial"/>
                <w:sz w:val="11"/>
                <w:szCs w:val="11"/>
                <w:color w:val="auto"/>
                <w:w w:val="96"/>
              </w:rPr>
              <w:t>L+500</w:t>
            </w: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w w:val="98"/>
              </w:rPr>
              <w:t>17,820,000</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17,688,160</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17,641,800</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tcPr>
          <w:p>
            <w:pPr>
              <w:spacing w:after="0"/>
              <w:rPr>
                <w:sz w:val="20"/>
                <w:szCs w:val="20"/>
                <w:color w:val="auto"/>
              </w:rPr>
            </w:pPr>
            <w:r>
              <w:rPr>
                <w:rFonts w:ascii="Arial" w:cs="Arial" w:eastAsia="Arial" w:hAnsi="Arial"/>
                <w:sz w:val="11"/>
                <w:szCs w:val="11"/>
                <w:color w:val="auto"/>
              </w:rPr>
              <w:t>LSF9 Atlantis Holdings, LLC</w:t>
            </w:r>
          </w:p>
        </w:tc>
        <w:tc>
          <w:tcPr>
            <w:tcW w:w="640" w:type="dxa"/>
            <w:vAlign w:val="bottom"/>
            <w:gridSpan w:val="2"/>
          </w:tcPr>
          <w:p>
            <w:pPr>
              <w:jc w:val="center"/>
              <w:ind w:left="66"/>
              <w:spacing w:after="0"/>
              <w:rPr>
                <w:sz w:val="20"/>
                <w:szCs w:val="20"/>
                <w:color w:val="auto"/>
              </w:rPr>
            </w:pPr>
            <w:r>
              <w:rPr>
                <w:rFonts w:ascii="Arial" w:cs="Arial" w:eastAsia="Arial" w:hAnsi="Arial"/>
                <w:sz w:val="11"/>
                <w:szCs w:val="11"/>
                <w:color w:val="auto"/>
                <w:w w:val="87"/>
              </w:rPr>
              <w:t>05/01/2023</w:t>
            </w:r>
          </w:p>
        </w:tc>
        <w:tc>
          <w:tcPr>
            <w:tcW w:w="240" w:type="dxa"/>
            <w:vAlign w:val="bottom"/>
          </w:tcPr>
          <w:p>
            <w:pPr>
              <w:spacing w:after="0"/>
              <w:rPr>
                <w:sz w:val="11"/>
                <w:szCs w:val="11"/>
                <w:color w:val="auto"/>
              </w:rPr>
            </w:pPr>
          </w:p>
        </w:tc>
        <w:tc>
          <w:tcPr>
            <w:tcW w:w="2760" w:type="dxa"/>
            <w:vAlign w:val="bottom"/>
            <w:gridSpan w:val="2"/>
          </w:tcPr>
          <w:p>
            <w:pPr>
              <w:jc w:val="center"/>
              <w:ind w:right="140"/>
              <w:spacing w:after="0"/>
              <w:rPr>
                <w:sz w:val="20"/>
                <w:szCs w:val="20"/>
                <w:color w:val="auto"/>
              </w:rPr>
            </w:pPr>
            <w:r>
              <w:rPr>
                <w:rFonts w:ascii="Arial" w:cs="Arial" w:eastAsia="Arial" w:hAnsi="Arial"/>
                <w:sz w:val="11"/>
                <w:szCs w:val="11"/>
                <w:color w:val="auto"/>
                <w:w w:val="92"/>
              </w:rPr>
              <w:t>Retail</w:t>
            </w:r>
          </w:p>
        </w:tc>
        <w:tc>
          <w:tcPr>
            <w:tcW w:w="860" w:type="dxa"/>
            <w:vAlign w:val="bottom"/>
            <w:gridSpan w:val="2"/>
          </w:tcPr>
          <w:p>
            <w:pPr>
              <w:jc w:val="right"/>
              <w:ind w:right="180"/>
              <w:spacing w:after="0"/>
              <w:rPr>
                <w:sz w:val="20"/>
                <w:szCs w:val="20"/>
                <w:color w:val="auto"/>
              </w:rPr>
            </w:pPr>
            <w:r>
              <w:rPr>
                <w:rFonts w:ascii="Arial" w:cs="Arial" w:eastAsia="Arial" w:hAnsi="Arial"/>
                <w:sz w:val="11"/>
                <w:szCs w:val="11"/>
                <w:color w:val="auto"/>
              </w:rPr>
              <w:t>8.04%</w:t>
            </w:r>
          </w:p>
        </w:tc>
        <w:tc>
          <w:tcPr>
            <w:tcW w:w="560" w:type="dxa"/>
            <w:vAlign w:val="bottom"/>
          </w:tcPr>
          <w:p>
            <w:pPr>
              <w:ind w:left="400"/>
              <w:spacing w:after="0"/>
              <w:rPr>
                <w:sz w:val="20"/>
                <w:szCs w:val="20"/>
                <w:color w:val="auto"/>
              </w:rPr>
            </w:pPr>
            <w:r>
              <w:rPr>
                <w:rFonts w:ascii="Arial" w:cs="Arial" w:eastAsia="Arial" w:hAnsi="Arial"/>
                <w:sz w:val="11"/>
                <w:szCs w:val="11"/>
                <w:color w:val="auto"/>
                <w:w w:val="91"/>
              </w:rPr>
              <w:t>1M</w:t>
            </w:r>
          </w:p>
        </w:tc>
        <w:tc>
          <w:tcPr>
            <w:tcW w:w="540" w:type="dxa"/>
            <w:vAlign w:val="bottom"/>
            <w:gridSpan w:val="3"/>
          </w:tcPr>
          <w:p>
            <w:pPr>
              <w:jc w:val="right"/>
              <w:ind w:right="220"/>
              <w:spacing w:after="0"/>
              <w:rPr>
                <w:sz w:val="20"/>
                <w:szCs w:val="20"/>
                <w:color w:val="auto"/>
              </w:rPr>
            </w:pPr>
            <w:r>
              <w:rPr>
                <w:rFonts w:ascii="Arial" w:cs="Arial" w:eastAsia="Arial" w:hAnsi="Arial"/>
                <w:sz w:val="11"/>
                <w:szCs w:val="11"/>
                <w:color w:val="auto"/>
                <w:w w:val="96"/>
              </w:rPr>
              <w:t>L+600</w:t>
            </w:r>
          </w:p>
        </w:tc>
        <w:tc>
          <w:tcPr>
            <w:tcW w:w="580" w:type="dxa"/>
            <w:vAlign w:val="bottom"/>
          </w:tcPr>
          <w:p>
            <w:pPr>
              <w:jc w:val="right"/>
              <w:spacing w:after="0"/>
              <w:rPr>
                <w:sz w:val="20"/>
                <w:szCs w:val="20"/>
                <w:color w:val="auto"/>
              </w:rPr>
            </w:pPr>
            <w:r>
              <w:rPr>
                <w:rFonts w:ascii="Arial" w:cs="Arial" w:eastAsia="Arial" w:hAnsi="Arial"/>
                <w:sz w:val="11"/>
                <w:szCs w:val="11"/>
                <w:color w:val="auto"/>
              </w:rPr>
              <w:t>7,078,125</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7,118,977</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6,575,083</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shd w:val="clear" w:color="auto" w:fill="CCECFF"/>
          </w:tcPr>
          <w:p>
            <w:pPr>
              <w:spacing w:after="0"/>
              <w:rPr>
                <w:sz w:val="20"/>
                <w:szCs w:val="20"/>
                <w:color w:val="auto"/>
              </w:rPr>
            </w:pPr>
            <w:r>
              <w:rPr>
                <w:rFonts w:ascii="Arial" w:cs="Arial" w:eastAsia="Arial" w:hAnsi="Arial"/>
                <w:sz w:val="11"/>
                <w:szCs w:val="11"/>
                <w:color w:val="auto"/>
              </w:rPr>
              <w:t>Manna Pro Products, LLC</w:t>
            </w:r>
          </w:p>
        </w:tc>
        <w:tc>
          <w:tcPr>
            <w:tcW w:w="64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87"/>
              </w:rPr>
              <w:t>12/08/2023</w:t>
            </w:r>
          </w:p>
        </w:tc>
        <w:tc>
          <w:tcPr>
            <w:tcW w:w="24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9"/>
              </w:rPr>
              <w:t>Consumer Goods: Non-Durable</w:t>
            </w:r>
          </w:p>
        </w:tc>
        <w:tc>
          <w:tcPr>
            <w:tcW w:w="86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8.05%</w:t>
            </w:r>
          </w:p>
        </w:tc>
        <w:tc>
          <w:tcPr>
            <w:tcW w:w="560" w:type="dxa"/>
            <w:vAlign w:val="bottom"/>
            <w:shd w:val="clear" w:color="auto" w:fill="CCECFF"/>
          </w:tcPr>
          <w:p>
            <w:pPr>
              <w:ind w:left="400"/>
              <w:spacing w:after="0"/>
              <w:rPr>
                <w:sz w:val="20"/>
                <w:szCs w:val="20"/>
                <w:color w:val="auto"/>
              </w:rPr>
            </w:pPr>
            <w:r>
              <w:rPr>
                <w:rFonts w:ascii="Arial" w:cs="Arial" w:eastAsia="Arial" w:hAnsi="Arial"/>
                <w:sz w:val="11"/>
                <w:szCs w:val="11"/>
                <w:color w:val="auto"/>
                <w:w w:val="91"/>
              </w:rPr>
              <w:t>1M</w:t>
            </w:r>
          </w:p>
        </w:tc>
        <w:tc>
          <w:tcPr>
            <w:tcW w:w="540" w:type="dxa"/>
            <w:vAlign w:val="bottom"/>
            <w:gridSpan w:val="3"/>
            <w:shd w:val="clear" w:color="auto" w:fill="CCECFF"/>
          </w:tcPr>
          <w:p>
            <w:pPr>
              <w:jc w:val="right"/>
              <w:ind w:right="220"/>
              <w:spacing w:after="0"/>
              <w:rPr>
                <w:sz w:val="20"/>
                <w:szCs w:val="20"/>
                <w:color w:val="auto"/>
              </w:rPr>
            </w:pPr>
            <w:r>
              <w:rPr>
                <w:rFonts w:ascii="Arial" w:cs="Arial" w:eastAsia="Arial" w:hAnsi="Arial"/>
                <w:sz w:val="11"/>
                <w:szCs w:val="11"/>
                <w:color w:val="auto"/>
                <w:w w:val="96"/>
              </w:rPr>
              <w:t>L+600</w:t>
            </w: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6,877,500</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6,797,207</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6,688,369</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060" w:type="dxa"/>
            <w:vAlign w:val="bottom"/>
          </w:tcPr>
          <w:p>
            <w:pPr>
              <w:spacing w:after="0"/>
              <w:rPr>
                <w:sz w:val="20"/>
                <w:szCs w:val="20"/>
                <w:color w:val="auto"/>
              </w:rPr>
            </w:pPr>
            <w:r>
              <w:rPr>
                <w:rFonts w:ascii="Arial" w:cs="Arial" w:eastAsia="Arial" w:hAnsi="Arial"/>
                <w:sz w:val="11"/>
                <w:szCs w:val="11"/>
                <w:color w:val="auto"/>
              </w:rPr>
              <w:t xml:space="preserve">Marketplace Events LLC </w:t>
            </w:r>
            <w:r>
              <w:rPr>
                <w:rFonts w:ascii="Arial" w:cs="Arial" w:eastAsia="Arial" w:hAnsi="Arial"/>
                <w:sz w:val="9"/>
                <w:szCs w:val="9"/>
                <w:color w:val="auto"/>
              </w:rPr>
              <w:t>(4)</w:t>
            </w:r>
          </w:p>
        </w:tc>
        <w:tc>
          <w:tcPr>
            <w:tcW w:w="640" w:type="dxa"/>
            <w:vAlign w:val="bottom"/>
            <w:gridSpan w:val="2"/>
          </w:tcPr>
          <w:p>
            <w:pPr>
              <w:jc w:val="center"/>
              <w:ind w:left="66"/>
              <w:spacing w:after="0"/>
              <w:rPr>
                <w:sz w:val="20"/>
                <w:szCs w:val="20"/>
                <w:color w:val="auto"/>
              </w:rPr>
            </w:pPr>
            <w:r>
              <w:rPr>
                <w:rFonts w:ascii="Arial" w:cs="Arial" w:eastAsia="Arial" w:hAnsi="Arial"/>
                <w:sz w:val="11"/>
                <w:szCs w:val="11"/>
                <w:color w:val="auto"/>
                <w:w w:val="87"/>
              </w:rPr>
              <w:t>01/27/2021</w:t>
            </w:r>
          </w:p>
        </w:tc>
        <w:tc>
          <w:tcPr>
            <w:tcW w:w="240" w:type="dxa"/>
            <w:vAlign w:val="bottom"/>
          </w:tcPr>
          <w:p>
            <w:pPr>
              <w:spacing w:after="0"/>
              <w:rPr>
                <w:sz w:val="12"/>
                <w:szCs w:val="12"/>
                <w:color w:val="auto"/>
              </w:rPr>
            </w:pPr>
          </w:p>
        </w:tc>
        <w:tc>
          <w:tcPr>
            <w:tcW w:w="2760" w:type="dxa"/>
            <w:vAlign w:val="bottom"/>
            <w:gridSpan w:val="2"/>
          </w:tcPr>
          <w:p>
            <w:pPr>
              <w:jc w:val="center"/>
              <w:ind w:right="140"/>
              <w:spacing w:after="0"/>
              <w:rPr>
                <w:sz w:val="20"/>
                <w:szCs w:val="20"/>
                <w:color w:val="auto"/>
              </w:rPr>
            </w:pPr>
            <w:r>
              <w:rPr>
                <w:rFonts w:ascii="Arial" w:cs="Arial" w:eastAsia="Arial" w:hAnsi="Arial"/>
                <w:sz w:val="11"/>
                <w:szCs w:val="11"/>
                <w:color w:val="auto"/>
                <w:w w:val="91"/>
              </w:rPr>
              <w:t>Media: Diversified and Production</w:t>
            </w:r>
          </w:p>
        </w:tc>
        <w:tc>
          <w:tcPr>
            <w:tcW w:w="860" w:type="dxa"/>
            <w:vAlign w:val="bottom"/>
            <w:gridSpan w:val="2"/>
          </w:tcPr>
          <w:p>
            <w:pPr>
              <w:jc w:val="right"/>
              <w:ind w:right="180"/>
              <w:spacing w:after="0"/>
              <w:rPr>
                <w:sz w:val="20"/>
                <w:szCs w:val="20"/>
                <w:color w:val="auto"/>
              </w:rPr>
            </w:pPr>
            <w:r>
              <w:rPr>
                <w:rFonts w:ascii="Arial" w:cs="Arial" w:eastAsia="Arial" w:hAnsi="Arial"/>
                <w:sz w:val="11"/>
                <w:szCs w:val="11"/>
                <w:color w:val="auto"/>
              </w:rPr>
              <w:t>7.20%</w:t>
            </w:r>
          </w:p>
        </w:tc>
        <w:tc>
          <w:tcPr>
            <w:tcW w:w="560" w:type="dxa"/>
            <w:vAlign w:val="bottom"/>
          </w:tcPr>
          <w:p>
            <w:pPr>
              <w:spacing w:after="0"/>
              <w:rPr>
                <w:sz w:val="12"/>
                <w:szCs w:val="12"/>
                <w:color w:val="auto"/>
              </w:rPr>
            </w:pPr>
          </w:p>
        </w:tc>
        <w:tc>
          <w:tcPr>
            <w:tcW w:w="540" w:type="dxa"/>
            <w:vAlign w:val="bottom"/>
            <w:gridSpan w:val="3"/>
          </w:tcPr>
          <w:p>
            <w:pPr>
              <w:jc w:val="right"/>
              <w:ind w:right="40"/>
              <w:spacing w:after="0"/>
              <w:rPr>
                <w:sz w:val="20"/>
                <w:szCs w:val="20"/>
                <w:color w:val="auto"/>
              </w:rPr>
            </w:pPr>
            <w:r>
              <w:rPr>
                <w:rFonts w:ascii="Arial" w:cs="Arial" w:eastAsia="Arial" w:hAnsi="Arial"/>
                <w:sz w:val="11"/>
                <w:szCs w:val="11"/>
                <w:color w:val="auto"/>
                <w:w w:val="97"/>
              </w:rPr>
              <w:t>P+275C $</w:t>
            </w:r>
          </w:p>
        </w:tc>
        <w:tc>
          <w:tcPr>
            <w:tcW w:w="580" w:type="dxa"/>
            <w:vAlign w:val="bottom"/>
          </w:tcPr>
          <w:p>
            <w:pPr>
              <w:jc w:val="right"/>
              <w:spacing w:after="0"/>
              <w:rPr>
                <w:sz w:val="20"/>
                <w:szCs w:val="20"/>
                <w:color w:val="auto"/>
              </w:rPr>
            </w:pPr>
            <w:r>
              <w:rPr>
                <w:rFonts w:ascii="Arial" w:cs="Arial" w:eastAsia="Arial" w:hAnsi="Arial"/>
                <w:sz w:val="12"/>
                <w:szCs w:val="12"/>
                <w:color w:val="auto"/>
              </w:rPr>
              <w:t>5,760,254</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4,461,926</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4,350,645</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060" w:type="dxa"/>
            <w:vAlign w:val="bottom"/>
            <w:shd w:val="clear" w:color="auto" w:fill="CCECFF"/>
          </w:tcPr>
          <w:p>
            <w:pPr>
              <w:spacing w:after="0"/>
              <w:rPr>
                <w:sz w:val="20"/>
                <w:szCs w:val="20"/>
                <w:color w:val="auto"/>
              </w:rPr>
            </w:pPr>
            <w:r>
              <w:rPr>
                <w:rFonts w:ascii="Arial" w:cs="Arial" w:eastAsia="Arial" w:hAnsi="Arial"/>
                <w:sz w:val="11"/>
                <w:szCs w:val="11"/>
                <w:color w:val="auto"/>
              </w:rPr>
              <w:t>Mission Critical Electronics, Inc.</w:t>
            </w:r>
          </w:p>
        </w:tc>
        <w:tc>
          <w:tcPr>
            <w:tcW w:w="64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87"/>
              </w:rPr>
              <w:t>09/28/2022</w:t>
            </w:r>
          </w:p>
        </w:tc>
        <w:tc>
          <w:tcPr>
            <w:tcW w:w="24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91"/>
              </w:rPr>
              <w:t>Capital Equipment</w:t>
            </w:r>
          </w:p>
        </w:tc>
        <w:tc>
          <w:tcPr>
            <w:tcW w:w="86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7.10%</w:t>
            </w:r>
          </w:p>
        </w:tc>
        <w:tc>
          <w:tcPr>
            <w:tcW w:w="560" w:type="dxa"/>
            <w:vAlign w:val="bottom"/>
            <w:shd w:val="clear" w:color="auto" w:fill="CCECFF"/>
          </w:tcPr>
          <w:p>
            <w:pPr>
              <w:ind w:left="400"/>
              <w:spacing w:after="0"/>
              <w:rPr>
                <w:sz w:val="20"/>
                <w:szCs w:val="20"/>
                <w:color w:val="auto"/>
              </w:rPr>
            </w:pPr>
            <w:r>
              <w:rPr>
                <w:rFonts w:ascii="Arial" w:cs="Arial" w:eastAsia="Arial" w:hAnsi="Arial"/>
                <w:sz w:val="11"/>
                <w:szCs w:val="11"/>
                <w:color w:val="auto"/>
                <w:w w:val="91"/>
              </w:rPr>
              <w:t>3M</w:t>
            </w:r>
          </w:p>
        </w:tc>
        <w:tc>
          <w:tcPr>
            <w:tcW w:w="540" w:type="dxa"/>
            <w:vAlign w:val="bottom"/>
            <w:gridSpan w:val="3"/>
            <w:shd w:val="clear" w:color="auto" w:fill="CCECFF"/>
          </w:tcPr>
          <w:p>
            <w:pPr>
              <w:jc w:val="right"/>
              <w:ind w:right="220"/>
              <w:spacing w:after="0"/>
              <w:rPr>
                <w:sz w:val="20"/>
                <w:szCs w:val="20"/>
                <w:color w:val="auto"/>
              </w:rPr>
            </w:pPr>
            <w:r>
              <w:rPr>
                <w:rFonts w:ascii="Arial" w:cs="Arial" w:eastAsia="Arial" w:hAnsi="Arial"/>
                <w:sz w:val="11"/>
                <w:szCs w:val="11"/>
                <w:color w:val="auto"/>
                <w:w w:val="96"/>
              </w:rPr>
              <w:t>L+500</w:t>
            </w: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6,009,982</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5,977,867</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6,009,982</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tcPr>
          <w:p>
            <w:pPr>
              <w:spacing w:after="0"/>
              <w:rPr>
                <w:sz w:val="20"/>
                <w:szCs w:val="20"/>
                <w:color w:val="auto"/>
              </w:rPr>
            </w:pPr>
            <w:r>
              <w:rPr>
                <w:rFonts w:ascii="Arial" w:cs="Arial" w:eastAsia="Arial" w:hAnsi="Arial"/>
                <w:sz w:val="11"/>
                <w:szCs w:val="11"/>
                <w:color w:val="auto"/>
              </w:rPr>
              <w:t>New Milani Group LLC</w:t>
            </w:r>
          </w:p>
        </w:tc>
        <w:tc>
          <w:tcPr>
            <w:tcW w:w="640" w:type="dxa"/>
            <w:vAlign w:val="bottom"/>
            <w:gridSpan w:val="2"/>
          </w:tcPr>
          <w:p>
            <w:pPr>
              <w:jc w:val="center"/>
              <w:ind w:left="66"/>
              <w:spacing w:after="0"/>
              <w:rPr>
                <w:sz w:val="20"/>
                <w:szCs w:val="20"/>
                <w:color w:val="auto"/>
              </w:rPr>
            </w:pPr>
            <w:r>
              <w:rPr>
                <w:rFonts w:ascii="Arial" w:cs="Arial" w:eastAsia="Arial" w:hAnsi="Arial"/>
                <w:sz w:val="11"/>
                <w:szCs w:val="11"/>
                <w:color w:val="auto"/>
                <w:w w:val="87"/>
              </w:rPr>
              <w:t>06/06/2024</w:t>
            </w:r>
          </w:p>
        </w:tc>
        <w:tc>
          <w:tcPr>
            <w:tcW w:w="240" w:type="dxa"/>
            <w:vAlign w:val="bottom"/>
          </w:tcPr>
          <w:p>
            <w:pPr>
              <w:spacing w:after="0"/>
              <w:rPr>
                <w:sz w:val="11"/>
                <w:szCs w:val="11"/>
                <w:color w:val="auto"/>
              </w:rPr>
            </w:pPr>
          </w:p>
        </w:tc>
        <w:tc>
          <w:tcPr>
            <w:tcW w:w="2760" w:type="dxa"/>
            <w:vAlign w:val="bottom"/>
            <w:gridSpan w:val="2"/>
          </w:tcPr>
          <w:p>
            <w:pPr>
              <w:jc w:val="center"/>
              <w:ind w:right="140"/>
              <w:spacing w:after="0"/>
              <w:rPr>
                <w:sz w:val="20"/>
                <w:szCs w:val="20"/>
                <w:color w:val="auto"/>
              </w:rPr>
            </w:pPr>
            <w:r>
              <w:rPr>
                <w:rFonts w:ascii="Arial" w:cs="Arial" w:eastAsia="Arial" w:hAnsi="Arial"/>
                <w:sz w:val="11"/>
                <w:szCs w:val="11"/>
                <w:color w:val="auto"/>
                <w:w w:val="89"/>
              </w:rPr>
              <w:t>Consumer Goods: Non-Durable</w:t>
            </w:r>
          </w:p>
        </w:tc>
        <w:tc>
          <w:tcPr>
            <w:tcW w:w="860" w:type="dxa"/>
            <w:vAlign w:val="bottom"/>
            <w:gridSpan w:val="2"/>
          </w:tcPr>
          <w:p>
            <w:pPr>
              <w:jc w:val="right"/>
              <w:ind w:right="180"/>
              <w:spacing w:after="0"/>
              <w:rPr>
                <w:sz w:val="20"/>
                <w:szCs w:val="20"/>
                <w:color w:val="auto"/>
              </w:rPr>
            </w:pPr>
            <w:r>
              <w:rPr>
                <w:rFonts w:ascii="Arial" w:cs="Arial" w:eastAsia="Arial" w:hAnsi="Arial"/>
                <w:sz w:val="11"/>
                <w:szCs w:val="11"/>
                <w:color w:val="auto"/>
              </w:rPr>
              <w:t>6.35%</w:t>
            </w:r>
          </w:p>
        </w:tc>
        <w:tc>
          <w:tcPr>
            <w:tcW w:w="560" w:type="dxa"/>
            <w:vAlign w:val="bottom"/>
          </w:tcPr>
          <w:p>
            <w:pPr>
              <w:ind w:left="400"/>
              <w:spacing w:after="0"/>
              <w:rPr>
                <w:sz w:val="20"/>
                <w:szCs w:val="20"/>
                <w:color w:val="auto"/>
              </w:rPr>
            </w:pPr>
            <w:r>
              <w:rPr>
                <w:rFonts w:ascii="Arial" w:cs="Arial" w:eastAsia="Arial" w:hAnsi="Arial"/>
                <w:sz w:val="11"/>
                <w:szCs w:val="11"/>
                <w:color w:val="auto"/>
                <w:w w:val="91"/>
              </w:rPr>
              <w:t>1M</w:t>
            </w:r>
          </w:p>
        </w:tc>
        <w:tc>
          <w:tcPr>
            <w:tcW w:w="540" w:type="dxa"/>
            <w:vAlign w:val="bottom"/>
            <w:gridSpan w:val="3"/>
          </w:tcPr>
          <w:p>
            <w:pPr>
              <w:jc w:val="right"/>
              <w:ind w:right="220"/>
              <w:spacing w:after="0"/>
              <w:rPr>
                <w:sz w:val="20"/>
                <w:szCs w:val="20"/>
                <w:color w:val="auto"/>
              </w:rPr>
            </w:pPr>
            <w:r>
              <w:rPr>
                <w:rFonts w:ascii="Arial" w:cs="Arial" w:eastAsia="Arial" w:hAnsi="Arial"/>
                <w:sz w:val="11"/>
                <w:szCs w:val="11"/>
                <w:color w:val="auto"/>
                <w:w w:val="96"/>
              </w:rPr>
              <w:t>L+425</w:t>
            </w:r>
          </w:p>
        </w:tc>
        <w:tc>
          <w:tcPr>
            <w:tcW w:w="580" w:type="dxa"/>
            <w:vAlign w:val="bottom"/>
          </w:tcPr>
          <w:p>
            <w:pPr>
              <w:jc w:val="right"/>
              <w:spacing w:after="0"/>
              <w:rPr>
                <w:sz w:val="20"/>
                <w:szCs w:val="20"/>
                <w:color w:val="auto"/>
              </w:rPr>
            </w:pPr>
            <w:r>
              <w:rPr>
                <w:rFonts w:ascii="Arial" w:cs="Arial" w:eastAsia="Arial" w:hAnsi="Arial"/>
                <w:sz w:val="11"/>
                <w:szCs w:val="11"/>
                <w:color w:val="auto"/>
                <w:w w:val="98"/>
              </w:rPr>
              <w:t>14,812,500</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14,691,710</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14,664,375</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shd w:val="clear" w:color="auto" w:fill="CCECFF"/>
          </w:tcPr>
          <w:p>
            <w:pPr>
              <w:spacing w:after="0"/>
              <w:rPr>
                <w:sz w:val="20"/>
                <w:szCs w:val="20"/>
                <w:color w:val="auto"/>
              </w:rPr>
            </w:pPr>
            <w:r>
              <w:rPr>
                <w:rFonts w:ascii="Arial" w:cs="Arial" w:eastAsia="Arial" w:hAnsi="Arial"/>
                <w:sz w:val="11"/>
                <w:szCs w:val="11"/>
                <w:color w:val="auto"/>
              </w:rPr>
              <w:t>Olde Thompson, LLC</w:t>
            </w:r>
          </w:p>
        </w:tc>
        <w:tc>
          <w:tcPr>
            <w:tcW w:w="64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87"/>
              </w:rPr>
              <w:t>05/14/2024</w:t>
            </w:r>
          </w:p>
        </w:tc>
        <w:tc>
          <w:tcPr>
            <w:tcW w:w="24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6"/>
              </w:rPr>
              <w:t>Beverage, Food and Tobacco</w:t>
            </w:r>
          </w:p>
        </w:tc>
        <w:tc>
          <w:tcPr>
            <w:tcW w:w="86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6.54%</w:t>
            </w:r>
          </w:p>
        </w:tc>
        <w:tc>
          <w:tcPr>
            <w:tcW w:w="560" w:type="dxa"/>
            <w:vAlign w:val="bottom"/>
            <w:shd w:val="clear" w:color="auto" w:fill="CCECFF"/>
          </w:tcPr>
          <w:p>
            <w:pPr>
              <w:ind w:left="400"/>
              <w:spacing w:after="0"/>
              <w:rPr>
                <w:sz w:val="20"/>
                <w:szCs w:val="20"/>
                <w:color w:val="auto"/>
              </w:rPr>
            </w:pPr>
            <w:r>
              <w:rPr>
                <w:rFonts w:ascii="Arial" w:cs="Arial" w:eastAsia="Arial" w:hAnsi="Arial"/>
                <w:sz w:val="11"/>
                <w:szCs w:val="11"/>
                <w:color w:val="auto"/>
                <w:w w:val="91"/>
              </w:rPr>
              <w:t>1M</w:t>
            </w:r>
          </w:p>
        </w:tc>
        <w:tc>
          <w:tcPr>
            <w:tcW w:w="540" w:type="dxa"/>
            <w:vAlign w:val="bottom"/>
            <w:gridSpan w:val="3"/>
            <w:shd w:val="clear" w:color="auto" w:fill="CCECFF"/>
          </w:tcPr>
          <w:p>
            <w:pPr>
              <w:jc w:val="right"/>
              <w:ind w:right="220"/>
              <w:spacing w:after="0"/>
              <w:rPr>
                <w:sz w:val="20"/>
                <w:szCs w:val="20"/>
                <w:color w:val="auto"/>
              </w:rPr>
            </w:pPr>
            <w:r>
              <w:rPr>
                <w:rFonts w:ascii="Arial" w:cs="Arial" w:eastAsia="Arial" w:hAnsi="Arial"/>
                <w:sz w:val="11"/>
                <w:szCs w:val="11"/>
                <w:color w:val="auto"/>
                <w:w w:val="96"/>
              </w:rPr>
              <w:t>L+450</w:t>
            </w: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w w:val="98"/>
              </w:rPr>
              <w:t>11,876,667</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11,757,900</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11,876,667</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tcPr>
          <w:p>
            <w:pPr>
              <w:spacing w:after="0"/>
              <w:rPr>
                <w:sz w:val="20"/>
                <w:szCs w:val="20"/>
                <w:color w:val="auto"/>
              </w:rPr>
            </w:pPr>
            <w:r>
              <w:rPr>
                <w:rFonts w:ascii="Arial" w:cs="Arial" w:eastAsia="Arial" w:hAnsi="Arial"/>
                <w:sz w:val="11"/>
                <w:szCs w:val="11"/>
                <w:color w:val="auto"/>
              </w:rPr>
              <w:t>Output Services Group, Inc.</w:t>
            </w:r>
          </w:p>
        </w:tc>
        <w:tc>
          <w:tcPr>
            <w:tcW w:w="640" w:type="dxa"/>
            <w:vAlign w:val="bottom"/>
            <w:gridSpan w:val="2"/>
          </w:tcPr>
          <w:p>
            <w:pPr>
              <w:jc w:val="center"/>
              <w:ind w:left="66"/>
              <w:spacing w:after="0"/>
              <w:rPr>
                <w:sz w:val="20"/>
                <w:szCs w:val="20"/>
                <w:color w:val="auto"/>
              </w:rPr>
            </w:pPr>
            <w:r>
              <w:rPr>
                <w:rFonts w:ascii="Arial" w:cs="Arial" w:eastAsia="Arial" w:hAnsi="Arial"/>
                <w:sz w:val="11"/>
                <w:szCs w:val="11"/>
                <w:color w:val="auto"/>
                <w:w w:val="87"/>
              </w:rPr>
              <w:t>03/27/2024</w:t>
            </w:r>
          </w:p>
        </w:tc>
        <w:tc>
          <w:tcPr>
            <w:tcW w:w="240" w:type="dxa"/>
            <w:vAlign w:val="bottom"/>
          </w:tcPr>
          <w:p>
            <w:pPr>
              <w:spacing w:after="0"/>
              <w:rPr>
                <w:sz w:val="11"/>
                <w:szCs w:val="11"/>
                <w:color w:val="auto"/>
              </w:rPr>
            </w:pPr>
          </w:p>
        </w:tc>
        <w:tc>
          <w:tcPr>
            <w:tcW w:w="2760" w:type="dxa"/>
            <w:vAlign w:val="bottom"/>
            <w:gridSpan w:val="2"/>
          </w:tcPr>
          <w:p>
            <w:pPr>
              <w:jc w:val="center"/>
              <w:ind w:right="140"/>
              <w:spacing w:after="0"/>
              <w:rPr>
                <w:sz w:val="20"/>
                <w:szCs w:val="20"/>
                <w:color w:val="auto"/>
              </w:rPr>
            </w:pPr>
            <w:r>
              <w:rPr>
                <w:rFonts w:ascii="Arial" w:cs="Arial" w:eastAsia="Arial" w:hAnsi="Arial"/>
                <w:sz w:val="11"/>
                <w:szCs w:val="11"/>
                <w:color w:val="auto"/>
                <w:w w:val="86"/>
              </w:rPr>
              <w:t>Business Services</w:t>
            </w:r>
          </w:p>
        </w:tc>
        <w:tc>
          <w:tcPr>
            <w:tcW w:w="860" w:type="dxa"/>
            <w:vAlign w:val="bottom"/>
            <w:gridSpan w:val="2"/>
          </w:tcPr>
          <w:p>
            <w:pPr>
              <w:jc w:val="right"/>
              <w:ind w:right="180"/>
              <w:spacing w:after="0"/>
              <w:rPr>
                <w:sz w:val="20"/>
                <w:szCs w:val="20"/>
                <w:color w:val="auto"/>
              </w:rPr>
            </w:pPr>
            <w:r>
              <w:rPr>
                <w:rFonts w:ascii="Arial" w:cs="Arial" w:eastAsia="Arial" w:hAnsi="Arial"/>
                <w:sz w:val="11"/>
                <w:szCs w:val="11"/>
                <w:color w:val="auto"/>
              </w:rPr>
              <w:t>6.54%</w:t>
            </w:r>
          </w:p>
        </w:tc>
        <w:tc>
          <w:tcPr>
            <w:tcW w:w="560" w:type="dxa"/>
            <w:vAlign w:val="bottom"/>
          </w:tcPr>
          <w:p>
            <w:pPr>
              <w:ind w:left="400"/>
              <w:spacing w:after="0"/>
              <w:rPr>
                <w:sz w:val="20"/>
                <w:szCs w:val="20"/>
                <w:color w:val="auto"/>
              </w:rPr>
            </w:pPr>
            <w:r>
              <w:rPr>
                <w:rFonts w:ascii="Arial" w:cs="Arial" w:eastAsia="Arial" w:hAnsi="Arial"/>
                <w:sz w:val="11"/>
                <w:szCs w:val="11"/>
                <w:color w:val="auto"/>
                <w:w w:val="91"/>
              </w:rPr>
              <w:t>1M</w:t>
            </w:r>
          </w:p>
        </w:tc>
        <w:tc>
          <w:tcPr>
            <w:tcW w:w="540" w:type="dxa"/>
            <w:vAlign w:val="bottom"/>
            <w:gridSpan w:val="3"/>
          </w:tcPr>
          <w:p>
            <w:pPr>
              <w:jc w:val="right"/>
              <w:ind w:right="220"/>
              <w:spacing w:after="0"/>
              <w:rPr>
                <w:sz w:val="20"/>
                <w:szCs w:val="20"/>
                <w:color w:val="auto"/>
              </w:rPr>
            </w:pPr>
            <w:r>
              <w:rPr>
                <w:rFonts w:ascii="Arial" w:cs="Arial" w:eastAsia="Arial" w:hAnsi="Arial"/>
                <w:sz w:val="11"/>
                <w:szCs w:val="11"/>
                <w:color w:val="auto"/>
                <w:w w:val="96"/>
              </w:rPr>
              <w:t>L+425</w:t>
            </w:r>
          </w:p>
        </w:tc>
        <w:tc>
          <w:tcPr>
            <w:tcW w:w="580" w:type="dxa"/>
            <w:vAlign w:val="bottom"/>
          </w:tcPr>
          <w:p>
            <w:pPr>
              <w:jc w:val="right"/>
              <w:spacing w:after="0"/>
              <w:rPr>
                <w:sz w:val="20"/>
                <w:szCs w:val="20"/>
                <w:color w:val="auto"/>
              </w:rPr>
            </w:pPr>
            <w:r>
              <w:rPr>
                <w:rFonts w:ascii="Arial" w:cs="Arial" w:eastAsia="Arial" w:hAnsi="Arial"/>
                <w:sz w:val="11"/>
                <w:szCs w:val="11"/>
                <w:color w:val="auto"/>
              </w:rPr>
              <w:t>7,883,419</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7,909,754</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6,779,740</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shd w:val="clear" w:color="auto" w:fill="CCECFF"/>
          </w:tcPr>
          <w:p>
            <w:pPr>
              <w:spacing w:after="0"/>
              <w:rPr>
                <w:sz w:val="20"/>
                <w:szCs w:val="20"/>
                <w:color w:val="auto"/>
              </w:rPr>
            </w:pPr>
            <w:r>
              <w:rPr>
                <w:rFonts w:ascii="Arial" w:cs="Arial" w:eastAsia="Arial" w:hAnsi="Arial"/>
                <w:sz w:val="11"/>
                <w:szCs w:val="11"/>
                <w:color w:val="auto"/>
              </w:rPr>
              <w:t>Pestell Minerals and Ingredients Inc.</w:t>
            </w:r>
          </w:p>
        </w:tc>
        <w:tc>
          <w:tcPr>
            <w:tcW w:w="64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87"/>
              </w:rPr>
              <w:t>06/01/2023</w:t>
            </w:r>
          </w:p>
        </w:tc>
        <w:tc>
          <w:tcPr>
            <w:tcW w:w="24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6"/>
              </w:rPr>
              <w:t>Beverage, Food and Tobacco</w:t>
            </w:r>
          </w:p>
        </w:tc>
        <w:tc>
          <w:tcPr>
            <w:tcW w:w="86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7.57%</w:t>
            </w:r>
          </w:p>
        </w:tc>
        <w:tc>
          <w:tcPr>
            <w:tcW w:w="560" w:type="dxa"/>
            <w:vAlign w:val="bottom"/>
            <w:shd w:val="clear" w:color="auto" w:fill="CCECFF"/>
          </w:tcPr>
          <w:p>
            <w:pPr>
              <w:ind w:left="400"/>
              <w:spacing w:after="0"/>
              <w:rPr>
                <w:sz w:val="20"/>
                <w:szCs w:val="20"/>
                <w:color w:val="auto"/>
              </w:rPr>
            </w:pPr>
            <w:r>
              <w:rPr>
                <w:rFonts w:ascii="Arial" w:cs="Arial" w:eastAsia="Arial" w:hAnsi="Arial"/>
                <w:sz w:val="11"/>
                <w:szCs w:val="11"/>
                <w:color w:val="auto"/>
                <w:w w:val="91"/>
              </w:rPr>
              <w:t>3M</w:t>
            </w:r>
          </w:p>
        </w:tc>
        <w:tc>
          <w:tcPr>
            <w:tcW w:w="540" w:type="dxa"/>
            <w:vAlign w:val="bottom"/>
            <w:gridSpan w:val="3"/>
            <w:shd w:val="clear" w:color="auto" w:fill="CCECFF"/>
          </w:tcPr>
          <w:p>
            <w:pPr>
              <w:jc w:val="right"/>
              <w:ind w:right="220"/>
              <w:spacing w:after="0"/>
              <w:rPr>
                <w:sz w:val="20"/>
                <w:szCs w:val="20"/>
                <w:color w:val="auto"/>
              </w:rPr>
            </w:pPr>
            <w:r>
              <w:rPr>
                <w:rFonts w:ascii="Arial" w:cs="Arial" w:eastAsia="Arial" w:hAnsi="Arial"/>
                <w:sz w:val="11"/>
                <w:szCs w:val="11"/>
                <w:color w:val="auto"/>
                <w:w w:val="96"/>
              </w:rPr>
              <w:t>L+525</w:t>
            </w: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9,925,000</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9,840,202</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9,825,750</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060" w:type="dxa"/>
            <w:vAlign w:val="bottom"/>
          </w:tcPr>
          <w:p>
            <w:pPr>
              <w:spacing w:after="0"/>
              <w:rPr>
                <w:sz w:val="20"/>
                <w:szCs w:val="20"/>
                <w:color w:val="auto"/>
              </w:rPr>
            </w:pPr>
            <w:r>
              <w:rPr>
                <w:rFonts w:ascii="Arial" w:cs="Arial" w:eastAsia="Arial" w:hAnsi="Arial"/>
                <w:sz w:val="11"/>
                <w:szCs w:val="11"/>
                <w:color w:val="auto"/>
              </w:rPr>
              <w:t>Pestell Minerals and Ingredients Inc.</w:t>
            </w:r>
          </w:p>
        </w:tc>
        <w:tc>
          <w:tcPr>
            <w:tcW w:w="640" w:type="dxa"/>
            <w:vAlign w:val="bottom"/>
            <w:gridSpan w:val="2"/>
          </w:tcPr>
          <w:p>
            <w:pPr>
              <w:jc w:val="center"/>
              <w:ind w:left="66"/>
              <w:spacing w:after="0"/>
              <w:rPr>
                <w:sz w:val="20"/>
                <w:szCs w:val="20"/>
                <w:color w:val="auto"/>
              </w:rPr>
            </w:pPr>
            <w:r>
              <w:rPr>
                <w:rFonts w:ascii="Arial" w:cs="Arial" w:eastAsia="Arial" w:hAnsi="Arial"/>
                <w:sz w:val="11"/>
                <w:szCs w:val="11"/>
                <w:color w:val="auto"/>
                <w:w w:val="87"/>
              </w:rPr>
              <w:t>06/01/2023</w:t>
            </w:r>
          </w:p>
        </w:tc>
        <w:tc>
          <w:tcPr>
            <w:tcW w:w="240" w:type="dxa"/>
            <w:vAlign w:val="bottom"/>
          </w:tcPr>
          <w:p>
            <w:pPr>
              <w:spacing w:after="0"/>
              <w:rPr>
                <w:sz w:val="12"/>
                <w:szCs w:val="12"/>
                <w:color w:val="auto"/>
              </w:rPr>
            </w:pPr>
          </w:p>
        </w:tc>
        <w:tc>
          <w:tcPr>
            <w:tcW w:w="2760" w:type="dxa"/>
            <w:vAlign w:val="bottom"/>
            <w:gridSpan w:val="2"/>
          </w:tcPr>
          <w:p>
            <w:pPr>
              <w:jc w:val="center"/>
              <w:ind w:right="140"/>
              <w:spacing w:after="0"/>
              <w:rPr>
                <w:sz w:val="20"/>
                <w:szCs w:val="20"/>
                <w:color w:val="auto"/>
              </w:rPr>
            </w:pPr>
            <w:r>
              <w:rPr>
                <w:rFonts w:ascii="Arial" w:cs="Arial" w:eastAsia="Arial" w:hAnsi="Arial"/>
                <w:sz w:val="11"/>
                <w:szCs w:val="11"/>
                <w:color w:val="auto"/>
                <w:w w:val="86"/>
              </w:rPr>
              <w:t>Beverage, Food and Tobacco</w:t>
            </w:r>
          </w:p>
        </w:tc>
        <w:tc>
          <w:tcPr>
            <w:tcW w:w="860" w:type="dxa"/>
            <w:vAlign w:val="bottom"/>
            <w:gridSpan w:val="2"/>
          </w:tcPr>
          <w:p>
            <w:pPr>
              <w:jc w:val="right"/>
              <w:ind w:right="180"/>
              <w:spacing w:after="0"/>
              <w:rPr>
                <w:sz w:val="20"/>
                <w:szCs w:val="20"/>
                <w:color w:val="auto"/>
              </w:rPr>
            </w:pPr>
            <w:r>
              <w:rPr>
                <w:rFonts w:ascii="Arial" w:cs="Arial" w:eastAsia="Arial" w:hAnsi="Arial"/>
                <w:sz w:val="11"/>
                <w:szCs w:val="11"/>
                <w:color w:val="auto"/>
              </w:rPr>
              <w:t>7.23%</w:t>
            </w:r>
          </w:p>
        </w:tc>
        <w:tc>
          <w:tcPr>
            <w:tcW w:w="560" w:type="dxa"/>
            <w:vAlign w:val="bottom"/>
          </w:tcPr>
          <w:p>
            <w:pPr>
              <w:ind w:left="400"/>
              <w:spacing w:after="0"/>
              <w:rPr>
                <w:sz w:val="20"/>
                <w:szCs w:val="20"/>
                <w:color w:val="auto"/>
              </w:rPr>
            </w:pPr>
            <w:r>
              <w:rPr>
                <w:rFonts w:ascii="Arial" w:cs="Arial" w:eastAsia="Arial" w:hAnsi="Arial"/>
                <w:sz w:val="11"/>
                <w:szCs w:val="11"/>
                <w:color w:val="auto"/>
                <w:w w:val="91"/>
              </w:rPr>
              <w:t>3M</w:t>
            </w:r>
          </w:p>
        </w:tc>
        <w:tc>
          <w:tcPr>
            <w:tcW w:w="540" w:type="dxa"/>
            <w:vAlign w:val="bottom"/>
            <w:gridSpan w:val="3"/>
          </w:tcPr>
          <w:p>
            <w:pPr>
              <w:jc w:val="right"/>
              <w:ind w:right="40"/>
              <w:spacing w:after="0"/>
              <w:rPr>
                <w:sz w:val="20"/>
                <w:szCs w:val="20"/>
                <w:color w:val="auto"/>
              </w:rPr>
            </w:pPr>
            <w:r>
              <w:rPr>
                <w:rFonts w:ascii="Arial" w:cs="Arial" w:eastAsia="Arial" w:hAnsi="Arial"/>
                <w:sz w:val="11"/>
                <w:szCs w:val="11"/>
                <w:color w:val="auto"/>
                <w:w w:val="99"/>
              </w:rPr>
              <w:t>L+525C $</w:t>
            </w:r>
          </w:p>
        </w:tc>
        <w:tc>
          <w:tcPr>
            <w:tcW w:w="580" w:type="dxa"/>
            <w:vAlign w:val="bottom"/>
          </w:tcPr>
          <w:p>
            <w:pPr>
              <w:jc w:val="right"/>
              <w:spacing w:after="0"/>
              <w:rPr>
                <w:sz w:val="20"/>
                <w:szCs w:val="20"/>
                <w:color w:val="auto"/>
              </w:rPr>
            </w:pPr>
            <w:r>
              <w:rPr>
                <w:rFonts w:ascii="Arial" w:cs="Arial" w:eastAsia="Arial" w:hAnsi="Arial"/>
                <w:sz w:val="12"/>
                <w:szCs w:val="12"/>
                <w:color w:val="auto"/>
              </w:rPr>
              <w:t>3,242,655</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2,412,626</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2,424,644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060" w:type="dxa"/>
            <w:vAlign w:val="bottom"/>
            <w:shd w:val="clear" w:color="auto" w:fill="CCECFF"/>
          </w:tcPr>
          <w:p>
            <w:pPr>
              <w:spacing w:after="0"/>
              <w:rPr>
                <w:sz w:val="20"/>
                <w:szCs w:val="20"/>
                <w:color w:val="auto"/>
              </w:rPr>
            </w:pPr>
            <w:r>
              <w:rPr>
                <w:rFonts w:ascii="Arial" w:cs="Arial" w:eastAsia="Arial" w:hAnsi="Arial"/>
                <w:sz w:val="11"/>
                <w:szCs w:val="11"/>
                <w:color w:val="auto"/>
              </w:rPr>
              <w:t>PH Beauty Holdings III, Inc.</w:t>
            </w:r>
          </w:p>
        </w:tc>
        <w:tc>
          <w:tcPr>
            <w:tcW w:w="64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87"/>
              </w:rPr>
              <w:t>09/29/2025</w:t>
            </w:r>
          </w:p>
        </w:tc>
        <w:tc>
          <w:tcPr>
            <w:tcW w:w="24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9"/>
              </w:rPr>
              <w:t>Wholesale</w:t>
            </w:r>
          </w:p>
        </w:tc>
        <w:tc>
          <w:tcPr>
            <w:tcW w:w="86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7.04%</w:t>
            </w:r>
          </w:p>
        </w:tc>
        <w:tc>
          <w:tcPr>
            <w:tcW w:w="560" w:type="dxa"/>
            <w:vAlign w:val="bottom"/>
            <w:shd w:val="clear" w:color="auto" w:fill="CCECFF"/>
          </w:tcPr>
          <w:p>
            <w:pPr>
              <w:ind w:left="400"/>
              <w:spacing w:after="0"/>
              <w:rPr>
                <w:sz w:val="20"/>
                <w:szCs w:val="20"/>
                <w:color w:val="auto"/>
              </w:rPr>
            </w:pPr>
            <w:r>
              <w:rPr>
                <w:rFonts w:ascii="Arial" w:cs="Arial" w:eastAsia="Arial" w:hAnsi="Arial"/>
                <w:sz w:val="11"/>
                <w:szCs w:val="11"/>
                <w:color w:val="auto"/>
                <w:w w:val="91"/>
              </w:rPr>
              <w:t>1M</w:t>
            </w:r>
          </w:p>
        </w:tc>
        <w:tc>
          <w:tcPr>
            <w:tcW w:w="540" w:type="dxa"/>
            <w:vAlign w:val="bottom"/>
            <w:gridSpan w:val="3"/>
            <w:shd w:val="clear" w:color="auto" w:fill="CCECFF"/>
          </w:tcPr>
          <w:p>
            <w:pPr>
              <w:jc w:val="right"/>
              <w:ind w:right="220"/>
              <w:spacing w:after="0"/>
              <w:rPr>
                <w:sz w:val="20"/>
                <w:szCs w:val="20"/>
                <w:color w:val="auto"/>
              </w:rPr>
            </w:pPr>
            <w:r>
              <w:rPr>
                <w:rFonts w:ascii="Arial" w:cs="Arial" w:eastAsia="Arial" w:hAnsi="Arial"/>
                <w:sz w:val="11"/>
                <w:szCs w:val="11"/>
                <w:color w:val="auto"/>
                <w:w w:val="96"/>
              </w:rPr>
              <w:t>L+500</w:t>
            </w: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9,892,519</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9,804,058</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9,397,893</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tcPr>
          <w:p>
            <w:pPr>
              <w:spacing w:after="0"/>
              <w:rPr>
                <w:sz w:val="20"/>
                <w:szCs w:val="20"/>
                <w:color w:val="auto"/>
              </w:rPr>
            </w:pPr>
            <w:r>
              <w:rPr>
                <w:rFonts w:ascii="Arial" w:cs="Arial" w:eastAsia="Arial" w:hAnsi="Arial"/>
                <w:sz w:val="11"/>
                <w:szCs w:val="11"/>
                <w:color w:val="auto"/>
              </w:rPr>
              <w:t>Plant Health Intermediate, Inc.</w:t>
            </w:r>
          </w:p>
        </w:tc>
        <w:tc>
          <w:tcPr>
            <w:tcW w:w="640" w:type="dxa"/>
            <w:vAlign w:val="bottom"/>
            <w:gridSpan w:val="2"/>
          </w:tcPr>
          <w:p>
            <w:pPr>
              <w:jc w:val="center"/>
              <w:ind w:left="66"/>
              <w:spacing w:after="0"/>
              <w:rPr>
                <w:sz w:val="20"/>
                <w:szCs w:val="20"/>
                <w:color w:val="auto"/>
              </w:rPr>
            </w:pPr>
            <w:r>
              <w:rPr>
                <w:rFonts w:ascii="Arial" w:cs="Arial" w:eastAsia="Arial" w:hAnsi="Arial"/>
                <w:sz w:val="11"/>
                <w:szCs w:val="11"/>
                <w:color w:val="auto"/>
                <w:w w:val="87"/>
              </w:rPr>
              <w:t>10/19/2022</w:t>
            </w:r>
          </w:p>
        </w:tc>
        <w:tc>
          <w:tcPr>
            <w:tcW w:w="240" w:type="dxa"/>
            <w:vAlign w:val="bottom"/>
          </w:tcPr>
          <w:p>
            <w:pPr>
              <w:spacing w:after="0"/>
              <w:rPr>
                <w:sz w:val="11"/>
                <w:szCs w:val="11"/>
                <w:color w:val="auto"/>
              </w:rPr>
            </w:pPr>
          </w:p>
        </w:tc>
        <w:tc>
          <w:tcPr>
            <w:tcW w:w="2760" w:type="dxa"/>
            <w:vAlign w:val="bottom"/>
            <w:gridSpan w:val="2"/>
          </w:tcPr>
          <w:p>
            <w:pPr>
              <w:jc w:val="center"/>
              <w:ind w:right="140"/>
              <w:spacing w:after="0"/>
              <w:rPr>
                <w:sz w:val="20"/>
                <w:szCs w:val="20"/>
                <w:color w:val="auto"/>
              </w:rPr>
            </w:pPr>
            <w:r>
              <w:rPr>
                <w:rFonts w:ascii="Arial" w:cs="Arial" w:eastAsia="Arial" w:hAnsi="Arial"/>
                <w:sz w:val="11"/>
                <w:szCs w:val="11"/>
                <w:color w:val="auto"/>
                <w:w w:val="88"/>
              </w:rPr>
              <w:t>Chemicals, Plastics and Rubber</w:t>
            </w:r>
          </w:p>
        </w:tc>
        <w:tc>
          <w:tcPr>
            <w:tcW w:w="860" w:type="dxa"/>
            <w:vAlign w:val="bottom"/>
            <w:gridSpan w:val="2"/>
          </w:tcPr>
          <w:p>
            <w:pPr>
              <w:jc w:val="right"/>
              <w:ind w:right="180"/>
              <w:spacing w:after="0"/>
              <w:rPr>
                <w:sz w:val="20"/>
                <w:szCs w:val="20"/>
                <w:color w:val="auto"/>
              </w:rPr>
            </w:pPr>
            <w:r>
              <w:rPr>
                <w:rFonts w:ascii="Arial" w:cs="Arial" w:eastAsia="Arial" w:hAnsi="Arial"/>
                <w:sz w:val="11"/>
                <w:szCs w:val="11"/>
                <w:color w:val="auto"/>
              </w:rPr>
              <w:t>8.00%</w:t>
            </w:r>
          </w:p>
        </w:tc>
        <w:tc>
          <w:tcPr>
            <w:tcW w:w="560" w:type="dxa"/>
            <w:vAlign w:val="bottom"/>
          </w:tcPr>
          <w:p>
            <w:pPr>
              <w:ind w:left="400"/>
              <w:spacing w:after="0"/>
              <w:rPr>
                <w:sz w:val="20"/>
                <w:szCs w:val="20"/>
                <w:color w:val="auto"/>
              </w:rPr>
            </w:pPr>
            <w:r>
              <w:rPr>
                <w:rFonts w:ascii="Arial" w:cs="Arial" w:eastAsia="Arial" w:hAnsi="Arial"/>
                <w:sz w:val="11"/>
                <w:szCs w:val="11"/>
                <w:color w:val="auto"/>
                <w:w w:val="91"/>
              </w:rPr>
              <w:t>3M</w:t>
            </w:r>
          </w:p>
        </w:tc>
        <w:tc>
          <w:tcPr>
            <w:tcW w:w="540" w:type="dxa"/>
            <w:vAlign w:val="bottom"/>
            <w:gridSpan w:val="3"/>
          </w:tcPr>
          <w:p>
            <w:pPr>
              <w:jc w:val="right"/>
              <w:ind w:right="220"/>
              <w:spacing w:after="0"/>
              <w:rPr>
                <w:sz w:val="20"/>
                <w:szCs w:val="20"/>
                <w:color w:val="auto"/>
              </w:rPr>
            </w:pPr>
            <w:r>
              <w:rPr>
                <w:rFonts w:ascii="Arial" w:cs="Arial" w:eastAsia="Arial" w:hAnsi="Arial"/>
                <w:sz w:val="11"/>
                <w:szCs w:val="11"/>
                <w:color w:val="auto"/>
                <w:w w:val="96"/>
              </w:rPr>
              <w:t>L+575</w:t>
            </w:r>
          </w:p>
        </w:tc>
        <w:tc>
          <w:tcPr>
            <w:tcW w:w="580" w:type="dxa"/>
            <w:vAlign w:val="bottom"/>
          </w:tcPr>
          <w:p>
            <w:pPr>
              <w:jc w:val="right"/>
              <w:spacing w:after="0"/>
              <w:rPr>
                <w:sz w:val="20"/>
                <w:szCs w:val="20"/>
                <w:color w:val="auto"/>
              </w:rPr>
            </w:pPr>
            <w:r>
              <w:rPr>
                <w:rFonts w:ascii="Arial" w:cs="Arial" w:eastAsia="Arial" w:hAnsi="Arial"/>
                <w:sz w:val="11"/>
                <w:szCs w:val="11"/>
                <w:color w:val="auto"/>
              </w:rPr>
              <w:t>1,758,406</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1,736,386</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1,740,822</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shd w:val="clear" w:color="auto" w:fill="CCECFF"/>
          </w:tcPr>
          <w:p>
            <w:pPr>
              <w:spacing w:after="0"/>
              <w:rPr>
                <w:sz w:val="20"/>
                <w:szCs w:val="20"/>
                <w:color w:val="auto"/>
              </w:rPr>
            </w:pPr>
            <w:r>
              <w:rPr>
                <w:rFonts w:ascii="Arial" w:cs="Arial" w:eastAsia="Arial" w:hAnsi="Arial"/>
                <w:sz w:val="11"/>
                <w:szCs w:val="11"/>
                <w:color w:val="auto"/>
              </w:rPr>
              <w:t>PlayPower, Inc.</w:t>
            </w:r>
          </w:p>
        </w:tc>
        <w:tc>
          <w:tcPr>
            <w:tcW w:w="64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89"/>
              </w:rPr>
              <w:t>05/8/2026</w:t>
            </w:r>
          </w:p>
        </w:tc>
        <w:tc>
          <w:tcPr>
            <w:tcW w:w="24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9"/>
              </w:rPr>
              <w:t>Leisure Products</w:t>
            </w:r>
          </w:p>
        </w:tc>
        <w:tc>
          <w:tcPr>
            <w:tcW w:w="86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7.60%</w:t>
            </w:r>
          </w:p>
        </w:tc>
        <w:tc>
          <w:tcPr>
            <w:tcW w:w="560" w:type="dxa"/>
            <w:vAlign w:val="bottom"/>
            <w:shd w:val="clear" w:color="auto" w:fill="CCECFF"/>
          </w:tcPr>
          <w:p>
            <w:pPr>
              <w:ind w:left="400"/>
              <w:spacing w:after="0"/>
              <w:rPr>
                <w:sz w:val="20"/>
                <w:szCs w:val="20"/>
                <w:color w:val="auto"/>
              </w:rPr>
            </w:pPr>
            <w:r>
              <w:rPr>
                <w:rFonts w:ascii="Arial" w:cs="Arial" w:eastAsia="Arial" w:hAnsi="Arial"/>
                <w:sz w:val="11"/>
                <w:szCs w:val="11"/>
                <w:color w:val="auto"/>
                <w:w w:val="91"/>
              </w:rPr>
              <w:t>3M</w:t>
            </w:r>
          </w:p>
        </w:tc>
        <w:tc>
          <w:tcPr>
            <w:tcW w:w="540" w:type="dxa"/>
            <w:vAlign w:val="bottom"/>
            <w:gridSpan w:val="3"/>
            <w:shd w:val="clear" w:color="auto" w:fill="CCECFF"/>
          </w:tcPr>
          <w:p>
            <w:pPr>
              <w:jc w:val="right"/>
              <w:ind w:right="220"/>
              <w:spacing w:after="0"/>
              <w:rPr>
                <w:sz w:val="20"/>
                <w:szCs w:val="20"/>
                <w:color w:val="auto"/>
              </w:rPr>
            </w:pPr>
            <w:r>
              <w:rPr>
                <w:rFonts w:ascii="Arial" w:cs="Arial" w:eastAsia="Arial" w:hAnsi="Arial"/>
                <w:sz w:val="11"/>
                <w:szCs w:val="11"/>
                <w:color w:val="auto"/>
                <w:w w:val="96"/>
              </w:rPr>
              <w:t>L+550</w:t>
            </w: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4,189,500</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4,148,451</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4,184,263</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tcPr>
          <w:p>
            <w:pPr>
              <w:spacing w:after="0"/>
              <w:rPr>
                <w:sz w:val="20"/>
                <w:szCs w:val="20"/>
                <w:color w:val="auto"/>
              </w:rPr>
            </w:pPr>
            <w:r>
              <w:rPr>
                <w:rFonts w:ascii="Arial" w:cs="Arial" w:eastAsia="Arial" w:hAnsi="Arial"/>
                <w:sz w:val="11"/>
                <w:szCs w:val="11"/>
                <w:color w:val="auto"/>
              </w:rPr>
              <w:t>Smile Brands Inc.</w:t>
            </w:r>
          </w:p>
        </w:tc>
        <w:tc>
          <w:tcPr>
            <w:tcW w:w="640" w:type="dxa"/>
            <w:vAlign w:val="bottom"/>
            <w:gridSpan w:val="2"/>
          </w:tcPr>
          <w:p>
            <w:pPr>
              <w:jc w:val="center"/>
              <w:ind w:left="66"/>
              <w:spacing w:after="0"/>
              <w:rPr>
                <w:sz w:val="20"/>
                <w:szCs w:val="20"/>
                <w:color w:val="auto"/>
              </w:rPr>
            </w:pPr>
            <w:r>
              <w:rPr>
                <w:rFonts w:ascii="Arial" w:cs="Arial" w:eastAsia="Arial" w:hAnsi="Arial"/>
                <w:sz w:val="11"/>
                <w:szCs w:val="11"/>
                <w:color w:val="auto"/>
                <w:w w:val="87"/>
              </w:rPr>
              <w:t>10/14/2024</w:t>
            </w:r>
          </w:p>
        </w:tc>
        <w:tc>
          <w:tcPr>
            <w:tcW w:w="240" w:type="dxa"/>
            <w:vAlign w:val="bottom"/>
          </w:tcPr>
          <w:p>
            <w:pPr>
              <w:spacing w:after="0"/>
              <w:rPr>
                <w:sz w:val="11"/>
                <w:szCs w:val="11"/>
                <w:color w:val="auto"/>
              </w:rPr>
            </w:pPr>
          </w:p>
        </w:tc>
        <w:tc>
          <w:tcPr>
            <w:tcW w:w="2760" w:type="dxa"/>
            <w:vAlign w:val="bottom"/>
            <w:gridSpan w:val="2"/>
          </w:tcPr>
          <w:p>
            <w:pPr>
              <w:jc w:val="center"/>
              <w:ind w:right="140"/>
              <w:spacing w:after="0"/>
              <w:rPr>
                <w:sz w:val="20"/>
                <w:szCs w:val="20"/>
                <w:color w:val="auto"/>
              </w:rPr>
            </w:pPr>
            <w:r>
              <w:rPr>
                <w:rFonts w:ascii="Arial" w:cs="Arial" w:eastAsia="Arial" w:hAnsi="Arial"/>
                <w:sz w:val="11"/>
                <w:szCs w:val="11"/>
                <w:color w:val="auto"/>
                <w:w w:val="86"/>
              </w:rPr>
              <w:t>Healthcare and Pharmaceuticals</w:t>
            </w:r>
          </w:p>
        </w:tc>
        <w:tc>
          <w:tcPr>
            <w:tcW w:w="860" w:type="dxa"/>
            <w:vAlign w:val="bottom"/>
            <w:gridSpan w:val="2"/>
          </w:tcPr>
          <w:p>
            <w:pPr>
              <w:jc w:val="right"/>
              <w:ind w:right="180"/>
              <w:spacing w:after="0"/>
              <w:rPr>
                <w:sz w:val="20"/>
                <w:szCs w:val="20"/>
                <w:color w:val="auto"/>
              </w:rPr>
            </w:pPr>
            <w:r>
              <w:rPr>
                <w:rFonts w:ascii="Arial" w:cs="Arial" w:eastAsia="Arial" w:hAnsi="Arial"/>
                <w:sz w:val="11"/>
                <w:szCs w:val="11"/>
                <w:color w:val="auto"/>
              </w:rPr>
              <w:t>6.66%</w:t>
            </w:r>
          </w:p>
        </w:tc>
        <w:tc>
          <w:tcPr>
            <w:tcW w:w="560" w:type="dxa"/>
            <w:vAlign w:val="bottom"/>
          </w:tcPr>
          <w:p>
            <w:pPr>
              <w:ind w:left="400"/>
              <w:spacing w:after="0"/>
              <w:rPr>
                <w:sz w:val="20"/>
                <w:szCs w:val="20"/>
                <w:color w:val="auto"/>
              </w:rPr>
            </w:pPr>
            <w:r>
              <w:rPr>
                <w:rFonts w:ascii="Arial" w:cs="Arial" w:eastAsia="Arial" w:hAnsi="Arial"/>
                <w:sz w:val="11"/>
                <w:szCs w:val="11"/>
                <w:color w:val="auto"/>
                <w:w w:val="91"/>
              </w:rPr>
              <w:t>3M</w:t>
            </w:r>
          </w:p>
        </w:tc>
        <w:tc>
          <w:tcPr>
            <w:tcW w:w="540" w:type="dxa"/>
            <w:vAlign w:val="bottom"/>
            <w:gridSpan w:val="3"/>
          </w:tcPr>
          <w:p>
            <w:pPr>
              <w:jc w:val="right"/>
              <w:ind w:right="220"/>
              <w:spacing w:after="0"/>
              <w:rPr>
                <w:sz w:val="20"/>
                <w:szCs w:val="20"/>
                <w:color w:val="auto"/>
              </w:rPr>
            </w:pPr>
            <w:r>
              <w:rPr>
                <w:rFonts w:ascii="Arial" w:cs="Arial" w:eastAsia="Arial" w:hAnsi="Arial"/>
                <w:sz w:val="11"/>
                <w:szCs w:val="11"/>
                <w:color w:val="auto"/>
                <w:w w:val="96"/>
              </w:rPr>
              <w:t>L+450</w:t>
            </w:r>
          </w:p>
        </w:tc>
        <w:tc>
          <w:tcPr>
            <w:tcW w:w="580" w:type="dxa"/>
            <w:vAlign w:val="bottom"/>
          </w:tcPr>
          <w:p>
            <w:pPr>
              <w:jc w:val="right"/>
              <w:spacing w:after="0"/>
              <w:rPr>
                <w:sz w:val="20"/>
                <w:szCs w:val="20"/>
                <w:color w:val="auto"/>
              </w:rPr>
            </w:pPr>
            <w:r>
              <w:rPr>
                <w:rFonts w:ascii="Arial" w:cs="Arial" w:eastAsia="Arial" w:hAnsi="Arial"/>
                <w:sz w:val="11"/>
                <w:szCs w:val="11"/>
                <w:color w:val="auto"/>
                <w:w w:val="98"/>
              </w:rPr>
              <w:t>11,289,688</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11,189,470</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11,176,791</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shd w:val="clear" w:color="auto" w:fill="CCECFF"/>
          </w:tcPr>
          <w:p>
            <w:pPr>
              <w:spacing w:after="0"/>
              <w:rPr>
                <w:sz w:val="20"/>
                <w:szCs w:val="20"/>
                <w:color w:val="auto"/>
              </w:rPr>
            </w:pPr>
            <w:r>
              <w:rPr>
                <w:rFonts w:ascii="Arial" w:cs="Arial" w:eastAsia="Arial" w:hAnsi="Arial"/>
                <w:sz w:val="11"/>
                <w:szCs w:val="11"/>
                <w:color w:val="auto"/>
              </w:rPr>
              <w:t>Snak Club, LLC</w:t>
            </w:r>
          </w:p>
        </w:tc>
        <w:tc>
          <w:tcPr>
            <w:tcW w:w="64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87"/>
              </w:rPr>
              <w:t>07/19/2021</w:t>
            </w:r>
          </w:p>
        </w:tc>
        <w:tc>
          <w:tcPr>
            <w:tcW w:w="24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6"/>
              </w:rPr>
              <w:t>Beverage, Food and Tobacco</w:t>
            </w:r>
          </w:p>
        </w:tc>
        <w:tc>
          <w:tcPr>
            <w:tcW w:w="86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8.10%</w:t>
            </w:r>
          </w:p>
        </w:tc>
        <w:tc>
          <w:tcPr>
            <w:tcW w:w="560" w:type="dxa"/>
            <w:vAlign w:val="bottom"/>
            <w:shd w:val="clear" w:color="auto" w:fill="CCECFF"/>
          </w:tcPr>
          <w:p>
            <w:pPr>
              <w:ind w:left="400"/>
              <w:spacing w:after="0"/>
              <w:rPr>
                <w:sz w:val="20"/>
                <w:szCs w:val="20"/>
                <w:color w:val="auto"/>
              </w:rPr>
            </w:pPr>
            <w:r>
              <w:rPr>
                <w:rFonts w:ascii="Arial" w:cs="Arial" w:eastAsia="Arial" w:hAnsi="Arial"/>
                <w:sz w:val="11"/>
                <w:szCs w:val="11"/>
                <w:color w:val="auto"/>
                <w:w w:val="91"/>
              </w:rPr>
              <w:t>1M</w:t>
            </w:r>
          </w:p>
        </w:tc>
        <w:tc>
          <w:tcPr>
            <w:tcW w:w="540" w:type="dxa"/>
            <w:vAlign w:val="bottom"/>
            <w:gridSpan w:val="3"/>
            <w:shd w:val="clear" w:color="auto" w:fill="CCECFF"/>
          </w:tcPr>
          <w:p>
            <w:pPr>
              <w:jc w:val="right"/>
              <w:ind w:right="220"/>
              <w:spacing w:after="0"/>
              <w:rPr>
                <w:sz w:val="20"/>
                <w:szCs w:val="20"/>
                <w:color w:val="auto"/>
              </w:rPr>
            </w:pPr>
            <w:r>
              <w:rPr>
                <w:rFonts w:ascii="Arial" w:cs="Arial" w:eastAsia="Arial" w:hAnsi="Arial"/>
                <w:sz w:val="11"/>
                <w:szCs w:val="11"/>
                <w:color w:val="auto"/>
                <w:w w:val="96"/>
              </w:rPr>
              <w:t>L+600</w:t>
            </w: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4,687,495</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4,687,495</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4,359,370</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tcPr>
          <w:p>
            <w:pPr>
              <w:spacing w:after="0"/>
              <w:rPr>
                <w:sz w:val="20"/>
                <w:szCs w:val="20"/>
                <w:color w:val="auto"/>
              </w:rPr>
            </w:pPr>
            <w:r>
              <w:rPr>
                <w:rFonts w:ascii="Arial" w:cs="Arial" w:eastAsia="Arial" w:hAnsi="Arial"/>
                <w:sz w:val="11"/>
                <w:szCs w:val="11"/>
                <w:color w:val="auto"/>
              </w:rPr>
              <w:t>Sonny's Enterprises, LLC</w:t>
            </w:r>
          </w:p>
        </w:tc>
        <w:tc>
          <w:tcPr>
            <w:tcW w:w="640" w:type="dxa"/>
            <w:vAlign w:val="bottom"/>
            <w:gridSpan w:val="2"/>
          </w:tcPr>
          <w:p>
            <w:pPr>
              <w:jc w:val="center"/>
              <w:ind w:left="66"/>
              <w:spacing w:after="0"/>
              <w:rPr>
                <w:sz w:val="20"/>
                <w:szCs w:val="20"/>
                <w:color w:val="auto"/>
              </w:rPr>
            </w:pPr>
            <w:r>
              <w:rPr>
                <w:rFonts w:ascii="Arial" w:cs="Arial" w:eastAsia="Arial" w:hAnsi="Arial"/>
                <w:sz w:val="11"/>
                <w:szCs w:val="11"/>
                <w:color w:val="auto"/>
                <w:w w:val="87"/>
              </w:rPr>
              <w:t>12/01/2022</w:t>
            </w:r>
          </w:p>
        </w:tc>
        <w:tc>
          <w:tcPr>
            <w:tcW w:w="240" w:type="dxa"/>
            <w:vAlign w:val="bottom"/>
          </w:tcPr>
          <w:p>
            <w:pPr>
              <w:spacing w:after="0"/>
              <w:rPr>
                <w:sz w:val="11"/>
                <w:szCs w:val="11"/>
                <w:color w:val="auto"/>
              </w:rPr>
            </w:pPr>
          </w:p>
        </w:tc>
        <w:tc>
          <w:tcPr>
            <w:tcW w:w="2760" w:type="dxa"/>
            <w:vAlign w:val="bottom"/>
            <w:gridSpan w:val="2"/>
          </w:tcPr>
          <w:p>
            <w:pPr>
              <w:jc w:val="center"/>
              <w:ind w:right="140"/>
              <w:spacing w:after="0"/>
              <w:rPr>
                <w:sz w:val="20"/>
                <w:szCs w:val="20"/>
                <w:color w:val="auto"/>
              </w:rPr>
            </w:pPr>
            <w:r>
              <w:rPr>
                <w:rFonts w:ascii="Arial" w:cs="Arial" w:eastAsia="Arial" w:hAnsi="Arial"/>
                <w:sz w:val="11"/>
                <w:szCs w:val="11"/>
                <w:color w:val="auto"/>
                <w:w w:val="91"/>
              </w:rPr>
              <w:t>Capital Equipment</w:t>
            </w:r>
          </w:p>
        </w:tc>
        <w:tc>
          <w:tcPr>
            <w:tcW w:w="860" w:type="dxa"/>
            <w:vAlign w:val="bottom"/>
            <w:gridSpan w:val="2"/>
          </w:tcPr>
          <w:p>
            <w:pPr>
              <w:jc w:val="right"/>
              <w:ind w:right="180"/>
              <w:spacing w:after="0"/>
              <w:rPr>
                <w:sz w:val="20"/>
                <w:szCs w:val="20"/>
                <w:color w:val="auto"/>
              </w:rPr>
            </w:pPr>
            <w:r>
              <w:rPr>
                <w:rFonts w:ascii="Arial" w:cs="Arial" w:eastAsia="Arial" w:hAnsi="Arial"/>
                <w:sz w:val="11"/>
                <w:szCs w:val="11"/>
                <w:color w:val="auto"/>
              </w:rPr>
              <w:t>6.35%</w:t>
            </w:r>
          </w:p>
        </w:tc>
        <w:tc>
          <w:tcPr>
            <w:tcW w:w="560" w:type="dxa"/>
            <w:vAlign w:val="bottom"/>
          </w:tcPr>
          <w:p>
            <w:pPr>
              <w:ind w:left="400"/>
              <w:spacing w:after="0"/>
              <w:rPr>
                <w:sz w:val="20"/>
                <w:szCs w:val="20"/>
                <w:color w:val="auto"/>
              </w:rPr>
            </w:pPr>
            <w:r>
              <w:rPr>
                <w:rFonts w:ascii="Arial" w:cs="Arial" w:eastAsia="Arial" w:hAnsi="Arial"/>
                <w:sz w:val="11"/>
                <w:szCs w:val="11"/>
                <w:color w:val="auto"/>
                <w:w w:val="91"/>
              </w:rPr>
              <w:t>3M</w:t>
            </w:r>
          </w:p>
        </w:tc>
        <w:tc>
          <w:tcPr>
            <w:tcW w:w="540" w:type="dxa"/>
            <w:vAlign w:val="bottom"/>
            <w:gridSpan w:val="3"/>
          </w:tcPr>
          <w:p>
            <w:pPr>
              <w:jc w:val="right"/>
              <w:ind w:right="220"/>
              <w:spacing w:after="0"/>
              <w:rPr>
                <w:sz w:val="20"/>
                <w:szCs w:val="20"/>
                <w:color w:val="auto"/>
              </w:rPr>
            </w:pPr>
            <w:r>
              <w:rPr>
                <w:rFonts w:ascii="Arial" w:cs="Arial" w:eastAsia="Arial" w:hAnsi="Arial"/>
                <w:sz w:val="11"/>
                <w:szCs w:val="11"/>
                <w:color w:val="auto"/>
                <w:w w:val="96"/>
              </w:rPr>
              <w:t>L+425</w:t>
            </w:r>
          </w:p>
        </w:tc>
        <w:tc>
          <w:tcPr>
            <w:tcW w:w="580" w:type="dxa"/>
            <w:vAlign w:val="bottom"/>
          </w:tcPr>
          <w:p>
            <w:pPr>
              <w:jc w:val="right"/>
              <w:spacing w:after="0"/>
              <w:rPr>
                <w:sz w:val="20"/>
                <w:szCs w:val="20"/>
                <w:color w:val="auto"/>
              </w:rPr>
            </w:pPr>
            <w:r>
              <w:rPr>
                <w:rFonts w:ascii="Arial" w:cs="Arial" w:eastAsia="Arial" w:hAnsi="Arial"/>
                <w:sz w:val="11"/>
                <w:szCs w:val="11"/>
                <w:color w:val="auto"/>
                <w:w w:val="98"/>
              </w:rPr>
              <w:t>15,224,842</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15,227,900</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15,224,842</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shd w:val="clear" w:color="auto" w:fill="CCECFF"/>
          </w:tcPr>
          <w:p>
            <w:pPr>
              <w:spacing w:after="0"/>
              <w:rPr>
                <w:sz w:val="20"/>
                <w:szCs w:val="20"/>
                <w:color w:val="auto"/>
              </w:rPr>
            </w:pPr>
            <w:r>
              <w:rPr>
                <w:rFonts w:ascii="Arial" w:cs="Arial" w:eastAsia="Arial" w:hAnsi="Arial"/>
                <w:sz w:val="11"/>
                <w:szCs w:val="11"/>
                <w:color w:val="auto"/>
              </w:rPr>
              <w:t>Teneo Holdings LLC</w:t>
            </w:r>
          </w:p>
        </w:tc>
        <w:tc>
          <w:tcPr>
            <w:tcW w:w="64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87"/>
              </w:rPr>
              <w:t>07/18/2025</w:t>
            </w:r>
          </w:p>
        </w:tc>
        <w:tc>
          <w:tcPr>
            <w:tcW w:w="24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6"/>
              </w:rPr>
              <w:t>Business Services</w:t>
            </w:r>
          </w:p>
        </w:tc>
        <w:tc>
          <w:tcPr>
            <w:tcW w:w="86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7.29%</w:t>
            </w:r>
          </w:p>
        </w:tc>
        <w:tc>
          <w:tcPr>
            <w:tcW w:w="560" w:type="dxa"/>
            <w:vAlign w:val="bottom"/>
            <w:shd w:val="clear" w:color="auto" w:fill="CCECFF"/>
          </w:tcPr>
          <w:p>
            <w:pPr>
              <w:ind w:left="400"/>
              <w:spacing w:after="0"/>
              <w:rPr>
                <w:sz w:val="20"/>
                <w:szCs w:val="20"/>
                <w:color w:val="auto"/>
              </w:rPr>
            </w:pPr>
            <w:r>
              <w:rPr>
                <w:rFonts w:ascii="Arial" w:cs="Arial" w:eastAsia="Arial" w:hAnsi="Arial"/>
                <w:sz w:val="11"/>
                <w:szCs w:val="11"/>
                <w:color w:val="auto"/>
                <w:w w:val="91"/>
              </w:rPr>
              <w:t>1M</w:t>
            </w:r>
          </w:p>
        </w:tc>
        <w:tc>
          <w:tcPr>
            <w:tcW w:w="540" w:type="dxa"/>
            <w:vAlign w:val="bottom"/>
            <w:gridSpan w:val="3"/>
            <w:shd w:val="clear" w:color="auto" w:fill="CCECFF"/>
          </w:tcPr>
          <w:p>
            <w:pPr>
              <w:jc w:val="right"/>
              <w:ind w:right="220"/>
              <w:spacing w:after="0"/>
              <w:rPr>
                <w:sz w:val="20"/>
                <w:szCs w:val="20"/>
                <w:color w:val="auto"/>
              </w:rPr>
            </w:pPr>
            <w:r>
              <w:rPr>
                <w:rFonts w:ascii="Arial" w:cs="Arial" w:eastAsia="Arial" w:hAnsi="Arial"/>
                <w:sz w:val="11"/>
                <w:szCs w:val="11"/>
                <w:color w:val="auto"/>
                <w:w w:val="96"/>
              </w:rPr>
              <w:t>L+525</w:t>
            </w: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5,000,000</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4,804,110</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4,762,500</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tcPr>
          <w:p>
            <w:pPr>
              <w:spacing w:after="0"/>
              <w:rPr>
                <w:sz w:val="20"/>
                <w:szCs w:val="20"/>
                <w:color w:val="auto"/>
              </w:rPr>
            </w:pPr>
            <w:r>
              <w:rPr>
                <w:rFonts w:ascii="Arial" w:cs="Arial" w:eastAsia="Arial" w:hAnsi="Arial"/>
                <w:sz w:val="11"/>
                <w:szCs w:val="11"/>
                <w:color w:val="auto"/>
              </w:rPr>
              <w:t>The Infosoft Group, LLC</w:t>
            </w:r>
          </w:p>
        </w:tc>
        <w:tc>
          <w:tcPr>
            <w:tcW w:w="640" w:type="dxa"/>
            <w:vAlign w:val="bottom"/>
            <w:gridSpan w:val="2"/>
          </w:tcPr>
          <w:p>
            <w:pPr>
              <w:jc w:val="center"/>
              <w:ind w:left="66"/>
              <w:spacing w:after="0"/>
              <w:rPr>
                <w:sz w:val="20"/>
                <w:szCs w:val="20"/>
                <w:color w:val="auto"/>
              </w:rPr>
            </w:pPr>
            <w:r>
              <w:rPr>
                <w:rFonts w:ascii="Arial" w:cs="Arial" w:eastAsia="Arial" w:hAnsi="Arial"/>
                <w:sz w:val="11"/>
                <w:szCs w:val="11"/>
                <w:color w:val="auto"/>
                <w:w w:val="87"/>
              </w:rPr>
              <w:t>12/02/2021</w:t>
            </w:r>
          </w:p>
        </w:tc>
        <w:tc>
          <w:tcPr>
            <w:tcW w:w="240" w:type="dxa"/>
            <w:vAlign w:val="bottom"/>
          </w:tcPr>
          <w:p>
            <w:pPr>
              <w:spacing w:after="0"/>
              <w:rPr>
                <w:sz w:val="11"/>
                <w:szCs w:val="11"/>
                <w:color w:val="auto"/>
              </w:rPr>
            </w:pPr>
          </w:p>
        </w:tc>
        <w:tc>
          <w:tcPr>
            <w:tcW w:w="2760" w:type="dxa"/>
            <w:vAlign w:val="bottom"/>
            <w:gridSpan w:val="2"/>
          </w:tcPr>
          <w:p>
            <w:pPr>
              <w:jc w:val="center"/>
              <w:ind w:right="140"/>
              <w:spacing w:after="0"/>
              <w:rPr>
                <w:sz w:val="20"/>
                <w:szCs w:val="20"/>
                <w:color w:val="auto"/>
              </w:rPr>
            </w:pPr>
            <w:r>
              <w:rPr>
                <w:rFonts w:ascii="Arial" w:cs="Arial" w:eastAsia="Arial" w:hAnsi="Arial"/>
                <w:sz w:val="11"/>
                <w:szCs w:val="11"/>
                <w:color w:val="auto"/>
                <w:w w:val="89"/>
              </w:rPr>
              <w:t>Media: Broadcasting and Subscription</w:t>
            </w:r>
          </w:p>
        </w:tc>
        <w:tc>
          <w:tcPr>
            <w:tcW w:w="860" w:type="dxa"/>
            <w:vAlign w:val="bottom"/>
            <w:gridSpan w:val="2"/>
          </w:tcPr>
          <w:p>
            <w:pPr>
              <w:jc w:val="right"/>
              <w:ind w:right="180"/>
              <w:spacing w:after="0"/>
              <w:rPr>
                <w:sz w:val="20"/>
                <w:szCs w:val="20"/>
                <w:color w:val="auto"/>
              </w:rPr>
            </w:pPr>
            <w:r>
              <w:rPr>
                <w:rFonts w:ascii="Arial" w:cs="Arial" w:eastAsia="Arial" w:hAnsi="Arial"/>
                <w:sz w:val="11"/>
                <w:szCs w:val="11"/>
                <w:color w:val="auto"/>
              </w:rPr>
              <w:t>7.43%</w:t>
            </w:r>
          </w:p>
        </w:tc>
        <w:tc>
          <w:tcPr>
            <w:tcW w:w="560" w:type="dxa"/>
            <w:vAlign w:val="bottom"/>
          </w:tcPr>
          <w:p>
            <w:pPr>
              <w:ind w:left="400"/>
              <w:spacing w:after="0"/>
              <w:rPr>
                <w:sz w:val="20"/>
                <w:szCs w:val="20"/>
                <w:color w:val="auto"/>
              </w:rPr>
            </w:pPr>
            <w:r>
              <w:rPr>
                <w:rFonts w:ascii="Arial" w:cs="Arial" w:eastAsia="Arial" w:hAnsi="Arial"/>
                <w:sz w:val="11"/>
                <w:szCs w:val="11"/>
                <w:color w:val="auto"/>
                <w:w w:val="91"/>
              </w:rPr>
              <w:t>6M</w:t>
            </w:r>
          </w:p>
        </w:tc>
        <w:tc>
          <w:tcPr>
            <w:tcW w:w="540" w:type="dxa"/>
            <w:vAlign w:val="bottom"/>
            <w:gridSpan w:val="3"/>
          </w:tcPr>
          <w:p>
            <w:pPr>
              <w:jc w:val="right"/>
              <w:ind w:right="220"/>
              <w:spacing w:after="0"/>
              <w:rPr>
                <w:sz w:val="20"/>
                <w:szCs w:val="20"/>
                <w:color w:val="auto"/>
              </w:rPr>
            </w:pPr>
            <w:r>
              <w:rPr>
                <w:rFonts w:ascii="Arial" w:cs="Arial" w:eastAsia="Arial" w:hAnsi="Arial"/>
                <w:sz w:val="11"/>
                <w:szCs w:val="11"/>
                <w:color w:val="auto"/>
                <w:w w:val="96"/>
              </w:rPr>
              <w:t>L+500</w:t>
            </w:r>
          </w:p>
        </w:tc>
        <w:tc>
          <w:tcPr>
            <w:tcW w:w="580" w:type="dxa"/>
            <w:vAlign w:val="bottom"/>
          </w:tcPr>
          <w:p>
            <w:pPr>
              <w:jc w:val="right"/>
              <w:spacing w:after="0"/>
              <w:rPr>
                <w:sz w:val="20"/>
                <w:szCs w:val="20"/>
                <w:color w:val="auto"/>
              </w:rPr>
            </w:pPr>
            <w:r>
              <w:rPr>
                <w:rFonts w:ascii="Arial" w:cs="Arial" w:eastAsia="Arial" w:hAnsi="Arial"/>
                <w:sz w:val="11"/>
                <w:szCs w:val="11"/>
                <w:color w:val="auto"/>
              </w:rPr>
              <w:t>8,823,392</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8,790,069</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8,735,157</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shd w:val="clear" w:color="auto" w:fill="CCECFF"/>
          </w:tcPr>
          <w:p>
            <w:pPr>
              <w:spacing w:after="0"/>
              <w:rPr>
                <w:sz w:val="20"/>
                <w:szCs w:val="20"/>
                <w:color w:val="auto"/>
              </w:rPr>
            </w:pPr>
            <w:r>
              <w:rPr>
                <w:rFonts w:ascii="Arial" w:cs="Arial" w:eastAsia="Arial" w:hAnsi="Arial"/>
                <w:sz w:val="11"/>
                <w:szCs w:val="11"/>
                <w:color w:val="auto"/>
              </w:rPr>
              <w:t>TVC Enterprises, LLC</w:t>
            </w:r>
          </w:p>
        </w:tc>
        <w:tc>
          <w:tcPr>
            <w:tcW w:w="64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87"/>
              </w:rPr>
              <w:t>01/18/2024</w:t>
            </w:r>
          </w:p>
        </w:tc>
        <w:tc>
          <w:tcPr>
            <w:tcW w:w="24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9"/>
              </w:rPr>
              <w:t>Diversified Consumer Services</w:t>
            </w:r>
          </w:p>
        </w:tc>
        <w:tc>
          <w:tcPr>
            <w:tcW w:w="86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7.55%</w:t>
            </w:r>
          </w:p>
        </w:tc>
        <w:tc>
          <w:tcPr>
            <w:tcW w:w="560" w:type="dxa"/>
            <w:vAlign w:val="bottom"/>
            <w:shd w:val="clear" w:color="auto" w:fill="CCECFF"/>
          </w:tcPr>
          <w:p>
            <w:pPr>
              <w:ind w:left="400"/>
              <w:spacing w:after="0"/>
              <w:rPr>
                <w:sz w:val="20"/>
                <w:szCs w:val="20"/>
                <w:color w:val="auto"/>
              </w:rPr>
            </w:pPr>
            <w:r>
              <w:rPr>
                <w:rFonts w:ascii="Arial" w:cs="Arial" w:eastAsia="Arial" w:hAnsi="Arial"/>
                <w:sz w:val="11"/>
                <w:szCs w:val="11"/>
                <w:color w:val="auto"/>
                <w:w w:val="91"/>
              </w:rPr>
              <w:t>1M</w:t>
            </w:r>
          </w:p>
        </w:tc>
        <w:tc>
          <w:tcPr>
            <w:tcW w:w="540" w:type="dxa"/>
            <w:vAlign w:val="bottom"/>
            <w:gridSpan w:val="3"/>
            <w:shd w:val="clear" w:color="auto" w:fill="CCECFF"/>
          </w:tcPr>
          <w:p>
            <w:pPr>
              <w:jc w:val="right"/>
              <w:ind w:right="220"/>
              <w:spacing w:after="0"/>
              <w:rPr>
                <w:sz w:val="20"/>
                <w:szCs w:val="20"/>
                <w:color w:val="auto"/>
              </w:rPr>
            </w:pPr>
            <w:r>
              <w:rPr>
                <w:rFonts w:ascii="Arial" w:cs="Arial" w:eastAsia="Arial" w:hAnsi="Arial"/>
                <w:sz w:val="11"/>
                <w:szCs w:val="11"/>
                <w:color w:val="auto"/>
                <w:w w:val="96"/>
              </w:rPr>
              <w:t>L+550</w:t>
            </w: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9,974,874</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9,974,874</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9,974,874</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tcPr>
          <w:p>
            <w:pPr>
              <w:spacing w:after="0"/>
              <w:rPr>
                <w:sz w:val="20"/>
                <w:szCs w:val="20"/>
                <w:color w:val="auto"/>
              </w:rPr>
            </w:pPr>
            <w:r>
              <w:rPr>
                <w:rFonts w:ascii="Arial" w:cs="Arial" w:eastAsia="Arial" w:hAnsi="Arial"/>
                <w:sz w:val="11"/>
                <w:szCs w:val="11"/>
                <w:color w:val="auto"/>
              </w:rPr>
              <w:t>TWS Acquisition Corporation</w:t>
            </w:r>
          </w:p>
        </w:tc>
        <w:tc>
          <w:tcPr>
            <w:tcW w:w="640" w:type="dxa"/>
            <w:vAlign w:val="bottom"/>
            <w:gridSpan w:val="2"/>
          </w:tcPr>
          <w:p>
            <w:pPr>
              <w:jc w:val="center"/>
              <w:ind w:left="66"/>
              <w:spacing w:after="0"/>
              <w:rPr>
                <w:sz w:val="20"/>
                <w:szCs w:val="20"/>
                <w:color w:val="auto"/>
              </w:rPr>
            </w:pPr>
            <w:r>
              <w:rPr>
                <w:rFonts w:ascii="Arial" w:cs="Arial" w:eastAsia="Arial" w:hAnsi="Arial"/>
                <w:sz w:val="11"/>
                <w:szCs w:val="11"/>
                <w:color w:val="auto"/>
                <w:w w:val="87"/>
              </w:rPr>
              <w:t>06/16/2025</w:t>
            </w:r>
          </w:p>
        </w:tc>
        <w:tc>
          <w:tcPr>
            <w:tcW w:w="240" w:type="dxa"/>
            <w:vAlign w:val="bottom"/>
          </w:tcPr>
          <w:p>
            <w:pPr>
              <w:spacing w:after="0"/>
              <w:rPr>
                <w:sz w:val="11"/>
                <w:szCs w:val="11"/>
                <w:color w:val="auto"/>
              </w:rPr>
            </w:pPr>
          </w:p>
        </w:tc>
        <w:tc>
          <w:tcPr>
            <w:tcW w:w="2760" w:type="dxa"/>
            <w:vAlign w:val="bottom"/>
            <w:gridSpan w:val="2"/>
          </w:tcPr>
          <w:p>
            <w:pPr>
              <w:jc w:val="center"/>
              <w:ind w:right="140"/>
              <w:spacing w:after="0"/>
              <w:rPr>
                <w:sz w:val="20"/>
                <w:szCs w:val="20"/>
                <w:color w:val="auto"/>
              </w:rPr>
            </w:pPr>
            <w:r>
              <w:rPr>
                <w:rFonts w:ascii="Arial" w:cs="Arial" w:eastAsia="Arial" w:hAnsi="Arial"/>
                <w:sz w:val="11"/>
                <w:szCs w:val="11"/>
                <w:color w:val="auto"/>
                <w:w w:val="89"/>
              </w:rPr>
              <w:t>Diversified Consumer Services</w:t>
            </w:r>
          </w:p>
        </w:tc>
        <w:tc>
          <w:tcPr>
            <w:tcW w:w="860" w:type="dxa"/>
            <w:vAlign w:val="bottom"/>
            <w:gridSpan w:val="2"/>
          </w:tcPr>
          <w:p>
            <w:pPr>
              <w:jc w:val="right"/>
              <w:ind w:right="180"/>
              <w:spacing w:after="0"/>
              <w:rPr>
                <w:sz w:val="20"/>
                <w:szCs w:val="20"/>
                <w:color w:val="auto"/>
              </w:rPr>
            </w:pPr>
            <w:r>
              <w:rPr>
                <w:rFonts w:ascii="Arial" w:cs="Arial" w:eastAsia="Arial" w:hAnsi="Arial"/>
                <w:sz w:val="11"/>
                <w:szCs w:val="11"/>
                <w:color w:val="auto"/>
              </w:rPr>
              <w:t>8.28%</w:t>
            </w:r>
          </w:p>
        </w:tc>
        <w:tc>
          <w:tcPr>
            <w:tcW w:w="560" w:type="dxa"/>
            <w:vAlign w:val="bottom"/>
          </w:tcPr>
          <w:p>
            <w:pPr>
              <w:ind w:left="400"/>
              <w:spacing w:after="0"/>
              <w:rPr>
                <w:sz w:val="20"/>
                <w:szCs w:val="20"/>
                <w:color w:val="auto"/>
              </w:rPr>
            </w:pPr>
            <w:r>
              <w:rPr>
                <w:rFonts w:ascii="Arial" w:cs="Arial" w:eastAsia="Arial" w:hAnsi="Arial"/>
                <w:sz w:val="11"/>
                <w:szCs w:val="11"/>
                <w:color w:val="auto"/>
                <w:w w:val="91"/>
              </w:rPr>
              <w:t>1M</w:t>
            </w:r>
          </w:p>
        </w:tc>
        <w:tc>
          <w:tcPr>
            <w:tcW w:w="540" w:type="dxa"/>
            <w:vAlign w:val="bottom"/>
            <w:gridSpan w:val="3"/>
          </w:tcPr>
          <w:p>
            <w:pPr>
              <w:jc w:val="right"/>
              <w:ind w:right="220"/>
              <w:spacing w:after="0"/>
              <w:rPr>
                <w:sz w:val="20"/>
                <w:szCs w:val="20"/>
                <w:color w:val="auto"/>
              </w:rPr>
            </w:pPr>
            <w:r>
              <w:rPr>
                <w:rFonts w:ascii="Arial" w:cs="Arial" w:eastAsia="Arial" w:hAnsi="Arial"/>
                <w:sz w:val="11"/>
                <w:szCs w:val="11"/>
                <w:color w:val="auto"/>
                <w:w w:val="96"/>
              </w:rPr>
              <w:t>L+625</w:t>
            </w:r>
          </w:p>
        </w:tc>
        <w:tc>
          <w:tcPr>
            <w:tcW w:w="580" w:type="dxa"/>
            <w:vAlign w:val="bottom"/>
          </w:tcPr>
          <w:p>
            <w:pPr>
              <w:jc w:val="right"/>
              <w:spacing w:after="0"/>
              <w:rPr>
                <w:sz w:val="20"/>
                <w:szCs w:val="20"/>
                <w:color w:val="auto"/>
              </w:rPr>
            </w:pPr>
            <w:r>
              <w:rPr>
                <w:rFonts w:ascii="Arial" w:cs="Arial" w:eastAsia="Arial" w:hAnsi="Arial"/>
                <w:sz w:val="11"/>
                <w:szCs w:val="11"/>
                <w:color w:val="auto"/>
              </w:rPr>
              <w:t>7,075,000</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6,937,888</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6,933,500</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shd w:val="clear" w:color="auto" w:fill="CCECFF"/>
          </w:tcPr>
          <w:p>
            <w:pPr>
              <w:spacing w:after="0"/>
              <w:rPr>
                <w:sz w:val="20"/>
                <w:szCs w:val="20"/>
                <w:color w:val="auto"/>
              </w:rPr>
            </w:pPr>
            <w:r>
              <w:rPr>
                <w:rFonts w:ascii="Arial" w:cs="Arial" w:eastAsia="Arial" w:hAnsi="Arial"/>
                <w:sz w:val="11"/>
                <w:szCs w:val="11"/>
                <w:color w:val="auto"/>
              </w:rPr>
              <w:t>UBEO, LLC</w:t>
            </w:r>
          </w:p>
        </w:tc>
        <w:tc>
          <w:tcPr>
            <w:tcW w:w="64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87"/>
              </w:rPr>
              <w:t>04/03/2024</w:t>
            </w:r>
          </w:p>
        </w:tc>
        <w:tc>
          <w:tcPr>
            <w:tcW w:w="24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91"/>
              </w:rPr>
              <w:t>Capital Equipment</w:t>
            </w:r>
          </w:p>
        </w:tc>
        <w:tc>
          <w:tcPr>
            <w:tcW w:w="86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6.78%</w:t>
            </w:r>
          </w:p>
        </w:tc>
        <w:tc>
          <w:tcPr>
            <w:tcW w:w="560" w:type="dxa"/>
            <w:vAlign w:val="bottom"/>
            <w:shd w:val="clear" w:color="auto" w:fill="CCECFF"/>
          </w:tcPr>
          <w:p>
            <w:pPr>
              <w:ind w:left="400"/>
              <w:spacing w:after="0"/>
              <w:rPr>
                <w:sz w:val="20"/>
                <w:szCs w:val="20"/>
                <w:color w:val="auto"/>
              </w:rPr>
            </w:pPr>
            <w:r>
              <w:rPr>
                <w:rFonts w:ascii="Arial" w:cs="Arial" w:eastAsia="Arial" w:hAnsi="Arial"/>
                <w:sz w:val="11"/>
                <w:szCs w:val="11"/>
                <w:color w:val="auto"/>
                <w:w w:val="91"/>
              </w:rPr>
              <w:t>3M</w:t>
            </w:r>
          </w:p>
        </w:tc>
        <w:tc>
          <w:tcPr>
            <w:tcW w:w="540" w:type="dxa"/>
            <w:vAlign w:val="bottom"/>
            <w:gridSpan w:val="3"/>
            <w:shd w:val="clear" w:color="auto" w:fill="CCECFF"/>
          </w:tcPr>
          <w:p>
            <w:pPr>
              <w:jc w:val="right"/>
              <w:ind w:right="220"/>
              <w:spacing w:after="0"/>
              <w:rPr>
                <w:sz w:val="20"/>
                <w:szCs w:val="20"/>
                <w:color w:val="auto"/>
              </w:rPr>
            </w:pPr>
            <w:r>
              <w:rPr>
                <w:rFonts w:ascii="Arial" w:cs="Arial" w:eastAsia="Arial" w:hAnsi="Arial"/>
                <w:sz w:val="11"/>
                <w:szCs w:val="11"/>
                <w:color w:val="auto"/>
                <w:w w:val="96"/>
              </w:rPr>
              <w:t>L+450</w:t>
            </w: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w w:val="98"/>
              </w:rPr>
              <w:t>22,248,673</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22,045,879</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22,026,186</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tcPr>
          <w:p>
            <w:pPr>
              <w:spacing w:after="0"/>
              <w:rPr>
                <w:sz w:val="20"/>
                <w:szCs w:val="20"/>
                <w:color w:val="auto"/>
              </w:rPr>
            </w:pPr>
            <w:r>
              <w:rPr>
                <w:rFonts w:ascii="Arial" w:cs="Arial" w:eastAsia="Arial" w:hAnsi="Arial"/>
                <w:sz w:val="11"/>
                <w:szCs w:val="11"/>
                <w:color w:val="auto"/>
              </w:rPr>
              <w:t>Urology Management Associates, LLC</w:t>
            </w:r>
          </w:p>
        </w:tc>
        <w:tc>
          <w:tcPr>
            <w:tcW w:w="640" w:type="dxa"/>
            <w:vAlign w:val="bottom"/>
            <w:gridSpan w:val="2"/>
          </w:tcPr>
          <w:p>
            <w:pPr>
              <w:jc w:val="center"/>
              <w:ind w:left="66"/>
              <w:spacing w:after="0"/>
              <w:rPr>
                <w:sz w:val="20"/>
                <w:szCs w:val="20"/>
                <w:color w:val="auto"/>
              </w:rPr>
            </w:pPr>
            <w:r>
              <w:rPr>
                <w:rFonts w:ascii="Arial" w:cs="Arial" w:eastAsia="Arial" w:hAnsi="Arial"/>
                <w:sz w:val="11"/>
                <w:szCs w:val="11"/>
                <w:color w:val="auto"/>
                <w:w w:val="87"/>
              </w:rPr>
              <w:t>08/30/2024</w:t>
            </w:r>
          </w:p>
        </w:tc>
        <w:tc>
          <w:tcPr>
            <w:tcW w:w="240" w:type="dxa"/>
            <w:vAlign w:val="bottom"/>
          </w:tcPr>
          <w:p>
            <w:pPr>
              <w:spacing w:after="0"/>
              <w:rPr>
                <w:sz w:val="11"/>
                <w:szCs w:val="11"/>
                <w:color w:val="auto"/>
              </w:rPr>
            </w:pPr>
          </w:p>
        </w:tc>
        <w:tc>
          <w:tcPr>
            <w:tcW w:w="2760" w:type="dxa"/>
            <w:vAlign w:val="bottom"/>
            <w:gridSpan w:val="2"/>
          </w:tcPr>
          <w:p>
            <w:pPr>
              <w:jc w:val="center"/>
              <w:ind w:right="140"/>
              <w:spacing w:after="0"/>
              <w:rPr>
                <w:sz w:val="20"/>
                <w:szCs w:val="20"/>
                <w:color w:val="auto"/>
              </w:rPr>
            </w:pPr>
            <w:r>
              <w:rPr>
                <w:rFonts w:ascii="Arial" w:cs="Arial" w:eastAsia="Arial" w:hAnsi="Arial"/>
                <w:sz w:val="11"/>
                <w:szCs w:val="11"/>
                <w:color w:val="auto"/>
                <w:w w:val="86"/>
              </w:rPr>
              <w:t>Healthcare and Pharmaceuticals</w:t>
            </w:r>
          </w:p>
        </w:tc>
        <w:tc>
          <w:tcPr>
            <w:tcW w:w="860" w:type="dxa"/>
            <w:vAlign w:val="bottom"/>
            <w:gridSpan w:val="2"/>
          </w:tcPr>
          <w:p>
            <w:pPr>
              <w:jc w:val="right"/>
              <w:ind w:right="180"/>
              <w:spacing w:after="0"/>
              <w:rPr>
                <w:sz w:val="20"/>
                <w:szCs w:val="20"/>
                <w:color w:val="auto"/>
              </w:rPr>
            </w:pPr>
            <w:r>
              <w:rPr>
                <w:rFonts w:ascii="Arial" w:cs="Arial" w:eastAsia="Arial" w:hAnsi="Arial"/>
                <w:sz w:val="11"/>
                <w:szCs w:val="11"/>
                <w:color w:val="auto"/>
              </w:rPr>
              <w:t>7.04%</w:t>
            </w:r>
          </w:p>
        </w:tc>
        <w:tc>
          <w:tcPr>
            <w:tcW w:w="560" w:type="dxa"/>
            <w:vAlign w:val="bottom"/>
          </w:tcPr>
          <w:p>
            <w:pPr>
              <w:ind w:left="400"/>
              <w:spacing w:after="0"/>
              <w:rPr>
                <w:sz w:val="20"/>
                <w:szCs w:val="20"/>
                <w:color w:val="auto"/>
              </w:rPr>
            </w:pPr>
            <w:r>
              <w:rPr>
                <w:rFonts w:ascii="Arial" w:cs="Arial" w:eastAsia="Arial" w:hAnsi="Arial"/>
                <w:sz w:val="11"/>
                <w:szCs w:val="11"/>
                <w:color w:val="auto"/>
                <w:w w:val="91"/>
              </w:rPr>
              <w:t>3M</w:t>
            </w:r>
          </w:p>
        </w:tc>
        <w:tc>
          <w:tcPr>
            <w:tcW w:w="540" w:type="dxa"/>
            <w:vAlign w:val="bottom"/>
            <w:gridSpan w:val="3"/>
          </w:tcPr>
          <w:p>
            <w:pPr>
              <w:jc w:val="right"/>
              <w:ind w:right="220"/>
              <w:spacing w:after="0"/>
              <w:rPr>
                <w:sz w:val="20"/>
                <w:szCs w:val="20"/>
                <w:color w:val="auto"/>
              </w:rPr>
            </w:pPr>
            <w:r>
              <w:rPr>
                <w:rFonts w:ascii="Arial" w:cs="Arial" w:eastAsia="Arial" w:hAnsi="Arial"/>
                <w:sz w:val="11"/>
                <w:szCs w:val="11"/>
                <w:color w:val="auto"/>
                <w:w w:val="96"/>
              </w:rPr>
              <w:t>L+450</w:t>
            </w:r>
          </w:p>
        </w:tc>
        <w:tc>
          <w:tcPr>
            <w:tcW w:w="580" w:type="dxa"/>
            <w:vAlign w:val="bottom"/>
          </w:tcPr>
          <w:p>
            <w:pPr>
              <w:jc w:val="right"/>
              <w:spacing w:after="0"/>
              <w:rPr>
                <w:sz w:val="20"/>
                <w:szCs w:val="20"/>
                <w:color w:val="auto"/>
              </w:rPr>
            </w:pPr>
            <w:r>
              <w:rPr>
                <w:rFonts w:ascii="Arial" w:cs="Arial" w:eastAsia="Arial" w:hAnsi="Arial"/>
                <w:sz w:val="11"/>
                <w:szCs w:val="11"/>
                <w:color w:val="auto"/>
                <w:w w:val="98"/>
              </w:rPr>
              <w:t>11,572,122</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11,388,612</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11,572,122</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shd w:val="clear" w:color="auto" w:fill="CCECFF"/>
          </w:tcPr>
          <w:p>
            <w:pPr>
              <w:spacing w:after="0"/>
              <w:rPr>
                <w:sz w:val="20"/>
                <w:szCs w:val="20"/>
                <w:color w:val="auto"/>
              </w:rPr>
            </w:pPr>
            <w:r>
              <w:rPr>
                <w:rFonts w:ascii="Arial" w:cs="Arial" w:eastAsia="Arial" w:hAnsi="Arial"/>
                <w:sz w:val="11"/>
                <w:szCs w:val="11"/>
                <w:color w:val="auto"/>
              </w:rPr>
              <w:t>Walker Edison Furniture Company LLC</w:t>
            </w:r>
          </w:p>
        </w:tc>
        <w:tc>
          <w:tcPr>
            <w:tcW w:w="64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87"/>
              </w:rPr>
              <w:t>09/26/2024</w:t>
            </w:r>
          </w:p>
        </w:tc>
        <w:tc>
          <w:tcPr>
            <w:tcW w:w="24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9"/>
              </w:rPr>
              <w:t>Wholesale</w:t>
            </w:r>
          </w:p>
        </w:tc>
        <w:tc>
          <w:tcPr>
            <w:tcW w:w="86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8.83%</w:t>
            </w:r>
          </w:p>
        </w:tc>
        <w:tc>
          <w:tcPr>
            <w:tcW w:w="560" w:type="dxa"/>
            <w:vAlign w:val="bottom"/>
            <w:shd w:val="clear" w:color="auto" w:fill="CCECFF"/>
          </w:tcPr>
          <w:p>
            <w:pPr>
              <w:ind w:left="400"/>
              <w:spacing w:after="0"/>
              <w:rPr>
                <w:sz w:val="20"/>
                <w:szCs w:val="20"/>
                <w:color w:val="auto"/>
              </w:rPr>
            </w:pPr>
            <w:r>
              <w:rPr>
                <w:rFonts w:ascii="Arial" w:cs="Arial" w:eastAsia="Arial" w:hAnsi="Arial"/>
                <w:sz w:val="11"/>
                <w:szCs w:val="11"/>
                <w:color w:val="auto"/>
                <w:w w:val="91"/>
              </w:rPr>
              <w:t>3M</w:t>
            </w:r>
          </w:p>
        </w:tc>
        <w:tc>
          <w:tcPr>
            <w:tcW w:w="540" w:type="dxa"/>
            <w:vAlign w:val="bottom"/>
            <w:gridSpan w:val="3"/>
            <w:shd w:val="clear" w:color="auto" w:fill="CCECFF"/>
          </w:tcPr>
          <w:p>
            <w:pPr>
              <w:jc w:val="right"/>
              <w:ind w:right="220"/>
              <w:spacing w:after="0"/>
              <w:rPr>
                <w:sz w:val="20"/>
                <w:szCs w:val="20"/>
                <w:color w:val="auto"/>
              </w:rPr>
            </w:pPr>
            <w:r>
              <w:rPr>
                <w:rFonts w:ascii="Arial" w:cs="Arial" w:eastAsia="Arial" w:hAnsi="Arial"/>
                <w:sz w:val="11"/>
                <w:szCs w:val="11"/>
                <w:color w:val="auto"/>
                <w:w w:val="96"/>
              </w:rPr>
              <w:t>L+650</w:t>
            </w: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w w:val="98"/>
              </w:rPr>
              <w:t>16,001,734</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15,724,459</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16,121,747</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tcBorders>
              <w:bottom w:val="single" w:sz="8" w:color="CCECFF"/>
            </w:tcBorders>
          </w:tcPr>
          <w:p>
            <w:pPr>
              <w:spacing w:after="0"/>
              <w:rPr>
                <w:sz w:val="20"/>
                <w:szCs w:val="20"/>
                <w:color w:val="auto"/>
              </w:rPr>
            </w:pPr>
            <w:r>
              <w:rPr>
                <w:rFonts w:ascii="Arial" w:cs="Arial" w:eastAsia="Arial" w:hAnsi="Arial"/>
                <w:sz w:val="11"/>
                <w:szCs w:val="11"/>
                <w:color w:val="auto"/>
              </w:rPr>
              <w:t>Whitney, Bradley &amp; Brown, Inc.</w:t>
            </w:r>
          </w:p>
        </w:tc>
        <w:tc>
          <w:tcPr>
            <w:tcW w:w="640" w:type="dxa"/>
            <w:vAlign w:val="bottom"/>
            <w:tcBorders>
              <w:bottom w:val="single" w:sz="8" w:color="CCECFF"/>
            </w:tcBorders>
            <w:gridSpan w:val="2"/>
          </w:tcPr>
          <w:p>
            <w:pPr>
              <w:jc w:val="center"/>
              <w:ind w:left="66"/>
              <w:spacing w:after="0"/>
              <w:rPr>
                <w:sz w:val="20"/>
                <w:szCs w:val="20"/>
                <w:color w:val="auto"/>
              </w:rPr>
            </w:pPr>
            <w:r>
              <w:rPr>
                <w:rFonts w:ascii="Arial" w:cs="Arial" w:eastAsia="Arial" w:hAnsi="Arial"/>
                <w:sz w:val="11"/>
                <w:szCs w:val="11"/>
                <w:color w:val="auto"/>
                <w:w w:val="87"/>
              </w:rPr>
              <w:t>10/18/2022</w:t>
            </w:r>
          </w:p>
        </w:tc>
        <w:tc>
          <w:tcPr>
            <w:tcW w:w="240" w:type="dxa"/>
            <w:vAlign w:val="bottom"/>
            <w:tcBorders>
              <w:bottom w:val="single" w:sz="8" w:color="CCECFF"/>
            </w:tcBorders>
          </w:tcPr>
          <w:p>
            <w:pPr>
              <w:spacing w:after="0"/>
              <w:rPr>
                <w:sz w:val="11"/>
                <w:szCs w:val="11"/>
                <w:color w:val="auto"/>
              </w:rPr>
            </w:pPr>
          </w:p>
        </w:tc>
        <w:tc>
          <w:tcPr>
            <w:tcW w:w="2760" w:type="dxa"/>
            <w:vAlign w:val="bottom"/>
            <w:tcBorders>
              <w:bottom w:val="single" w:sz="8" w:color="CCECFF"/>
            </w:tcBorders>
            <w:gridSpan w:val="2"/>
          </w:tcPr>
          <w:p>
            <w:pPr>
              <w:jc w:val="center"/>
              <w:ind w:right="140"/>
              <w:spacing w:after="0"/>
              <w:rPr>
                <w:sz w:val="20"/>
                <w:szCs w:val="20"/>
                <w:color w:val="auto"/>
              </w:rPr>
            </w:pPr>
            <w:r>
              <w:rPr>
                <w:rFonts w:ascii="Arial" w:cs="Arial" w:eastAsia="Arial" w:hAnsi="Arial"/>
                <w:sz w:val="11"/>
                <w:szCs w:val="11"/>
                <w:color w:val="auto"/>
                <w:w w:val="86"/>
              </w:rPr>
              <w:t>Aerospace and Defense</w:t>
            </w:r>
          </w:p>
        </w:tc>
        <w:tc>
          <w:tcPr>
            <w:tcW w:w="860" w:type="dxa"/>
            <w:vAlign w:val="bottom"/>
            <w:tcBorders>
              <w:bottom w:val="single" w:sz="8" w:color="CCECFF"/>
            </w:tcBorders>
            <w:gridSpan w:val="2"/>
          </w:tcPr>
          <w:p>
            <w:pPr>
              <w:jc w:val="right"/>
              <w:ind w:right="180"/>
              <w:spacing w:after="0"/>
              <w:rPr>
                <w:sz w:val="20"/>
                <w:szCs w:val="20"/>
                <w:color w:val="auto"/>
              </w:rPr>
            </w:pPr>
            <w:r>
              <w:rPr>
                <w:rFonts w:ascii="Arial" w:cs="Arial" w:eastAsia="Arial" w:hAnsi="Arial"/>
                <w:sz w:val="11"/>
                <w:szCs w:val="11"/>
                <w:color w:val="auto"/>
              </w:rPr>
              <w:t>9.55%</w:t>
            </w:r>
          </w:p>
        </w:tc>
        <w:tc>
          <w:tcPr>
            <w:tcW w:w="560" w:type="dxa"/>
            <w:vAlign w:val="bottom"/>
            <w:tcBorders>
              <w:bottom w:val="single" w:sz="8" w:color="CCECFF"/>
            </w:tcBorders>
          </w:tcPr>
          <w:p>
            <w:pPr>
              <w:ind w:left="400"/>
              <w:spacing w:after="0"/>
              <w:rPr>
                <w:sz w:val="20"/>
                <w:szCs w:val="20"/>
                <w:color w:val="auto"/>
              </w:rPr>
            </w:pPr>
            <w:r>
              <w:rPr>
                <w:rFonts w:ascii="Arial" w:cs="Arial" w:eastAsia="Arial" w:hAnsi="Arial"/>
                <w:sz w:val="11"/>
                <w:szCs w:val="11"/>
                <w:color w:val="auto"/>
                <w:w w:val="91"/>
              </w:rPr>
              <w:t>1M</w:t>
            </w:r>
          </w:p>
        </w:tc>
        <w:tc>
          <w:tcPr>
            <w:tcW w:w="540" w:type="dxa"/>
            <w:vAlign w:val="bottom"/>
            <w:tcBorders>
              <w:bottom w:val="single" w:sz="8" w:color="CCECFF"/>
            </w:tcBorders>
            <w:gridSpan w:val="3"/>
          </w:tcPr>
          <w:p>
            <w:pPr>
              <w:jc w:val="right"/>
              <w:ind w:right="220"/>
              <w:spacing w:after="0"/>
              <w:rPr>
                <w:sz w:val="20"/>
                <w:szCs w:val="20"/>
                <w:color w:val="auto"/>
              </w:rPr>
            </w:pPr>
            <w:r>
              <w:rPr>
                <w:rFonts w:ascii="Arial" w:cs="Arial" w:eastAsia="Arial" w:hAnsi="Arial"/>
                <w:sz w:val="11"/>
                <w:szCs w:val="11"/>
                <w:color w:val="auto"/>
                <w:w w:val="96"/>
              </w:rPr>
              <w:t>L+750</w:t>
            </w:r>
          </w:p>
        </w:tc>
        <w:tc>
          <w:tcPr>
            <w:tcW w:w="580" w:type="dxa"/>
            <w:vAlign w:val="bottom"/>
            <w:tcBorders>
              <w:bottom w:val="single" w:sz="8" w:color="CCECFF"/>
            </w:tcBorders>
          </w:tcPr>
          <w:p>
            <w:pPr>
              <w:jc w:val="right"/>
              <w:spacing w:after="0"/>
              <w:rPr>
                <w:sz w:val="20"/>
                <w:szCs w:val="20"/>
                <w:color w:val="auto"/>
              </w:rPr>
            </w:pPr>
            <w:r>
              <w:rPr>
                <w:rFonts w:ascii="Arial" w:cs="Arial" w:eastAsia="Arial" w:hAnsi="Arial"/>
                <w:sz w:val="11"/>
                <w:szCs w:val="11"/>
                <w:color w:val="auto"/>
              </w:rPr>
              <w:t>5,466,024</w:t>
            </w:r>
          </w:p>
        </w:tc>
        <w:tc>
          <w:tcPr>
            <w:tcW w:w="240" w:type="dxa"/>
            <w:vAlign w:val="bottom"/>
            <w:tcBorders>
              <w:bottom w:val="single" w:sz="8" w:color="CCEC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5,389,938</w:t>
            </w:r>
          </w:p>
        </w:tc>
        <w:tc>
          <w:tcPr>
            <w:tcW w:w="220" w:type="dxa"/>
            <w:vAlign w:val="bottom"/>
            <w:tcBorders>
              <w:bottom w:val="single" w:sz="8" w:color="CCEC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5,466,024</w:t>
            </w:r>
          </w:p>
        </w:tc>
        <w:tc>
          <w:tcPr>
            <w:tcW w:w="120" w:type="dxa"/>
            <w:vAlign w:val="bottom"/>
            <w:tcBorders>
              <w:bottom w:val="single" w:sz="8" w:color="CCECFF"/>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060" w:type="dxa"/>
            <w:vAlign w:val="bottom"/>
            <w:shd w:val="clear" w:color="auto" w:fill="CCECFF"/>
          </w:tcPr>
          <w:p>
            <w:pPr>
              <w:spacing w:after="0"/>
              <w:rPr>
                <w:sz w:val="20"/>
                <w:szCs w:val="20"/>
                <w:color w:val="auto"/>
              </w:rPr>
            </w:pPr>
            <w:r>
              <w:rPr>
                <w:rFonts w:ascii="Arial" w:cs="Arial" w:eastAsia="Arial" w:hAnsi="Arial"/>
                <w:sz w:val="11"/>
                <w:szCs w:val="11"/>
                <w:b w:val="1"/>
                <w:bCs w:val="1"/>
                <w:color w:val="auto"/>
              </w:rPr>
              <w:t>Total First Lien Secured Debt</w:t>
            </w:r>
          </w:p>
        </w:tc>
        <w:tc>
          <w:tcPr>
            <w:tcW w:w="120" w:type="dxa"/>
            <w:vAlign w:val="bottom"/>
            <w:shd w:val="clear" w:color="auto" w:fill="CCECFF"/>
          </w:tcPr>
          <w:p>
            <w:pPr>
              <w:spacing w:after="0"/>
              <w:rPr>
                <w:sz w:val="11"/>
                <w:szCs w:val="11"/>
                <w:color w:val="auto"/>
              </w:rPr>
            </w:pPr>
          </w:p>
        </w:tc>
        <w:tc>
          <w:tcPr>
            <w:tcW w:w="52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262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600" w:type="dxa"/>
            <w:vAlign w:val="bottom"/>
            <w:shd w:val="clear" w:color="auto" w:fill="CCECFF"/>
          </w:tcPr>
          <w:p>
            <w:pPr>
              <w:spacing w:after="0"/>
              <w:rPr>
                <w:sz w:val="11"/>
                <w:szCs w:val="11"/>
                <w:color w:val="auto"/>
              </w:rPr>
            </w:pPr>
          </w:p>
        </w:tc>
        <w:tc>
          <w:tcPr>
            <w:tcW w:w="260" w:type="dxa"/>
            <w:vAlign w:val="bottom"/>
            <w:shd w:val="clear" w:color="auto" w:fill="CCECFF"/>
          </w:tcPr>
          <w:p>
            <w:pPr>
              <w:spacing w:after="0"/>
              <w:rPr>
                <w:sz w:val="11"/>
                <w:szCs w:val="11"/>
                <w:color w:val="auto"/>
              </w:rPr>
            </w:pPr>
          </w:p>
        </w:tc>
        <w:tc>
          <w:tcPr>
            <w:tcW w:w="560" w:type="dxa"/>
            <w:vAlign w:val="bottom"/>
            <w:shd w:val="clear" w:color="auto" w:fill="CCECFF"/>
          </w:tcPr>
          <w:p>
            <w:pPr>
              <w:spacing w:after="0"/>
              <w:rPr>
                <w:sz w:val="11"/>
                <w:szCs w:val="11"/>
                <w:color w:val="auto"/>
              </w:rPr>
            </w:pPr>
          </w:p>
        </w:tc>
        <w:tc>
          <w:tcPr>
            <w:tcW w:w="3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8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80" w:type="dxa"/>
            <w:vAlign w:val="bottom"/>
            <w:tcBorders>
              <w:bottom w:val="single" w:sz="8" w:color="auto"/>
            </w:tcBorders>
            <w:shd w:val="clear" w:color="auto" w:fill="CCECFF"/>
          </w:tcPr>
          <w:p>
            <w:pPr>
              <w:spacing w:after="0"/>
              <w:rPr>
                <w:sz w:val="11"/>
                <w:szCs w:val="11"/>
                <w:color w:val="auto"/>
              </w:rPr>
            </w:pPr>
          </w:p>
        </w:tc>
        <w:tc>
          <w:tcPr>
            <w:tcW w:w="6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w w:val="91"/>
              </w:rPr>
              <w:t>478,935,867</w:t>
            </w:r>
          </w:p>
        </w:tc>
        <w:tc>
          <w:tcPr>
            <w:tcW w:w="220" w:type="dxa"/>
            <w:vAlign w:val="bottom"/>
            <w:shd w:val="clear" w:color="auto" w:fill="CCECFF"/>
          </w:tcPr>
          <w:p>
            <w:pPr>
              <w:spacing w:after="0"/>
              <w:rPr>
                <w:sz w:val="11"/>
                <w:szCs w:val="11"/>
                <w:color w:val="auto"/>
              </w:rPr>
            </w:pPr>
          </w:p>
        </w:tc>
        <w:tc>
          <w:tcPr>
            <w:tcW w:w="100" w:type="dxa"/>
            <w:vAlign w:val="bottom"/>
            <w:tcBorders>
              <w:bottom w:val="single" w:sz="8" w:color="auto"/>
            </w:tcBorders>
            <w:shd w:val="clear" w:color="auto" w:fill="CCECFF"/>
          </w:tcPr>
          <w:p>
            <w:pPr>
              <w:spacing w:after="0"/>
              <w:rPr>
                <w:sz w:val="11"/>
                <w:szCs w:val="11"/>
                <w:color w:val="auto"/>
              </w:rPr>
            </w:pPr>
          </w:p>
        </w:tc>
        <w:tc>
          <w:tcPr>
            <w:tcW w:w="6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w w:val="98"/>
              </w:rPr>
              <w:t>474,289,532</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060" w:type="dxa"/>
            <w:vAlign w:val="bottom"/>
          </w:tcPr>
          <w:p>
            <w:pPr>
              <w:spacing w:after="0"/>
              <w:rPr>
                <w:sz w:val="20"/>
                <w:szCs w:val="20"/>
                <w:color w:val="auto"/>
              </w:rPr>
            </w:pPr>
            <w:r>
              <w:rPr>
                <w:rFonts w:ascii="Arial" w:cs="Arial" w:eastAsia="Arial" w:hAnsi="Arial"/>
                <w:sz w:val="11"/>
                <w:szCs w:val="11"/>
                <w:b w:val="1"/>
                <w:bCs w:val="1"/>
                <w:color w:val="auto"/>
              </w:rPr>
              <w:t>Second Lien Secured Debt</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shd w:val="clear" w:color="auto" w:fill="CCECFF"/>
          </w:tcPr>
          <w:p>
            <w:pPr>
              <w:spacing w:after="0"/>
              <w:rPr>
                <w:sz w:val="20"/>
                <w:szCs w:val="20"/>
                <w:color w:val="auto"/>
              </w:rPr>
            </w:pPr>
            <w:r>
              <w:rPr>
                <w:rFonts w:ascii="Arial" w:cs="Arial" w:eastAsia="Arial" w:hAnsi="Arial"/>
                <w:sz w:val="11"/>
                <w:szCs w:val="11"/>
                <w:color w:val="auto"/>
              </w:rPr>
              <w:t>Country Fresh Holdings, LLC</w:t>
            </w:r>
          </w:p>
        </w:tc>
        <w:tc>
          <w:tcPr>
            <w:tcW w:w="64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87"/>
              </w:rPr>
              <w:t>04/29/2024</w:t>
            </w:r>
          </w:p>
        </w:tc>
        <w:tc>
          <w:tcPr>
            <w:tcW w:w="24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6"/>
              </w:rPr>
              <w:t>Beverage, Food and Tobacco</w:t>
            </w:r>
          </w:p>
        </w:tc>
        <w:tc>
          <w:tcPr>
            <w:tcW w:w="86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10.60%</w:t>
            </w:r>
          </w:p>
        </w:tc>
        <w:tc>
          <w:tcPr>
            <w:tcW w:w="560" w:type="dxa"/>
            <w:vAlign w:val="bottom"/>
            <w:shd w:val="clear" w:color="auto" w:fill="CCECFF"/>
          </w:tcPr>
          <w:p>
            <w:pPr>
              <w:ind w:left="400"/>
              <w:spacing w:after="0"/>
              <w:rPr>
                <w:sz w:val="20"/>
                <w:szCs w:val="20"/>
                <w:color w:val="auto"/>
              </w:rPr>
            </w:pPr>
            <w:r>
              <w:rPr>
                <w:rFonts w:ascii="Arial" w:cs="Arial" w:eastAsia="Arial" w:hAnsi="Arial"/>
                <w:sz w:val="11"/>
                <w:szCs w:val="11"/>
                <w:color w:val="auto"/>
                <w:w w:val="91"/>
              </w:rPr>
              <w:t>1M</w:t>
            </w:r>
          </w:p>
        </w:tc>
        <w:tc>
          <w:tcPr>
            <w:tcW w:w="540" w:type="dxa"/>
            <w:vAlign w:val="bottom"/>
            <w:gridSpan w:val="3"/>
            <w:shd w:val="clear" w:color="auto" w:fill="CCECFF"/>
          </w:tcPr>
          <w:p>
            <w:pPr>
              <w:jc w:val="right"/>
              <w:ind w:right="220"/>
              <w:spacing w:after="0"/>
              <w:rPr>
                <w:sz w:val="20"/>
                <w:szCs w:val="20"/>
                <w:color w:val="auto"/>
              </w:rPr>
            </w:pPr>
            <w:r>
              <w:rPr>
                <w:rFonts w:ascii="Arial" w:cs="Arial" w:eastAsia="Arial" w:hAnsi="Arial"/>
                <w:sz w:val="11"/>
                <w:szCs w:val="11"/>
                <w:color w:val="auto"/>
                <w:w w:val="96"/>
              </w:rPr>
              <w:t>L+850</w:t>
            </w: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870,886</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870,886</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870,886</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2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262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860" w:type="dxa"/>
            <w:vAlign w:val="bottom"/>
            <w:gridSpan w:val="2"/>
            <w:shd w:val="clear" w:color="auto" w:fill="CCECFF"/>
          </w:tcPr>
          <w:p>
            <w:pPr>
              <w:jc w:val="right"/>
              <w:ind w:right="140"/>
              <w:spacing w:after="0"/>
              <w:rPr>
                <w:sz w:val="20"/>
                <w:szCs w:val="20"/>
                <w:color w:val="auto"/>
              </w:rPr>
            </w:pPr>
            <w:r>
              <w:rPr>
                <w:rFonts w:ascii="Arial" w:cs="Arial" w:eastAsia="Arial" w:hAnsi="Arial"/>
                <w:sz w:val="11"/>
                <w:szCs w:val="11"/>
                <w:color w:val="auto"/>
              </w:rPr>
              <w:t>(PIK 10.60%)</w:t>
            </w:r>
          </w:p>
        </w:tc>
        <w:tc>
          <w:tcPr>
            <w:tcW w:w="560" w:type="dxa"/>
            <w:vAlign w:val="bottom"/>
            <w:shd w:val="clear" w:color="auto" w:fill="CCECFF"/>
          </w:tcPr>
          <w:p>
            <w:pPr>
              <w:spacing w:after="0"/>
              <w:rPr>
                <w:sz w:val="11"/>
                <w:szCs w:val="11"/>
                <w:color w:val="auto"/>
              </w:rPr>
            </w:pPr>
          </w:p>
        </w:tc>
        <w:tc>
          <w:tcPr>
            <w:tcW w:w="3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8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3060" w:type="dxa"/>
            <w:vAlign w:val="bottom"/>
          </w:tcPr>
          <w:p>
            <w:pPr>
              <w:spacing w:after="0"/>
              <w:rPr>
                <w:sz w:val="20"/>
                <w:szCs w:val="20"/>
                <w:color w:val="auto"/>
              </w:rPr>
            </w:pPr>
            <w:r>
              <w:rPr>
                <w:rFonts w:ascii="Arial" w:cs="Arial" w:eastAsia="Arial" w:hAnsi="Arial"/>
                <w:sz w:val="11"/>
                <w:szCs w:val="11"/>
                <w:color w:val="auto"/>
              </w:rPr>
              <w:t>DBI Holding, LLC, Term Loan B</w:t>
            </w:r>
          </w:p>
        </w:tc>
        <w:tc>
          <w:tcPr>
            <w:tcW w:w="640" w:type="dxa"/>
            <w:vAlign w:val="bottom"/>
            <w:gridSpan w:val="2"/>
          </w:tcPr>
          <w:p>
            <w:pPr>
              <w:jc w:val="center"/>
              <w:ind w:left="66"/>
              <w:spacing w:after="0"/>
              <w:rPr>
                <w:sz w:val="20"/>
                <w:szCs w:val="20"/>
                <w:color w:val="auto"/>
              </w:rPr>
            </w:pPr>
            <w:r>
              <w:rPr>
                <w:rFonts w:ascii="Arial" w:cs="Arial" w:eastAsia="Arial" w:hAnsi="Arial"/>
                <w:sz w:val="11"/>
                <w:szCs w:val="11"/>
                <w:color w:val="auto"/>
                <w:w w:val="87"/>
              </w:rPr>
              <w:t>03/26/2021</w:t>
            </w:r>
          </w:p>
        </w:tc>
        <w:tc>
          <w:tcPr>
            <w:tcW w:w="240" w:type="dxa"/>
            <w:vAlign w:val="bottom"/>
          </w:tcPr>
          <w:p>
            <w:pPr>
              <w:spacing w:after="0"/>
              <w:rPr>
                <w:sz w:val="12"/>
                <w:szCs w:val="12"/>
                <w:color w:val="auto"/>
              </w:rPr>
            </w:pPr>
          </w:p>
        </w:tc>
        <w:tc>
          <w:tcPr>
            <w:tcW w:w="2760" w:type="dxa"/>
            <w:vAlign w:val="bottom"/>
            <w:gridSpan w:val="2"/>
          </w:tcPr>
          <w:p>
            <w:pPr>
              <w:jc w:val="center"/>
              <w:ind w:right="140"/>
              <w:spacing w:after="0"/>
              <w:rPr>
                <w:sz w:val="20"/>
                <w:szCs w:val="20"/>
                <w:color w:val="auto"/>
              </w:rPr>
            </w:pPr>
            <w:r>
              <w:rPr>
                <w:rFonts w:ascii="Arial" w:cs="Arial" w:eastAsia="Arial" w:hAnsi="Arial"/>
                <w:sz w:val="11"/>
                <w:szCs w:val="11"/>
                <w:color w:val="auto"/>
                <w:w w:val="86"/>
              </w:rPr>
              <w:t>Business Services</w:t>
            </w:r>
          </w:p>
        </w:tc>
        <w:tc>
          <w:tcPr>
            <w:tcW w:w="860" w:type="dxa"/>
            <w:vAlign w:val="bottom"/>
            <w:gridSpan w:val="2"/>
          </w:tcPr>
          <w:p>
            <w:pPr>
              <w:jc w:val="right"/>
              <w:ind w:right="180"/>
              <w:spacing w:after="0"/>
              <w:rPr>
                <w:sz w:val="20"/>
                <w:szCs w:val="20"/>
                <w:color w:val="auto"/>
              </w:rPr>
            </w:pPr>
            <w:r>
              <w:rPr>
                <w:rFonts w:ascii="Arial" w:cs="Arial" w:eastAsia="Arial" w:hAnsi="Arial"/>
                <w:sz w:val="11"/>
                <w:szCs w:val="11"/>
                <w:color w:val="auto"/>
              </w:rPr>
              <w:t>8.00%</w:t>
            </w:r>
          </w:p>
        </w:tc>
        <w:tc>
          <w:tcPr>
            <w:tcW w:w="560" w:type="dxa"/>
            <w:vAlign w:val="bottom"/>
          </w:tcPr>
          <w:p>
            <w:pPr>
              <w:ind w:left="400"/>
              <w:spacing w:after="0"/>
              <w:rPr>
                <w:sz w:val="20"/>
                <w:szCs w:val="20"/>
                <w:color w:val="auto"/>
              </w:rPr>
            </w:pPr>
            <w:r>
              <w:rPr>
                <w:rFonts w:ascii="Arial" w:cs="Arial" w:eastAsia="Arial" w:hAnsi="Arial"/>
                <w:sz w:val="11"/>
                <w:szCs w:val="11"/>
                <w:color w:val="auto"/>
                <w:w w:val="91"/>
              </w:rPr>
              <w:t>6M</w:t>
            </w:r>
          </w:p>
        </w:tc>
        <w:tc>
          <w:tcPr>
            <w:tcW w:w="540" w:type="dxa"/>
            <w:vAlign w:val="bottom"/>
            <w:gridSpan w:val="3"/>
          </w:tcPr>
          <w:p>
            <w:pPr>
              <w:jc w:val="right"/>
              <w:ind w:right="220"/>
              <w:spacing w:after="0"/>
              <w:rPr>
                <w:sz w:val="20"/>
                <w:szCs w:val="20"/>
                <w:color w:val="auto"/>
              </w:rPr>
            </w:pPr>
            <w:r>
              <w:rPr>
                <w:rFonts w:ascii="Arial" w:cs="Arial" w:eastAsia="Arial" w:hAnsi="Arial"/>
                <w:sz w:val="11"/>
                <w:szCs w:val="11"/>
                <w:color w:val="auto"/>
                <w:w w:val="96"/>
              </w:rPr>
              <w:t>L+525</w:t>
            </w:r>
          </w:p>
        </w:tc>
        <w:tc>
          <w:tcPr>
            <w:tcW w:w="580" w:type="dxa"/>
            <w:vAlign w:val="bottom"/>
          </w:tcPr>
          <w:p>
            <w:pPr>
              <w:jc w:val="right"/>
              <w:spacing w:after="0"/>
              <w:rPr>
                <w:sz w:val="20"/>
                <w:szCs w:val="20"/>
                <w:color w:val="auto"/>
              </w:rPr>
            </w:pPr>
            <w:r>
              <w:rPr>
                <w:rFonts w:ascii="Arial" w:cs="Arial" w:eastAsia="Arial" w:hAnsi="Arial"/>
                <w:sz w:val="11"/>
                <w:szCs w:val="11"/>
                <w:color w:val="auto"/>
              </w:rPr>
              <w:t>15,206</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15,206</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15,206</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30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1"/>
                <w:szCs w:val="11"/>
                <w:color w:val="auto"/>
              </w:rPr>
              <w:t>(PIK 8.00%)</w:t>
            </w: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shd w:val="clear" w:color="auto" w:fill="CCECFF"/>
          </w:tcPr>
          <w:p>
            <w:pPr>
              <w:spacing w:after="0"/>
              <w:rPr>
                <w:sz w:val="20"/>
                <w:szCs w:val="20"/>
                <w:color w:val="auto"/>
              </w:rPr>
            </w:pPr>
            <w:r>
              <w:rPr>
                <w:rFonts w:ascii="Arial" w:cs="Arial" w:eastAsia="Arial" w:hAnsi="Arial"/>
                <w:sz w:val="11"/>
                <w:szCs w:val="11"/>
                <w:color w:val="auto"/>
              </w:rPr>
              <w:t>DBI Holding, LLC, Term Loan C</w:t>
            </w:r>
          </w:p>
        </w:tc>
        <w:tc>
          <w:tcPr>
            <w:tcW w:w="64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87"/>
              </w:rPr>
              <w:t>02/02/2026</w:t>
            </w:r>
          </w:p>
        </w:tc>
        <w:tc>
          <w:tcPr>
            <w:tcW w:w="24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6"/>
              </w:rPr>
              <w:t>Business Services</w:t>
            </w:r>
          </w:p>
        </w:tc>
        <w:tc>
          <w:tcPr>
            <w:tcW w:w="86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8.00%</w:t>
            </w:r>
          </w:p>
        </w:tc>
        <w:tc>
          <w:tcPr>
            <w:tcW w:w="560" w:type="dxa"/>
            <w:vAlign w:val="bottom"/>
            <w:shd w:val="clear" w:color="auto" w:fill="CCECFF"/>
          </w:tcPr>
          <w:p>
            <w:pPr>
              <w:spacing w:after="0"/>
              <w:rPr>
                <w:sz w:val="11"/>
                <w:szCs w:val="11"/>
                <w:color w:val="auto"/>
              </w:rPr>
            </w:pPr>
          </w:p>
        </w:tc>
        <w:tc>
          <w:tcPr>
            <w:tcW w:w="540" w:type="dxa"/>
            <w:vAlign w:val="bottom"/>
            <w:gridSpan w:val="3"/>
            <w:shd w:val="clear" w:color="auto" w:fill="CCECFF"/>
          </w:tcPr>
          <w:p>
            <w:pPr>
              <w:jc w:val="right"/>
              <w:ind w:right="220"/>
              <w:spacing w:after="0"/>
              <w:rPr>
                <w:sz w:val="20"/>
                <w:szCs w:val="20"/>
                <w:color w:val="auto"/>
              </w:rPr>
            </w:pPr>
            <w:r>
              <w:rPr>
                <w:rFonts w:ascii="Arial" w:cs="Arial" w:eastAsia="Arial" w:hAnsi="Arial"/>
                <w:sz w:val="11"/>
                <w:szCs w:val="11"/>
                <w:color w:val="auto"/>
              </w:rPr>
              <w:t>—</w:t>
            </w: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7,607,291</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7,607,291</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7,569,255</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2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262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860" w:type="dxa"/>
            <w:vAlign w:val="bottom"/>
            <w:gridSpan w:val="2"/>
            <w:shd w:val="clear" w:color="auto" w:fill="CCECFF"/>
          </w:tcPr>
          <w:p>
            <w:pPr>
              <w:jc w:val="right"/>
              <w:ind w:right="140"/>
              <w:spacing w:after="0"/>
              <w:rPr>
                <w:sz w:val="20"/>
                <w:szCs w:val="20"/>
                <w:color w:val="auto"/>
              </w:rPr>
            </w:pPr>
            <w:r>
              <w:rPr>
                <w:rFonts w:ascii="Arial" w:cs="Arial" w:eastAsia="Arial" w:hAnsi="Arial"/>
                <w:sz w:val="11"/>
                <w:szCs w:val="11"/>
                <w:color w:val="auto"/>
              </w:rPr>
              <w:t>(PIK 8.00%)</w:t>
            </w:r>
          </w:p>
        </w:tc>
        <w:tc>
          <w:tcPr>
            <w:tcW w:w="560" w:type="dxa"/>
            <w:vAlign w:val="bottom"/>
            <w:shd w:val="clear" w:color="auto" w:fill="CCECFF"/>
          </w:tcPr>
          <w:p>
            <w:pPr>
              <w:spacing w:after="0"/>
              <w:rPr>
                <w:sz w:val="11"/>
                <w:szCs w:val="11"/>
                <w:color w:val="auto"/>
              </w:rPr>
            </w:pPr>
          </w:p>
        </w:tc>
        <w:tc>
          <w:tcPr>
            <w:tcW w:w="3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8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80" w:type="dxa"/>
            <w:vAlign w:val="bottom"/>
            <w:tcBorders>
              <w:bottom w:val="single" w:sz="8" w:color="auto"/>
            </w:tcBorders>
            <w:shd w:val="clear" w:color="auto" w:fill="CCECFF"/>
          </w:tcPr>
          <w:p>
            <w:pPr>
              <w:spacing w:after="0"/>
              <w:rPr>
                <w:sz w:val="11"/>
                <w:szCs w:val="11"/>
                <w:color w:val="auto"/>
              </w:rPr>
            </w:pPr>
          </w:p>
        </w:tc>
        <w:tc>
          <w:tcPr>
            <w:tcW w:w="600" w:type="dxa"/>
            <w:vAlign w:val="bottom"/>
            <w:tcBorders>
              <w:bottom w:val="single" w:sz="8" w:color="auto"/>
            </w:tcBorders>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100" w:type="dxa"/>
            <w:vAlign w:val="bottom"/>
            <w:tcBorders>
              <w:bottom w:val="single" w:sz="8" w:color="auto"/>
            </w:tcBorders>
            <w:shd w:val="clear" w:color="auto" w:fill="CCECFF"/>
          </w:tcPr>
          <w:p>
            <w:pPr>
              <w:spacing w:after="0"/>
              <w:rPr>
                <w:sz w:val="11"/>
                <w:szCs w:val="11"/>
                <w:color w:val="auto"/>
              </w:rPr>
            </w:pPr>
          </w:p>
        </w:tc>
        <w:tc>
          <w:tcPr>
            <w:tcW w:w="640" w:type="dxa"/>
            <w:vAlign w:val="bottom"/>
            <w:tcBorders>
              <w:bottom w:val="single" w:sz="8" w:color="auto"/>
            </w:tcBorders>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3060" w:type="dxa"/>
            <w:vAlign w:val="bottom"/>
            <w:tcBorders>
              <w:bottom w:val="single" w:sz="8" w:color="CCECFF"/>
            </w:tcBorders>
          </w:tcPr>
          <w:p>
            <w:pPr>
              <w:spacing w:after="0"/>
              <w:rPr>
                <w:sz w:val="20"/>
                <w:szCs w:val="20"/>
                <w:color w:val="auto"/>
              </w:rPr>
            </w:pPr>
            <w:r>
              <w:rPr>
                <w:rFonts w:ascii="Arial" w:cs="Arial" w:eastAsia="Arial" w:hAnsi="Arial"/>
                <w:sz w:val="11"/>
                <w:szCs w:val="11"/>
                <w:b w:val="1"/>
                <w:bCs w:val="1"/>
                <w:color w:val="auto"/>
              </w:rPr>
              <w:t>Total Second Lien Secured Debt</w:t>
            </w:r>
          </w:p>
        </w:tc>
        <w:tc>
          <w:tcPr>
            <w:tcW w:w="120" w:type="dxa"/>
            <w:vAlign w:val="bottom"/>
            <w:tcBorders>
              <w:bottom w:val="single" w:sz="8" w:color="CCECFF"/>
            </w:tcBorders>
          </w:tcPr>
          <w:p>
            <w:pPr>
              <w:spacing w:after="0"/>
              <w:rPr>
                <w:sz w:val="11"/>
                <w:szCs w:val="11"/>
                <w:color w:val="auto"/>
              </w:rPr>
            </w:pPr>
          </w:p>
        </w:tc>
        <w:tc>
          <w:tcPr>
            <w:tcW w:w="520" w:type="dxa"/>
            <w:vAlign w:val="bottom"/>
            <w:tcBorders>
              <w:bottom w:val="single" w:sz="8" w:color="CCECFF"/>
            </w:tcBorders>
          </w:tcPr>
          <w:p>
            <w:pPr>
              <w:spacing w:after="0"/>
              <w:rPr>
                <w:sz w:val="11"/>
                <w:szCs w:val="11"/>
                <w:color w:val="auto"/>
              </w:rPr>
            </w:pPr>
          </w:p>
        </w:tc>
        <w:tc>
          <w:tcPr>
            <w:tcW w:w="240" w:type="dxa"/>
            <w:vAlign w:val="bottom"/>
            <w:tcBorders>
              <w:bottom w:val="single" w:sz="8" w:color="CCECFF"/>
            </w:tcBorders>
          </w:tcPr>
          <w:p>
            <w:pPr>
              <w:spacing w:after="0"/>
              <w:rPr>
                <w:sz w:val="11"/>
                <w:szCs w:val="11"/>
                <w:color w:val="auto"/>
              </w:rPr>
            </w:pPr>
          </w:p>
        </w:tc>
        <w:tc>
          <w:tcPr>
            <w:tcW w:w="2620" w:type="dxa"/>
            <w:vAlign w:val="bottom"/>
            <w:tcBorders>
              <w:bottom w:val="single" w:sz="8" w:color="CCECFF"/>
            </w:tcBorders>
          </w:tcPr>
          <w:p>
            <w:pPr>
              <w:spacing w:after="0"/>
              <w:rPr>
                <w:sz w:val="11"/>
                <w:szCs w:val="11"/>
                <w:color w:val="auto"/>
              </w:rPr>
            </w:pPr>
          </w:p>
        </w:tc>
        <w:tc>
          <w:tcPr>
            <w:tcW w:w="140" w:type="dxa"/>
            <w:vAlign w:val="bottom"/>
            <w:tcBorders>
              <w:bottom w:val="single" w:sz="8" w:color="CCECFF"/>
            </w:tcBorders>
          </w:tcPr>
          <w:p>
            <w:pPr>
              <w:spacing w:after="0"/>
              <w:rPr>
                <w:sz w:val="11"/>
                <w:szCs w:val="11"/>
                <w:color w:val="auto"/>
              </w:rPr>
            </w:pPr>
          </w:p>
        </w:tc>
        <w:tc>
          <w:tcPr>
            <w:tcW w:w="600" w:type="dxa"/>
            <w:vAlign w:val="bottom"/>
            <w:tcBorders>
              <w:bottom w:val="single" w:sz="8" w:color="CCECFF"/>
            </w:tcBorders>
          </w:tcPr>
          <w:p>
            <w:pPr>
              <w:spacing w:after="0"/>
              <w:rPr>
                <w:sz w:val="11"/>
                <w:szCs w:val="11"/>
                <w:color w:val="auto"/>
              </w:rPr>
            </w:pPr>
          </w:p>
        </w:tc>
        <w:tc>
          <w:tcPr>
            <w:tcW w:w="260" w:type="dxa"/>
            <w:vAlign w:val="bottom"/>
            <w:tcBorders>
              <w:bottom w:val="single" w:sz="8" w:color="CCECFF"/>
            </w:tcBorders>
          </w:tcPr>
          <w:p>
            <w:pPr>
              <w:spacing w:after="0"/>
              <w:rPr>
                <w:sz w:val="11"/>
                <w:szCs w:val="11"/>
                <w:color w:val="auto"/>
              </w:rPr>
            </w:pPr>
          </w:p>
        </w:tc>
        <w:tc>
          <w:tcPr>
            <w:tcW w:w="560" w:type="dxa"/>
            <w:vAlign w:val="bottom"/>
            <w:tcBorders>
              <w:bottom w:val="single" w:sz="8" w:color="CCECFF"/>
            </w:tcBorders>
          </w:tcPr>
          <w:p>
            <w:pPr>
              <w:spacing w:after="0"/>
              <w:rPr>
                <w:sz w:val="11"/>
                <w:szCs w:val="11"/>
                <w:color w:val="auto"/>
              </w:rPr>
            </w:pPr>
          </w:p>
        </w:tc>
        <w:tc>
          <w:tcPr>
            <w:tcW w:w="320" w:type="dxa"/>
            <w:vAlign w:val="bottom"/>
            <w:tcBorders>
              <w:bottom w:val="single" w:sz="8" w:color="CCECFF"/>
            </w:tcBorders>
          </w:tcPr>
          <w:p>
            <w:pPr>
              <w:spacing w:after="0"/>
              <w:rPr>
                <w:sz w:val="11"/>
                <w:szCs w:val="11"/>
                <w:color w:val="auto"/>
              </w:rPr>
            </w:pPr>
          </w:p>
        </w:tc>
        <w:tc>
          <w:tcPr>
            <w:tcW w:w="120" w:type="dxa"/>
            <w:vAlign w:val="bottom"/>
            <w:tcBorders>
              <w:bottom w:val="single" w:sz="8" w:color="CCECFF"/>
            </w:tcBorders>
          </w:tcPr>
          <w:p>
            <w:pPr>
              <w:spacing w:after="0"/>
              <w:rPr>
                <w:sz w:val="11"/>
                <w:szCs w:val="11"/>
                <w:color w:val="auto"/>
              </w:rPr>
            </w:pPr>
          </w:p>
        </w:tc>
        <w:tc>
          <w:tcPr>
            <w:tcW w:w="100" w:type="dxa"/>
            <w:vAlign w:val="bottom"/>
            <w:tcBorders>
              <w:bottom w:val="single" w:sz="8" w:color="CCECFF"/>
            </w:tcBorders>
          </w:tcPr>
          <w:p>
            <w:pPr>
              <w:spacing w:after="0"/>
              <w:rPr>
                <w:sz w:val="11"/>
                <w:szCs w:val="11"/>
                <w:color w:val="auto"/>
              </w:rPr>
            </w:pPr>
          </w:p>
        </w:tc>
        <w:tc>
          <w:tcPr>
            <w:tcW w:w="580" w:type="dxa"/>
            <w:vAlign w:val="bottom"/>
            <w:tcBorders>
              <w:bottom w:val="single" w:sz="8" w:color="CCECFF"/>
            </w:tcBorders>
          </w:tcPr>
          <w:p>
            <w:pPr>
              <w:spacing w:after="0"/>
              <w:rPr>
                <w:sz w:val="11"/>
                <w:szCs w:val="11"/>
                <w:color w:val="auto"/>
              </w:rPr>
            </w:pPr>
          </w:p>
        </w:tc>
        <w:tc>
          <w:tcPr>
            <w:tcW w:w="240" w:type="dxa"/>
            <w:vAlign w:val="bottom"/>
            <w:tcBorders>
              <w:bottom w:val="single" w:sz="8" w:color="CCEC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8,493,383</w:t>
            </w:r>
          </w:p>
        </w:tc>
        <w:tc>
          <w:tcPr>
            <w:tcW w:w="220" w:type="dxa"/>
            <w:vAlign w:val="bottom"/>
            <w:tcBorders>
              <w:bottom w:val="single" w:sz="8" w:color="CCEC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8,455,347</w:t>
            </w:r>
          </w:p>
        </w:tc>
        <w:tc>
          <w:tcPr>
            <w:tcW w:w="120" w:type="dxa"/>
            <w:vAlign w:val="bottom"/>
            <w:tcBorders>
              <w:bottom w:val="single" w:sz="8" w:color="CCECFF"/>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060" w:type="dxa"/>
            <w:vAlign w:val="bottom"/>
            <w:shd w:val="clear" w:color="auto" w:fill="CCECFF"/>
          </w:tcPr>
          <w:p>
            <w:pPr>
              <w:spacing w:after="0"/>
              <w:rPr>
                <w:sz w:val="20"/>
                <w:szCs w:val="20"/>
                <w:color w:val="auto"/>
              </w:rPr>
            </w:pPr>
            <w:r>
              <w:rPr>
                <w:rFonts w:ascii="Arial" w:cs="Arial" w:eastAsia="Arial" w:hAnsi="Arial"/>
                <w:sz w:val="11"/>
                <w:szCs w:val="11"/>
                <w:b w:val="1"/>
                <w:bCs w:val="1"/>
                <w:color w:val="auto"/>
              </w:rPr>
              <w:t>Equity Securities</w:t>
            </w:r>
          </w:p>
        </w:tc>
        <w:tc>
          <w:tcPr>
            <w:tcW w:w="120" w:type="dxa"/>
            <w:vAlign w:val="bottom"/>
            <w:shd w:val="clear" w:color="auto" w:fill="CCECFF"/>
          </w:tcPr>
          <w:p>
            <w:pPr>
              <w:spacing w:after="0"/>
              <w:rPr>
                <w:sz w:val="11"/>
                <w:szCs w:val="11"/>
                <w:color w:val="auto"/>
              </w:rPr>
            </w:pPr>
          </w:p>
        </w:tc>
        <w:tc>
          <w:tcPr>
            <w:tcW w:w="52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262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600" w:type="dxa"/>
            <w:vAlign w:val="bottom"/>
            <w:shd w:val="clear" w:color="auto" w:fill="CCECFF"/>
          </w:tcPr>
          <w:p>
            <w:pPr>
              <w:spacing w:after="0"/>
              <w:rPr>
                <w:sz w:val="11"/>
                <w:szCs w:val="11"/>
                <w:color w:val="auto"/>
              </w:rPr>
            </w:pPr>
          </w:p>
        </w:tc>
        <w:tc>
          <w:tcPr>
            <w:tcW w:w="260" w:type="dxa"/>
            <w:vAlign w:val="bottom"/>
            <w:shd w:val="clear" w:color="auto" w:fill="CCECFF"/>
          </w:tcPr>
          <w:p>
            <w:pPr>
              <w:spacing w:after="0"/>
              <w:rPr>
                <w:sz w:val="11"/>
                <w:szCs w:val="11"/>
                <w:color w:val="auto"/>
              </w:rPr>
            </w:pPr>
          </w:p>
        </w:tc>
        <w:tc>
          <w:tcPr>
            <w:tcW w:w="560" w:type="dxa"/>
            <w:vAlign w:val="bottom"/>
            <w:shd w:val="clear" w:color="auto" w:fill="CCECFF"/>
          </w:tcPr>
          <w:p>
            <w:pPr>
              <w:spacing w:after="0"/>
              <w:rPr>
                <w:sz w:val="11"/>
                <w:szCs w:val="11"/>
                <w:color w:val="auto"/>
              </w:rPr>
            </w:pPr>
          </w:p>
        </w:tc>
        <w:tc>
          <w:tcPr>
            <w:tcW w:w="3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8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tcPr>
          <w:p>
            <w:pPr>
              <w:spacing w:after="0"/>
              <w:rPr>
                <w:sz w:val="20"/>
                <w:szCs w:val="20"/>
                <w:color w:val="auto"/>
              </w:rPr>
            </w:pPr>
            <w:r>
              <w:rPr>
                <w:rFonts w:ascii="Arial" w:cs="Arial" w:eastAsia="Arial" w:hAnsi="Arial"/>
                <w:sz w:val="11"/>
                <w:szCs w:val="11"/>
                <w:color w:val="auto"/>
              </w:rPr>
              <w:t>Country Fresh Holding Company Inc.</w:t>
            </w:r>
          </w:p>
        </w:tc>
        <w:tc>
          <w:tcPr>
            <w:tcW w:w="120" w:type="dxa"/>
            <w:vAlign w:val="bottom"/>
          </w:tcPr>
          <w:p>
            <w:pPr>
              <w:spacing w:after="0"/>
              <w:rPr>
                <w:sz w:val="11"/>
                <w:szCs w:val="11"/>
                <w:color w:val="auto"/>
              </w:rPr>
            </w:pPr>
          </w:p>
        </w:tc>
        <w:tc>
          <w:tcPr>
            <w:tcW w:w="760" w:type="dxa"/>
            <w:vAlign w:val="bottom"/>
            <w:gridSpan w:val="2"/>
          </w:tcPr>
          <w:p>
            <w:pPr>
              <w:ind w:left="260"/>
              <w:spacing w:after="0"/>
              <w:rPr>
                <w:sz w:val="20"/>
                <w:szCs w:val="20"/>
                <w:color w:val="auto"/>
              </w:rPr>
            </w:pPr>
            <w:r>
              <w:rPr>
                <w:rFonts w:ascii="Arial" w:cs="Arial" w:eastAsia="Arial" w:hAnsi="Arial"/>
                <w:sz w:val="11"/>
                <w:szCs w:val="11"/>
                <w:color w:val="auto"/>
              </w:rPr>
              <w:t>—</w:t>
            </w:r>
          </w:p>
        </w:tc>
        <w:tc>
          <w:tcPr>
            <w:tcW w:w="2760" w:type="dxa"/>
            <w:vAlign w:val="bottom"/>
            <w:gridSpan w:val="2"/>
          </w:tcPr>
          <w:p>
            <w:pPr>
              <w:jc w:val="center"/>
              <w:ind w:right="140"/>
              <w:spacing w:after="0"/>
              <w:rPr>
                <w:sz w:val="20"/>
                <w:szCs w:val="20"/>
                <w:color w:val="auto"/>
              </w:rPr>
            </w:pPr>
            <w:r>
              <w:rPr>
                <w:rFonts w:ascii="Arial" w:cs="Arial" w:eastAsia="Arial" w:hAnsi="Arial"/>
                <w:sz w:val="11"/>
                <w:szCs w:val="11"/>
                <w:color w:val="auto"/>
                <w:w w:val="86"/>
              </w:rPr>
              <w:t>Beverage, Food and Tobacco</w:t>
            </w: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1,317</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1,713,106</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1,124,929</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shd w:val="clear" w:color="auto" w:fill="CCECFF"/>
          </w:tcPr>
          <w:p>
            <w:pPr>
              <w:spacing w:after="0"/>
              <w:rPr>
                <w:sz w:val="20"/>
                <w:szCs w:val="20"/>
                <w:color w:val="auto"/>
              </w:rPr>
            </w:pPr>
            <w:r>
              <w:rPr>
                <w:rFonts w:ascii="Arial" w:cs="Arial" w:eastAsia="Arial" w:hAnsi="Arial"/>
                <w:sz w:val="11"/>
                <w:szCs w:val="11"/>
                <w:color w:val="auto"/>
              </w:rPr>
              <w:t>DBI Holding, LLC, Series A-1</w:t>
            </w:r>
          </w:p>
        </w:tc>
        <w:tc>
          <w:tcPr>
            <w:tcW w:w="120" w:type="dxa"/>
            <w:vAlign w:val="bottom"/>
            <w:shd w:val="clear" w:color="auto" w:fill="CCECFF"/>
          </w:tcPr>
          <w:p>
            <w:pPr>
              <w:spacing w:after="0"/>
              <w:rPr>
                <w:sz w:val="11"/>
                <w:szCs w:val="11"/>
                <w:color w:val="auto"/>
              </w:rPr>
            </w:pPr>
          </w:p>
        </w:tc>
        <w:tc>
          <w:tcPr>
            <w:tcW w:w="760" w:type="dxa"/>
            <w:vAlign w:val="bottom"/>
            <w:gridSpan w:val="2"/>
            <w:shd w:val="clear" w:color="auto" w:fill="CCECFF"/>
          </w:tcPr>
          <w:p>
            <w:pPr>
              <w:ind w:left="260"/>
              <w:spacing w:after="0"/>
              <w:rPr>
                <w:sz w:val="20"/>
                <w:szCs w:val="20"/>
                <w:color w:val="auto"/>
              </w:rPr>
            </w:pPr>
            <w:r>
              <w:rPr>
                <w:rFonts w:ascii="Arial" w:cs="Arial" w:eastAsia="Arial" w:hAnsi="Arial"/>
                <w:sz w:val="11"/>
                <w:szCs w:val="11"/>
                <w:color w:val="auto"/>
              </w:rPr>
              <w:t>—</w:t>
            </w: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6"/>
              </w:rPr>
              <w:t>Business Services</w:t>
            </w:r>
          </w:p>
        </w:tc>
        <w:tc>
          <w:tcPr>
            <w:tcW w:w="86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560" w:type="dxa"/>
            <w:vAlign w:val="bottom"/>
            <w:shd w:val="clear" w:color="auto" w:fill="CCECFF"/>
          </w:tcPr>
          <w:p>
            <w:pPr>
              <w:spacing w:after="0"/>
              <w:rPr>
                <w:sz w:val="11"/>
                <w:szCs w:val="11"/>
                <w:color w:val="auto"/>
              </w:rPr>
            </w:pPr>
          </w:p>
        </w:tc>
        <w:tc>
          <w:tcPr>
            <w:tcW w:w="540" w:type="dxa"/>
            <w:vAlign w:val="bottom"/>
            <w:gridSpan w:val="3"/>
            <w:shd w:val="clear" w:color="auto" w:fill="CCECFF"/>
          </w:tcPr>
          <w:p>
            <w:pPr>
              <w:jc w:val="right"/>
              <w:ind w:right="220"/>
              <w:spacing w:after="0"/>
              <w:rPr>
                <w:sz w:val="20"/>
                <w:szCs w:val="20"/>
                <w:color w:val="auto"/>
              </w:rPr>
            </w:pPr>
            <w:r>
              <w:rPr>
                <w:rFonts w:ascii="Arial" w:cs="Arial" w:eastAsia="Arial" w:hAnsi="Arial"/>
                <w:sz w:val="11"/>
                <w:szCs w:val="11"/>
                <w:color w:val="auto"/>
              </w:rPr>
              <w:t>—</w:t>
            </w: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5,034</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5,034,310</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4,680,039</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tcBorders>
              <w:bottom w:val="single" w:sz="8" w:color="CCECFF"/>
            </w:tcBorders>
          </w:tcPr>
          <w:p>
            <w:pPr>
              <w:spacing w:after="0"/>
              <w:rPr>
                <w:sz w:val="20"/>
                <w:szCs w:val="20"/>
                <w:color w:val="auto"/>
              </w:rPr>
            </w:pPr>
            <w:r>
              <w:rPr>
                <w:rFonts w:ascii="Arial" w:cs="Arial" w:eastAsia="Arial" w:hAnsi="Arial"/>
                <w:sz w:val="11"/>
                <w:szCs w:val="11"/>
                <w:color w:val="auto"/>
              </w:rPr>
              <w:t>DBI Holding, LLC, Series B</w:t>
            </w:r>
          </w:p>
        </w:tc>
        <w:tc>
          <w:tcPr>
            <w:tcW w:w="120" w:type="dxa"/>
            <w:vAlign w:val="bottom"/>
            <w:tcBorders>
              <w:bottom w:val="single" w:sz="8" w:color="CCECFF"/>
            </w:tcBorders>
          </w:tcPr>
          <w:p>
            <w:pPr>
              <w:spacing w:after="0"/>
              <w:rPr>
                <w:sz w:val="11"/>
                <w:szCs w:val="11"/>
                <w:color w:val="auto"/>
              </w:rPr>
            </w:pPr>
          </w:p>
        </w:tc>
        <w:tc>
          <w:tcPr>
            <w:tcW w:w="760" w:type="dxa"/>
            <w:vAlign w:val="bottom"/>
            <w:tcBorders>
              <w:bottom w:val="single" w:sz="8" w:color="CCECFF"/>
            </w:tcBorders>
            <w:gridSpan w:val="2"/>
          </w:tcPr>
          <w:p>
            <w:pPr>
              <w:ind w:left="260"/>
              <w:spacing w:after="0"/>
              <w:rPr>
                <w:sz w:val="20"/>
                <w:szCs w:val="20"/>
                <w:color w:val="auto"/>
              </w:rPr>
            </w:pPr>
            <w:r>
              <w:rPr>
                <w:rFonts w:ascii="Arial" w:cs="Arial" w:eastAsia="Arial" w:hAnsi="Arial"/>
                <w:sz w:val="11"/>
                <w:szCs w:val="11"/>
                <w:color w:val="auto"/>
              </w:rPr>
              <w:t>—</w:t>
            </w:r>
          </w:p>
        </w:tc>
        <w:tc>
          <w:tcPr>
            <w:tcW w:w="2760" w:type="dxa"/>
            <w:vAlign w:val="bottom"/>
            <w:tcBorders>
              <w:bottom w:val="single" w:sz="8" w:color="CCECFF"/>
            </w:tcBorders>
            <w:gridSpan w:val="2"/>
          </w:tcPr>
          <w:p>
            <w:pPr>
              <w:jc w:val="center"/>
              <w:ind w:right="140"/>
              <w:spacing w:after="0"/>
              <w:rPr>
                <w:sz w:val="20"/>
                <w:szCs w:val="20"/>
                <w:color w:val="auto"/>
              </w:rPr>
            </w:pPr>
            <w:r>
              <w:rPr>
                <w:rFonts w:ascii="Arial" w:cs="Arial" w:eastAsia="Arial" w:hAnsi="Arial"/>
                <w:sz w:val="11"/>
                <w:szCs w:val="11"/>
                <w:color w:val="auto"/>
                <w:w w:val="86"/>
              </w:rPr>
              <w:t>Business Services</w:t>
            </w:r>
          </w:p>
        </w:tc>
        <w:tc>
          <w:tcPr>
            <w:tcW w:w="860" w:type="dxa"/>
            <w:vAlign w:val="bottom"/>
            <w:tcBorders>
              <w:bottom w:val="single" w:sz="8" w:color="CCECFF"/>
            </w:tcBorders>
            <w:gridSpan w:val="2"/>
          </w:tcPr>
          <w:p>
            <w:pPr>
              <w:jc w:val="right"/>
              <w:ind w:right="280"/>
              <w:spacing w:after="0"/>
              <w:rPr>
                <w:sz w:val="20"/>
                <w:szCs w:val="20"/>
                <w:color w:val="auto"/>
              </w:rPr>
            </w:pPr>
            <w:r>
              <w:rPr>
                <w:rFonts w:ascii="Arial" w:cs="Arial" w:eastAsia="Arial" w:hAnsi="Arial"/>
                <w:sz w:val="11"/>
                <w:szCs w:val="11"/>
                <w:color w:val="auto"/>
              </w:rPr>
              <w:t>—</w:t>
            </w:r>
          </w:p>
        </w:tc>
        <w:tc>
          <w:tcPr>
            <w:tcW w:w="560" w:type="dxa"/>
            <w:vAlign w:val="bottom"/>
            <w:tcBorders>
              <w:bottom w:val="single" w:sz="8" w:color="CCECFF"/>
            </w:tcBorders>
          </w:tcPr>
          <w:p>
            <w:pPr>
              <w:spacing w:after="0"/>
              <w:rPr>
                <w:sz w:val="11"/>
                <w:szCs w:val="11"/>
                <w:color w:val="auto"/>
              </w:rPr>
            </w:pPr>
          </w:p>
        </w:tc>
        <w:tc>
          <w:tcPr>
            <w:tcW w:w="540" w:type="dxa"/>
            <w:vAlign w:val="bottom"/>
            <w:tcBorders>
              <w:bottom w:val="single" w:sz="8" w:color="CCECFF"/>
            </w:tcBorders>
            <w:gridSpan w:val="3"/>
          </w:tcPr>
          <w:p>
            <w:pPr>
              <w:jc w:val="right"/>
              <w:ind w:right="220"/>
              <w:spacing w:after="0"/>
              <w:rPr>
                <w:sz w:val="20"/>
                <w:szCs w:val="20"/>
                <w:color w:val="auto"/>
              </w:rPr>
            </w:pPr>
            <w:r>
              <w:rPr>
                <w:rFonts w:ascii="Arial" w:cs="Arial" w:eastAsia="Arial" w:hAnsi="Arial"/>
                <w:sz w:val="11"/>
                <w:szCs w:val="11"/>
                <w:color w:val="auto"/>
              </w:rPr>
              <w:t>—</w:t>
            </w:r>
          </w:p>
        </w:tc>
        <w:tc>
          <w:tcPr>
            <w:tcW w:w="580" w:type="dxa"/>
            <w:vAlign w:val="bottom"/>
            <w:tcBorders>
              <w:bottom w:val="single" w:sz="8" w:color="CCECFF"/>
            </w:tcBorders>
          </w:tcPr>
          <w:p>
            <w:pPr>
              <w:jc w:val="right"/>
              <w:spacing w:after="0"/>
              <w:rPr>
                <w:sz w:val="20"/>
                <w:szCs w:val="20"/>
                <w:color w:val="auto"/>
              </w:rPr>
            </w:pPr>
            <w:r>
              <w:rPr>
                <w:rFonts w:ascii="Arial" w:cs="Arial" w:eastAsia="Arial" w:hAnsi="Arial"/>
                <w:sz w:val="11"/>
                <w:szCs w:val="11"/>
                <w:color w:val="auto"/>
              </w:rPr>
              <w:t>1,065,021</w:t>
            </w:r>
          </w:p>
        </w:tc>
        <w:tc>
          <w:tcPr>
            <w:tcW w:w="240" w:type="dxa"/>
            <w:vAlign w:val="bottom"/>
            <w:tcBorders>
              <w:bottom w:val="single" w:sz="8" w:color="CCEC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236,521</w:t>
            </w:r>
          </w:p>
        </w:tc>
        <w:tc>
          <w:tcPr>
            <w:tcW w:w="220" w:type="dxa"/>
            <w:vAlign w:val="bottom"/>
            <w:tcBorders>
              <w:bottom w:val="single" w:sz="8" w:color="CCEC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CFF"/>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060" w:type="dxa"/>
            <w:vAlign w:val="bottom"/>
            <w:shd w:val="clear" w:color="auto" w:fill="CCECFF"/>
          </w:tcPr>
          <w:p>
            <w:pPr>
              <w:spacing w:after="0"/>
              <w:rPr>
                <w:sz w:val="20"/>
                <w:szCs w:val="20"/>
                <w:color w:val="auto"/>
              </w:rPr>
            </w:pPr>
            <w:r>
              <w:rPr>
                <w:rFonts w:ascii="Arial" w:cs="Arial" w:eastAsia="Arial" w:hAnsi="Arial"/>
                <w:sz w:val="11"/>
                <w:szCs w:val="11"/>
                <w:b w:val="1"/>
                <w:bCs w:val="1"/>
                <w:color w:val="auto"/>
              </w:rPr>
              <w:t>Total Equity Securities</w:t>
            </w:r>
          </w:p>
        </w:tc>
        <w:tc>
          <w:tcPr>
            <w:tcW w:w="120" w:type="dxa"/>
            <w:vAlign w:val="bottom"/>
            <w:shd w:val="clear" w:color="auto" w:fill="CCECFF"/>
          </w:tcPr>
          <w:p>
            <w:pPr>
              <w:spacing w:after="0"/>
              <w:rPr>
                <w:sz w:val="11"/>
                <w:szCs w:val="11"/>
                <w:color w:val="auto"/>
              </w:rPr>
            </w:pPr>
          </w:p>
        </w:tc>
        <w:tc>
          <w:tcPr>
            <w:tcW w:w="52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262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600" w:type="dxa"/>
            <w:vAlign w:val="bottom"/>
            <w:shd w:val="clear" w:color="auto" w:fill="CCECFF"/>
          </w:tcPr>
          <w:p>
            <w:pPr>
              <w:spacing w:after="0"/>
              <w:rPr>
                <w:sz w:val="11"/>
                <w:szCs w:val="11"/>
                <w:color w:val="auto"/>
              </w:rPr>
            </w:pPr>
          </w:p>
        </w:tc>
        <w:tc>
          <w:tcPr>
            <w:tcW w:w="260" w:type="dxa"/>
            <w:vAlign w:val="bottom"/>
            <w:shd w:val="clear" w:color="auto" w:fill="CCECFF"/>
          </w:tcPr>
          <w:p>
            <w:pPr>
              <w:spacing w:after="0"/>
              <w:rPr>
                <w:sz w:val="11"/>
                <w:szCs w:val="11"/>
                <w:color w:val="auto"/>
              </w:rPr>
            </w:pPr>
          </w:p>
        </w:tc>
        <w:tc>
          <w:tcPr>
            <w:tcW w:w="560" w:type="dxa"/>
            <w:vAlign w:val="bottom"/>
            <w:shd w:val="clear" w:color="auto" w:fill="CCECFF"/>
          </w:tcPr>
          <w:p>
            <w:pPr>
              <w:spacing w:after="0"/>
              <w:rPr>
                <w:sz w:val="11"/>
                <w:szCs w:val="11"/>
                <w:color w:val="auto"/>
              </w:rPr>
            </w:pPr>
          </w:p>
        </w:tc>
        <w:tc>
          <w:tcPr>
            <w:tcW w:w="3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8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80" w:type="dxa"/>
            <w:vAlign w:val="bottom"/>
            <w:tcBorders>
              <w:bottom w:val="single" w:sz="8" w:color="auto"/>
            </w:tcBorders>
            <w:shd w:val="clear" w:color="auto" w:fill="CCECFF"/>
          </w:tcPr>
          <w:p>
            <w:pPr>
              <w:spacing w:after="0"/>
              <w:rPr>
                <w:sz w:val="11"/>
                <w:szCs w:val="11"/>
                <w:color w:val="auto"/>
              </w:rPr>
            </w:pPr>
          </w:p>
        </w:tc>
        <w:tc>
          <w:tcPr>
            <w:tcW w:w="6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6,983,937</w:t>
            </w:r>
          </w:p>
        </w:tc>
        <w:tc>
          <w:tcPr>
            <w:tcW w:w="220" w:type="dxa"/>
            <w:vAlign w:val="bottom"/>
            <w:shd w:val="clear" w:color="auto" w:fill="CCECFF"/>
          </w:tcPr>
          <w:p>
            <w:pPr>
              <w:spacing w:after="0"/>
              <w:rPr>
                <w:sz w:val="11"/>
                <w:szCs w:val="11"/>
                <w:color w:val="auto"/>
              </w:rPr>
            </w:pPr>
          </w:p>
        </w:tc>
        <w:tc>
          <w:tcPr>
            <w:tcW w:w="100" w:type="dxa"/>
            <w:vAlign w:val="bottom"/>
            <w:tcBorders>
              <w:bottom w:val="single" w:sz="8" w:color="auto"/>
            </w:tcBorders>
            <w:shd w:val="clear" w:color="auto" w:fill="CCECFF"/>
          </w:tcPr>
          <w:p>
            <w:pPr>
              <w:spacing w:after="0"/>
              <w:rPr>
                <w:sz w:val="11"/>
                <w:szCs w:val="11"/>
                <w:color w:val="auto"/>
              </w:rPr>
            </w:pPr>
          </w:p>
        </w:tc>
        <w:tc>
          <w:tcPr>
            <w:tcW w:w="6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5,804,968</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3060" w:type="dxa"/>
            <w:vAlign w:val="bottom"/>
          </w:tcPr>
          <w:p>
            <w:pPr>
              <w:spacing w:after="0"/>
              <w:rPr>
                <w:sz w:val="20"/>
                <w:szCs w:val="20"/>
                <w:color w:val="auto"/>
              </w:rPr>
            </w:pPr>
            <w:r>
              <w:rPr>
                <w:rFonts w:ascii="Arial" w:cs="Arial" w:eastAsia="Arial" w:hAnsi="Arial"/>
                <w:sz w:val="11"/>
                <w:szCs w:val="11"/>
                <w:b w:val="1"/>
                <w:bCs w:val="1"/>
                <w:color w:val="auto"/>
              </w:rPr>
              <w:t>Cash and Cash Equivalents</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shd w:val="clear" w:color="auto" w:fill="CCECFF"/>
          </w:tcPr>
          <w:p>
            <w:pPr>
              <w:spacing w:after="0"/>
              <w:rPr>
                <w:sz w:val="20"/>
                <w:szCs w:val="20"/>
                <w:color w:val="auto"/>
              </w:rPr>
            </w:pPr>
            <w:r>
              <w:rPr>
                <w:rFonts w:ascii="Arial" w:cs="Arial" w:eastAsia="Arial" w:hAnsi="Arial"/>
                <w:sz w:val="11"/>
                <w:szCs w:val="11"/>
                <w:color w:val="auto"/>
              </w:rPr>
              <w:t>BlackRock Federal FD Institutional 30</w:t>
            </w:r>
          </w:p>
        </w:tc>
        <w:tc>
          <w:tcPr>
            <w:tcW w:w="120" w:type="dxa"/>
            <w:vAlign w:val="bottom"/>
            <w:shd w:val="clear" w:color="auto" w:fill="CCECFF"/>
          </w:tcPr>
          <w:p>
            <w:pPr>
              <w:spacing w:after="0"/>
              <w:rPr>
                <w:sz w:val="11"/>
                <w:szCs w:val="11"/>
                <w:color w:val="auto"/>
              </w:rPr>
            </w:pPr>
          </w:p>
        </w:tc>
        <w:tc>
          <w:tcPr>
            <w:tcW w:w="52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262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600" w:type="dxa"/>
            <w:vAlign w:val="bottom"/>
            <w:shd w:val="clear" w:color="auto" w:fill="CCECFF"/>
          </w:tcPr>
          <w:p>
            <w:pPr>
              <w:spacing w:after="0"/>
              <w:rPr>
                <w:sz w:val="11"/>
                <w:szCs w:val="11"/>
                <w:color w:val="auto"/>
              </w:rPr>
            </w:pPr>
          </w:p>
        </w:tc>
        <w:tc>
          <w:tcPr>
            <w:tcW w:w="260" w:type="dxa"/>
            <w:vAlign w:val="bottom"/>
            <w:shd w:val="clear" w:color="auto" w:fill="CCECFF"/>
          </w:tcPr>
          <w:p>
            <w:pPr>
              <w:spacing w:after="0"/>
              <w:rPr>
                <w:sz w:val="11"/>
                <w:szCs w:val="11"/>
                <w:color w:val="auto"/>
              </w:rPr>
            </w:pPr>
          </w:p>
        </w:tc>
        <w:tc>
          <w:tcPr>
            <w:tcW w:w="560" w:type="dxa"/>
            <w:vAlign w:val="bottom"/>
            <w:shd w:val="clear" w:color="auto" w:fill="CCECFF"/>
          </w:tcPr>
          <w:p>
            <w:pPr>
              <w:spacing w:after="0"/>
              <w:rPr>
                <w:sz w:val="11"/>
                <w:szCs w:val="11"/>
                <w:color w:val="auto"/>
              </w:rPr>
            </w:pPr>
          </w:p>
        </w:tc>
        <w:tc>
          <w:tcPr>
            <w:tcW w:w="3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8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12,166,301</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12,166,301</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tcBorders>
              <w:bottom w:val="single" w:sz="8" w:color="CCECFF"/>
            </w:tcBorders>
          </w:tcPr>
          <w:p>
            <w:pPr>
              <w:spacing w:after="0"/>
              <w:rPr>
                <w:sz w:val="20"/>
                <w:szCs w:val="20"/>
                <w:color w:val="auto"/>
              </w:rPr>
            </w:pPr>
            <w:r>
              <w:rPr>
                <w:rFonts w:ascii="Arial" w:cs="Arial" w:eastAsia="Arial" w:hAnsi="Arial"/>
                <w:sz w:val="11"/>
                <w:szCs w:val="11"/>
                <w:color w:val="auto"/>
              </w:rPr>
              <w:t>US Bank Cash</w:t>
            </w:r>
          </w:p>
        </w:tc>
        <w:tc>
          <w:tcPr>
            <w:tcW w:w="120" w:type="dxa"/>
            <w:vAlign w:val="bottom"/>
            <w:tcBorders>
              <w:bottom w:val="single" w:sz="8" w:color="CCECFF"/>
            </w:tcBorders>
          </w:tcPr>
          <w:p>
            <w:pPr>
              <w:spacing w:after="0"/>
              <w:rPr>
                <w:sz w:val="11"/>
                <w:szCs w:val="11"/>
                <w:color w:val="auto"/>
              </w:rPr>
            </w:pPr>
          </w:p>
        </w:tc>
        <w:tc>
          <w:tcPr>
            <w:tcW w:w="520" w:type="dxa"/>
            <w:vAlign w:val="bottom"/>
            <w:tcBorders>
              <w:bottom w:val="single" w:sz="8" w:color="CCECFF"/>
            </w:tcBorders>
          </w:tcPr>
          <w:p>
            <w:pPr>
              <w:spacing w:after="0"/>
              <w:rPr>
                <w:sz w:val="11"/>
                <w:szCs w:val="11"/>
                <w:color w:val="auto"/>
              </w:rPr>
            </w:pPr>
          </w:p>
        </w:tc>
        <w:tc>
          <w:tcPr>
            <w:tcW w:w="240" w:type="dxa"/>
            <w:vAlign w:val="bottom"/>
            <w:tcBorders>
              <w:bottom w:val="single" w:sz="8" w:color="CCECFF"/>
            </w:tcBorders>
          </w:tcPr>
          <w:p>
            <w:pPr>
              <w:spacing w:after="0"/>
              <w:rPr>
                <w:sz w:val="11"/>
                <w:szCs w:val="11"/>
                <w:color w:val="auto"/>
              </w:rPr>
            </w:pPr>
          </w:p>
        </w:tc>
        <w:tc>
          <w:tcPr>
            <w:tcW w:w="2620" w:type="dxa"/>
            <w:vAlign w:val="bottom"/>
            <w:tcBorders>
              <w:bottom w:val="single" w:sz="8" w:color="CCECFF"/>
            </w:tcBorders>
          </w:tcPr>
          <w:p>
            <w:pPr>
              <w:spacing w:after="0"/>
              <w:rPr>
                <w:sz w:val="11"/>
                <w:szCs w:val="11"/>
                <w:color w:val="auto"/>
              </w:rPr>
            </w:pPr>
          </w:p>
        </w:tc>
        <w:tc>
          <w:tcPr>
            <w:tcW w:w="140" w:type="dxa"/>
            <w:vAlign w:val="bottom"/>
            <w:tcBorders>
              <w:bottom w:val="single" w:sz="8" w:color="CCECFF"/>
            </w:tcBorders>
          </w:tcPr>
          <w:p>
            <w:pPr>
              <w:spacing w:after="0"/>
              <w:rPr>
                <w:sz w:val="11"/>
                <w:szCs w:val="11"/>
                <w:color w:val="auto"/>
              </w:rPr>
            </w:pPr>
          </w:p>
        </w:tc>
        <w:tc>
          <w:tcPr>
            <w:tcW w:w="600" w:type="dxa"/>
            <w:vAlign w:val="bottom"/>
            <w:tcBorders>
              <w:bottom w:val="single" w:sz="8" w:color="CCECFF"/>
            </w:tcBorders>
          </w:tcPr>
          <w:p>
            <w:pPr>
              <w:spacing w:after="0"/>
              <w:rPr>
                <w:sz w:val="11"/>
                <w:szCs w:val="11"/>
                <w:color w:val="auto"/>
              </w:rPr>
            </w:pPr>
          </w:p>
        </w:tc>
        <w:tc>
          <w:tcPr>
            <w:tcW w:w="260" w:type="dxa"/>
            <w:vAlign w:val="bottom"/>
            <w:tcBorders>
              <w:bottom w:val="single" w:sz="8" w:color="CCECFF"/>
            </w:tcBorders>
          </w:tcPr>
          <w:p>
            <w:pPr>
              <w:spacing w:after="0"/>
              <w:rPr>
                <w:sz w:val="11"/>
                <w:szCs w:val="11"/>
                <w:color w:val="auto"/>
              </w:rPr>
            </w:pPr>
          </w:p>
        </w:tc>
        <w:tc>
          <w:tcPr>
            <w:tcW w:w="560" w:type="dxa"/>
            <w:vAlign w:val="bottom"/>
            <w:tcBorders>
              <w:bottom w:val="single" w:sz="8" w:color="CCECFF"/>
            </w:tcBorders>
          </w:tcPr>
          <w:p>
            <w:pPr>
              <w:spacing w:after="0"/>
              <w:rPr>
                <w:sz w:val="11"/>
                <w:szCs w:val="11"/>
                <w:color w:val="auto"/>
              </w:rPr>
            </w:pPr>
          </w:p>
        </w:tc>
        <w:tc>
          <w:tcPr>
            <w:tcW w:w="320" w:type="dxa"/>
            <w:vAlign w:val="bottom"/>
            <w:tcBorders>
              <w:bottom w:val="single" w:sz="8" w:color="CCECFF"/>
            </w:tcBorders>
          </w:tcPr>
          <w:p>
            <w:pPr>
              <w:spacing w:after="0"/>
              <w:rPr>
                <w:sz w:val="11"/>
                <w:szCs w:val="11"/>
                <w:color w:val="auto"/>
              </w:rPr>
            </w:pPr>
          </w:p>
        </w:tc>
        <w:tc>
          <w:tcPr>
            <w:tcW w:w="120" w:type="dxa"/>
            <w:vAlign w:val="bottom"/>
            <w:tcBorders>
              <w:bottom w:val="single" w:sz="8" w:color="CCECFF"/>
            </w:tcBorders>
          </w:tcPr>
          <w:p>
            <w:pPr>
              <w:spacing w:after="0"/>
              <w:rPr>
                <w:sz w:val="11"/>
                <w:szCs w:val="11"/>
                <w:color w:val="auto"/>
              </w:rPr>
            </w:pPr>
          </w:p>
        </w:tc>
        <w:tc>
          <w:tcPr>
            <w:tcW w:w="100" w:type="dxa"/>
            <w:vAlign w:val="bottom"/>
            <w:tcBorders>
              <w:bottom w:val="single" w:sz="8" w:color="CCECFF"/>
            </w:tcBorders>
          </w:tcPr>
          <w:p>
            <w:pPr>
              <w:spacing w:after="0"/>
              <w:rPr>
                <w:sz w:val="11"/>
                <w:szCs w:val="11"/>
                <w:color w:val="auto"/>
              </w:rPr>
            </w:pPr>
          </w:p>
        </w:tc>
        <w:tc>
          <w:tcPr>
            <w:tcW w:w="580" w:type="dxa"/>
            <w:vAlign w:val="bottom"/>
            <w:tcBorders>
              <w:bottom w:val="single" w:sz="8" w:color="CCECFF"/>
            </w:tcBorders>
          </w:tcPr>
          <w:p>
            <w:pPr>
              <w:spacing w:after="0"/>
              <w:rPr>
                <w:sz w:val="11"/>
                <w:szCs w:val="11"/>
                <w:color w:val="auto"/>
              </w:rPr>
            </w:pPr>
          </w:p>
        </w:tc>
        <w:tc>
          <w:tcPr>
            <w:tcW w:w="240" w:type="dxa"/>
            <w:vAlign w:val="bottom"/>
            <w:tcBorders>
              <w:bottom w:val="single" w:sz="8" w:color="CCEC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3,156,230</w:t>
            </w:r>
          </w:p>
        </w:tc>
        <w:tc>
          <w:tcPr>
            <w:tcW w:w="220" w:type="dxa"/>
            <w:vAlign w:val="bottom"/>
            <w:tcBorders>
              <w:bottom w:val="single" w:sz="8" w:color="CCEC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3,128,580</w:t>
            </w:r>
          </w:p>
        </w:tc>
        <w:tc>
          <w:tcPr>
            <w:tcW w:w="120" w:type="dxa"/>
            <w:vAlign w:val="bottom"/>
            <w:tcBorders>
              <w:bottom w:val="single" w:sz="8" w:color="CCECFF"/>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060" w:type="dxa"/>
            <w:vAlign w:val="bottom"/>
            <w:shd w:val="clear" w:color="auto" w:fill="CCECFF"/>
          </w:tcPr>
          <w:p>
            <w:pPr>
              <w:spacing w:after="0"/>
              <w:rPr>
                <w:sz w:val="20"/>
                <w:szCs w:val="20"/>
                <w:color w:val="auto"/>
              </w:rPr>
            </w:pPr>
            <w:r>
              <w:rPr>
                <w:rFonts w:ascii="Arial" w:cs="Arial" w:eastAsia="Arial" w:hAnsi="Arial"/>
                <w:sz w:val="11"/>
                <w:szCs w:val="11"/>
                <w:b w:val="1"/>
                <w:bCs w:val="1"/>
                <w:color w:val="auto"/>
              </w:rPr>
              <w:t>Total Cash and Cash Equivalents</w:t>
            </w:r>
          </w:p>
        </w:tc>
        <w:tc>
          <w:tcPr>
            <w:tcW w:w="120" w:type="dxa"/>
            <w:vAlign w:val="bottom"/>
            <w:shd w:val="clear" w:color="auto" w:fill="CCECFF"/>
          </w:tcPr>
          <w:p>
            <w:pPr>
              <w:spacing w:after="0"/>
              <w:rPr>
                <w:sz w:val="11"/>
                <w:szCs w:val="11"/>
                <w:color w:val="auto"/>
              </w:rPr>
            </w:pPr>
          </w:p>
        </w:tc>
        <w:tc>
          <w:tcPr>
            <w:tcW w:w="52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262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600" w:type="dxa"/>
            <w:vAlign w:val="bottom"/>
            <w:shd w:val="clear" w:color="auto" w:fill="CCECFF"/>
          </w:tcPr>
          <w:p>
            <w:pPr>
              <w:spacing w:after="0"/>
              <w:rPr>
                <w:sz w:val="11"/>
                <w:szCs w:val="11"/>
                <w:color w:val="auto"/>
              </w:rPr>
            </w:pPr>
          </w:p>
        </w:tc>
        <w:tc>
          <w:tcPr>
            <w:tcW w:w="260" w:type="dxa"/>
            <w:vAlign w:val="bottom"/>
            <w:shd w:val="clear" w:color="auto" w:fill="CCECFF"/>
          </w:tcPr>
          <w:p>
            <w:pPr>
              <w:spacing w:after="0"/>
              <w:rPr>
                <w:sz w:val="11"/>
                <w:szCs w:val="11"/>
                <w:color w:val="auto"/>
              </w:rPr>
            </w:pPr>
          </w:p>
        </w:tc>
        <w:tc>
          <w:tcPr>
            <w:tcW w:w="560" w:type="dxa"/>
            <w:vAlign w:val="bottom"/>
            <w:shd w:val="clear" w:color="auto" w:fill="CCECFF"/>
          </w:tcPr>
          <w:p>
            <w:pPr>
              <w:spacing w:after="0"/>
              <w:rPr>
                <w:sz w:val="11"/>
                <w:szCs w:val="11"/>
                <w:color w:val="auto"/>
              </w:rPr>
            </w:pPr>
          </w:p>
        </w:tc>
        <w:tc>
          <w:tcPr>
            <w:tcW w:w="3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8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80" w:type="dxa"/>
            <w:vAlign w:val="bottom"/>
            <w:tcBorders>
              <w:bottom w:val="single" w:sz="8" w:color="auto"/>
            </w:tcBorders>
            <w:shd w:val="clear" w:color="auto" w:fill="CCECFF"/>
          </w:tcPr>
          <w:p>
            <w:pPr>
              <w:spacing w:after="0"/>
              <w:rPr>
                <w:sz w:val="11"/>
                <w:szCs w:val="11"/>
                <w:color w:val="auto"/>
              </w:rPr>
            </w:pPr>
          </w:p>
        </w:tc>
        <w:tc>
          <w:tcPr>
            <w:tcW w:w="6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15,322,531</w:t>
            </w:r>
          </w:p>
        </w:tc>
        <w:tc>
          <w:tcPr>
            <w:tcW w:w="220" w:type="dxa"/>
            <w:vAlign w:val="bottom"/>
            <w:shd w:val="clear" w:color="auto" w:fill="CCECFF"/>
          </w:tcPr>
          <w:p>
            <w:pPr>
              <w:spacing w:after="0"/>
              <w:rPr>
                <w:sz w:val="11"/>
                <w:szCs w:val="11"/>
                <w:color w:val="auto"/>
              </w:rPr>
            </w:pPr>
          </w:p>
        </w:tc>
        <w:tc>
          <w:tcPr>
            <w:tcW w:w="100" w:type="dxa"/>
            <w:vAlign w:val="bottom"/>
            <w:tcBorders>
              <w:bottom w:val="single" w:sz="8" w:color="auto"/>
            </w:tcBorders>
            <w:shd w:val="clear" w:color="auto" w:fill="CCECFF"/>
          </w:tcPr>
          <w:p>
            <w:pPr>
              <w:spacing w:after="0"/>
              <w:rPr>
                <w:sz w:val="11"/>
                <w:szCs w:val="11"/>
                <w:color w:val="auto"/>
              </w:rPr>
            </w:pPr>
          </w:p>
        </w:tc>
        <w:tc>
          <w:tcPr>
            <w:tcW w:w="6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15,294,881</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060" w:type="dxa"/>
            <w:vAlign w:val="bottom"/>
          </w:tcPr>
          <w:p>
            <w:pPr>
              <w:spacing w:after="0"/>
              <w:rPr>
                <w:sz w:val="20"/>
                <w:szCs w:val="20"/>
                <w:color w:val="auto"/>
              </w:rPr>
            </w:pPr>
            <w:r>
              <w:rPr>
                <w:rFonts w:ascii="Arial" w:cs="Arial" w:eastAsia="Arial" w:hAnsi="Arial"/>
                <w:sz w:val="11"/>
                <w:szCs w:val="11"/>
                <w:b w:val="1"/>
                <w:bCs w:val="1"/>
                <w:color w:val="auto"/>
              </w:rPr>
              <w:t>Total Investments and Cash Equivalents</w:t>
            </w: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20" w:type="dxa"/>
            <w:vAlign w:val="bottom"/>
            <w:gridSpan w:val="2"/>
          </w:tcPr>
          <w:p>
            <w:pPr>
              <w:jc w:val="right"/>
              <w:ind w:right="40"/>
              <w:spacing w:after="0"/>
              <w:rPr>
                <w:sz w:val="20"/>
                <w:szCs w:val="20"/>
                <w:color w:val="auto"/>
              </w:rPr>
            </w:pPr>
            <w:r>
              <w:rPr>
                <w:rFonts w:ascii="Arial" w:cs="Arial" w:eastAsia="Arial" w:hAnsi="Arial"/>
                <w:sz w:val="11"/>
                <w:szCs w:val="11"/>
                <w:color w:val="auto"/>
              </w:rPr>
              <w:t>$</w:t>
            </w:r>
          </w:p>
        </w:tc>
        <w:tc>
          <w:tcPr>
            <w:tcW w:w="600" w:type="dxa"/>
            <w:vAlign w:val="bottom"/>
          </w:tcPr>
          <w:p>
            <w:pPr>
              <w:jc w:val="right"/>
              <w:spacing w:after="0"/>
              <w:rPr>
                <w:sz w:val="20"/>
                <w:szCs w:val="20"/>
                <w:color w:val="auto"/>
              </w:rPr>
            </w:pPr>
            <w:r>
              <w:rPr>
                <w:rFonts w:ascii="Arial" w:cs="Arial" w:eastAsia="Arial" w:hAnsi="Arial"/>
                <w:sz w:val="11"/>
                <w:szCs w:val="11"/>
                <w:color w:val="auto"/>
                <w:w w:val="91"/>
              </w:rPr>
              <w:t>509,735,718</w:t>
            </w:r>
          </w:p>
        </w:tc>
        <w:tc>
          <w:tcPr>
            <w:tcW w:w="22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tcPr>
          <w:p>
            <w:pPr>
              <w:jc w:val="right"/>
              <w:spacing w:after="0"/>
              <w:rPr>
                <w:sz w:val="20"/>
                <w:szCs w:val="20"/>
                <w:color w:val="auto"/>
              </w:rPr>
            </w:pPr>
            <w:r>
              <w:rPr>
                <w:rFonts w:ascii="Arial" w:cs="Arial" w:eastAsia="Arial" w:hAnsi="Arial"/>
                <w:sz w:val="11"/>
                <w:szCs w:val="11"/>
                <w:color w:val="auto"/>
                <w:w w:val="98"/>
              </w:rPr>
              <w:t>503,844,728</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060" w:type="dxa"/>
            <w:vAlign w:val="bottom"/>
            <w:tcBorders>
              <w:top w:val="single" w:sz="8" w:color="CCECFF"/>
            </w:tcBorders>
            <w:vMerge w:val="restart"/>
            <w:shd w:val="clear" w:color="auto" w:fill="CCECFF"/>
          </w:tcPr>
          <w:p>
            <w:pPr>
              <w:spacing w:after="0"/>
              <w:rPr>
                <w:sz w:val="20"/>
                <w:szCs w:val="20"/>
                <w:color w:val="auto"/>
              </w:rPr>
            </w:pPr>
            <w:r>
              <w:rPr>
                <w:rFonts w:ascii="Arial" w:cs="Arial" w:eastAsia="Arial" w:hAnsi="Arial"/>
                <w:sz w:val="11"/>
                <w:szCs w:val="11"/>
                <w:b w:val="1"/>
                <w:bCs w:val="1"/>
                <w:color w:val="auto"/>
              </w:rPr>
              <w:t>Liabilities in Excess of Other Assets</w:t>
            </w:r>
          </w:p>
        </w:tc>
        <w:tc>
          <w:tcPr>
            <w:tcW w:w="120" w:type="dxa"/>
            <w:vAlign w:val="bottom"/>
            <w:tcBorders>
              <w:top w:val="single" w:sz="8" w:color="CCECFF"/>
            </w:tcBorders>
            <w:shd w:val="clear" w:color="auto" w:fill="CCECFF"/>
          </w:tcPr>
          <w:p>
            <w:pPr>
              <w:spacing w:after="0" w:line="20" w:lineRule="exact"/>
              <w:rPr>
                <w:sz w:val="1"/>
                <w:szCs w:val="1"/>
                <w:color w:val="auto"/>
              </w:rPr>
            </w:pPr>
          </w:p>
        </w:tc>
        <w:tc>
          <w:tcPr>
            <w:tcW w:w="520" w:type="dxa"/>
            <w:vAlign w:val="bottom"/>
            <w:tcBorders>
              <w:top w:val="single" w:sz="8" w:color="CCECFF"/>
            </w:tcBorders>
            <w:shd w:val="clear" w:color="auto" w:fill="CCECFF"/>
          </w:tcPr>
          <w:p>
            <w:pPr>
              <w:spacing w:after="0" w:line="20" w:lineRule="exact"/>
              <w:rPr>
                <w:sz w:val="1"/>
                <w:szCs w:val="1"/>
                <w:color w:val="auto"/>
              </w:rPr>
            </w:pPr>
          </w:p>
        </w:tc>
        <w:tc>
          <w:tcPr>
            <w:tcW w:w="240" w:type="dxa"/>
            <w:vAlign w:val="bottom"/>
            <w:tcBorders>
              <w:top w:val="single" w:sz="8" w:color="CCECFF"/>
            </w:tcBorders>
            <w:shd w:val="clear" w:color="auto" w:fill="CCECFF"/>
          </w:tcPr>
          <w:p>
            <w:pPr>
              <w:spacing w:after="0" w:line="20" w:lineRule="exact"/>
              <w:rPr>
                <w:sz w:val="1"/>
                <w:szCs w:val="1"/>
                <w:color w:val="auto"/>
              </w:rPr>
            </w:pPr>
          </w:p>
        </w:tc>
        <w:tc>
          <w:tcPr>
            <w:tcW w:w="2620" w:type="dxa"/>
            <w:vAlign w:val="bottom"/>
            <w:tcBorders>
              <w:top w:val="single" w:sz="8" w:color="CCECFF"/>
            </w:tcBorders>
            <w:shd w:val="clear" w:color="auto" w:fill="CCECFF"/>
          </w:tcPr>
          <w:p>
            <w:pPr>
              <w:spacing w:after="0" w:line="20" w:lineRule="exact"/>
              <w:rPr>
                <w:sz w:val="1"/>
                <w:szCs w:val="1"/>
                <w:color w:val="auto"/>
              </w:rPr>
            </w:pPr>
          </w:p>
        </w:tc>
        <w:tc>
          <w:tcPr>
            <w:tcW w:w="140" w:type="dxa"/>
            <w:vAlign w:val="bottom"/>
            <w:tcBorders>
              <w:top w:val="single" w:sz="8" w:color="CCECFF"/>
            </w:tcBorders>
            <w:shd w:val="clear" w:color="auto" w:fill="CCECFF"/>
          </w:tcPr>
          <w:p>
            <w:pPr>
              <w:spacing w:after="0" w:line="20" w:lineRule="exact"/>
              <w:rPr>
                <w:sz w:val="1"/>
                <w:szCs w:val="1"/>
                <w:color w:val="auto"/>
              </w:rPr>
            </w:pPr>
          </w:p>
        </w:tc>
        <w:tc>
          <w:tcPr>
            <w:tcW w:w="600" w:type="dxa"/>
            <w:vAlign w:val="bottom"/>
            <w:tcBorders>
              <w:top w:val="single" w:sz="8" w:color="CCECFF"/>
            </w:tcBorders>
            <w:shd w:val="clear" w:color="auto" w:fill="CCECFF"/>
          </w:tcPr>
          <w:p>
            <w:pPr>
              <w:spacing w:after="0" w:line="20" w:lineRule="exact"/>
              <w:rPr>
                <w:sz w:val="1"/>
                <w:szCs w:val="1"/>
                <w:color w:val="auto"/>
              </w:rPr>
            </w:pPr>
          </w:p>
        </w:tc>
        <w:tc>
          <w:tcPr>
            <w:tcW w:w="260" w:type="dxa"/>
            <w:vAlign w:val="bottom"/>
            <w:tcBorders>
              <w:top w:val="single" w:sz="8" w:color="CCECFF"/>
            </w:tcBorders>
            <w:shd w:val="clear" w:color="auto" w:fill="CCECFF"/>
          </w:tcPr>
          <w:p>
            <w:pPr>
              <w:spacing w:after="0" w:line="20" w:lineRule="exact"/>
              <w:rPr>
                <w:sz w:val="1"/>
                <w:szCs w:val="1"/>
                <w:color w:val="auto"/>
              </w:rPr>
            </w:pPr>
          </w:p>
        </w:tc>
        <w:tc>
          <w:tcPr>
            <w:tcW w:w="560" w:type="dxa"/>
            <w:vAlign w:val="bottom"/>
            <w:tcBorders>
              <w:top w:val="single" w:sz="8" w:color="CCECFF"/>
            </w:tcBorders>
            <w:shd w:val="clear" w:color="auto" w:fill="CCECFF"/>
          </w:tcPr>
          <w:p>
            <w:pPr>
              <w:spacing w:after="0" w:line="20" w:lineRule="exact"/>
              <w:rPr>
                <w:sz w:val="1"/>
                <w:szCs w:val="1"/>
                <w:color w:val="auto"/>
              </w:rPr>
            </w:pPr>
          </w:p>
        </w:tc>
        <w:tc>
          <w:tcPr>
            <w:tcW w:w="320" w:type="dxa"/>
            <w:vAlign w:val="bottom"/>
            <w:tcBorders>
              <w:top w:val="single" w:sz="8" w:color="CCECFF"/>
            </w:tcBorders>
            <w:shd w:val="clear" w:color="auto" w:fill="CCECFF"/>
          </w:tcPr>
          <w:p>
            <w:pPr>
              <w:spacing w:after="0" w:line="20" w:lineRule="exact"/>
              <w:rPr>
                <w:sz w:val="1"/>
                <w:szCs w:val="1"/>
                <w:color w:val="auto"/>
              </w:rPr>
            </w:pPr>
          </w:p>
        </w:tc>
        <w:tc>
          <w:tcPr>
            <w:tcW w:w="120" w:type="dxa"/>
            <w:vAlign w:val="bottom"/>
            <w:tcBorders>
              <w:top w:val="single" w:sz="8" w:color="CCECFF"/>
            </w:tcBorders>
            <w:shd w:val="clear" w:color="auto" w:fill="CCECFF"/>
          </w:tcPr>
          <w:p>
            <w:pPr>
              <w:spacing w:after="0" w:line="20" w:lineRule="exact"/>
              <w:rPr>
                <w:sz w:val="1"/>
                <w:szCs w:val="1"/>
                <w:color w:val="auto"/>
              </w:rPr>
            </w:pPr>
          </w:p>
        </w:tc>
        <w:tc>
          <w:tcPr>
            <w:tcW w:w="100" w:type="dxa"/>
            <w:vAlign w:val="bottom"/>
            <w:tcBorders>
              <w:top w:val="single" w:sz="8" w:color="CCECFF"/>
            </w:tcBorders>
            <w:shd w:val="clear" w:color="auto" w:fill="CCECFF"/>
          </w:tcPr>
          <w:p>
            <w:pPr>
              <w:spacing w:after="0" w:line="20" w:lineRule="exact"/>
              <w:rPr>
                <w:sz w:val="1"/>
                <w:szCs w:val="1"/>
                <w:color w:val="auto"/>
              </w:rPr>
            </w:pPr>
          </w:p>
        </w:tc>
        <w:tc>
          <w:tcPr>
            <w:tcW w:w="580" w:type="dxa"/>
            <w:vAlign w:val="bottom"/>
            <w:tcBorders>
              <w:top w:val="single" w:sz="8" w:color="CCECFF"/>
            </w:tcBorders>
            <w:shd w:val="clear" w:color="auto" w:fill="CCECFF"/>
          </w:tcPr>
          <w:p>
            <w:pPr>
              <w:spacing w:after="0" w:line="20" w:lineRule="exact"/>
              <w:rPr>
                <w:sz w:val="1"/>
                <w:szCs w:val="1"/>
                <w:color w:val="auto"/>
              </w:rPr>
            </w:pPr>
          </w:p>
        </w:tc>
        <w:tc>
          <w:tcPr>
            <w:tcW w:w="240" w:type="dxa"/>
            <w:vAlign w:val="bottom"/>
            <w:tcBorders>
              <w:top w:val="single" w:sz="8" w:color="CCECFF"/>
            </w:tcBorders>
            <w:shd w:val="clear" w:color="auto" w:fill="CCEC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CFF"/>
            </w:tcBorders>
            <w:shd w:val="clear" w:color="auto" w:fill="CCEC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CFF"/>
            </w:tcBorders>
            <w:shd w:val="clear" w:color="auto" w:fill="CCEC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3060" w:type="dxa"/>
            <w:vAlign w:val="bottom"/>
            <w:vMerge w:val="continue"/>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520" w:type="dxa"/>
            <w:vAlign w:val="bottom"/>
            <w:shd w:val="clear" w:color="auto" w:fill="CCECFF"/>
          </w:tcPr>
          <w:p>
            <w:pPr>
              <w:spacing w:after="0"/>
              <w:rPr>
                <w:sz w:val="10"/>
                <w:szCs w:val="10"/>
                <w:color w:val="auto"/>
              </w:rPr>
            </w:pPr>
          </w:p>
        </w:tc>
        <w:tc>
          <w:tcPr>
            <w:tcW w:w="240" w:type="dxa"/>
            <w:vAlign w:val="bottom"/>
            <w:shd w:val="clear" w:color="auto" w:fill="CCECFF"/>
          </w:tcPr>
          <w:p>
            <w:pPr>
              <w:spacing w:after="0"/>
              <w:rPr>
                <w:sz w:val="10"/>
                <w:szCs w:val="10"/>
                <w:color w:val="auto"/>
              </w:rPr>
            </w:pPr>
          </w:p>
        </w:tc>
        <w:tc>
          <w:tcPr>
            <w:tcW w:w="2620" w:type="dxa"/>
            <w:vAlign w:val="bottom"/>
            <w:shd w:val="clear" w:color="auto" w:fill="CCECFF"/>
          </w:tcPr>
          <w:p>
            <w:pPr>
              <w:spacing w:after="0"/>
              <w:rPr>
                <w:sz w:val="10"/>
                <w:szCs w:val="10"/>
                <w:color w:val="auto"/>
              </w:rPr>
            </w:pPr>
          </w:p>
        </w:tc>
        <w:tc>
          <w:tcPr>
            <w:tcW w:w="140" w:type="dxa"/>
            <w:vAlign w:val="bottom"/>
            <w:shd w:val="clear" w:color="auto" w:fill="CCECFF"/>
          </w:tcPr>
          <w:p>
            <w:pPr>
              <w:spacing w:after="0"/>
              <w:rPr>
                <w:sz w:val="10"/>
                <w:szCs w:val="10"/>
                <w:color w:val="auto"/>
              </w:rPr>
            </w:pPr>
          </w:p>
        </w:tc>
        <w:tc>
          <w:tcPr>
            <w:tcW w:w="600" w:type="dxa"/>
            <w:vAlign w:val="bottom"/>
            <w:shd w:val="clear" w:color="auto" w:fill="CCECFF"/>
          </w:tcPr>
          <w:p>
            <w:pPr>
              <w:spacing w:after="0"/>
              <w:rPr>
                <w:sz w:val="10"/>
                <w:szCs w:val="10"/>
                <w:color w:val="auto"/>
              </w:rPr>
            </w:pPr>
          </w:p>
        </w:tc>
        <w:tc>
          <w:tcPr>
            <w:tcW w:w="260" w:type="dxa"/>
            <w:vAlign w:val="bottom"/>
            <w:shd w:val="clear" w:color="auto" w:fill="CCECFF"/>
          </w:tcPr>
          <w:p>
            <w:pPr>
              <w:spacing w:after="0"/>
              <w:rPr>
                <w:sz w:val="10"/>
                <w:szCs w:val="10"/>
                <w:color w:val="auto"/>
              </w:rPr>
            </w:pPr>
          </w:p>
        </w:tc>
        <w:tc>
          <w:tcPr>
            <w:tcW w:w="560" w:type="dxa"/>
            <w:vAlign w:val="bottom"/>
            <w:shd w:val="clear" w:color="auto" w:fill="CCECFF"/>
          </w:tcPr>
          <w:p>
            <w:pPr>
              <w:spacing w:after="0"/>
              <w:rPr>
                <w:sz w:val="10"/>
                <w:szCs w:val="10"/>
                <w:color w:val="auto"/>
              </w:rPr>
            </w:pPr>
          </w:p>
        </w:tc>
        <w:tc>
          <w:tcPr>
            <w:tcW w:w="32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580" w:type="dxa"/>
            <w:vAlign w:val="bottom"/>
            <w:shd w:val="clear" w:color="auto" w:fill="CCECFF"/>
          </w:tcPr>
          <w:p>
            <w:pPr>
              <w:spacing w:after="0"/>
              <w:rPr>
                <w:sz w:val="10"/>
                <w:szCs w:val="10"/>
                <w:color w:val="auto"/>
              </w:rPr>
            </w:pPr>
          </w:p>
        </w:tc>
        <w:tc>
          <w:tcPr>
            <w:tcW w:w="240" w:type="dxa"/>
            <w:vAlign w:val="bottom"/>
            <w:shd w:val="clear" w:color="auto" w:fill="CCECFF"/>
          </w:tcPr>
          <w:p>
            <w:pPr>
              <w:spacing w:after="0"/>
              <w:rPr>
                <w:sz w:val="10"/>
                <w:szCs w:val="10"/>
                <w:color w:val="auto"/>
              </w:rPr>
            </w:pPr>
          </w:p>
        </w:tc>
        <w:tc>
          <w:tcPr>
            <w:tcW w:w="80" w:type="dxa"/>
            <w:vAlign w:val="bottom"/>
            <w:shd w:val="clear" w:color="auto" w:fill="CCECFF"/>
          </w:tcPr>
          <w:p>
            <w:pPr>
              <w:spacing w:after="0"/>
              <w:rPr>
                <w:sz w:val="10"/>
                <w:szCs w:val="10"/>
                <w:color w:val="auto"/>
              </w:rPr>
            </w:pPr>
          </w:p>
        </w:tc>
        <w:tc>
          <w:tcPr>
            <w:tcW w:w="600" w:type="dxa"/>
            <w:vAlign w:val="bottom"/>
            <w:shd w:val="clear" w:color="auto" w:fill="CCECFF"/>
          </w:tcPr>
          <w:p>
            <w:pPr>
              <w:spacing w:after="0"/>
              <w:rPr>
                <w:sz w:val="10"/>
                <w:szCs w:val="10"/>
                <w:color w:val="auto"/>
              </w:rPr>
            </w:pPr>
          </w:p>
        </w:tc>
        <w:tc>
          <w:tcPr>
            <w:tcW w:w="22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760" w:type="dxa"/>
            <w:vAlign w:val="bottom"/>
            <w:gridSpan w:val="2"/>
            <w:shd w:val="clear" w:color="auto" w:fill="CCECFF"/>
          </w:tcPr>
          <w:p>
            <w:pPr>
              <w:jc w:val="right"/>
              <w:ind w:right="80"/>
              <w:spacing w:after="0" w:line="116" w:lineRule="exact"/>
              <w:rPr>
                <w:sz w:val="20"/>
                <w:szCs w:val="20"/>
                <w:color w:val="auto"/>
              </w:rPr>
            </w:pPr>
            <w:r>
              <w:rPr>
                <w:rFonts w:ascii="Arial" w:cs="Arial" w:eastAsia="Arial" w:hAnsi="Arial"/>
                <w:sz w:val="11"/>
                <w:szCs w:val="11"/>
                <w:color w:val="auto"/>
                <w:w w:val="96"/>
              </w:rPr>
              <w:t>(446,736,922)</w:t>
            </w:r>
          </w:p>
        </w:tc>
        <w:tc>
          <w:tcPr>
            <w:tcW w:w="0" w:type="dxa"/>
            <w:vAlign w:val="bottom"/>
          </w:tcPr>
          <w:p>
            <w:pPr>
              <w:spacing w:after="0"/>
              <w:rPr>
                <w:sz w:val="1"/>
                <w:szCs w:val="1"/>
                <w:color w:val="auto"/>
              </w:rPr>
            </w:pPr>
          </w:p>
        </w:tc>
      </w:tr>
      <w:tr>
        <w:trPr>
          <w:trHeight w:val="128"/>
        </w:trPr>
        <w:tc>
          <w:tcPr>
            <w:tcW w:w="3060" w:type="dxa"/>
            <w:vAlign w:val="bottom"/>
          </w:tcPr>
          <w:p>
            <w:pPr>
              <w:spacing w:after="0"/>
              <w:rPr>
                <w:sz w:val="20"/>
                <w:szCs w:val="20"/>
                <w:color w:val="auto"/>
              </w:rPr>
            </w:pPr>
            <w:r>
              <w:rPr>
                <w:rFonts w:ascii="Arial" w:cs="Arial" w:eastAsia="Arial" w:hAnsi="Arial"/>
                <w:sz w:val="11"/>
                <w:szCs w:val="11"/>
                <w:b w:val="1"/>
                <w:bCs w:val="1"/>
                <w:color w:val="auto"/>
              </w:rPr>
              <w:t>Members' Equity</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57,107,806</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3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185991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859915" cy="8890"/>
                    </a:xfrm>
                    <a:prstGeom prst="rect">
                      <a:avLst/>
                    </a:prstGeom>
                    <a:noFill/>
                  </pic:spPr>
                </pic:pic>
              </a:graphicData>
            </a:graphic>
          </wp:anchor>
        </w:drawing>
      </w:r>
    </w:p>
    <w:p>
      <w:pPr>
        <w:spacing w:after="0" w:line="163" w:lineRule="exact"/>
        <w:rPr>
          <w:sz w:val="20"/>
          <w:szCs w:val="20"/>
          <w:color w:val="auto"/>
        </w:rPr>
      </w:pPr>
    </w:p>
    <w:p>
      <w:pPr>
        <w:ind w:left="380" w:right="60" w:hanging="372"/>
        <w:spacing w:after="0" w:line="262" w:lineRule="auto"/>
        <w:tabs>
          <w:tab w:leader="none" w:pos="380" w:val="left"/>
        </w:tabs>
        <w:numPr>
          <w:ilvl w:val="0"/>
          <w:numId w:val="8"/>
        </w:numPr>
        <w:rPr>
          <w:rFonts w:ascii="Arial" w:cs="Arial" w:eastAsia="Arial" w:hAnsi="Arial"/>
          <w:sz w:val="11"/>
          <w:szCs w:val="11"/>
          <w:color w:val="auto"/>
        </w:rPr>
      </w:pPr>
      <w:r>
        <w:rPr>
          <w:rFonts w:ascii="Arial" w:cs="Arial" w:eastAsia="Arial" w:hAnsi="Arial"/>
          <w:sz w:val="11"/>
          <w:szCs w:val="11"/>
          <w:color w:val="auto"/>
        </w:rPr>
        <w:t>Represents floating rate instruments that accrue interest at a predetermined spread relative to an index, typically the applicable LIBOR or “L” or Prime rate or “P”. The spread may change based on the type of rate used. The terms in the Schedule of Investments disclose the actual interest rate in effect as of the reporting period. LIBOR loans are typically indexed to a 30-day, 60-day, 90-day or 180-day LIBOR rate (1M L, 2M L, 3M L, or 6M L, respectively), at the borrower’s option. All securities are subject to a LIBOR or Prime rate floor where a spread is provided, unless noted. The spread provided includes PIK interest and other fee rates, if any.</w:t>
      </w:r>
    </w:p>
    <w:p>
      <w:pPr>
        <w:ind w:left="380" w:hanging="372"/>
        <w:spacing w:after="0" w:line="234" w:lineRule="auto"/>
        <w:tabs>
          <w:tab w:leader="none" w:pos="380" w:val="left"/>
        </w:tabs>
        <w:numPr>
          <w:ilvl w:val="0"/>
          <w:numId w:val="8"/>
        </w:numPr>
        <w:rPr>
          <w:rFonts w:ascii="Arial" w:cs="Arial" w:eastAsia="Arial" w:hAnsi="Arial"/>
          <w:sz w:val="12"/>
          <w:szCs w:val="12"/>
          <w:color w:val="auto"/>
        </w:rPr>
      </w:pPr>
      <w:r>
        <w:rPr>
          <w:rFonts w:ascii="Arial" w:cs="Arial" w:eastAsia="Arial" w:hAnsi="Arial"/>
          <w:sz w:val="12"/>
          <w:szCs w:val="12"/>
          <w:color w:val="auto"/>
        </w:rPr>
        <w:t>Valued based on PSSL’s accounting policy.</w:t>
      </w:r>
    </w:p>
    <w:p>
      <w:pPr>
        <w:ind w:left="380" w:hanging="372"/>
        <w:spacing w:after="0" w:line="234" w:lineRule="auto"/>
        <w:tabs>
          <w:tab w:leader="none" w:pos="380" w:val="left"/>
        </w:tabs>
        <w:numPr>
          <w:ilvl w:val="0"/>
          <w:numId w:val="8"/>
        </w:numPr>
        <w:rPr>
          <w:rFonts w:ascii="Arial" w:cs="Arial" w:eastAsia="Arial" w:hAnsi="Arial"/>
          <w:sz w:val="12"/>
          <w:szCs w:val="12"/>
          <w:color w:val="auto"/>
        </w:rPr>
      </w:pPr>
      <w:r>
        <w:rPr>
          <w:rFonts w:ascii="Arial" w:cs="Arial" w:eastAsia="Arial" w:hAnsi="Arial"/>
          <w:sz w:val="12"/>
          <w:szCs w:val="12"/>
          <w:color w:val="auto"/>
        </w:rPr>
        <w:t>Non-U.S. company or principal place of business outside the United States.</w:t>
      </w:r>
    </w:p>
    <w:p>
      <w:pPr>
        <w:ind w:left="380" w:hanging="372"/>
        <w:spacing w:after="0" w:line="234" w:lineRule="auto"/>
        <w:tabs>
          <w:tab w:leader="none" w:pos="380" w:val="left"/>
        </w:tabs>
        <w:numPr>
          <w:ilvl w:val="0"/>
          <w:numId w:val="8"/>
        </w:numPr>
        <w:rPr>
          <w:rFonts w:ascii="Arial" w:cs="Arial" w:eastAsia="Arial" w:hAnsi="Arial"/>
          <w:sz w:val="12"/>
          <w:szCs w:val="12"/>
          <w:color w:val="auto"/>
        </w:rPr>
      </w:pPr>
      <w:r>
        <w:rPr>
          <w:rFonts w:ascii="Arial" w:cs="Arial" w:eastAsia="Arial" w:hAnsi="Arial"/>
          <w:sz w:val="12"/>
          <w:szCs w:val="12"/>
          <w:color w:val="auto"/>
        </w:rPr>
        <w:t>Par amount is denominated in Australian Dollars (A$) or in Canadian Dollars (C$) as denoted.</w:t>
      </w:r>
    </w:p>
    <w:p>
      <w:pPr>
        <w:ind w:left="380" w:hanging="372"/>
        <w:spacing w:after="0"/>
        <w:tabs>
          <w:tab w:leader="none" w:pos="380" w:val="left"/>
        </w:tabs>
        <w:numPr>
          <w:ilvl w:val="0"/>
          <w:numId w:val="8"/>
        </w:numPr>
        <w:rPr>
          <w:rFonts w:ascii="Arial" w:cs="Arial" w:eastAsia="Arial" w:hAnsi="Arial"/>
          <w:sz w:val="11"/>
          <w:szCs w:val="11"/>
          <w:color w:val="auto"/>
        </w:rPr>
      </w:pPr>
      <w:r>
        <w:rPr>
          <w:rFonts w:ascii="Arial" w:cs="Arial" w:eastAsia="Arial" w:hAnsi="Arial"/>
          <w:sz w:val="11"/>
          <w:szCs w:val="11"/>
          <w:color w:val="auto"/>
        </w:rPr>
        <w:t>Represents the purchase of a security with delayed settlement or a revolving line of credit that is currently an unfunded investment. This security does not earn a basis point spread above an index while it is unfunded.</w:t>
      </w: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149465"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2" w:name="page23"/>
    <w:bookmarkEnd w:id="22"/>
    <w:p>
      <w:pPr>
        <w:jc w:val="center"/>
        <w:spacing w:after="0"/>
        <w:rPr>
          <w:sz w:val="20"/>
          <w:szCs w:val="20"/>
          <w:color w:val="auto"/>
        </w:rPr>
      </w:pPr>
      <w:r>
        <w:rPr>
          <w:rFonts w:ascii="Arial" w:cs="Arial" w:eastAsia="Arial" w:hAnsi="Arial"/>
          <w:sz w:val="14"/>
          <w:szCs w:val="14"/>
          <w:b w:val="1"/>
          <w:bCs w:val="1"/>
          <w:color w:val="auto"/>
        </w:rPr>
        <w:t>PENNANTPARK FLOATING RATE CAPITAL LTD. AND SUBSIDIARIES</w:t>
      </w:r>
    </w:p>
    <w:p>
      <w:pPr>
        <w:jc w:val="center"/>
        <w:spacing w:after="0" w:line="225" w:lineRule="auto"/>
        <w:rPr>
          <w:sz w:val="20"/>
          <w:szCs w:val="20"/>
          <w:color w:val="auto"/>
        </w:rPr>
      </w:pPr>
      <w:r>
        <w:rPr>
          <w:rFonts w:ascii="Arial" w:cs="Arial" w:eastAsia="Arial" w:hAnsi="Arial"/>
          <w:sz w:val="14"/>
          <w:szCs w:val="14"/>
          <w:b w:val="1"/>
          <w:bCs w:val="1"/>
          <w:color w:val="auto"/>
        </w:rPr>
        <w:t>NOTES TO CONSOLIDATED FINANCIAL STATEMENTS-(Continued)</w:t>
      </w:r>
    </w:p>
    <w:p>
      <w:pPr>
        <w:jc w:val="center"/>
        <w:spacing w:after="0" w:line="221" w:lineRule="auto"/>
        <w:rPr>
          <w:sz w:val="20"/>
          <w:szCs w:val="20"/>
          <w:color w:val="auto"/>
        </w:rPr>
      </w:pPr>
      <w:r>
        <w:rPr>
          <w:rFonts w:ascii="Arial" w:cs="Arial" w:eastAsia="Arial" w:hAnsi="Arial"/>
          <w:sz w:val="14"/>
          <w:szCs w:val="14"/>
          <w:b w:val="1"/>
          <w:bCs w:val="1"/>
          <w:color w:val="auto"/>
        </w:rPr>
        <w:t>DECEMBER 31, 2019</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7540" w:type="dxa"/>
            <w:vAlign w:val="bottom"/>
          </w:tcPr>
          <w:p>
            <w:pPr>
              <w:ind w:left="440"/>
              <w:spacing w:after="0"/>
              <w:rPr>
                <w:sz w:val="20"/>
                <w:szCs w:val="20"/>
                <w:color w:val="auto"/>
              </w:rPr>
            </w:pPr>
            <w:r>
              <w:rPr>
                <w:rFonts w:ascii="Arial" w:cs="Arial" w:eastAsia="Arial" w:hAnsi="Arial"/>
                <w:sz w:val="14"/>
                <w:szCs w:val="14"/>
                <w:color w:val="auto"/>
              </w:rPr>
              <w:t>Below is the financial information for PSSL:</w:t>
            </w:r>
          </w:p>
        </w:tc>
        <w:tc>
          <w:tcPr>
            <w:tcW w:w="16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310"/>
        </w:trPr>
        <w:tc>
          <w:tcPr>
            <w:tcW w:w="7540" w:type="dxa"/>
            <w:vAlign w:val="bottom"/>
          </w:tcPr>
          <w:p>
            <w:pPr>
              <w:ind w:left="4460"/>
              <w:spacing w:after="0"/>
              <w:rPr>
                <w:sz w:val="20"/>
                <w:szCs w:val="20"/>
                <w:color w:val="auto"/>
              </w:rPr>
            </w:pPr>
            <w:r>
              <w:rPr>
                <w:rFonts w:ascii="Arial" w:cs="Arial" w:eastAsia="Arial" w:hAnsi="Arial"/>
                <w:sz w:val="14"/>
                <w:szCs w:val="14"/>
                <w:b w:val="1"/>
                <w:bCs w:val="1"/>
                <w:color w:val="auto"/>
              </w:rPr>
              <w:t>Statements of Assets and Liabilities</w:t>
            </w:r>
          </w:p>
        </w:tc>
        <w:tc>
          <w:tcPr>
            <w:tcW w:w="1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09"/>
        </w:trPr>
        <w:tc>
          <w:tcPr>
            <w:tcW w:w="7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80" w:type="dxa"/>
            <w:vAlign w:val="bottom"/>
          </w:tcPr>
          <w:p>
            <w:pPr>
              <w:jc w:val="right"/>
              <w:ind w:right="168"/>
              <w:spacing w:after="0"/>
              <w:rPr>
                <w:sz w:val="20"/>
                <w:szCs w:val="20"/>
                <w:color w:val="auto"/>
              </w:rPr>
            </w:pPr>
            <w:r>
              <w:rPr>
                <w:rFonts w:ascii="Arial" w:cs="Arial" w:eastAsia="Arial" w:hAnsi="Arial"/>
                <w:sz w:val="14"/>
                <w:szCs w:val="14"/>
                <w:b w:val="1"/>
                <w:bCs w:val="1"/>
                <w:color w:val="auto"/>
                <w:w w:val="96"/>
              </w:rPr>
              <w:t>December 31, 2019</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20" w:type="dxa"/>
            <w:vAlign w:val="bottom"/>
            <w:gridSpan w:val="2"/>
          </w:tcPr>
          <w:p>
            <w:pPr>
              <w:ind w:left="60"/>
              <w:spacing w:after="0"/>
              <w:rPr>
                <w:sz w:val="20"/>
                <w:szCs w:val="20"/>
                <w:color w:val="auto"/>
              </w:rPr>
            </w:pPr>
            <w:r>
              <w:rPr>
                <w:rFonts w:ascii="Arial" w:cs="Arial" w:eastAsia="Arial" w:hAnsi="Arial"/>
                <w:sz w:val="14"/>
                <w:szCs w:val="14"/>
                <w:b w:val="1"/>
                <w:bCs w:val="1"/>
                <w:color w:val="auto"/>
              </w:rPr>
              <w:t>September 30, 2019</w:t>
            </w:r>
          </w:p>
        </w:tc>
      </w:tr>
      <w:tr>
        <w:trPr>
          <w:trHeight w:val="156"/>
        </w:trPr>
        <w:tc>
          <w:tcPr>
            <w:tcW w:w="7540" w:type="dxa"/>
            <w:vAlign w:val="bottom"/>
            <w:tcBorders>
              <w:top w:val="single" w:sz="8" w:color="CCECFF"/>
            </w:tcBorders>
            <w:shd w:val="clear" w:color="auto" w:fill="CCECFF"/>
          </w:tcPr>
          <w:p>
            <w:pPr>
              <w:spacing w:after="0" w:line="155" w:lineRule="exact"/>
              <w:rPr>
                <w:sz w:val="20"/>
                <w:szCs w:val="20"/>
                <w:color w:val="auto"/>
              </w:rPr>
            </w:pPr>
            <w:r>
              <w:rPr>
                <w:rFonts w:ascii="Arial" w:cs="Arial" w:eastAsia="Arial" w:hAnsi="Arial"/>
                <w:sz w:val="14"/>
                <w:szCs w:val="14"/>
                <w:b w:val="1"/>
                <w:bCs w:val="1"/>
                <w:color w:val="auto"/>
              </w:rPr>
              <w:t>Assets</w:t>
            </w:r>
          </w:p>
        </w:tc>
        <w:tc>
          <w:tcPr>
            <w:tcW w:w="160" w:type="dxa"/>
            <w:vAlign w:val="bottom"/>
            <w:tcBorders>
              <w:top w:val="single" w:sz="8" w:color="auto"/>
            </w:tcBorders>
            <w:shd w:val="clear" w:color="auto" w:fill="CCECFF"/>
          </w:tcPr>
          <w:p>
            <w:pPr>
              <w:spacing w:after="0"/>
              <w:rPr>
                <w:sz w:val="13"/>
                <w:szCs w:val="13"/>
                <w:color w:val="auto"/>
              </w:rPr>
            </w:pPr>
          </w:p>
        </w:tc>
        <w:tc>
          <w:tcPr>
            <w:tcW w:w="1480" w:type="dxa"/>
            <w:vAlign w:val="bottom"/>
            <w:tcBorders>
              <w:top w:val="single" w:sz="8" w:color="auto"/>
            </w:tcBorders>
            <w:shd w:val="clear" w:color="auto" w:fill="CCECFF"/>
          </w:tcPr>
          <w:p>
            <w:pPr>
              <w:spacing w:after="0"/>
              <w:rPr>
                <w:sz w:val="13"/>
                <w:szCs w:val="13"/>
                <w:color w:val="auto"/>
              </w:rPr>
            </w:pPr>
          </w:p>
        </w:tc>
        <w:tc>
          <w:tcPr>
            <w:tcW w:w="300" w:type="dxa"/>
            <w:vAlign w:val="bottom"/>
            <w:tcBorders>
              <w:top w:val="single" w:sz="8" w:color="CCECFF"/>
            </w:tcBorders>
            <w:shd w:val="clear" w:color="auto" w:fill="CCECFF"/>
          </w:tcPr>
          <w:p>
            <w:pPr>
              <w:spacing w:after="0"/>
              <w:rPr>
                <w:sz w:val="13"/>
                <w:szCs w:val="13"/>
                <w:color w:val="auto"/>
              </w:rPr>
            </w:pPr>
          </w:p>
        </w:tc>
        <w:tc>
          <w:tcPr>
            <w:tcW w:w="140" w:type="dxa"/>
            <w:vAlign w:val="bottom"/>
            <w:tcBorders>
              <w:top w:val="single" w:sz="8" w:color="auto"/>
            </w:tcBorders>
            <w:shd w:val="clear" w:color="auto" w:fill="CCECFF"/>
          </w:tcPr>
          <w:p>
            <w:pPr>
              <w:spacing w:after="0"/>
              <w:rPr>
                <w:sz w:val="13"/>
                <w:szCs w:val="13"/>
                <w:color w:val="auto"/>
              </w:rPr>
            </w:pPr>
          </w:p>
        </w:tc>
        <w:tc>
          <w:tcPr>
            <w:tcW w:w="1500" w:type="dxa"/>
            <w:vAlign w:val="bottom"/>
            <w:tcBorders>
              <w:top w:val="single" w:sz="8" w:color="auto"/>
            </w:tcBorders>
            <w:shd w:val="clear" w:color="auto" w:fill="CCECFF"/>
          </w:tcPr>
          <w:p>
            <w:pPr>
              <w:spacing w:after="0"/>
              <w:rPr>
                <w:sz w:val="13"/>
                <w:szCs w:val="13"/>
                <w:color w:val="auto"/>
              </w:rPr>
            </w:pPr>
          </w:p>
        </w:tc>
        <w:tc>
          <w:tcPr>
            <w:tcW w:w="120" w:type="dxa"/>
            <w:vAlign w:val="bottom"/>
            <w:tcBorders>
              <w:top w:val="single" w:sz="8" w:color="CCECFF"/>
            </w:tcBorders>
            <w:shd w:val="clear" w:color="auto" w:fill="CCECFF"/>
          </w:tcPr>
          <w:p>
            <w:pPr>
              <w:spacing w:after="0"/>
              <w:rPr>
                <w:sz w:val="13"/>
                <w:szCs w:val="13"/>
                <w:color w:val="auto"/>
              </w:rPr>
            </w:pPr>
          </w:p>
        </w:tc>
      </w:tr>
      <w:tr>
        <w:trPr>
          <w:trHeight w:val="162"/>
        </w:trPr>
        <w:tc>
          <w:tcPr>
            <w:tcW w:w="7540" w:type="dxa"/>
            <w:vAlign w:val="bottom"/>
          </w:tcPr>
          <w:p>
            <w:pPr>
              <w:spacing w:after="0"/>
              <w:rPr>
                <w:sz w:val="20"/>
                <w:szCs w:val="20"/>
                <w:color w:val="auto"/>
              </w:rPr>
            </w:pPr>
            <w:r>
              <w:rPr>
                <w:rFonts w:ascii="Arial" w:cs="Arial" w:eastAsia="Arial" w:hAnsi="Arial"/>
                <w:sz w:val="14"/>
                <w:szCs w:val="14"/>
                <w:color w:val="auto"/>
              </w:rPr>
              <w:t>Investments at fair value (cost—$498,044,324 and $494,413,190, respectively)</w:t>
            </w: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1480" w:type="dxa"/>
            <w:vAlign w:val="bottom"/>
          </w:tcPr>
          <w:p>
            <w:pPr>
              <w:jc w:val="right"/>
              <w:spacing w:after="0"/>
              <w:rPr>
                <w:sz w:val="20"/>
                <w:szCs w:val="20"/>
                <w:color w:val="auto"/>
              </w:rPr>
            </w:pPr>
            <w:r>
              <w:rPr>
                <w:rFonts w:ascii="Arial" w:cs="Arial" w:eastAsia="Arial" w:hAnsi="Arial"/>
                <w:sz w:val="14"/>
                <w:szCs w:val="14"/>
                <w:color w:val="auto"/>
              </w:rPr>
              <w:t>493,190,805</w:t>
            </w:r>
          </w:p>
        </w:tc>
        <w:tc>
          <w:tcPr>
            <w:tcW w:w="440" w:type="dxa"/>
            <w:vAlign w:val="bottom"/>
            <w:gridSpan w:val="2"/>
          </w:tcPr>
          <w:p>
            <w:pPr>
              <w:jc w:val="right"/>
              <w:ind w:right="29"/>
              <w:spacing w:after="0"/>
              <w:rPr>
                <w:sz w:val="20"/>
                <w:szCs w:val="20"/>
                <w:color w:val="auto"/>
              </w:rPr>
            </w:pPr>
            <w:r>
              <w:rPr>
                <w:rFonts w:ascii="Arial" w:cs="Arial" w:eastAsia="Arial" w:hAnsi="Arial"/>
                <w:sz w:val="14"/>
                <w:szCs w:val="14"/>
                <w:color w:val="auto"/>
              </w:rPr>
              <w:t>$</w:t>
            </w:r>
          </w:p>
        </w:tc>
        <w:tc>
          <w:tcPr>
            <w:tcW w:w="1500" w:type="dxa"/>
            <w:vAlign w:val="bottom"/>
          </w:tcPr>
          <w:p>
            <w:pPr>
              <w:jc w:val="right"/>
              <w:spacing w:after="0"/>
              <w:rPr>
                <w:sz w:val="20"/>
                <w:szCs w:val="20"/>
                <w:color w:val="auto"/>
              </w:rPr>
            </w:pPr>
            <w:r>
              <w:rPr>
                <w:rFonts w:ascii="Arial" w:cs="Arial" w:eastAsia="Arial" w:hAnsi="Arial"/>
                <w:sz w:val="14"/>
                <w:szCs w:val="14"/>
                <w:color w:val="auto"/>
              </w:rPr>
              <w:t>488,549,847</w:t>
            </w:r>
          </w:p>
        </w:tc>
        <w:tc>
          <w:tcPr>
            <w:tcW w:w="120" w:type="dxa"/>
            <w:vAlign w:val="bottom"/>
          </w:tcPr>
          <w:p>
            <w:pPr>
              <w:spacing w:after="0"/>
              <w:rPr>
                <w:sz w:val="14"/>
                <w:szCs w:val="14"/>
                <w:color w:val="auto"/>
              </w:rPr>
            </w:pPr>
          </w:p>
        </w:tc>
      </w:tr>
      <w:tr>
        <w:trPr>
          <w:trHeight w:val="162"/>
        </w:trPr>
        <w:tc>
          <w:tcPr>
            <w:tcW w:w="7540" w:type="dxa"/>
            <w:vAlign w:val="bottom"/>
            <w:shd w:val="clear" w:color="auto" w:fill="CCECFF"/>
          </w:tcPr>
          <w:p>
            <w:pPr>
              <w:spacing w:after="0"/>
              <w:rPr>
                <w:sz w:val="20"/>
                <w:szCs w:val="20"/>
                <w:color w:val="auto"/>
              </w:rPr>
            </w:pPr>
            <w:r>
              <w:rPr>
                <w:rFonts w:ascii="Arial" w:cs="Arial" w:eastAsia="Arial" w:hAnsi="Arial"/>
                <w:sz w:val="14"/>
                <w:szCs w:val="14"/>
                <w:color w:val="auto"/>
              </w:rPr>
              <w:t>Cash and cash equivalents (cost—$11,988,045 and $15,322,531, respectively)</w:t>
            </w:r>
          </w:p>
        </w:tc>
        <w:tc>
          <w:tcPr>
            <w:tcW w:w="160" w:type="dxa"/>
            <w:vAlign w:val="bottom"/>
            <w:shd w:val="clear" w:color="auto" w:fill="CCECFF"/>
          </w:tcPr>
          <w:p>
            <w:pPr>
              <w:spacing w:after="0"/>
              <w:rPr>
                <w:sz w:val="14"/>
                <w:szCs w:val="14"/>
                <w:color w:val="auto"/>
              </w:rPr>
            </w:pPr>
          </w:p>
        </w:tc>
        <w:tc>
          <w:tcPr>
            <w:tcW w:w="14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12,029,359</w:t>
            </w:r>
          </w:p>
        </w:tc>
        <w:tc>
          <w:tcPr>
            <w:tcW w:w="300" w:type="dxa"/>
            <w:vAlign w:val="bottom"/>
            <w:shd w:val="clear" w:color="auto" w:fill="CCECFF"/>
          </w:tcPr>
          <w:p>
            <w:pPr>
              <w:spacing w:after="0"/>
              <w:rPr>
                <w:sz w:val="14"/>
                <w:szCs w:val="14"/>
                <w:color w:val="auto"/>
              </w:rPr>
            </w:pPr>
          </w:p>
        </w:tc>
        <w:tc>
          <w:tcPr>
            <w:tcW w:w="140" w:type="dxa"/>
            <w:vAlign w:val="bottom"/>
            <w:shd w:val="clear" w:color="auto" w:fill="CCECFF"/>
          </w:tcPr>
          <w:p>
            <w:pPr>
              <w:spacing w:after="0"/>
              <w:rPr>
                <w:sz w:val="14"/>
                <w:szCs w:val="14"/>
                <w:color w:val="auto"/>
              </w:rPr>
            </w:pPr>
          </w:p>
        </w:tc>
        <w:tc>
          <w:tcPr>
            <w:tcW w:w="15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15,294,881</w:t>
            </w:r>
          </w:p>
        </w:tc>
        <w:tc>
          <w:tcPr>
            <w:tcW w:w="120" w:type="dxa"/>
            <w:vAlign w:val="bottom"/>
            <w:shd w:val="clear" w:color="auto" w:fill="CCECFF"/>
          </w:tcPr>
          <w:p>
            <w:pPr>
              <w:spacing w:after="0"/>
              <w:rPr>
                <w:sz w:val="14"/>
                <w:szCs w:val="14"/>
                <w:color w:val="auto"/>
              </w:rPr>
            </w:pPr>
          </w:p>
        </w:tc>
      </w:tr>
      <w:tr>
        <w:trPr>
          <w:trHeight w:val="162"/>
        </w:trPr>
        <w:tc>
          <w:tcPr>
            <w:tcW w:w="7540" w:type="dxa"/>
            <w:vAlign w:val="bottom"/>
          </w:tcPr>
          <w:p>
            <w:pPr>
              <w:spacing w:after="0"/>
              <w:rPr>
                <w:sz w:val="20"/>
                <w:szCs w:val="20"/>
                <w:color w:val="auto"/>
              </w:rPr>
            </w:pPr>
            <w:r>
              <w:rPr>
                <w:rFonts w:ascii="Arial" w:cs="Arial" w:eastAsia="Arial" w:hAnsi="Arial"/>
                <w:sz w:val="14"/>
                <w:szCs w:val="14"/>
                <w:color w:val="auto"/>
              </w:rPr>
              <w:t>Interest receivable</w:t>
            </w:r>
          </w:p>
        </w:tc>
        <w:tc>
          <w:tcPr>
            <w:tcW w:w="16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1,464,930</w:t>
            </w: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1,855,545</w:t>
            </w:r>
          </w:p>
        </w:tc>
        <w:tc>
          <w:tcPr>
            <w:tcW w:w="120" w:type="dxa"/>
            <w:vAlign w:val="bottom"/>
          </w:tcPr>
          <w:p>
            <w:pPr>
              <w:spacing w:after="0"/>
              <w:rPr>
                <w:sz w:val="14"/>
                <w:szCs w:val="14"/>
                <w:color w:val="auto"/>
              </w:rPr>
            </w:pPr>
          </w:p>
        </w:tc>
      </w:tr>
      <w:tr>
        <w:trPr>
          <w:trHeight w:val="162"/>
        </w:trPr>
        <w:tc>
          <w:tcPr>
            <w:tcW w:w="7540" w:type="dxa"/>
            <w:vAlign w:val="bottom"/>
            <w:shd w:val="clear" w:color="auto" w:fill="CCECFF"/>
          </w:tcPr>
          <w:p>
            <w:pPr>
              <w:spacing w:after="0"/>
              <w:rPr>
                <w:sz w:val="20"/>
                <w:szCs w:val="20"/>
                <w:color w:val="auto"/>
              </w:rPr>
            </w:pPr>
            <w:r>
              <w:rPr>
                <w:rFonts w:ascii="Arial" w:cs="Arial" w:eastAsia="Arial" w:hAnsi="Arial"/>
                <w:sz w:val="14"/>
                <w:szCs w:val="14"/>
                <w:color w:val="auto"/>
              </w:rPr>
              <w:t>Prepaid expenses and other assets</w:t>
            </w:r>
          </w:p>
        </w:tc>
        <w:tc>
          <w:tcPr>
            <w:tcW w:w="160" w:type="dxa"/>
            <w:vAlign w:val="bottom"/>
            <w:tcBorders>
              <w:bottom w:val="single" w:sz="8" w:color="auto"/>
            </w:tcBorders>
            <w:shd w:val="clear" w:color="auto" w:fill="CCECFF"/>
          </w:tcPr>
          <w:p>
            <w:pPr>
              <w:spacing w:after="0"/>
              <w:rPr>
                <w:sz w:val="14"/>
                <w:szCs w:val="14"/>
                <w:color w:val="auto"/>
              </w:rPr>
            </w:pPr>
          </w:p>
        </w:tc>
        <w:tc>
          <w:tcPr>
            <w:tcW w:w="14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1,084,158</w:t>
            </w:r>
          </w:p>
        </w:tc>
        <w:tc>
          <w:tcPr>
            <w:tcW w:w="300" w:type="dxa"/>
            <w:vAlign w:val="bottom"/>
            <w:shd w:val="clear" w:color="auto" w:fill="CCECFF"/>
          </w:tcPr>
          <w:p>
            <w:pPr>
              <w:spacing w:after="0"/>
              <w:rPr>
                <w:sz w:val="14"/>
                <w:szCs w:val="14"/>
                <w:color w:val="auto"/>
              </w:rPr>
            </w:pPr>
          </w:p>
        </w:tc>
        <w:tc>
          <w:tcPr>
            <w:tcW w:w="140" w:type="dxa"/>
            <w:vAlign w:val="bottom"/>
            <w:tcBorders>
              <w:bottom w:val="single" w:sz="8" w:color="auto"/>
            </w:tcBorders>
            <w:shd w:val="clear" w:color="auto" w:fill="CCECFF"/>
          </w:tcPr>
          <w:p>
            <w:pPr>
              <w:spacing w:after="0"/>
              <w:rPr>
                <w:sz w:val="14"/>
                <w:szCs w:val="14"/>
                <w:color w:val="auto"/>
              </w:rPr>
            </w:pPr>
          </w:p>
        </w:tc>
        <w:tc>
          <w:tcPr>
            <w:tcW w:w="15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996,333</w:t>
            </w:r>
          </w:p>
        </w:tc>
        <w:tc>
          <w:tcPr>
            <w:tcW w:w="120" w:type="dxa"/>
            <w:vAlign w:val="bottom"/>
            <w:shd w:val="clear" w:color="auto" w:fill="CCECFF"/>
          </w:tcPr>
          <w:p>
            <w:pPr>
              <w:spacing w:after="0"/>
              <w:rPr>
                <w:sz w:val="14"/>
                <w:szCs w:val="14"/>
                <w:color w:val="auto"/>
              </w:rPr>
            </w:pPr>
          </w:p>
        </w:tc>
      </w:tr>
      <w:tr>
        <w:trPr>
          <w:trHeight w:val="155"/>
        </w:trPr>
        <w:tc>
          <w:tcPr>
            <w:tcW w:w="7540" w:type="dxa"/>
            <w:vAlign w:val="bottom"/>
            <w:tcBorders>
              <w:bottom w:val="single" w:sz="8" w:color="CCECFF"/>
            </w:tcBorders>
          </w:tcPr>
          <w:p>
            <w:pPr>
              <w:ind w:left="740"/>
              <w:spacing w:after="0" w:line="155" w:lineRule="exact"/>
              <w:rPr>
                <w:sz w:val="20"/>
                <w:szCs w:val="20"/>
                <w:color w:val="auto"/>
              </w:rPr>
            </w:pPr>
            <w:r>
              <w:rPr>
                <w:rFonts w:ascii="Arial" w:cs="Arial" w:eastAsia="Arial" w:hAnsi="Arial"/>
                <w:sz w:val="14"/>
                <w:szCs w:val="14"/>
                <w:b w:val="1"/>
                <w:bCs w:val="1"/>
                <w:color w:val="auto"/>
              </w:rPr>
              <w:t>Total assets</w:t>
            </w:r>
          </w:p>
        </w:tc>
        <w:tc>
          <w:tcPr>
            <w:tcW w:w="16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507,769,252</w:t>
            </w:r>
          </w:p>
        </w:tc>
        <w:tc>
          <w:tcPr>
            <w:tcW w:w="300" w:type="dxa"/>
            <w:vAlign w:val="bottom"/>
            <w:tcBorders>
              <w:bottom w:val="single" w:sz="8" w:color="CCEC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506,696,606</w:t>
            </w:r>
          </w:p>
        </w:tc>
        <w:tc>
          <w:tcPr>
            <w:tcW w:w="120" w:type="dxa"/>
            <w:vAlign w:val="bottom"/>
            <w:tcBorders>
              <w:bottom w:val="single" w:sz="8" w:color="CCECFF"/>
            </w:tcBorders>
          </w:tcPr>
          <w:p>
            <w:pPr>
              <w:spacing w:after="0"/>
              <w:rPr>
                <w:sz w:val="13"/>
                <w:szCs w:val="13"/>
                <w:color w:val="auto"/>
              </w:rPr>
            </w:pPr>
          </w:p>
        </w:tc>
      </w:tr>
      <w:tr>
        <w:trPr>
          <w:trHeight w:val="156"/>
        </w:trPr>
        <w:tc>
          <w:tcPr>
            <w:tcW w:w="7540" w:type="dxa"/>
            <w:vAlign w:val="bottom"/>
            <w:shd w:val="clear" w:color="auto" w:fill="CCECFF"/>
          </w:tcPr>
          <w:p>
            <w:pPr>
              <w:spacing w:after="0" w:line="155" w:lineRule="exact"/>
              <w:rPr>
                <w:sz w:val="20"/>
                <w:szCs w:val="20"/>
                <w:color w:val="auto"/>
              </w:rPr>
            </w:pPr>
            <w:r>
              <w:rPr>
                <w:rFonts w:ascii="Arial" w:cs="Arial" w:eastAsia="Arial" w:hAnsi="Arial"/>
                <w:sz w:val="14"/>
                <w:szCs w:val="14"/>
                <w:b w:val="1"/>
                <w:bCs w:val="1"/>
                <w:color w:val="auto"/>
              </w:rPr>
              <w:t>Liabilities</w:t>
            </w:r>
          </w:p>
        </w:tc>
        <w:tc>
          <w:tcPr>
            <w:tcW w:w="160" w:type="dxa"/>
            <w:vAlign w:val="bottom"/>
            <w:shd w:val="clear" w:color="auto" w:fill="CCECFF"/>
          </w:tcPr>
          <w:p>
            <w:pPr>
              <w:spacing w:after="0"/>
              <w:rPr>
                <w:sz w:val="13"/>
                <w:szCs w:val="13"/>
                <w:color w:val="auto"/>
              </w:rPr>
            </w:pPr>
          </w:p>
        </w:tc>
        <w:tc>
          <w:tcPr>
            <w:tcW w:w="1480" w:type="dxa"/>
            <w:vAlign w:val="bottom"/>
            <w:shd w:val="clear" w:color="auto" w:fill="CCECFF"/>
          </w:tcPr>
          <w:p>
            <w:pPr>
              <w:spacing w:after="0"/>
              <w:rPr>
                <w:sz w:val="13"/>
                <w:szCs w:val="13"/>
                <w:color w:val="auto"/>
              </w:rPr>
            </w:pPr>
          </w:p>
        </w:tc>
        <w:tc>
          <w:tcPr>
            <w:tcW w:w="300" w:type="dxa"/>
            <w:vAlign w:val="bottom"/>
            <w:shd w:val="clear" w:color="auto" w:fill="CCECFF"/>
          </w:tcPr>
          <w:p>
            <w:pPr>
              <w:spacing w:after="0"/>
              <w:rPr>
                <w:sz w:val="13"/>
                <w:szCs w:val="13"/>
                <w:color w:val="auto"/>
              </w:rPr>
            </w:pPr>
          </w:p>
        </w:tc>
        <w:tc>
          <w:tcPr>
            <w:tcW w:w="140" w:type="dxa"/>
            <w:vAlign w:val="bottom"/>
            <w:shd w:val="clear" w:color="auto" w:fill="CCECFF"/>
          </w:tcPr>
          <w:p>
            <w:pPr>
              <w:spacing w:after="0"/>
              <w:rPr>
                <w:sz w:val="13"/>
                <w:szCs w:val="13"/>
                <w:color w:val="auto"/>
              </w:rPr>
            </w:pPr>
          </w:p>
        </w:tc>
        <w:tc>
          <w:tcPr>
            <w:tcW w:w="150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r>
      <w:tr>
        <w:trPr>
          <w:trHeight w:val="162"/>
        </w:trPr>
        <w:tc>
          <w:tcPr>
            <w:tcW w:w="7540" w:type="dxa"/>
            <w:vAlign w:val="bottom"/>
          </w:tcPr>
          <w:p>
            <w:pPr>
              <w:spacing w:after="0"/>
              <w:rPr>
                <w:sz w:val="20"/>
                <w:szCs w:val="20"/>
                <w:color w:val="auto"/>
              </w:rPr>
            </w:pPr>
            <w:r>
              <w:rPr>
                <w:rFonts w:ascii="Arial" w:cs="Arial" w:eastAsia="Arial" w:hAnsi="Arial"/>
                <w:sz w:val="14"/>
                <w:szCs w:val="14"/>
                <w:color w:val="auto"/>
              </w:rPr>
              <w:t>Payable for investments purchased</w:t>
            </w:r>
          </w:p>
        </w:tc>
        <w:tc>
          <w:tcPr>
            <w:tcW w:w="16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55,448,462</w:t>
            </w: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r>
      <w:tr>
        <w:trPr>
          <w:trHeight w:val="162"/>
        </w:trPr>
        <w:tc>
          <w:tcPr>
            <w:tcW w:w="7540" w:type="dxa"/>
            <w:vAlign w:val="bottom"/>
            <w:shd w:val="clear" w:color="auto" w:fill="CCECFF"/>
          </w:tcPr>
          <w:p>
            <w:pPr>
              <w:spacing w:after="0"/>
              <w:rPr>
                <w:sz w:val="20"/>
                <w:szCs w:val="20"/>
                <w:color w:val="auto"/>
              </w:rPr>
            </w:pPr>
            <w:r>
              <w:rPr>
                <w:rFonts w:ascii="Arial" w:cs="Arial" w:eastAsia="Arial" w:hAnsi="Arial"/>
                <w:sz w:val="14"/>
                <w:szCs w:val="14"/>
                <w:color w:val="auto"/>
              </w:rPr>
              <w:t>PSSL Credit Facility payable</w:t>
            </w:r>
          </w:p>
        </w:tc>
        <w:tc>
          <w:tcPr>
            <w:tcW w:w="160" w:type="dxa"/>
            <w:vAlign w:val="bottom"/>
            <w:shd w:val="clear" w:color="auto" w:fill="CCECFF"/>
          </w:tcPr>
          <w:p>
            <w:pPr>
              <w:spacing w:after="0"/>
              <w:rPr>
                <w:sz w:val="14"/>
                <w:szCs w:val="14"/>
                <w:color w:val="auto"/>
              </w:rPr>
            </w:pPr>
          </w:p>
        </w:tc>
        <w:tc>
          <w:tcPr>
            <w:tcW w:w="14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254,456,951</w:t>
            </w:r>
          </w:p>
        </w:tc>
        <w:tc>
          <w:tcPr>
            <w:tcW w:w="300" w:type="dxa"/>
            <w:vAlign w:val="bottom"/>
            <w:shd w:val="clear" w:color="auto" w:fill="CCECFF"/>
          </w:tcPr>
          <w:p>
            <w:pPr>
              <w:spacing w:after="0"/>
              <w:rPr>
                <w:sz w:val="14"/>
                <w:szCs w:val="14"/>
                <w:color w:val="auto"/>
              </w:rPr>
            </w:pPr>
          </w:p>
        </w:tc>
        <w:tc>
          <w:tcPr>
            <w:tcW w:w="140" w:type="dxa"/>
            <w:vAlign w:val="bottom"/>
            <w:shd w:val="clear" w:color="auto" w:fill="CCECFF"/>
          </w:tcPr>
          <w:p>
            <w:pPr>
              <w:spacing w:after="0"/>
              <w:rPr>
                <w:sz w:val="14"/>
                <w:szCs w:val="14"/>
                <w:color w:val="auto"/>
              </w:rPr>
            </w:pPr>
          </w:p>
        </w:tc>
        <w:tc>
          <w:tcPr>
            <w:tcW w:w="15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308,724,305</w:t>
            </w:r>
          </w:p>
        </w:tc>
        <w:tc>
          <w:tcPr>
            <w:tcW w:w="120" w:type="dxa"/>
            <w:vAlign w:val="bottom"/>
            <w:shd w:val="clear" w:color="auto" w:fill="CCECFF"/>
          </w:tcPr>
          <w:p>
            <w:pPr>
              <w:spacing w:after="0"/>
              <w:rPr>
                <w:sz w:val="14"/>
                <w:szCs w:val="14"/>
                <w:color w:val="auto"/>
              </w:rPr>
            </w:pPr>
          </w:p>
        </w:tc>
      </w:tr>
      <w:tr>
        <w:trPr>
          <w:trHeight w:val="162"/>
        </w:trPr>
        <w:tc>
          <w:tcPr>
            <w:tcW w:w="7540" w:type="dxa"/>
            <w:vAlign w:val="bottom"/>
          </w:tcPr>
          <w:p>
            <w:pPr>
              <w:spacing w:after="0"/>
              <w:rPr>
                <w:sz w:val="20"/>
                <w:szCs w:val="20"/>
                <w:color w:val="auto"/>
              </w:rPr>
            </w:pPr>
            <w:r>
              <w:rPr>
                <w:rFonts w:ascii="Arial" w:cs="Arial" w:eastAsia="Arial" w:hAnsi="Arial"/>
                <w:sz w:val="14"/>
                <w:szCs w:val="14"/>
                <w:color w:val="auto"/>
              </w:rPr>
              <w:t>Notes payable to members</w:t>
            </w:r>
          </w:p>
        </w:tc>
        <w:tc>
          <w:tcPr>
            <w:tcW w:w="16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139,650,000</w:t>
            </w: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139,650,000</w:t>
            </w:r>
          </w:p>
        </w:tc>
        <w:tc>
          <w:tcPr>
            <w:tcW w:w="120" w:type="dxa"/>
            <w:vAlign w:val="bottom"/>
          </w:tcPr>
          <w:p>
            <w:pPr>
              <w:spacing w:after="0"/>
              <w:rPr>
                <w:sz w:val="14"/>
                <w:szCs w:val="14"/>
                <w:color w:val="auto"/>
              </w:rPr>
            </w:pPr>
          </w:p>
        </w:tc>
      </w:tr>
      <w:tr>
        <w:trPr>
          <w:trHeight w:val="162"/>
        </w:trPr>
        <w:tc>
          <w:tcPr>
            <w:tcW w:w="7540" w:type="dxa"/>
            <w:vAlign w:val="bottom"/>
            <w:shd w:val="clear" w:color="auto" w:fill="CCECFF"/>
          </w:tcPr>
          <w:p>
            <w:pPr>
              <w:spacing w:after="0"/>
              <w:rPr>
                <w:sz w:val="20"/>
                <w:szCs w:val="20"/>
                <w:color w:val="auto"/>
              </w:rPr>
            </w:pPr>
            <w:r>
              <w:rPr>
                <w:rFonts w:ascii="Arial" w:cs="Arial" w:eastAsia="Arial" w:hAnsi="Arial"/>
                <w:sz w:val="14"/>
                <w:szCs w:val="14"/>
                <w:color w:val="auto"/>
              </w:rPr>
              <w:t>Interest payable on PSSL Credit Facility</w:t>
            </w:r>
          </w:p>
        </w:tc>
        <w:tc>
          <w:tcPr>
            <w:tcW w:w="160" w:type="dxa"/>
            <w:vAlign w:val="bottom"/>
            <w:shd w:val="clear" w:color="auto" w:fill="CCECFF"/>
          </w:tcPr>
          <w:p>
            <w:pPr>
              <w:spacing w:after="0"/>
              <w:rPr>
                <w:sz w:val="14"/>
                <w:szCs w:val="14"/>
                <w:color w:val="auto"/>
              </w:rPr>
            </w:pPr>
          </w:p>
        </w:tc>
        <w:tc>
          <w:tcPr>
            <w:tcW w:w="14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963,362</w:t>
            </w:r>
          </w:p>
        </w:tc>
        <w:tc>
          <w:tcPr>
            <w:tcW w:w="300" w:type="dxa"/>
            <w:vAlign w:val="bottom"/>
            <w:shd w:val="clear" w:color="auto" w:fill="CCECFF"/>
          </w:tcPr>
          <w:p>
            <w:pPr>
              <w:spacing w:after="0"/>
              <w:rPr>
                <w:sz w:val="14"/>
                <w:szCs w:val="14"/>
                <w:color w:val="auto"/>
              </w:rPr>
            </w:pPr>
          </w:p>
        </w:tc>
        <w:tc>
          <w:tcPr>
            <w:tcW w:w="140" w:type="dxa"/>
            <w:vAlign w:val="bottom"/>
            <w:shd w:val="clear" w:color="auto" w:fill="CCECFF"/>
          </w:tcPr>
          <w:p>
            <w:pPr>
              <w:spacing w:after="0"/>
              <w:rPr>
                <w:sz w:val="14"/>
                <w:szCs w:val="14"/>
                <w:color w:val="auto"/>
              </w:rPr>
            </w:pPr>
          </w:p>
        </w:tc>
        <w:tc>
          <w:tcPr>
            <w:tcW w:w="15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1,015,468</w:t>
            </w:r>
          </w:p>
        </w:tc>
        <w:tc>
          <w:tcPr>
            <w:tcW w:w="120" w:type="dxa"/>
            <w:vAlign w:val="bottom"/>
            <w:shd w:val="clear" w:color="auto" w:fill="CCECFF"/>
          </w:tcPr>
          <w:p>
            <w:pPr>
              <w:spacing w:after="0"/>
              <w:rPr>
                <w:sz w:val="14"/>
                <w:szCs w:val="14"/>
                <w:color w:val="auto"/>
              </w:rPr>
            </w:pPr>
          </w:p>
        </w:tc>
      </w:tr>
      <w:tr>
        <w:trPr>
          <w:trHeight w:val="162"/>
        </w:trPr>
        <w:tc>
          <w:tcPr>
            <w:tcW w:w="7540" w:type="dxa"/>
            <w:vAlign w:val="bottom"/>
          </w:tcPr>
          <w:p>
            <w:pPr>
              <w:spacing w:after="0"/>
              <w:rPr>
                <w:sz w:val="20"/>
                <w:szCs w:val="20"/>
                <w:color w:val="auto"/>
              </w:rPr>
            </w:pPr>
            <w:r>
              <w:rPr>
                <w:rFonts w:ascii="Arial" w:cs="Arial" w:eastAsia="Arial" w:hAnsi="Arial"/>
                <w:sz w:val="14"/>
                <w:szCs w:val="14"/>
                <w:color w:val="auto"/>
              </w:rPr>
              <w:t>Interest payable on notes to members</w:t>
            </w:r>
          </w:p>
        </w:tc>
        <w:tc>
          <w:tcPr>
            <w:tcW w:w="16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39,197</w:t>
            </w: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176,273</w:t>
            </w:r>
          </w:p>
        </w:tc>
        <w:tc>
          <w:tcPr>
            <w:tcW w:w="120" w:type="dxa"/>
            <w:vAlign w:val="bottom"/>
          </w:tcPr>
          <w:p>
            <w:pPr>
              <w:spacing w:after="0"/>
              <w:rPr>
                <w:sz w:val="14"/>
                <w:szCs w:val="14"/>
                <w:color w:val="auto"/>
              </w:rPr>
            </w:pPr>
          </w:p>
        </w:tc>
      </w:tr>
      <w:tr>
        <w:trPr>
          <w:trHeight w:val="162"/>
        </w:trPr>
        <w:tc>
          <w:tcPr>
            <w:tcW w:w="7540" w:type="dxa"/>
            <w:vAlign w:val="bottom"/>
            <w:shd w:val="clear" w:color="auto" w:fill="CCECFF"/>
          </w:tcPr>
          <w:p>
            <w:pPr>
              <w:spacing w:after="0"/>
              <w:rPr>
                <w:sz w:val="20"/>
                <w:szCs w:val="20"/>
                <w:color w:val="auto"/>
              </w:rPr>
            </w:pPr>
            <w:r>
              <w:rPr>
                <w:rFonts w:ascii="Arial" w:cs="Arial" w:eastAsia="Arial" w:hAnsi="Arial"/>
                <w:sz w:val="14"/>
                <w:szCs w:val="14"/>
                <w:color w:val="auto"/>
              </w:rPr>
              <w:t>Accrued other expenses</w:t>
            </w:r>
          </w:p>
        </w:tc>
        <w:tc>
          <w:tcPr>
            <w:tcW w:w="160" w:type="dxa"/>
            <w:vAlign w:val="bottom"/>
            <w:tcBorders>
              <w:bottom w:val="single" w:sz="8" w:color="auto"/>
            </w:tcBorders>
            <w:shd w:val="clear" w:color="auto" w:fill="CCECFF"/>
          </w:tcPr>
          <w:p>
            <w:pPr>
              <w:spacing w:after="0"/>
              <w:rPr>
                <w:sz w:val="14"/>
                <w:szCs w:val="14"/>
                <w:color w:val="auto"/>
              </w:rPr>
            </w:pPr>
          </w:p>
        </w:tc>
        <w:tc>
          <w:tcPr>
            <w:tcW w:w="14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379,453</w:t>
            </w:r>
          </w:p>
        </w:tc>
        <w:tc>
          <w:tcPr>
            <w:tcW w:w="300" w:type="dxa"/>
            <w:vAlign w:val="bottom"/>
            <w:shd w:val="clear" w:color="auto" w:fill="CCECFF"/>
          </w:tcPr>
          <w:p>
            <w:pPr>
              <w:spacing w:after="0"/>
              <w:rPr>
                <w:sz w:val="14"/>
                <w:szCs w:val="14"/>
                <w:color w:val="auto"/>
              </w:rPr>
            </w:pPr>
          </w:p>
        </w:tc>
        <w:tc>
          <w:tcPr>
            <w:tcW w:w="140" w:type="dxa"/>
            <w:vAlign w:val="bottom"/>
            <w:tcBorders>
              <w:bottom w:val="single" w:sz="8" w:color="auto"/>
            </w:tcBorders>
            <w:shd w:val="clear" w:color="auto" w:fill="CCECFF"/>
          </w:tcPr>
          <w:p>
            <w:pPr>
              <w:spacing w:after="0"/>
              <w:rPr>
                <w:sz w:val="14"/>
                <w:szCs w:val="14"/>
                <w:color w:val="auto"/>
              </w:rPr>
            </w:pPr>
          </w:p>
        </w:tc>
        <w:tc>
          <w:tcPr>
            <w:tcW w:w="15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22,754</w:t>
            </w:r>
          </w:p>
        </w:tc>
        <w:tc>
          <w:tcPr>
            <w:tcW w:w="120" w:type="dxa"/>
            <w:vAlign w:val="bottom"/>
            <w:shd w:val="clear" w:color="auto" w:fill="CCECFF"/>
          </w:tcPr>
          <w:p>
            <w:pPr>
              <w:spacing w:after="0"/>
              <w:rPr>
                <w:sz w:val="14"/>
                <w:szCs w:val="14"/>
                <w:color w:val="auto"/>
              </w:rPr>
            </w:pPr>
          </w:p>
        </w:tc>
      </w:tr>
      <w:tr>
        <w:trPr>
          <w:trHeight w:val="156"/>
        </w:trPr>
        <w:tc>
          <w:tcPr>
            <w:tcW w:w="7540" w:type="dxa"/>
            <w:vAlign w:val="bottom"/>
            <w:tcBorders>
              <w:bottom w:val="single" w:sz="8" w:color="CCECFF"/>
            </w:tcBorders>
          </w:tcPr>
          <w:p>
            <w:pPr>
              <w:ind w:left="740"/>
              <w:spacing w:after="0" w:line="155" w:lineRule="exact"/>
              <w:rPr>
                <w:sz w:val="20"/>
                <w:szCs w:val="20"/>
                <w:color w:val="auto"/>
              </w:rPr>
            </w:pPr>
            <w:r>
              <w:rPr>
                <w:rFonts w:ascii="Arial" w:cs="Arial" w:eastAsia="Arial" w:hAnsi="Arial"/>
                <w:sz w:val="14"/>
                <w:szCs w:val="14"/>
                <w:b w:val="1"/>
                <w:bCs w:val="1"/>
                <w:color w:val="auto"/>
              </w:rPr>
              <w:t>Total liabilities</w:t>
            </w:r>
          </w:p>
        </w:tc>
        <w:tc>
          <w:tcPr>
            <w:tcW w:w="16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450,937,425</w:t>
            </w:r>
          </w:p>
        </w:tc>
        <w:tc>
          <w:tcPr>
            <w:tcW w:w="300" w:type="dxa"/>
            <w:vAlign w:val="bottom"/>
            <w:tcBorders>
              <w:bottom w:val="single" w:sz="8" w:color="CCEC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449,588,800</w:t>
            </w:r>
          </w:p>
        </w:tc>
        <w:tc>
          <w:tcPr>
            <w:tcW w:w="120" w:type="dxa"/>
            <w:vAlign w:val="bottom"/>
            <w:tcBorders>
              <w:bottom w:val="single" w:sz="8" w:color="CCECFF"/>
            </w:tcBorders>
          </w:tcPr>
          <w:p>
            <w:pPr>
              <w:spacing w:after="0"/>
              <w:rPr>
                <w:sz w:val="13"/>
                <w:szCs w:val="13"/>
                <w:color w:val="auto"/>
              </w:rPr>
            </w:pPr>
          </w:p>
        </w:tc>
      </w:tr>
      <w:tr>
        <w:trPr>
          <w:trHeight w:val="155"/>
        </w:trPr>
        <w:tc>
          <w:tcPr>
            <w:tcW w:w="7540" w:type="dxa"/>
            <w:vAlign w:val="bottom"/>
            <w:shd w:val="clear" w:color="auto" w:fill="CCECFF"/>
          </w:tcPr>
          <w:p>
            <w:pPr>
              <w:spacing w:after="0" w:line="155" w:lineRule="exact"/>
              <w:rPr>
                <w:sz w:val="20"/>
                <w:szCs w:val="20"/>
                <w:color w:val="auto"/>
              </w:rPr>
            </w:pPr>
            <w:r>
              <w:rPr>
                <w:rFonts w:ascii="Arial" w:cs="Arial" w:eastAsia="Arial" w:hAnsi="Arial"/>
                <w:sz w:val="14"/>
                <w:szCs w:val="14"/>
                <w:color w:val="auto"/>
              </w:rPr>
              <w:t xml:space="preserve">Commitments and contingencies </w:t>
            </w:r>
            <w:r>
              <w:rPr>
                <w:rFonts w:ascii="Arial" w:cs="Arial" w:eastAsia="Arial" w:hAnsi="Arial"/>
                <w:sz w:val="12"/>
                <w:szCs w:val="12"/>
                <w:color w:val="auto"/>
              </w:rPr>
              <w:t>(1)</w:t>
            </w:r>
          </w:p>
        </w:tc>
        <w:tc>
          <w:tcPr>
            <w:tcW w:w="160" w:type="dxa"/>
            <w:vAlign w:val="bottom"/>
            <w:tcBorders>
              <w:bottom w:val="single" w:sz="8" w:color="auto"/>
            </w:tcBorders>
            <w:shd w:val="clear" w:color="auto" w:fill="CCECFF"/>
          </w:tcPr>
          <w:p>
            <w:pPr>
              <w:spacing w:after="0"/>
              <w:rPr>
                <w:sz w:val="13"/>
                <w:szCs w:val="13"/>
                <w:color w:val="auto"/>
              </w:rPr>
            </w:pPr>
          </w:p>
        </w:tc>
        <w:tc>
          <w:tcPr>
            <w:tcW w:w="148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w:t>
            </w:r>
          </w:p>
        </w:tc>
        <w:tc>
          <w:tcPr>
            <w:tcW w:w="300" w:type="dxa"/>
            <w:vAlign w:val="bottom"/>
            <w:shd w:val="clear" w:color="auto" w:fill="CCECFF"/>
          </w:tcPr>
          <w:p>
            <w:pPr>
              <w:spacing w:after="0"/>
              <w:rPr>
                <w:sz w:val="13"/>
                <w:szCs w:val="13"/>
                <w:color w:val="auto"/>
              </w:rPr>
            </w:pPr>
          </w:p>
        </w:tc>
        <w:tc>
          <w:tcPr>
            <w:tcW w:w="140" w:type="dxa"/>
            <w:vAlign w:val="bottom"/>
            <w:tcBorders>
              <w:bottom w:val="single" w:sz="8" w:color="auto"/>
            </w:tcBorders>
            <w:shd w:val="clear" w:color="auto" w:fill="CCECFF"/>
          </w:tcPr>
          <w:p>
            <w:pPr>
              <w:spacing w:after="0"/>
              <w:rPr>
                <w:sz w:val="13"/>
                <w:szCs w:val="13"/>
                <w:color w:val="auto"/>
              </w:rPr>
            </w:pPr>
          </w:p>
        </w:tc>
        <w:tc>
          <w:tcPr>
            <w:tcW w:w="150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w:t>
            </w:r>
          </w:p>
        </w:tc>
        <w:tc>
          <w:tcPr>
            <w:tcW w:w="120" w:type="dxa"/>
            <w:vAlign w:val="bottom"/>
            <w:shd w:val="clear" w:color="auto" w:fill="CCECFF"/>
          </w:tcPr>
          <w:p>
            <w:pPr>
              <w:spacing w:after="0"/>
              <w:rPr>
                <w:sz w:val="13"/>
                <w:szCs w:val="13"/>
                <w:color w:val="auto"/>
              </w:rPr>
            </w:pPr>
          </w:p>
        </w:tc>
      </w:tr>
      <w:tr>
        <w:trPr>
          <w:trHeight w:val="156"/>
        </w:trPr>
        <w:tc>
          <w:tcPr>
            <w:tcW w:w="7540" w:type="dxa"/>
            <w:vAlign w:val="bottom"/>
            <w:tcBorders>
              <w:bottom w:val="single" w:sz="8" w:color="CCECFF"/>
            </w:tcBorders>
          </w:tcPr>
          <w:p>
            <w:pPr>
              <w:ind w:left="740"/>
              <w:spacing w:after="0" w:line="155" w:lineRule="exact"/>
              <w:rPr>
                <w:sz w:val="20"/>
                <w:szCs w:val="20"/>
                <w:color w:val="auto"/>
              </w:rPr>
            </w:pPr>
            <w:r>
              <w:rPr>
                <w:rFonts w:ascii="Arial" w:cs="Arial" w:eastAsia="Arial" w:hAnsi="Arial"/>
                <w:sz w:val="14"/>
                <w:szCs w:val="14"/>
                <w:b w:val="1"/>
                <w:bCs w:val="1"/>
                <w:color w:val="auto"/>
              </w:rPr>
              <w:t>Members' equity</w:t>
            </w:r>
          </w:p>
        </w:tc>
        <w:tc>
          <w:tcPr>
            <w:tcW w:w="16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56,831,827</w:t>
            </w:r>
          </w:p>
        </w:tc>
        <w:tc>
          <w:tcPr>
            <w:tcW w:w="300" w:type="dxa"/>
            <w:vAlign w:val="bottom"/>
            <w:tcBorders>
              <w:bottom w:val="single" w:sz="8" w:color="CCEC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57,107,806</w:t>
            </w:r>
          </w:p>
        </w:tc>
        <w:tc>
          <w:tcPr>
            <w:tcW w:w="120" w:type="dxa"/>
            <w:vAlign w:val="bottom"/>
            <w:tcBorders>
              <w:bottom w:val="single" w:sz="8" w:color="CCECFF"/>
            </w:tcBorders>
          </w:tcPr>
          <w:p>
            <w:pPr>
              <w:spacing w:after="0"/>
              <w:rPr>
                <w:sz w:val="13"/>
                <w:szCs w:val="13"/>
                <w:color w:val="auto"/>
              </w:rPr>
            </w:pPr>
          </w:p>
        </w:tc>
      </w:tr>
      <w:tr>
        <w:trPr>
          <w:trHeight w:val="155"/>
        </w:trPr>
        <w:tc>
          <w:tcPr>
            <w:tcW w:w="7540" w:type="dxa"/>
            <w:vAlign w:val="bottom"/>
            <w:tcBorders>
              <w:bottom w:val="single" w:sz="8" w:color="CCECFF"/>
            </w:tcBorders>
            <w:shd w:val="clear" w:color="auto" w:fill="CCECFF"/>
          </w:tcPr>
          <w:p>
            <w:pPr>
              <w:ind w:left="740"/>
              <w:spacing w:after="0" w:line="155" w:lineRule="exact"/>
              <w:rPr>
                <w:sz w:val="20"/>
                <w:szCs w:val="20"/>
                <w:color w:val="auto"/>
              </w:rPr>
            </w:pPr>
            <w:r>
              <w:rPr>
                <w:rFonts w:ascii="Arial" w:cs="Arial" w:eastAsia="Arial" w:hAnsi="Arial"/>
                <w:sz w:val="14"/>
                <w:szCs w:val="14"/>
                <w:b w:val="1"/>
                <w:bCs w:val="1"/>
                <w:color w:val="auto"/>
              </w:rPr>
              <w:t>Total liabilities and members' equity</w:t>
            </w:r>
          </w:p>
        </w:tc>
        <w:tc>
          <w:tcPr>
            <w:tcW w:w="160" w:type="dxa"/>
            <w:vAlign w:val="bottom"/>
            <w:tcBorders>
              <w:bottom w:val="single" w:sz="8" w:color="auto"/>
            </w:tcBorders>
            <w:shd w:val="clear" w:color="auto" w:fill="CCECFF"/>
          </w:tcPr>
          <w:p>
            <w:pPr>
              <w:jc w:val="right"/>
              <w:ind w:right="8"/>
              <w:spacing w:after="0" w:line="155" w:lineRule="exact"/>
              <w:rPr>
                <w:sz w:val="20"/>
                <w:szCs w:val="20"/>
                <w:color w:val="auto"/>
              </w:rPr>
            </w:pPr>
            <w:r>
              <w:rPr>
                <w:rFonts w:ascii="Arial" w:cs="Arial" w:eastAsia="Arial" w:hAnsi="Arial"/>
                <w:sz w:val="14"/>
                <w:szCs w:val="14"/>
                <w:color w:val="auto"/>
                <w:w w:val="76"/>
              </w:rPr>
              <w:t>$</w:t>
            </w:r>
          </w:p>
        </w:tc>
        <w:tc>
          <w:tcPr>
            <w:tcW w:w="148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507,769,252</w:t>
            </w:r>
          </w:p>
        </w:tc>
        <w:tc>
          <w:tcPr>
            <w:tcW w:w="300" w:type="dxa"/>
            <w:vAlign w:val="bottom"/>
            <w:tcBorders>
              <w:bottom w:val="single" w:sz="8" w:color="CCECFF"/>
            </w:tcBorders>
            <w:shd w:val="clear" w:color="auto" w:fill="CCECFF"/>
          </w:tcPr>
          <w:p>
            <w:pPr>
              <w:spacing w:after="0"/>
              <w:rPr>
                <w:sz w:val="13"/>
                <w:szCs w:val="13"/>
                <w:color w:val="auto"/>
              </w:rPr>
            </w:pPr>
          </w:p>
        </w:tc>
        <w:tc>
          <w:tcPr>
            <w:tcW w:w="140" w:type="dxa"/>
            <w:vAlign w:val="bottom"/>
            <w:tcBorders>
              <w:bottom w:val="single" w:sz="8" w:color="auto"/>
            </w:tcBorders>
            <w:shd w:val="clear" w:color="auto" w:fill="CCECFF"/>
          </w:tcPr>
          <w:p>
            <w:pPr>
              <w:jc w:val="right"/>
              <w:ind w:right="29"/>
              <w:spacing w:after="0"/>
              <w:rPr>
                <w:sz w:val="20"/>
                <w:szCs w:val="20"/>
                <w:color w:val="auto"/>
              </w:rPr>
            </w:pPr>
            <w:r>
              <w:rPr>
                <w:rFonts w:ascii="Arial" w:cs="Arial" w:eastAsia="Arial" w:hAnsi="Arial"/>
                <w:sz w:val="10"/>
                <w:szCs w:val="10"/>
                <w:color w:val="auto"/>
                <w:w w:val="71"/>
              </w:rPr>
              <w:t>$</w:t>
            </w:r>
          </w:p>
        </w:tc>
        <w:tc>
          <w:tcPr>
            <w:tcW w:w="150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506,696,606</w:t>
            </w:r>
          </w:p>
        </w:tc>
        <w:tc>
          <w:tcPr>
            <w:tcW w:w="120" w:type="dxa"/>
            <w:vAlign w:val="bottom"/>
            <w:tcBorders>
              <w:bottom w:val="single" w:sz="8" w:color="CCECFF"/>
            </w:tcBorders>
            <w:shd w:val="clear" w:color="auto" w:fill="CCECFF"/>
          </w:tcPr>
          <w:p>
            <w:pPr>
              <w:spacing w:after="0"/>
              <w:rPr>
                <w:sz w:val="13"/>
                <w:szCs w:val="13"/>
                <w:color w:val="auto"/>
              </w:rPr>
            </w:pPr>
          </w:p>
        </w:tc>
      </w:tr>
      <w:tr>
        <w:trPr>
          <w:trHeight w:val="20"/>
        </w:trPr>
        <w:tc>
          <w:tcPr>
            <w:tcW w:w="75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93980</wp:posOffset>
            </wp:positionV>
            <wp:extent cx="185991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859915" cy="8255"/>
                    </a:xfrm>
                    <a:prstGeom prst="rect">
                      <a:avLst/>
                    </a:prstGeom>
                    <a:noFill/>
                  </pic:spPr>
                </pic:pic>
              </a:graphicData>
            </a:graphic>
          </wp:anchor>
        </w:drawing>
      </w:r>
    </w:p>
    <w:p>
      <w:pPr>
        <w:spacing w:after="0" w:line="150" w:lineRule="exact"/>
        <w:rPr>
          <w:sz w:val="20"/>
          <w:szCs w:val="20"/>
          <w:color w:val="auto"/>
        </w:rPr>
      </w:pPr>
    </w:p>
    <w:p>
      <w:pPr>
        <w:ind w:left="380" w:hanging="372"/>
        <w:spacing w:after="0"/>
        <w:tabs>
          <w:tab w:leader="none" w:pos="380" w:val="left"/>
        </w:tabs>
        <w:numPr>
          <w:ilvl w:val="0"/>
          <w:numId w:val="9"/>
        </w:numPr>
        <w:rPr>
          <w:rFonts w:ascii="Arial" w:cs="Arial" w:eastAsia="Arial" w:hAnsi="Arial"/>
          <w:sz w:val="12"/>
          <w:szCs w:val="12"/>
          <w:color w:val="auto"/>
        </w:rPr>
      </w:pPr>
      <w:r>
        <w:rPr>
          <w:rFonts w:ascii="Arial" w:cs="Arial" w:eastAsia="Arial" w:hAnsi="Arial"/>
          <w:sz w:val="14"/>
          <w:szCs w:val="14"/>
          <w:color w:val="auto"/>
        </w:rPr>
        <w:t>As of December 31, 2019 and September 30, 2019, PSSL had unfunded commitments to fund investments of $0.1 million and $0.3 million, respectively.</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740" w:type="dxa"/>
            <w:vAlign w:val="bottom"/>
          </w:tcPr>
          <w:p>
            <w:pPr>
              <w:spacing w:after="0"/>
              <w:rPr>
                <w:sz w:val="14"/>
                <w:szCs w:val="14"/>
                <w:color w:val="auto"/>
              </w:rPr>
            </w:pPr>
          </w:p>
        </w:tc>
        <w:tc>
          <w:tcPr>
            <w:tcW w:w="3820" w:type="dxa"/>
            <w:vAlign w:val="bottom"/>
            <w:gridSpan w:val="2"/>
          </w:tcPr>
          <w:p>
            <w:pPr>
              <w:jc w:val="right"/>
              <w:ind w:right="2155"/>
              <w:spacing w:after="0"/>
              <w:rPr>
                <w:sz w:val="20"/>
                <w:szCs w:val="20"/>
                <w:color w:val="auto"/>
              </w:rPr>
            </w:pPr>
            <w:r>
              <w:rPr>
                <w:rFonts w:ascii="Arial" w:cs="Arial" w:eastAsia="Arial" w:hAnsi="Arial"/>
                <w:sz w:val="14"/>
                <w:szCs w:val="14"/>
                <w:b w:val="1"/>
                <w:bCs w:val="1"/>
                <w:color w:val="auto"/>
                <w:w w:val="92"/>
              </w:rPr>
              <w:t>Statements of Operations</w:t>
            </w: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1"/>
        </w:trPr>
        <w:tc>
          <w:tcPr>
            <w:tcW w:w="474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288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Three Months Ended December 31,</w:t>
            </w:r>
          </w:p>
        </w:tc>
        <w:tc>
          <w:tcPr>
            <w:tcW w:w="6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4740" w:type="dxa"/>
            <w:vAlign w:val="bottom"/>
          </w:tcPr>
          <w:p>
            <w:pPr>
              <w:spacing w:after="0"/>
              <w:rPr>
                <w:sz w:val="13"/>
                <w:szCs w:val="13"/>
                <w:color w:val="auto"/>
              </w:rPr>
            </w:pPr>
          </w:p>
        </w:tc>
        <w:tc>
          <w:tcPr>
            <w:tcW w:w="2860" w:type="dxa"/>
            <w:vAlign w:val="bottom"/>
          </w:tcPr>
          <w:p>
            <w:pPr>
              <w:spacing w:after="0"/>
              <w:rPr>
                <w:sz w:val="13"/>
                <w:szCs w:val="13"/>
                <w:color w:val="auto"/>
              </w:rPr>
            </w:pPr>
          </w:p>
        </w:tc>
        <w:tc>
          <w:tcPr>
            <w:tcW w:w="96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2019</w:t>
            </w: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gridSpan w:val="2"/>
          </w:tcPr>
          <w:p>
            <w:pPr>
              <w:jc w:val="right"/>
              <w:spacing w:after="0" w:line="155" w:lineRule="exact"/>
              <w:rPr>
                <w:sz w:val="20"/>
                <w:szCs w:val="20"/>
                <w:color w:val="auto"/>
              </w:rPr>
            </w:pPr>
            <w:r>
              <w:rPr>
                <w:rFonts w:ascii="Arial" w:cs="Arial" w:eastAsia="Arial" w:hAnsi="Arial"/>
                <w:sz w:val="14"/>
                <w:szCs w:val="14"/>
                <w:b w:val="1"/>
                <w:bCs w:val="1"/>
                <w:color w:val="auto"/>
              </w:rPr>
              <w:t>2018</w:t>
            </w: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55"/>
        </w:trPr>
        <w:tc>
          <w:tcPr>
            <w:tcW w:w="4740" w:type="dxa"/>
            <w:vAlign w:val="bottom"/>
            <w:tcBorders>
              <w:top w:val="single" w:sz="8" w:color="CCECFF"/>
            </w:tcBorders>
            <w:shd w:val="clear" w:color="auto" w:fill="CCECFF"/>
          </w:tcPr>
          <w:p>
            <w:pPr>
              <w:spacing w:after="0" w:line="155" w:lineRule="exact"/>
              <w:rPr>
                <w:sz w:val="20"/>
                <w:szCs w:val="20"/>
                <w:color w:val="auto"/>
              </w:rPr>
            </w:pPr>
            <w:r>
              <w:rPr>
                <w:rFonts w:ascii="Arial" w:cs="Arial" w:eastAsia="Arial" w:hAnsi="Arial"/>
                <w:sz w:val="14"/>
                <w:szCs w:val="14"/>
                <w:b w:val="1"/>
                <w:bCs w:val="1"/>
                <w:color w:val="auto"/>
              </w:rPr>
              <w:t>Investment income:</w:t>
            </w:r>
          </w:p>
        </w:tc>
        <w:tc>
          <w:tcPr>
            <w:tcW w:w="2860" w:type="dxa"/>
            <w:vAlign w:val="bottom"/>
            <w:tcBorders>
              <w:top w:val="single" w:sz="8" w:color="CCECFF"/>
            </w:tcBorders>
            <w:shd w:val="clear" w:color="auto" w:fill="CCECFF"/>
          </w:tcPr>
          <w:p>
            <w:pPr>
              <w:spacing w:after="0"/>
              <w:rPr>
                <w:sz w:val="13"/>
                <w:szCs w:val="13"/>
                <w:color w:val="auto"/>
              </w:rPr>
            </w:pPr>
          </w:p>
        </w:tc>
        <w:tc>
          <w:tcPr>
            <w:tcW w:w="960" w:type="dxa"/>
            <w:vAlign w:val="bottom"/>
            <w:tcBorders>
              <w:top w:val="single" w:sz="8" w:color="auto"/>
            </w:tcBorders>
            <w:shd w:val="clear" w:color="auto" w:fill="CCECFF"/>
          </w:tcPr>
          <w:p>
            <w:pPr>
              <w:spacing w:after="0"/>
              <w:rPr>
                <w:sz w:val="13"/>
                <w:szCs w:val="13"/>
                <w:color w:val="auto"/>
              </w:rPr>
            </w:pPr>
          </w:p>
        </w:tc>
        <w:tc>
          <w:tcPr>
            <w:tcW w:w="660" w:type="dxa"/>
            <w:vAlign w:val="bottom"/>
            <w:tcBorders>
              <w:top w:val="single" w:sz="8" w:color="auto"/>
            </w:tcBorders>
            <w:shd w:val="clear" w:color="auto" w:fill="CCECFF"/>
          </w:tcPr>
          <w:p>
            <w:pPr>
              <w:spacing w:after="0"/>
              <w:rPr>
                <w:sz w:val="13"/>
                <w:szCs w:val="13"/>
                <w:color w:val="auto"/>
              </w:rPr>
            </w:pPr>
          </w:p>
        </w:tc>
        <w:tc>
          <w:tcPr>
            <w:tcW w:w="160" w:type="dxa"/>
            <w:vAlign w:val="bottom"/>
            <w:tcBorders>
              <w:top w:val="single" w:sz="8" w:color="CCECFF"/>
            </w:tcBorders>
            <w:shd w:val="clear" w:color="auto" w:fill="CCECFF"/>
          </w:tcPr>
          <w:p>
            <w:pPr>
              <w:spacing w:after="0"/>
              <w:rPr>
                <w:sz w:val="13"/>
                <w:szCs w:val="13"/>
                <w:color w:val="auto"/>
              </w:rPr>
            </w:pPr>
          </w:p>
        </w:tc>
        <w:tc>
          <w:tcPr>
            <w:tcW w:w="120" w:type="dxa"/>
            <w:vAlign w:val="bottom"/>
            <w:tcBorders>
              <w:top w:val="single" w:sz="8" w:color="CCECFF"/>
            </w:tcBorders>
            <w:shd w:val="clear" w:color="auto" w:fill="CCECFF"/>
          </w:tcPr>
          <w:p>
            <w:pPr>
              <w:spacing w:after="0"/>
              <w:rPr>
                <w:sz w:val="13"/>
                <w:szCs w:val="13"/>
                <w:color w:val="auto"/>
              </w:rPr>
            </w:pPr>
          </w:p>
        </w:tc>
        <w:tc>
          <w:tcPr>
            <w:tcW w:w="980" w:type="dxa"/>
            <w:vAlign w:val="bottom"/>
            <w:tcBorders>
              <w:top w:val="single" w:sz="8" w:color="auto"/>
            </w:tcBorders>
            <w:shd w:val="clear" w:color="auto" w:fill="CCECFF"/>
          </w:tcPr>
          <w:p>
            <w:pPr>
              <w:spacing w:after="0"/>
              <w:rPr>
                <w:sz w:val="13"/>
                <w:szCs w:val="13"/>
                <w:color w:val="auto"/>
              </w:rPr>
            </w:pPr>
          </w:p>
        </w:tc>
        <w:tc>
          <w:tcPr>
            <w:tcW w:w="660" w:type="dxa"/>
            <w:vAlign w:val="bottom"/>
            <w:tcBorders>
              <w:top w:val="single" w:sz="8" w:color="auto"/>
            </w:tcBorders>
            <w:shd w:val="clear" w:color="auto" w:fill="CCECFF"/>
          </w:tcPr>
          <w:p>
            <w:pPr>
              <w:spacing w:after="0"/>
              <w:rPr>
                <w:sz w:val="13"/>
                <w:szCs w:val="13"/>
                <w:color w:val="auto"/>
              </w:rPr>
            </w:pPr>
          </w:p>
        </w:tc>
        <w:tc>
          <w:tcPr>
            <w:tcW w:w="100" w:type="dxa"/>
            <w:vAlign w:val="bottom"/>
            <w:tcBorders>
              <w:top w:val="single" w:sz="8" w:color="CCECFF"/>
            </w:tcBorders>
            <w:shd w:val="clear" w:color="auto" w:fill="CCECFF"/>
          </w:tcPr>
          <w:p>
            <w:pPr>
              <w:spacing w:after="0"/>
              <w:rPr>
                <w:sz w:val="13"/>
                <w:szCs w:val="13"/>
                <w:color w:val="auto"/>
              </w:rPr>
            </w:pPr>
          </w:p>
        </w:tc>
      </w:tr>
      <w:tr>
        <w:trPr>
          <w:trHeight w:val="162"/>
        </w:trPr>
        <w:tc>
          <w:tcPr>
            <w:tcW w:w="4740" w:type="dxa"/>
            <w:vAlign w:val="bottom"/>
          </w:tcPr>
          <w:p>
            <w:pPr>
              <w:ind w:left="260"/>
              <w:spacing w:after="0"/>
              <w:rPr>
                <w:sz w:val="20"/>
                <w:szCs w:val="20"/>
                <w:color w:val="auto"/>
              </w:rPr>
            </w:pPr>
            <w:r>
              <w:rPr>
                <w:rFonts w:ascii="Arial" w:cs="Arial" w:eastAsia="Arial" w:hAnsi="Arial"/>
                <w:sz w:val="14"/>
                <w:szCs w:val="14"/>
                <w:color w:val="auto"/>
              </w:rPr>
              <w:t>Interest</w:t>
            </w:r>
          </w:p>
        </w:tc>
        <w:tc>
          <w:tcPr>
            <w:tcW w:w="3820" w:type="dxa"/>
            <w:vAlign w:val="bottom"/>
            <w:gridSpan w:val="2"/>
          </w:tcPr>
          <w:p>
            <w:pPr>
              <w:jc w:val="right"/>
              <w:ind w:right="835"/>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w w:val="99"/>
              </w:rPr>
              <w:t>8,768,628</w:t>
            </w:r>
          </w:p>
        </w:tc>
        <w:tc>
          <w:tcPr>
            <w:tcW w:w="160" w:type="dxa"/>
            <w:vAlign w:val="bottom"/>
          </w:tcPr>
          <w:p>
            <w:pPr>
              <w:spacing w:after="0"/>
              <w:rPr>
                <w:sz w:val="14"/>
                <w:szCs w:val="14"/>
                <w:color w:val="auto"/>
              </w:rPr>
            </w:pPr>
          </w:p>
        </w:tc>
        <w:tc>
          <w:tcPr>
            <w:tcW w:w="1100" w:type="dxa"/>
            <w:vAlign w:val="bottom"/>
            <w:gridSpan w:val="2"/>
          </w:tcPr>
          <w:p>
            <w:pPr>
              <w:jc w:val="right"/>
              <w:ind w:right="828"/>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w w:val="99"/>
              </w:rPr>
              <w:t>9,541,567</w:t>
            </w:r>
          </w:p>
        </w:tc>
        <w:tc>
          <w:tcPr>
            <w:tcW w:w="100" w:type="dxa"/>
            <w:vAlign w:val="bottom"/>
          </w:tcPr>
          <w:p>
            <w:pPr>
              <w:spacing w:after="0"/>
              <w:rPr>
                <w:sz w:val="14"/>
                <w:szCs w:val="14"/>
                <w:color w:val="auto"/>
              </w:rPr>
            </w:pPr>
          </w:p>
        </w:tc>
      </w:tr>
      <w:tr>
        <w:trPr>
          <w:trHeight w:val="162"/>
        </w:trPr>
        <w:tc>
          <w:tcPr>
            <w:tcW w:w="4740" w:type="dxa"/>
            <w:vAlign w:val="bottom"/>
            <w:shd w:val="clear" w:color="auto" w:fill="CCECFF"/>
          </w:tcPr>
          <w:p>
            <w:pPr>
              <w:ind w:left="260"/>
              <w:spacing w:after="0"/>
              <w:rPr>
                <w:sz w:val="20"/>
                <w:szCs w:val="20"/>
                <w:color w:val="auto"/>
              </w:rPr>
            </w:pPr>
            <w:r>
              <w:rPr>
                <w:rFonts w:ascii="Arial" w:cs="Arial" w:eastAsia="Arial" w:hAnsi="Arial"/>
                <w:sz w:val="14"/>
                <w:szCs w:val="14"/>
                <w:color w:val="auto"/>
              </w:rPr>
              <w:t>Other income</w:t>
            </w:r>
          </w:p>
        </w:tc>
        <w:tc>
          <w:tcPr>
            <w:tcW w:w="2860" w:type="dxa"/>
            <w:vAlign w:val="bottom"/>
            <w:shd w:val="clear" w:color="auto" w:fill="CCECFF"/>
          </w:tcPr>
          <w:p>
            <w:pPr>
              <w:spacing w:after="0"/>
              <w:rPr>
                <w:sz w:val="14"/>
                <w:szCs w:val="14"/>
                <w:color w:val="auto"/>
              </w:rPr>
            </w:pPr>
          </w:p>
        </w:tc>
        <w:tc>
          <w:tcPr>
            <w:tcW w:w="960" w:type="dxa"/>
            <w:vAlign w:val="bottom"/>
            <w:shd w:val="clear" w:color="auto" w:fill="CCECFF"/>
          </w:tcPr>
          <w:p>
            <w:pPr>
              <w:spacing w:after="0"/>
              <w:rPr>
                <w:sz w:val="14"/>
                <w:szCs w:val="14"/>
                <w:color w:val="auto"/>
              </w:rPr>
            </w:pPr>
          </w:p>
        </w:tc>
        <w:tc>
          <w:tcPr>
            <w:tcW w:w="820" w:type="dxa"/>
            <w:vAlign w:val="bottom"/>
            <w:gridSpan w:val="2"/>
            <w:shd w:val="clear" w:color="auto" w:fill="CCEC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CFF"/>
          </w:tcPr>
          <w:p>
            <w:pPr>
              <w:spacing w:after="0"/>
              <w:rPr>
                <w:sz w:val="14"/>
                <w:szCs w:val="14"/>
                <w:color w:val="auto"/>
              </w:rPr>
            </w:pPr>
          </w:p>
        </w:tc>
        <w:tc>
          <w:tcPr>
            <w:tcW w:w="980" w:type="dxa"/>
            <w:vAlign w:val="bottom"/>
            <w:shd w:val="clear" w:color="auto" w:fill="CCECFF"/>
          </w:tcPr>
          <w:p>
            <w:pPr>
              <w:spacing w:after="0"/>
              <w:rPr>
                <w:sz w:val="14"/>
                <w:szCs w:val="14"/>
                <w:color w:val="auto"/>
              </w:rPr>
            </w:pPr>
          </w:p>
        </w:tc>
        <w:tc>
          <w:tcPr>
            <w:tcW w:w="6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157,913</w:t>
            </w:r>
          </w:p>
        </w:tc>
        <w:tc>
          <w:tcPr>
            <w:tcW w:w="100" w:type="dxa"/>
            <w:vAlign w:val="bottom"/>
            <w:shd w:val="clear" w:color="auto" w:fill="CCECFF"/>
          </w:tcPr>
          <w:p>
            <w:pPr>
              <w:spacing w:after="0"/>
              <w:rPr>
                <w:sz w:val="14"/>
                <w:szCs w:val="14"/>
                <w:color w:val="auto"/>
              </w:rPr>
            </w:pPr>
          </w:p>
        </w:tc>
      </w:tr>
      <w:tr>
        <w:trPr>
          <w:trHeight w:val="156"/>
        </w:trPr>
        <w:tc>
          <w:tcPr>
            <w:tcW w:w="4740" w:type="dxa"/>
            <w:vAlign w:val="bottom"/>
            <w:tcBorders>
              <w:bottom w:val="single" w:sz="8" w:color="CCECFF"/>
            </w:tcBorders>
          </w:tcPr>
          <w:p>
            <w:pPr>
              <w:ind w:left="260"/>
              <w:spacing w:after="0" w:line="155" w:lineRule="exact"/>
              <w:rPr>
                <w:sz w:val="20"/>
                <w:szCs w:val="20"/>
                <w:color w:val="auto"/>
              </w:rPr>
            </w:pPr>
            <w:r>
              <w:rPr>
                <w:rFonts w:ascii="Arial" w:cs="Arial" w:eastAsia="Arial" w:hAnsi="Arial"/>
                <w:sz w:val="14"/>
                <w:szCs w:val="14"/>
                <w:b w:val="1"/>
                <w:bCs w:val="1"/>
                <w:color w:val="auto"/>
              </w:rPr>
              <w:t>Total investment income</w:t>
            </w:r>
          </w:p>
        </w:tc>
        <w:tc>
          <w:tcPr>
            <w:tcW w:w="2860" w:type="dxa"/>
            <w:vAlign w:val="bottom"/>
            <w:tcBorders>
              <w:bottom w:val="single" w:sz="8" w:color="CCECFF"/>
            </w:tcBorders>
          </w:tcPr>
          <w:p>
            <w:pPr>
              <w:spacing w:after="0"/>
              <w:rPr>
                <w:sz w:val="13"/>
                <w:szCs w:val="13"/>
                <w:color w:val="auto"/>
              </w:rPr>
            </w:pPr>
          </w:p>
        </w:tc>
        <w:tc>
          <w:tcPr>
            <w:tcW w:w="960" w:type="dxa"/>
            <w:vAlign w:val="bottom"/>
            <w:tcBorders>
              <w:top w:val="single" w:sz="8" w:color="auto"/>
              <w:bottom w:val="single" w:sz="8" w:color="auto"/>
            </w:tcBorders>
          </w:tcPr>
          <w:p>
            <w:pPr>
              <w:spacing w:after="0"/>
              <w:rPr>
                <w:sz w:val="13"/>
                <w:szCs w:val="13"/>
                <w:color w:val="auto"/>
              </w:rPr>
            </w:pPr>
          </w:p>
        </w:tc>
        <w:tc>
          <w:tcPr>
            <w:tcW w:w="6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9"/>
              </w:rPr>
              <w:t>8,768,628</w:t>
            </w:r>
          </w:p>
        </w:tc>
        <w:tc>
          <w:tcPr>
            <w:tcW w:w="160" w:type="dxa"/>
            <w:vAlign w:val="bottom"/>
            <w:tcBorders>
              <w:bottom w:val="single" w:sz="8" w:color="CCECFF"/>
            </w:tcBorders>
          </w:tcPr>
          <w:p>
            <w:pPr>
              <w:spacing w:after="0"/>
              <w:rPr>
                <w:sz w:val="13"/>
                <w:szCs w:val="13"/>
                <w:color w:val="auto"/>
              </w:rPr>
            </w:pPr>
          </w:p>
        </w:tc>
        <w:tc>
          <w:tcPr>
            <w:tcW w:w="120" w:type="dxa"/>
            <w:vAlign w:val="bottom"/>
            <w:tcBorders>
              <w:bottom w:val="single" w:sz="8" w:color="CCECFF"/>
            </w:tcBorders>
          </w:tcPr>
          <w:p>
            <w:pPr>
              <w:spacing w:after="0"/>
              <w:rPr>
                <w:sz w:val="13"/>
                <w:szCs w:val="13"/>
                <w:color w:val="auto"/>
              </w:rPr>
            </w:pPr>
          </w:p>
        </w:tc>
        <w:tc>
          <w:tcPr>
            <w:tcW w:w="980" w:type="dxa"/>
            <w:vAlign w:val="bottom"/>
            <w:tcBorders>
              <w:top w:val="single" w:sz="8" w:color="auto"/>
              <w:bottom w:val="single" w:sz="8" w:color="auto"/>
            </w:tcBorders>
          </w:tcPr>
          <w:p>
            <w:pPr>
              <w:spacing w:after="0"/>
              <w:rPr>
                <w:sz w:val="13"/>
                <w:szCs w:val="13"/>
                <w:color w:val="auto"/>
              </w:rPr>
            </w:pPr>
          </w:p>
        </w:tc>
        <w:tc>
          <w:tcPr>
            <w:tcW w:w="6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9"/>
              </w:rPr>
              <w:t>9,699,480</w:t>
            </w:r>
          </w:p>
        </w:tc>
        <w:tc>
          <w:tcPr>
            <w:tcW w:w="100" w:type="dxa"/>
            <w:vAlign w:val="bottom"/>
            <w:tcBorders>
              <w:bottom w:val="single" w:sz="8" w:color="CCECFF"/>
            </w:tcBorders>
          </w:tcPr>
          <w:p>
            <w:pPr>
              <w:spacing w:after="0"/>
              <w:rPr>
                <w:sz w:val="13"/>
                <w:szCs w:val="13"/>
                <w:color w:val="auto"/>
              </w:rPr>
            </w:pPr>
          </w:p>
        </w:tc>
      </w:tr>
      <w:tr>
        <w:trPr>
          <w:trHeight w:val="155"/>
        </w:trPr>
        <w:tc>
          <w:tcPr>
            <w:tcW w:w="4740" w:type="dxa"/>
            <w:vAlign w:val="bottom"/>
            <w:shd w:val="clear" w:color="auto" w:fill="CCECFF"/>
          </w:tcPr>
          <w:p>
            <w:pPr>
              <w:spacing w:after="0" w:line="155" w:lineRule="exact"/>
              <w:rPr>
                <w:sz w:val="20"/>
                <w:szCs w:val="20"/>
                <w:color w:val="auto"/>
              </w:rPr>
            </w:pPr>
            <w:r>
              <w:rPr>
                <w:rFonts w:ascii="Arial" w:cs="Arial" w:eastAsia="Arial" w:hAnsi="Arial"/>
                <w:sz w:val="14"/>
                <w:szCs w:val="14"/>
                <w:b w:val="1"/>
                <w:bCs w:val="1"/>
                <w:color w:val="auto"/>
              </w:rPr>
              <w:t>Expenses:</w:t>
            </w:r>
          </w:p>
        </w:tc>
        <w:tc>
          <w:tcPr>
            <w:tcW w:w="2860" w:type="dxa"/>
            <w:vAlign w:val="bottom"/>
            <w:shd w:val="clear" w:color="auto" w:fill="CCECFF"/>
          </w:tcPr>
          <w:p>
            <w:pPr>
              <w:spacing w:after="0"/>
              <w:rPr>
                <w:sz w:val="13"/>
                <w:szCs w:val="13"/>
                <w:color w:val="auto"/>
              </w:rPr>
            </w:pPr>
          </w:p>
        </w:tc>
        <w:tc>
          <w:tcPr>
            <w:tcW w:w="960" w:type="dxa"/>
            <w:vAlign w:val="bottom"/>
            <w:shd w:val="clear" w:color="auto" w:fill="CCECFF"/>
          </w:tcPr>
          <w:p>
            <w:pPr>
              <w:spacing w:after="0"/>
              <w:rPr>
                <w:sz w:val="13"/>
                <w:szCs w:val="13"/>
                <w:color w:val="auto"/>
              </w:rPr>
            </w:pPr>
          </w:p>
        </w:tc>
        <w:tc>
          <w:tcPr>
            <w:tcW w:w="660" w:type="dxa"/>
            <w:vAlign w:val="bottom"/>
            <w:shd w:val="clear" w:color="auto" w:fill="CCECFF"/>
          </w:tcPr>
          <w:p>
            <w:pPr>
              <w:spacing w:after="0"/>
              <w:rPr>
                <w:sz w:val="13"/>
                <w:szCs w:val="13"/>
                <w:color w:val="auto"/>
              </w:rPr>
            </w:pPr>
          </w:p>
        </w:tc>
        <w:tc>
          <w:tcPr>
            <w:tcW w:w="16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980" w:type="dxa"/>
            <w:vAlign w:val="bottom"/>
            <w:shd w:val="clear" w:color="auto" w:fill="CCECFF"/>
          </w:tcPr>
          <w:p>
            <w:pPr>
              <w:spacing w:after="0"/>
              <w:rPr>
                <w:sz w:val="13"/>
                <w:szCs w:val="13"/>
                <w:color w:val="auto"/>
              </w:rPr>
            </w:pPr>
          </w:p>
        </w:tc>
        <w:tc>
          <w:tcPr>
            <w:tcW w:w="66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r>
      <w:tr>
        <w:trPr>
          <w:trHeight w:val="162"/>
        </w:trPr>
        <w:tc>
          <w:tcPr>
            <w:tcW w:w="4740" w:type="dxa"/>
            <w:vAlign w:val="bottom"/>
          </w:tcPr>
          <w:p>
            <w:pPr>
              <w:ind w:left="260"/>
              <w:spacing w:after="0"/>
              <w:rPr>
                <w:sz w:val="20"/>
                <w:szCs w:val="20"/>
                <w:color w:val="auto"/>
              </w:rPr>
            </w:pPr>
            <w:r>
              <w:rPr>
                <w:rFonts w:ascii="Arial" w:cs="Arial" w:eastAsia="Arial" w:hAnsi="Arial"/>
                <w:sz w:val="14"/>
                <w:szCs w:val="14"/>
                <w:color w:val="auto"/>
              </w:rPr>
              <w:t>Interest and expenses on PSSL Credit Facility</w:t>
            </w:r>
          </w:p>
        </w:tc>
        <w:tc>
          <w:tcPr>
            <w:tcW w:w="28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w w:val="99"/>
              </w:rPr>
              <w:t>3,606,085</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w w:val="99"/>
              </w:rPr>
              <w:t>4,087,476</w:t>
            </w:r>
          </w:p>
        </w:tc>
        <w:tc>
          <w:tcPr>
            <w:tcW w:w="100" w:type="dxa"/>
            <w:vAlign w:val="bottom"/>
          </w:tcPr>
          <w:p>
            <w:pPr>
              <w:spacing w:after="0"/>
              <w:rPr>
                <w:sz w:val="14"/>
                <w:szCs w:val="14"/>
                <w:color w:val="auto"/>
              </w:rPr>
            </w:pPr>
          </w:p>
        </w:tc>
      </w:tr>
      <w:tr>
        <w:trPr>
          <w:trHeight w:val="162"/>
        </w:trPr>
        <w:tc>
          <w:tcPr>
            <w:tcW w:w="4740" w:type="dxa"/>
            <w:vAlign w:val="bottom"/>
            <w:shd w:val="clear" w:color="auto" w:fill="CCECFF"/>
          </w:tcPr>
          <w:p>
            <w:pPr>
              <w:ind w:left="260"/>
              <w:spacing w:after="0"/>
              <w:rPr>
                <w:sz w:val="20"/>
                <w:szCs w:val="20"/>
                <w:color w:val="auto"/>
              </w:rPr>
            </w:pPr>
            <w:r>
              <w:rPr>
                <w:rFonts w:ascii="Arial" w:cs="Arial" w:eastAsia="Arial" w:hAnsi="Arial"/>
                <w:sz w:val="14"/>
                <w:szCs w:val="14"/>
                <w:color w:val="auto"/>
              </w:rPr>
              <w:t>Interest expense on notes to members</w:t>
            </w:r>
          </w:p>
        </w:tc>
        <w:tc>
          <w:tcPr>
            <w:tcW w:w="2860" w:type="dxa"/>
            <w:vAlign w:val="bottom"/>
            <w:shd w:val="clear" w:color="auto" w:fill="CCECFF"/>
          </w:tcPr>
          <w:p>
            <w:pPr>
              <w:spacing w:after="0"/>
              <w:rPr>
                <w:sz w:val="14"/>
                <w:szCs w:val="14"/>
                <w:color w:val="auto"/>
              </w:rPr>
            </w:pPr>
          </w:p>
        </w:tc>
        <w:tc>
          <w:tcPr>
            <w:tcW w:w="960" w:type="dxa"/>
            <w:vAlign w:val="bottom"/>
            <w:shd w:val="clear" w:color="auto" w:fill="CCECFF"/>
          </w:tcPr>
          <w:p>
            <w:pPr>
              <w:spacing w:after="0"/>
              <w:rPr>
                <w:sz w:val="14"/>
                <w:szCs w:val="14"/>
                <w:color w:val="auto"/>
              </w:rPr>
            </w:pPr>
          </w:p>
        </w:tc>
        <w:tc>
          <w:tcPr>
            <w:tcW w:w="660" w:type="dxa"/>
            <w:vAlign w:val="bottom"/>
            <w:shd w:val="clear" w:color="auto" w:fill="CCECFF"/>
          </w:tcPr>
          <w:p>
            <w:pPr>
              <w:jc w:val="right"/>
              <w:spacing w:after="0"/>
              <w:rPr>
                <w:sz w:val="20"/>
                <w:szCs w:val="20"/>
                <w:color w:val="auto"/>
              </w:rPr>
            </w:pPr>
            <w:r>
              <w:rPr>
                <w:rFonts w:ascii="Arial" w:cs="Arial" w:eastAsia="Arial" w:hAnsi="Arial"/>
                <w:sz w:val="14"/>
                <w:szCs w:val="14"/>
                <w:color w:val="auto"/>
                <w:w w:val="99"/>
              </w:rPr>
              <w:t>3,430,557</w:t>
            </w:r>
          </w:p>
        </w:tc>
        <w:tc>
          <w:tcPr>
            <w:tcW w:w="16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980" w:type="dxa"/>
            <w:vAlign w:val="bottom"/>
            <w:shd w:val="clear" w:color="auto" w:fill="CCECFF"/>
          </w:tcPr>
          <w:p>
            <w:pPr>
              <w:spacing w:after="0"/>
              <w:rPr>
                <w:sz w:val="14"/>
                <w:szCs w:val="14"/>
                <w:color w:val="auto"/>
              </w:rPr>
            </w:pPr>
          </w:p>
        </w:tc>
        <w:tc>
          <w:tcPr>
            <w:tcW w:w="660" w:type="dxa"/>
            <w:vAlign w:val="bottom"/>
            <w:shd w:val="clear" w:color="auto" w:fill="CCECFF"/>
          </w:tcPr>
          <w:p>
            <w:pPr>
              <w:jc w:val="right"/>
              <w:spacing w:after="0"/>
              <w:rPr>
                <w:sz w:val="20"/>
                <w:szCs w:val="20"/>
                <w:color w:val="auto"/>
              </w:rPr>
            </w:pPr>
            <w:r>
              <w:rPr>
                <w:rFonts w:ascii="Arial" w:cs="Arial" w:eastAsia="Arial" w:hAnsi="Arial"/>
                <w:sz w:val="14"/>
                <w:szCs w:val="14"/>
                <w:color w:val="auto"/>
                <w:w w:val="99"/>
              </w:rPr>
              <w:t>3,220,623</w:t>
            </w:r>
          </w:p>
        </w:tc>
        <w:tc>
          <w:tcPr>
            <w:tcW w:w="100" w:type="dxa"/>
            <w:vAlign w:val="bottom"/>
            <w:shd w:val="clear" w:color="auto" w:fill="CCECFF"/>
          </w:tcPr>
          <w:p>
            <w:pPr>
              <w:spacing w:after="0"/>
              <w:rPr>
                <w:sz w:val="14"/>
                <w:szCs w:val="14"/>
                <w:color w:val="auto"/>
              </w:rPr>
            </w:pPr>
          </w:p>
        </w:tc>
      </w:tr>
      <w:tr>
        <w:trPr>
          <w:trHeight w:val="162"/>
        </w:trPr>
        <w:tc>
          <w:tcPr>
            <w:tcW w:w="4740" w:type="dxa"/>
            <w:vAlign w:val="bottom"/>
          </w:tcPr>
          <w:p>
            <w:pPr>
              <w:ind w:left="260"/>
              <w:spacing w:after="0"/>
              <w:rPr>
                <w:sz w:val="20"/>
                <w:szCs w:val="20"/>
                <w:color w:val="auto"/>
              </w:rPr>
            </w:pPr>
            <w:r>
              <w:rPr>
                <w:rFonts w:ascii="Arial" w:cs="Arial" w:eastAsia="Arial" w:hAnsi="Arial"/>
                <w:sz w:val="14"/>
                <w:szCs w:val="14"/>
                <w:color w:val="auto"/>
              </w:rPr>
              <w:t>Administrative services expenses</w:t>
            </w:r>
          </w:p>
        </w:tc>
        <w:tc>
          <w:tcPr>
            <w:tcW w:w="28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300,000</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250,000</w:t>
            </w:r>
          </w:p>
        </w:tc>
        <w:tc>
          <w:tcPr>
            <w:tcW w:w="100" w:type="dxa"/>
            <w:vAlign w:val="bottom"/>
          </w:tcPr>
          <w:p>
            <w:pPr>
              <w:spacing w:after="0"/>
              <w:rPr>
                <w:sz w:val="14"/>
                <w:szCs w:val="14"/>
                <w:color w:val="auto"/>
              </w:rPr>
            </w:pPr>
          </w:p>
        </w:tc>
      </w:tr>
      <w:tr>
        <w:trPr>
          <w:trHeight w:val="162"/>
        </w:trPr>
        <w:tc>
          <w:tcPr>
            <w:tcW w:w="4740" w:type="dxa"/>
            <w:vAlign w:val="bottom"/>
            <w:shd w:val="clear" w:color="auto" w:fill="CCECFF"/>
          </w:tcPr>
          <w:p>
            <w:pPr>
              <w:ind w:left="260"/>
              <w:spacing w:after="0"/>
              <w:rPr>
                <w:sz w:val="20"/>
                <w:szCs w:val="20"/>
                <w:color w:val="auto"/>
              </w:rPr>
            </w:pPr>
            <w:r>
              <w:rPr>
                <w:rFonts w:ascii="Arial" w:cs="Arial" w:eastAsia="Arial" w:hAnsi="Arial"/>
                <w:sz w:val="14"/>
                <w:szCs w:val="14"/>
                <w:color w:val="auto"/>
              </w:rPr>
              <w:t xml:space="preserve">Other general and administrative expenses </w:t>
            </w:r>
            <w:r>
              <w:rPr>
                <w:rFonts w:ascii="Arial" w:cs="Arial" w:eastAsia="Arial" w:hAnsi="Arial"/>
                <w:sz w:val="12"/>
                <w:szCs w:val="12"/>
                <w:color w:val="auto"/>
              </w:rPr>
              <w:t>(1)</w:t>
            </w:r>
          </w:p>
        </w:tc>
        <w:tc>
          <w:tcPr>
            <w:tcW w:w="2860" w:type="dxa"/>
            <w:vAlign w:val="bottom"/>
            <w:shd w:val="clear" w:color="auto" w:fill="CCECFF"/>
          </w:tcPr>
          <w:p>
            <w:pPr>
              <w:spacing w:after="0"/>
              <w:rPr>
                <w:sz w:val="14"/>
                <w:szCs w:val="14"/>
                <w:color w:val="auto"/>
              </w:rPr>
            </w:pPr>
          </w:p>
        </w:tc>
        <w:tc>
          <w:tcPr>
            <w:tcW w:w="960" w:type="dxa"/>
            <w:vAlign w:val="bottom"/>
            <w:tcBorders>
              <w:bottom w:val="single" w:sz="8" w:color="auto"/>
            </w:tcBorders>
            <w:shd w:val="clear" w:color="auto" w:fill="CCECFF"/>
          </w:tcPr>
          <w:p>
            <w:pPr>
              <w:spacing w:after="0"/>
              <w:rPr>
                <w:sz w:val="14"/>
                <w:szCs w:val="14"/>
                <w:color w:val="auto"/>
              </w:rPr>
            </w:pPr>
          </w:p>
        </w:tc>
        <w:tc>
          <w:tcPr>
            <w:tcW w:w="6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113,710</w:t>
            </w:r>
          </w:p>
        </w:tc>
        <w:tc>
          <w:tcPr>
            <w:tcW w:w="16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980" w:type="dxa"/>
            <w:vAlign w:val="bottom"/>
            <w:tcBorders>
              <w:bottom w:val="single" w:sz="8" w:color="auto"/>
            </w:tcBorders>
            <w:shd w:val="clear" w:color="auto" w:fill="CCECFF"/>
          </w:tcPr>
          <w:p>
            <w:pPr>
              <w:spacing w:after="0"/>
              <w:rPr>
                <w:sz w:val="14"/>
                <w:szCs w:val="14"/>
                <w:color w:val="auto"/>
              </w:rPr>
            </w:pPr>
          </w:p>
        </w:tc>
        <w:tc>
          <w:tcPr>
            <w:tcW w:w="6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113,650</w:t>
            </w:r>
          </w:p>
        </w:tc>
        <w:tc>
          <w:tcPr>
            <w:tcW w:w="100" w:type="dxa"/>
            <w:vAlign w:val="bottom"/>
            <w:shd w:val="clear" w:color="auto" w:fill="CCECFF"/>
          </w:tcPr>
          <w:p>
            <w:pPr>
              <w:spacing w:after="0"/>
              <w:rPr>
                <w:sz w:val="14"/>
                <w:szCs w:val="14"/>
                <w:color w:val="auto"/>
              </w:rPr>
            </w:pPr>
          </w:p>
        </w:tc>
      </w:tr>
      <w:tr>
        <w:trPr>
          <w:trHeight w:val="156"/>
        </w:trPr>
        <w:tc>
          <w:tcPr>
            <w:tcW w:w="4740" w:type="dxa"/>
            <w:vAlign w:val="bottom"/>
            <w:tcBorders>
              <w:bottom w:val="single" w:sz="8" w:color="CCECFF"/>
            </w:tcBorders>
          </w:tcPr>
          <w:p>
            <w:pPr>
              <w:ind w:left="260"/>
              <w:spacing w:after="0" w:line="155" w:lineRule="exact"/>
              <w:rPr>
                <w:sz w:val="20"/>
                <w:szCs w:val="20"/>
                <w:color w:val="auto"/>
              </w:rPr>
            </w:pPr>
            <w:r>
              <w:rPr>
                <w:rFonts w:ascii="Arial" w:cs="Arial" w:eastAsia="Arial" w:hAnsi="Arial"/>
                <w:sz w:val="14"/>
                <w:szCs w:val="14"/>
                <w:b w:val="1"/>
                <w:bCs w:val="1"/>
                <w:color w:val="auto"/>
              </w:rPr>
              <w:t>Total expenses</w:t>
            </w:r>
          </w:p>
        </w:tc>
        <w:tc>
          <w:tcPr>
            <w:tcW w:w="2860" w:type="dxa"/>
            <w:vAlign w:val="bottom"/>
            <w:tcBorders>
              <w:bottom w:val="single" w:sz="8" w:color="CCECFF"/>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9"/>
              </w:rPr>
              <w:t>7,450,352</w:t>
            </w:r>
          </w:p>
        </w:tc>
        <w:tc>
          <w:tcPr>
            <w:tcW w:w="160" w:type="dxa"/>
            <w:vAlign w:val="bottom"/>
            <w:tcBorders>
              <w:bottom w:val="single" w:sz="8" w:color="CCECFF"/>
            </w:tcBorders>
          </w:tcPr>
          <w:p>
            <w:pPr>
              <w:spacing w:after="0"/>
              <w:rPr>
                <w:sz w:val="13"/>
                <w:szCs w:val="13"/>
                <w:color w:val="auto"/>
              </w:rPr>
            </w:pPr>
          </w:p>
        </w:tc>
        <w:tc>
          <w:tcPr>
            <w:tcW w:w="120" w:type="dxa"/>
            <w:vAlign w:val="bottom"/>
            <w:tcBorders>
              <w:bottom w:val="single" w:sz="8" w:color="CCECFF"/>
            </w:tcBorders>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9"/>
              </w:rPr>
              <w:t>7,671,749</w:t>
            </w:r>
          </w:p>
        </w:tc>
        <w:tc>
          <w:tcPr>
            <w:tcW w:w="100" w:type="dxa"/>
            <w:vAlign w:val="bottom"/>
            <w:tcBorders>
              <w:bottom w:val="single" w:sz="8" w:color="CCECFF"/>
            </w:tcBorders>
          </w:tcPr>
          <w:p>
            <w:pPr>
              <w:spacing w:after="0"/>
              <w:rPr>
                <w:sz w:val="13"/>
                <w:szCs w:val="13"/>
                <w:color w:val="auto"/>
              </w:rPr>
            </w:pPr>
          </w:p>
        </w:tc>
      </w:tr>
      <w:tr>
        <w:trPr>
          <w:trHeight w:val="155"/>
        </w:trPr>
        <w:tc>
          <w:tcPr>
            <w:tcW w:w="4740" w:type="dxa"/>
            <w:vAlign w:val="bottom"/>
            <w:shd w:val="clear" w:color="auto" w:fill="CCECFF"/>
          </w:tcPr>
          <w:p>
            <w:pPr>
              <w:ind w:left="260"/>
              <w:spacing w:after="0" w:line="155" w:lineRule="exact"/>
              <w:rPr>
                <w:sz w:val="20"/>
                <w:szCs w:val="20"/>
                <w:color w:val="auto"/>
              </w:rPr>
            </w:pPr>
            <w:r>
              <w:rPr>
                <w:rFonts w:ascii="Arial" w:cs="Arial" w:eastAsia="Arial" w:hAnsi="Arial"/>
                <w:sz w:val="14"/>
                <w:szCs w:val="14"/>
                <w:b w:val="1"/>
                <w:bCs w:val="1"/>
                <w:color w:val="auto"/>
              </w:rPr>
              <w:t>Net investment income</w:t>
            </w:r>
          </w:p>
        </w:tc>
        <w:tc>
          <w:tcPr>
            <w:tcW w:w="2860" w:type="dxa"/>
            <w:vAlign w:val="bottom"/>
            <w:shd w:val="clear" w:color="auto" w:fill="CCECFF"/>
          </w:tcPr>
          <w:p>
            <w:pPr>
              <w:spacing w:after="0"/>
              <w:rPr>
                <w:sz w:val="13"/>
                <w:szCs w:val="13"/>
                <w:color w:val="auto"/>
              </w:rPr>
            </w:pPr>
          </w:p>
        </w:tc>
        <w:tc>
          <w:tcPr>
            <w:tcW w:w="960" w:type="dxa"/>
            <w:vAlign w:val="bottom"/>
            <w:tcBorders>
              <w:bottom w:val="single" w:sz="8" w:color="auto"/>
            </w:tcBorders>
            <w:shd w:val="clear" w:color="auto" w:fill="CCECFF"/>
          </w:tcPr>
          <w:p>
            <w:pPr>
              <w:spacing w:after="0"/>
              <w:rPr>
                <w:sz w:val="13"/>
                <w:szCs w:val="13"/>
                <w:color w:val="auto"/>
              </w:rPr>
            </w:pPr>
          </w:p>
        </w:tc>
        <w:tc>
          <w:tcPr>
            <w:tcW w:w="66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w w:val="99"/>
              </w:rPr>
              <w:t>1,318,276</w:t>
            </w:r>
          </w:p>
        </w:tc>
        <w:tc>
          <w:tcPr>
            <w:tcW w:w="16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980" w:type="dxa"/>
            <w:vAlign w:val="bottom"/>
            <w:tcBorders>
              <w:bottom w:val="single" w:sz="8" w:color="auto"/>
            </w:tcBorders>
            <w:shd w:val="clear" w:color="auto" w:fill="CCECFF"/>
          </w:tcPr>
          <w:p>
            <w:pPr>
              <w:spacing w:after="0"/>
              <w:rPr>
                <w:sz w:val="13"/>
                <w:szCs w:val="13"/>
                <w:color w:val="auto"/>
              </w:rPr>
            </w:pPr>
          </w:p>
        </w:tc>
        <w:tc>
          <w:tcPr>
            <w:tcW w:w="66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w w:val="99"/>
              </w:rPr>
              <w:t>2,027,731</w:t>
            </w:r>
          </w:p>
        </w:tc>
        <w:tc>
          <w:tcPr>
            <w:tcW w:w="100" w:type="dxa"/>
            <w:vAlign w:val="bottom"/>
            <w:shd w:val="clear" w:color="auto" w:fill="CCECFF"/>
          </w:tcPr>
          <w:p>
            <w:pPr>
              <w:spacing w:after="0"/>
              <w:rPr>
                <w:sz w:val="13"/>
                <w:szCs w:val="13"/>
                <w:color w:val="auto"/>
              </w:rPr>
            </w:pPr>
          </w:p>
        </w:tc>
      </w:tr>
      <w:tr>
        <w:trPr>
          <w:trHeight w:val="133"/>
        </w:trPr>
        <w:tc>
          <w:tcPr>
            <w:tcW w:w="4740" w:type="dxa"/>
            <w:vAlign w:val="bottom"/>
          </w:tcPr>
          <w:p>
            <w:pPr>
              <w:spacing w:after="0" w:line="133" w:lineRule="exact"/>
              <w:rPr>
                <w:sz w:val="20"/>
                <w:szCs w:val="20"/>
                <w:color w:val="auto"/>
              </w:rPr>
            </w:pPr>
            <w:r>
              <w:rPr>
                <w:rFonts w:ascii="Arial" w:cs="Arial" w:eastAsia="Arial" w:hAnsi="Arial"/>
                <w:sz w:val="14"/>
                <w:szCs w:val="14"/>
                <w:b w:val="1"/>
                <w:bCs w:val="1"/>
                <w:color w:val="auto"/>
                <w:w w:val="92"/>
              </w:rPr>
              <w:t>Realized and unrealized gain (loss) on investments and credit facility foreign</w:t>
            </w:r>
          </w:p>
        </w:tc>
        <w:tc>
          <w:tcPr>
            <w:tcW w:w="28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71"/>
        </w:trPr>
        <w:tc>
          <w:tcPr>
            <w:tcW w:w="4740" w:type="dxa"/>
            <w:vAlign w:val="bottom"/>
          </w:tcPr>
          <w:p>
            <w:pPr>
              <w:ind w:left="120"/>
              <w:spacing w:after="0"/>
              <w:rPr>
                <w:sz w:val="20"/>
                <w:szCs w:val="20"/>
                <w:color w:val="auto"/>
              </w:rPr>
            </w:pPr>
            <w:r>
              <w:rPr>
                <w:rFonts w:ascii="Arial" w:cs="Arial" w:eastAsia="Arial" w:hAnsi="Arial"/>
                <w:sz w:val="14"/>
                <w:szCs w:val="14"/>
                <w:b w:val="1"/>
                <w:bCs w:val="1"/>
                <w:color w:val="auto"/>
              </w:rPr>
              <w:t>currency translations:</w:t>
            </w:r>
          </w:p>
        </w:tc>
        <w:tc>
          <w:tcPr>
            <w:tcW w:w="28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4740" w:type="dxa"/>
            <w:vAlign w:val="bottom"/>
            <w:shd w:val="clear" w:color="auto" w:fill="CCECFF"/>
          </w:tcPr>
          <w:p>
            <w:pPr>
              <w:spacing w:after="0"/>
              <w:rPr>
                <w:sz w:val="20"/>
                <w:szCs w:val="20"/>
                <w:color w:val="auto"/>
              </w:rPr>
            </w:pPr>
            <w:r>
              <w:rPr>
                <w:rFonts w:ascii="Arial" w:cs="Arial" w:eastAsia="Arial" w:hAnsi="Arial"/>
                <w:sz w:val="14"/>
                <w:szCs w:val="14"/>
                <w:color w:val="auto"/>
              </w:rPr>
              <w:t>Net realized gain on investments</w:t>
            </w:r>
          </w:p>
        </w:tc>
        <w:tc>
          <w:tcPr>
            <w:tcW w:w="2860" w:type="dxa"/>
            <w:vAlign w:val="bottom"/>
            <w:shd w:val="clear" w:color="auto" w:fill="CCECFF"/>
          </w:tcPr>
          <w:p>
            <w:pPr>
              <w:spacing w:after="0"/>
              <w:rPr>
                <w:sz w:val="14"/>
                <w:szCs w:val="14"/>
                <w:color w:val="auto"/>
              </w:rPr>
            </w:pPr>
          </w:p>
        </w:tc>
        <w:tc>
          <w:tcPr>
            <w:tcW w:w="960" w:type="dxa"/>
            <w:vAlign w:val="bottom"/>
            <w:shd w:val="clear" w:color="auto" w:fill="CCECFF"/>
          </w:tcPr>
          <w:p>
            <w:pPr>
              <w:spacing w:after="0"/>
              <w:rPr>
                <w:sz w:val="14"/>
                <w:szCs w:val="14"/>
                <w:color w:val="auto"/>
              </w:rPr>
            </w:pPr>
          </w:p>
        </w:tc>
        <w:tc>
          <w:tcPr>
            <w:tcW w:w="6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452,477</w:t>
            </w:r>
          </w:p>
        </w:tc>
        <w:tc>
          <w:tcPr>
            <w:tcW w:w="16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980" w:type="dxa"/>
            <w:vAlign w:val="bottom"/>
            <w:shd w:val="clear" w:color="auto" w:fill="CCECFF"/>
          </w:tcPr>
          <w:p>
            <w:pPr>
              <w:spacing w:after="0"/>
              <w:rPr>
                <w:sz w:val="14"/>
                <w:szCs w:val="14"/>
                <w:color w:val="auto"/>
              </w:rPr>
            </w:pPr>
          </w:p>
        </w:tc>
        <w:tc>
          <w:tcPr>
            <w:tcW w:w="6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258,233</w:t>
            </w:r>
          </w:p>
        </w:tc>
        <w:tc>
          <w:tcPr>
            <w:tcW w:w="100" w:type="dxa"/>
            <w:vAlign w:val="bottom"/>
            <w:shd w:val="clear" w:color="auto" w:fill="CCECFF"/>
          </w:tcPr>
          <w:p>
            <w:pPr>
              <w:spacing w:after="0"/>
              <w:rPr>
                <w:sz w:val="14"/>
                <w:szCs w:val="14"/>
                <w:color w:val="auto"/>
              </w:rPr>
            </w:pPr>
          </w:p>
        </w:tc>
      </w:tr>
      <w:tr>
        <w:trPr>
          <w:trHeight w:val="162"/>
        </w:trPr>
        <w:tc>
          <w:tcPr>
            <w:tcW w:w="4740" w:type="dxa"/>
            <w:vAlign w:val="bottom"/>
          </w:tcPr>
          <w:p>
            <w:pPr>
              <w:spacing w:after="0"/>
              <w:rPr>
                <w:sz w:val="20"/>
                <w:szCs w:val="20"/>
                <w:color w:val="auto"/>
              </w:rPr>
            </w:pPr>
            <w:r>
              <w:rPr>
                <w:rFonts w:ascii="Arial" w:cs="Arial" w:eastAsia="Arial" w:hAnsi="Arial"/>
                <w:sz w:val="14"/>
                <w:szCs w:val="14"/>
                <w:color w:val="auto"/>
              </w:rPr>
              <w:t>Net change in unrealized appreciation (depreciation) on:</w:t>
            </w:r>
          </w:p>
        </w:tc>
        <w:tc>
          <w:tcPr>
            <w:tcW w:w="28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4740" w:type="dxa"/>
            <w:vAlign w:val="bottom"/>
            <w:shd w:val="clear" w:color="auto" w:fill="CCECFF"/>
          </w:tcPr>
          <w:p>
            <w:pPr>
              <w:ind w:left="260"/>
              <w:spacing w:after="0"/>
              <w:rPr>
                <w:sz w:val="20"/>
                <w:szCs w:val="20"/>
                <w:color w:val="auto"/>
              </w:rPr>
            </w:pPr>
            <w:r>
              <w:rPr>
                <w:rFonts w:ascii="Arial" w:cs="Arial" w:eastAsia="Arial" w:hAnsi="Arial"/>
                <w:sz w:val="14"/>
                <w:szCs w:val="14"/>
                <w:color w:val="auto"/>
              </w:rPr>
              <w:t>Investments</w:t>
            </w:r>
          </w:p>
        </w:tc>
        <w:tc>
          <w:tcPr>
            <w:tcW w:w="2860" w:type="dxa"/>
            <w:vAlign w:val="bottom"/>
            <w:shd w:val="clear" w:color="auto" w:fill="CCECFF"/>
          </w:tcPr>
          <w:p>
            <w:pPr>
              <w:spacing w:after="0"/>
              <w:rPr>
                <w:sz w:val="14"/>
                <w:szCs w:val="14"/>
                <w:color w:val="auto"/>
              </w:rPr>
            </w:pPr>
          </w:p>
        </w:tc>
        <w:tc>
          <w:tcPr>
            <w:tcW w:w="960" w:type="dxa"/>
            <w:vAlign w:val="bottom"/>
            <w:shd w:val="clear" w:color="auto" w:fill="CCECFF"/>
          </w:tcPr>
          <w:p>
            <w:pPr>
              <w:spacing w:after="0"/>
              <w:rPr>
                <w:sz w:val="14"/>
                <w:szCs w:val="14"/>
                <w:color w:val="auto"/>
              </w:rPr>
            </w:pPr>
          </w:p>
        </w:tc>
        <w:tc>
          <w:tcPr>
            <w:tcW w:w="660" w:type="dxa"/>
            <w:vAlign w:val="bottom"/>
            <w:shd w:val="clear" w:color="auto" w:fill="CCECFF"/>
          </w:tcPr>
          <w:p>
            <w:pPr>
              <w:jc w:val="right"/>
              <w:spacing w:after="0"/>
              <w:rPr>
                <w:sz w:val="20"/>
                <w:szCs w:val="20"/>
                <w:color w:val="auto"/>
              </w:rPr>
            </w:pPr>
            <w:r>
              <w:rPr>
                <w:rFonts w:ascii="Arial" w:cs="Arial" w:eastAsia="Arial" w:hAnsi="Arial"/>
                <w:sz w:val="14"/>
                <w:szCs w:val="14"/>
                <w:color w:val="auto"/>
                <w:w w:val="99"/>
              </w:rPr>
              <w:t>1,078,789</w:t>
            </w:r>
          </w:p>
        </w:tc>
        <w:tc>
          <w:tcPr>
            <w:tcW w:w="16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980" w:type="dxa"/>
            <w:vAlign w:val="bottom"/>
            <w:shd w:val="clear" w:color="auto" w:fill="CCECFF"/>
          </w:tcPr>
          <w:p>
            <w:pPr>
              <w:spacing w:after="0"/>
              <w:rPr>
                <w:sz w:val="14"/>
                <w:szCs w:val="14"/>
                <w:color w:val="auto"/>
              </w:rPr>
            </w:pPr>
          </w:p>
        </w:tc>
        <w:tc>
          <w:tcPr>
            <w:tcW w:w="760" w:type="dxa"/>
            <w:vAlign w:val="bottom"/>
            <w:gridSpan w:val="2"/>
            <w:shd w:val="clear" w:color="auto" w:fill="CCECFF"/>
          </w:tcPr>
          <w:p>
            <w:pPr>
              <w:jc w:val="right"/>
              <w:ind w:right="60"/>
              <w:spacing w:after="0"/>
              <w:rPr>
                <w:sz w:val="20"/>
                <w:szCs w:val="20"/>
                <w:color w:val="auto"/>
              </w:rPr>
            </w:pPr>
            <w:r>
              <w:rPr>
                <w:rFonts w:ascii="Arial" w:cs="Arial" w:eastAsia="Arial" w:hAnsi="Arial"/>
                <w:sz w:val="14"/>
                <w:szCs w:val="14"/>
                <w:color w:val="auto"/>
                <w:w w:val="94"/>
              </w:rPr>
              <w:t>(4,035,710)</w:t>
            </w:r>
          </w:p>
        </w:tc>
      </w:tr>
      <w:tr>
        <w:trPr>
          <w:trHeight w:val="162"/>
        </w:trPr>
        <w:tc>
          <w:tcPr>
            <w:tcW w:w="4740" w:type="dxa"/>
            <w:vAlign w:val="bottom"/>
          </w:tcPr>
          <w:p>
            <w:pPr>
              <w:ind w:left="260"/>
              <w:spacing w:after="0"/>
              <w:rPr>
                <w:sz w:val="20"/>
                <w:szCs w:val="20"/>
                <w:color w:val="auto"/>
              </w:rPr>
            </w:pPr>
            <w:r>
              <w:rPr>
                <w:rFonts w:ascii="Arial" w:cs="Arial" w:eastAsia="Arial" w:hAnsi="Arial"/>
                <w:sz w:val="14"/>
                <w:szCs w:val="14"/>
                <w:color w:val="auto"/>
              </w:rPr>
              <w:t>Credit facility (appreciation) depreciation of foreign currency translations</w:t>
            </w:r>
          </w:p>
        </w:tc>
        <w:tc>
          <w:tcPr>
            <w:tcW w:w="28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4"/>
                <w:szCs w:val="14"/>
                <w:color w:val="auto"/>
                <w:w w:val="94"/>
              </w:rPr>
              <w:t>(1,325,522)</w:t>
            </w: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847,498</w:t>
            </w:r>
          </w:p>
        </w:tc>
        <w:tc>
          <w:tcPr>
            <w:tcW w:w="100" w:type="dxa"/>
            <w:vAlign w:val="bottom"/>
          </w:tcPr>
          <w:p>
            <w:pPr>
              <w:spacing w:after="0"/>
              <w:rPr>
                <w:sz w:val="14"/>
                <w:szCs w:val="14"/>
                <w:color w:val="auto"/>
              </w:rPr>
            </w:pPr>
          </w:p>
        </w:tc>
      </w:tr>
      <w:tr>
        <w:trPr>
          <w:trHeight w:val="133"/>
        </w:trPr>
        <w:tc>
          <w:tcPr>
            <w:tcW w:w="4740" w:type="dxa"/>
            <w:vAlign w:val="bottom"/>
            <w:tcBorders>
              <w:top w:val="single" w:sz="8" w:color="CCECFF"/>
            </w:tcBorders>
            <w:shd w:val="clear" w:color="auto" w:fill="CCECFF"/>
          </w:tcPr>
          <w:p>
            <w:pPr>
              <w:ind w:left="260"/>
              <w:spacing w:after="0" w:line="133" w:lineRule="exact"/>
              <w:rPr>
                <w:sz w:val="20"/>
                <w:szCs w:val="20"/>
                <w:color w:val="auto"/>
              </w:rPr>
            </w:pPr>
            <w:r>
              <w:rPr>
                <w:rFonts w:ascii="Arial" w:cs="Arial" w:eastAsia="Arial" w:hAnsi="Arial"/>
                <w:sz w:val="14"/>
                <w:szCs w:val="14"/>
                <w:b w:val="1"/>
                <w:bCs w:val="1"/>
                <w:color w:val="auto"/>
                <w:w w:val="92"/>
              </w:rPr>
              <w:t>Net change in unrealized appreciation (depreciation) on investments and</w:t>
            </w:r>
          </w:p>
        </w:tc>
        <w:tc>
          <w:tcPr>
            <w:tcW w:w="2860" w:type="dxa"/>
            <w:vAlign w:val="bottom"/>
            <w:tcBorders>
              <w:top w:val="single" w:sz="8" w:color="CCECFF"/>
            </w:tcBorders>
            <w:shd w:val="clear" w:color="auto" w:fill="CCECFF"/>
          </w:tcPr>
          <w:p>
            <w:pPr>
              <w:spacing w:after="0"/>
              <w:rPr>
                <w:sz w:val="11"/>
                <w:szCs w:val="11"/>
                <w:color w:val="auto"/>
              </w:rPr>
            </w:pPr>
          </w:p>
        </w:tc>
        <w:tc>
          <w:tcPr>
            <w:tcW w:w="960" w:type="dxa"/>
            <w:vAlign w:val="bottom"/>
            <w:tcBorders>
              <w:top w:val="single" w:sz="8" w:color="auto"/>
            </w:tcBorders>
            <w:shd w:val="clear" w:color="auto" w:fill="CCECFF"/>
          </w:tcPr>
          <w:p>
            <w:pPr>
              <w:spacing w:after="0"/>
              <w:rPr>
                <w:sz w:val="11"/>
                <w:szCs w:val="11"/>
                <w:color w:val="auto"/>
              </w:rPr>
            </w:pPr>
          </w:p>
        </w:tc>
        <w:tc>
          <w:tcPr>
            <w:tcW w:w="660" w:type="dxa"/>
            <w:vAlign w:val="bottom"/>
            <w:tcBorders>
              <w:top w:val="single" w:sz="8" w:color="auto"/>
            </w:tcBorders>
            <w:shd w:val="clear" w:color="auto" w:fill="CCECFF"/>
          </w:tcPr>
          <w:p>
            <w:pPr>
              <w:spacing w:after="0"/>
              <w:rPr>
                <w:sz w:val="11"/>
                <w:szCs w:val="11"/>
                <w:color w:val="auto"/>
              </w:rPr>
            </w:pPr>
          </w:p>
        </w:tc>
        <w:tc>
          <w:tcPr>
            <w:tcW w:w="160" w:type="dxa"/>
            <w:vAlign w:val="bottom"/>
            <w:tcBorders>
              <w:top w:val="single" w:sz="8" w:color="CCECFF"/>
            </w:tcBorders>
            <w:shd w:val="clear" w:color="auto" w:fill="CCECFF"/>
          </w:tcPr>
          <w:p>
            <w:pPr>
              <w:spacing w:after="0"/>
              <w:rPr>
                <w:sz w:val="11"/>
                <w:szCs w:val="11"/>
                <w:color w:val="auto"/>
              </w:rPr>
            </w:pPr>
          </w:p>
        </w:tc>
        <w:tc>
          <w:tcPr>
            <w:tcW w:w="120" w:type="dxa"/>
            <w:vAlign w:val="bottom"/>
            <w:tcBorders>
              <w:top w:val="single" w:sz="8" w:color="CCECFF"/>
            </w:tcBorders>
            <w:shd w:val="clear" w:color="auto" w:fill="CCECFF"/>
          </w:tcPr>
          <w:p>
            <w:pPr>
              <w:spacing w:after="0"/>
              <w:rPr>
                <w:sz w:val="11"/>
                <w:szCs w:val="11"/>
                <w:color w:val="auto"/>
              </w:rPr>
            </w:pPr>
          </w:p>
        </w:tc>
        <w:tc>
          <w:tcPr>
            <w:tcW w:w="980" w:type="dxa"/>
            <w:vAlign w:val="bottom"/>
            <w:tcBorders>
              <w:top w:val="single" w:sz="8" w:color="auto"/>
            </w:tcBorders>
            <w:shd w:val="clear" w:color="auto" w:fill="CCECFF"/>
          </w:tcPr>
          <w:p>
            <w:pPr>
              <w:spacing w:after="0"/>
              <w:rPr>
                <w:sz w:val="11"/>
                <w:szCs w:val="11"/>
                <w:color w:val="auto"/>
              </w:rPr>
            </w:pPr>
          </w:p>
        </w:tc>
        <w:tc>
          <w:tcPr>
            <w:tcW w:w="660" w:type="dxa"/>
            <w:vAlign w:val="bottom"/>
            <w:tcBorders>
              <w:top w:val="single" w:sz="8" w:color="auto"/>
            </w:tcBorders>
            <w:shd w:val="clear" w:color="auto" w:fill="CCECFF"/>
          </w:tcPr>
          <w:p>
            <w:pPr>
              <w:spacing w:after="0"/>
              <w:rPr>
                <w:sz w:val="11"/>
                <w:szCs w:val="11"/>
                <w:color w:val="auto"/>
              </w:rPr>
            </w:pPr>
          </w:p>
        </w:tc>
        <w:tc>
          <w:tcPr>
            <w:tcW w:w="100" w:type="dxa"/>
            <w:vAlign w:val="bottom"/>
            <w:tcBorders>
              <w:top w:val="single" w:sz="8" w:color="CCECFF"/>
            </w:tcBorders>
            <w:shd w:val="clear" w:color="auto" w:fill="CCECFF"/>
          </w:tcPr>
          <w:p>
            <w:pPr>
              <w:spacing w:after="0"/>
              <w:rPr>
                <w:sz w:val="11"/>
                <w:szCs w:val="11"/>
                <w:color w:val="auto"/>
              </w:rPr>
            </w:pPr>
          </w:p>
        </w:tc>
      </w:tr>
      <w:tr>
        <w:trPr>
          <w:trHeight w:val="171"/>
        </w:trPr>
        <w:tc>
          <w:tcPr>
            <w:tcW w:w="4740" w:type="dxa"/>
            <w:vAlign w:val="bottom"/>
            <w:shd w:val="clear" w:color="auto" w:fill="CCECFF"/>
          </w:tcPr>
          <w:p>
            <w:pPr>
              <w:ind w:left="360"/>
              <w:spacing w:after="0"/>
              <w:rPr>
                <w:sz w:val="20"/>
                <w:szCs w:val="20"/>
                <w:color w:val="auto"/>
              </w:rPr>
            </w:pPr>
            <w:r>
              <w:rPr>
                <w:rFonts w:ascii="Arial" w:cs="Arial" w:eastAsia="Arial" w:hAnsi="Arial"/>
                <w:sz w:val="14"/>
                <w:szCs w:val="14"/>
                <w:b w:val="1"/>
                <w:bCs w:val="1"/>
                <w:color w:val="auto"/>
              </w:rPr>
              <w:t>credit facility foreign currency translations</w:t>
            </w:r>
          </w:p>
        </w:tc>
        <w:tc>
          <w:tcPr>
            <w:tcW w:w="2860" w:type="dxa"/>
            <w:vAlign w:val="bottom"/>
            <w:shd w:val="clear" w:color="auto" w:fill="CCECFF"/>
          </w:tcPr>
          <w:p>
            <w:pPr>
              <w:spacing w:after="0"/>
              <w:rPr>
                <w:sz w:val="14"/>
                <w:szCs w:val="14"/>
                <w:color w:val="auto"/>
              </w:rPr>
            </w:pPr>
          </w:p>
        </w:tc>
        <w:tc>
          <w:tcPr>
            <w:tcW w:w="960" w:type="dxa"/>
            <w:vAlign w:val="bottom"/>
            <w:shd w:val="clear" w:color="auto" w:fill="CCECFF"/>
          </w:tcPr>
          <w:p>
            <w:pPr>
              <w:spacing w:after="0"/>
              <w:rPr>
                <w:sz w:val="14"/>
                <w:szCs w:val="14"/>
                <w:color w:val="auto"/>
              </w:rPr>
            </w:pPr>
          </w:p>
        </w:tc>
        <w:tc>
          <w:tcPr>
            <w:tcW w:w="820" w:type="dxa"/>
            <w:vAlign w:val="bottom"/>
            <w:gridSpan w:val="2"/>
            <w:shd w:val="clear" w:color="auto" w:fill="CCECFF"/>
          </w:tcPr>
          <w:p>
            <w:pPr>
              <w:jc w:val="right"/>
              <w:ind w:right="120"/>
              <w:spacing w:after="0"/>
              <w:rPr>
                <w:sz w:val="20"/>
                <w:szCs w:val="20"/>
                <w:color w:val="auto"/>
              </w:rPr>
            </w:pPr>
            <w:r>
              <w:rPr>
                <w:rFonts w:ascii="Arial" w:cs="Arial" w:eastAsia="Arial" w:hAnsi="Arial"/>
                <w:sz w:val="14"/>
                <w:szCs w:val="14"/>
                <w:color w:val="auto"/>
              </w:rPr>
              <w:t>(246,733)</w:t>
            </w:r>
          </w:p>
        </w:tc>
        <w:tc>
          <w:tcPr>
            <w:tcW w:w="120" w:type="dxa"/>
            <w:vAlign w:val="bottom"/>
            <w:shd w:val="clear" w:color="auto" w:fill="CCECFF"/>
          </w:tcPr>
          <w:p>
            <w:pPr>
              <w:spacing w:after="0"/>
              <w:rPr>
                <w:sz w:val="14"/>
                <w:szCs w:val="14"/>
                <w:color w:val="auto"/>
              </w:rPr>
            </w:pPr>
          </w:p>
        </w:tc>
        <w:tc>
          <w:tcPr>
            <w:tcW w:w="980" w:type="dxa"/>
            <w:vAlign w:val="bottom"/>
            <w:shd w:val="clear" w:color="auto" w:fill="CCECFF"/>
          </w:tcPr>
          <w:p>
            <w:pPr>
              <w:spacing w:after="0"/>
              <w:rPr>
                <w:sz w:val="14"/>
                <w:szCs w:val="14"/>
                <w:color w:val="auto"/>
              </w:rPr>
            </w:pPr>
          </w:p>
        </w:tc>
        <w:tc>
          <w:tcPr>
            <w:tcW w:w="760" w:type="dxa"/>
            <w:vAlign w:val="bottom"/>
            <w:gridSpan w:val="2"/>
            <w:shd w:val="clear" w:color="auto" w:fill="CCECFF"/>
          </w:tcPr>
          <w:p>
            <w:pPr>
              <w:jc w:val="right"/>
              <w:ind w:right="60"/>
              <w:spacing w:after="0"/>
              <w:rPr>
                <w:sz w:val="20"/>
                <w:szCs w:val="20"/>
                <w:color w:val="auto"/>
              </w:rPr>
            </w:pPr>
            <w:r>
              <w:rPr>
                <w:rFonts w:ascii="Arial" w:cs="Arial" w:eastAsia="Arial" w:hAnsi="Arial"/>
                <w:sz w:val="14"/>
                <w:szCs w:val="14"/>
                <w:color w:val="auto"/>
                <w:w w:val="94"/>
              </w:rPr>
              <w:t>(3,188,212)</w:t>
            </w:r>
          </w:p>
        </w:tc>
      </w:tr>
      <w:tr>
        <w:trPr>
          <w:trHeight w:val="133"/>
        </w:trPr>
        <w:tc>
          <w:tcPr>
            <w:tcW w:w="4740" w:type="dxa"/>
            <w:vAlign w:val="bottom"/>
          </w:tcPr>
          <w:p>
            <w:pPr>
              <w:spacing w:after="0" w:line="133" w:lineRule="exact"/>
              <w:rPr>
                <w:sz w:val="20"/>
                <w:szCs w:val="20"/>
                <w:color w:val="auto"/>
              </w:rPr>
            </w:pPr>
            <w:r>
              <w:rPr>
                <w:rFonts w:ascii="Arial" w:cs="Arial" w:eastAsia="Arial" w:hAnsi="Arial"/>
                <w:sz w:val="14"/>
                <w:szCs w:val="14"/>
                <w:b w:val="1"/>
                <w:bCs w:val="1"/>
                <w:color w:val="auto"/>
                <w:w w:val="95"/>
              </w:rPr>
              <w:t>Net realized and unrealized gain (loss) from investments and credit facility</w:t>
            </w:r>
          </w:p>
        </w:tc>
        <w:tc>
          <w:tcPr>
            <w:tcW w:w="2860" w:type="dxa"/>
            <w:vAlign w:val="bottom"/>
          </w:tcPr>
          <w:p>
            <w:pPr>
              <w:spacing w:after="0"/>
              <w:rPr>
                <w:sz w:val="11"/>
                <w:szCs w:val="11"/>
                <w:color w:val="auto"/>
              </w:rPr>
            </w:pPr>
          </w:p>
        </w:tc>
        <w:tc>
          <w:tcPr>
            <w:tcW w:w="96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r>
      <w:tr>
        <w:trPr>
          <w:trHeight w:val="171"/>
        </w:trPr>
        <w:tc>
          <w:tcPr>
            <w:tcW w:w="4740" w:type="dxa"/>
            <w:vAlign w:val="bottom"/>
          </w:tcPr>
          <w:p>
            <w:pPr>
              <w:ind w:left="120"/>
              <w:spacing w:after="0"/>
              <w:rPr>
                <w:sz w:val="20"/>
                <w:szCs w:val="20"/>
                <w:color w:val="auto"/>
              </w:rPr>
            </w:pPr>
            <w:r>
              <w:rPr>
                <w:rFonts w:ascii="Arial" w:cs="Arial" w:eastAsia="Arial" w:hAnsi="Arial"/>
                <w:sz w:val="14"/>
                <w:szCs w:val="14"/>
                <w:b w:val="1"/>
                <w:bCs w:val="1"/>
                <w:color w:val="auto"/>
              </w:rPr>
              <w:t>foreign currency translations</w:t>
            </w:r>
          </w:p>
        </w:tc>
        <w:tc>
          <w:tcPr>
            <w:tcW w:w="28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205,744</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4"/>
                <w:szCs w:val="14"/>
                <w:color w:val="auto"/>
                <w:w w:val="94"/>
              </w:rPr>
              <w:t>(2,929,979)</w:t>
            </w:r>
          </w:p>
        </w:tc>
      </w:tr>
      <w:tr>
        <w:trPr>
          <w:trHeight w:val="156"/>
        </w:trPr>
        <w:tc>
          <w:tcPr>
            <w:tcW w:w="4740" w:type="dxa"/>
            <w:vAlign w:val="bottom"/>
            <w:tcBorders>
              <w:top w:val="single" w:sz="8" w:color="CCECFF"/>
              <w:bottom w:val="single" w:sz="8" w:color="CCECFF"/>
            </w:tcBorders>
            <w:shd w:val="clear" w:color="auto" w:fill="CCECFF"/>
          </w:tcPr>
          <w:p>
            <w:pPr>
              <w:spacing w:after="0" w:line="155" w:lineRule="exact"/>
              <w:rPr>
                <w:sz w:val="20"/>
                <w:szCs w:val="20"/>
                <w:color w:val="auto"/>
              </w:rPr>
            </w:pPr>
            <w:r>
              <w:rPr>
                <w:rFonts w:ascii="Arial" w:cs="Arial" w:eastAsia="Arial" w:hAnsi="Arial"/>
                <w:sz w:val="14"/>
                <w:szCs w:val="14"/>
                <w:b w:val="1"/>
                <w:bCs w:val="1"/>
                <w:color w:val="auto"/>
              </w:rPr>
              <w:t>Net increase in members' equity resulting from operations</w:t>
            </w:r>
          </w:p>
        </w:tc>
        <w:tc>
          <w:tcPr>
            <w:tcW w:w="2860" w:type="dxa"/>
            <w:vAlign w:val="bottom"/>
            <w:tcBorders>
              <w:top w:val="single" w:sz="8" w:color="CCECFF"/>
              <w:bottom w:val="single" w:sz="8" w:color="CCECFF"/>
            </w:tcBorders>
            <w:shd w:val="clear" w:color="auto" w:fill="CCECFF"/>
          </w:tcPr>
          <w:p>
            <w:pPr>
              <w:spacing w:after="0"/>
              <w:rPr>
                <w:sz w:val="13"/>
                <w:szCs w:val="13"/>
                <w:color w:val="auto"/>
              </w:rPr>
            </w:pPr>
          </w:p>
        </w:tc>
        <w:tc>
          <w:tcPr>
            <w:tcW w:w="960" w:type="dxa"/>
            <w:vAlign w:val="bottom"/>
            <w:tcBorders>
              <w:top w:val="single" w:sz="8" w:color="auto"/>
              <w:bottom w:val="single" w:sz="8" w:color="auto"/>
            </w:tcBorders>
            <w:shd w:val="clear" w:color="auto" w:fill="CCECFF"/>
          </w:tcPr>
          <w:p>
            <w:pPr>
              <w:jc w:val="right"/>
              <w:ind w:right="835"/>
              <w:spacing w:after="0"/>
              <w:rPr>
                <w:sz w:val="20"/>
                <w:szCs w:val="20"/>
                <w:color w:val="auto"/>
              </w:rPr>
            </w:pPr>
            <w:r>
              <w:rPr>
                <w:rFonts w:ascii="Arial" w:cs="Arial" w:eastAsia="Arial" w:hAnsi="Arial"/>
                <w:sz w:val="10"/>
                <w:szCs w:val="10"/>
                <w:color w:val="auto"/>
                <w:w w:val="71"/>
              </w:rPr>
              <w:t>$</w:t>
            </w:r>
          </w:p>
        </w:tc>
        <w:tc>
          <w:tcPr>
            <w:tcW w:w="66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w w:val="99"/>
              </w:rPr>
              <w:t>1,524,020</w:t>
            </w:r>
          </w:p>
        </w:tc>
        <w:tc>
          <w:tcPr>
            <w:tcW w:w="160" w:type="dxa"/>
            <w:vAlign w:val="bottom"/>
            <w:tcBorders>
              <w:top w:val="single" w:sz="8" w:color="CCECFF"/>
              <w:bottom w:val="single" w:sz="8" w:color="CCECFF"/>
            </w:tcBorders>
            <w:shd w:val="clear" w:color="auto" w:fill="CCECFF"/>
          </w:tcPr>
          <w:p>
            <w:pPr>
              <w:spacing w:after="0"/>
              <w:rPr>
                <w:sz w:val="13"/>
                <w:szCs w:val="13"/>
                <w:color w:val="auto"/>
              </w:rPr>
            </w:pPr>
          </w:p>
        </w:tc>
        <w:tc>
          <w:tcPr>
            <w:tcW w:w="120" w:type="dxa"/>
            <w:vAlign w:val="bottom"/>
            <w:tcBorders>
              <w:top w:val="single" w:sz="8" w:color="CCECFF"/>
              <w:bottom w:val="single" w:sz="8" w:color="CCECFF"/>
            </w:tcBorders>
            <w:shd w:val="clear" w:color="auto" w:fill="CCECFF"/>
          </w:tcPr>
          <w:p>
            <w:pPr>
              <w:spacing w:after="0"/>
              <w:rPr>
                <w:sz w:val="13"/>
                <w:szCs w:val="13"/>
                <w:color w:val="auto"/>
              </w:rPr>
            </w:pPr>
          </w:p>
        </w:tc>
        <w:tc>
          <w:tcPr>
            <w:tcW w:w="980" w:type="dxa"/>
            <w:vAlign w:val="bottom"/>
            <w:tcBorders>
              <w:top w:val="single" w:sz="8" w:color="auto"/>
              <w:bottom w:val="single" w:sz="8" w:color="auto"/>
            </w:tcBorders>
            <w:shd w:val="clear" w:color="auto" w:fill="CCECFF"/>
          </w:tcPr>
          <w:p>
            <w:pPr>
              <w:jc w:val="right"/>
              <w:ind w:right="828"/>
              <w:spacing w:after="0" w:line="155" w:lineRule="exact"/>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(902,248)</w:t>
            </w:r>
          </w:p>
        </w:tc>
        <w:tc>
          <w:tcPr>
            <w:tcW w:w="100" w:type="dxa"/>
            <w:vAlign w:val="bottom"/>
            <w:tcBorders>
              <w:top w:val="single" w:sz="8" w:color="CCECFF"/>
              <w:bottom w:val="single" w:sz="8" w:color="CCECFF"/>
            </w:tcBorders>
            <w:shd w:val="clear" w:color="auto" w:fill="CCECFF"/>
          </w:tcPr>
          <w:p>
            <w:pPr>
              <w:spacing w:after="0"/>
              <w:rPr>
                <w:sz w:val="13"/>
                <w:szCs w:val="13"/>
                <w:color w:val="auto"/>
              </w:rPr>
            </w:pPr>
          </w:p>
        </w:tc>
      </w:tr>
      <w:tr>
        <w:trPr>
          <w:trHeight w:val="20"/>
        </w:trPr>
        <w:tc>
          <w:tcPr>
            <w:tcW w:w="474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185991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859915" cy="8255"/>
                    </a:xfrm>
                    <a:prstGeom prst="rect">
                      <a:avLst/>
                    </a:prstGeom>
                    <a:noFill/>
                  </pic:spPr>
                </pic:pic>
              </a:graphicData>
            </a:graphic>
          </wp:anchor>
        </w:drawing>
      </w:r>
    </w:p>
    <w:p>
      <w:pPr>
        <w:spacing w:after="0" w:line="150" w:lineRule="exact"/>
        <w:rPr>
          <w:sz w:val="20"/>
          <w:szCs w:val="20"/>
          <w:color w:val="auto"/>
        </w:rPr>
      </w:pPr>
    </w:p>
    <w:p>
      <w:pPr>
        <w:ind w:left="380" w:hanging="372"/>
        <w:spacing w:after="0"/>
        <w:tabs>
          <w:tab w:leader="none" w:pos="380" w:val="left"/>
        </w:tabs>
        <w:numPr>
          <w:ilvl w:val="0"/>
          <w:numId w:val="10"/>
        </w:numPr>
        <w:rPr>
          <w:rFonts w:ascii="Arial" w:cs="Arial" w:eastAsia="Arial" w:hAnsi="Arial"/>
          <w:sz w:val="12"/>
          <w:szCs w:val="12"/>
          <w:color w:val="auto"/>
        </w:rPr>
      </w:pPr>
      <w:r>
        <w:rPr>
          <w:rFonts w:ascii="Arial" w:cs="Arial" w:eastAsia="Arial" w:hAnsi="Arial"/>
          <w:sz w:val="14"/>
          <w:szCs w:val="14"/>
          <w:color w:val="auto"/>
        </w:rPr>
        <w:t>No management or incentive fees are payable by PSSL. If any fees were to be charged, they would be separately disclosed in the Statement of Operations.</w:t>
      </w:r>
    </w:p>
    <w:p>
      <w:pPr>
        <w:spacing w:after="0" w:line="13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5. FAIR VALUE OF FINANCIAL INSTRUMENTS</w:t>
      </w:r>
    </w:p>
    <w:p>
      <w:pPr>
        <w:spacing w:after="0" w:line="140" w:lineRule="exact"/>
        <w:rPr>
          <w:sz w:val="20"/>
          <w:szCs w:val="20"/>
          <w:color w:val="auto"/>
        </w:rPr>
      </w:pPr>
    </w:p>
    <w:p>
      <w:pPr>
        <w:ind w:firstLine="438"/>
        <w:spacing w:after="0" w:line="251" w:lineRule="auto"/>
        <w:rPr>
          <w:sz w:val="20"/>
          <w:szCs w:val="20"/>
          <w:color w:val="auto"/>
        </w:rPr>
      </w:pPr>
      <w:r>
        <w:rPr>
          <w:rFonts w:ascii="Arial" w:cs="Arial" w:eastAsia="Arial" w:hAnsi="Arial"/>
          <w:sz w:val="13"/>
          <w:szCs w:val="13"/>
          <w:color w:val="auto"/>
        </w:rPr>
        <w:t>Fair value, as defined under ASC 820, is the price that we would receive upon selling an investment or pay to transfer a liability in an orderly transaction to a market participant in the principal or most advantageous market for the investment or liability. ASC 820 emphasizes that valuation techniques maximize the use of observable market inputs and minimize the use of unobservable inputs. Inputs refer broadly to the assumptions that market participants would use in pricing an asset or liability, including assumptions about risk. Inputs may be observable or unobservable. Observable inputs reflect the assumptions market participants would use in pricing an asset or liability based on market data obtained from sources independent of us. Unobservable inputs reflect the assumptions market participants would use in pricing an asset or liability based on the best information available to us on the reporting period date.</w:t>
      </w:r>
    </w:p>
    <w:p>
      <w:pPr>
        <w:spacing w:after="0" w:line="109" w:lineRule="exact"/>
        <w:rPr>
          <w:sz w:val="20"/>
          <w:szCs w:val="20"/>
          <w:color w:val="auto"/>
        </w:rPr>
      </w:pPr>
    </w:p>
    <w:p>
      <w:pPr>
        <w:ind w:left="440"/>
        <w:spacing w:after="0"/>
        <w:rPr>
          <w:sz w:val="20"/>
          <w:szCs w:val="20"/>
          <w:color w:val="auto"/>
        </w:rPr>
      </w:pPr>
      <w:r>
        <w:rPr>
          <w:rFonts w:ascii="Arial" w:cs="Arial" w:eastAsia="Arial" w:hAnsi="Arial"/>
          <w:sz w:val="14"/>
          <w:szCs w:val="14"/>
          <w:color w:val="auto"/>
        </w:rPr>
        <w:t>ASC 820 classifies the inputs used to measure these fair values into the following hierarchies:</w:t>
      </w:r>
    </w:p>
    <w:p>
      <w:pPr>
        <w:spacing w:after="0" w:line="136" w:lineRule="exact"/>
        <w:rPr>
          <w:sz w:val="20"/>
          <w:szCs w:val="20"/>
          <w:color w:val="auto"/>
        </w:rPr>
      </w:pPr>
    </w:p>
    <w:p>
      <w:pPr>
        <w:ind w:left="440"/>
        <w:spacing w:after="0"/>
        <w:tabs>
          <w:tab w:leader="none" w:pos="1240" w:val="left"/>
        </w:tabs>
        <w:rPr>
          <w:sz w:val="20"/>
          <w:szCs w:val="20"/>
          <w:color w:val="auto"/>
        </w:rPr>
      </w:pPr>
      <w:r>
        <w:rPr>
          <w:rFonts w:ascii="Arial" w:cs="Arial" w:eastAsia="Arial" w:hAnsi="Arial"/>
          <w:sz w:val="14"/>
          <w:szCs w:val="14"/>
          <w:color w:val="auto"/>
        </w:rPr>
        <w:t>Level 1:</w:t>
      </w:r>
      <w:r>
        <w:rPr>
          <w:sz w:val="20"/>
          <w:szCs w:val="20"/>
          <w:color w:val="auto"/>
        </w:rPr>
        <w:tab/>
      </w:r>
      <w:r>
        <w:rPr>
          <w:rFonts w:ascii="Arial" w:cs="Arial" w:eastAsia="Arial" w:hAnsi="Arial"/>
          <w:sz w:val="12"/>
          <w:szCs w:val="12"/>
          <w:color w:val="auto"/>
        </w:rPr>
        <w:t>Inputs that are quoted prices (unadjusted) in active markets for identical assets or liabilities, accessible by us at the measurement date.</w:t>
      </w:r>
    </w:p>
    <w:p>
      <w:pPr>
        <w:spacing w:after="0" w:line="136" w:lineRule="exact"/>
        <w:rPr>
          <w:sz w:val="20"/>
          <w:szCs w:val="20"/>
          <w:color w:val="auto"/>
        </w:rPr>
      </w:pPr>
    </w:p>
    <w:p>
      <w:pPr>
        <w:ind w:left="1260" w:right="20" w:hanging="809"/>
        <w:spacing w:after="0" w:line="290" w:lineRule="auto"/>
        <w:tabs>
          <w:tab w:leader="none" w:pos="1240" w:val="left"/>
        </w:tabs>
        <w:rPr>
          <w:sz w:val="20"/>
          <w:szCs w:val="20"/>
          <w:color w:val="auto"/>
        </w:rPr>
      </w:pPr>
      <w:r>
        <w:rPr>
          <w:rFonts w:ascii="Arial" w:cs="Arial" w:eastAsia="Arial" w:hAnsi="Arial"/>
          <w:sz w:val="14"/>
          <w:szCs w:val="14"/>
          <w:color w:val="auto"/>
        </w:rPr>
        <w:t>Level 2:</w:t>
      </w:r>
      <w:r>
        <w:rPr>
          <w:sz w:val="20"/>
          <w:szCs w:val="20"/>
          <w:color w:val="auto"/>
        </w:rPr>
        <w:tab/>
      </w:r>
      <w:r>
        <w:rPr>
          <w:rFonts w:ascii="Arial" w:cs="Arial" w:eastAsia="Arial" w:hAnsi="Arial"/>
          <w:sz w:val="13"/>
          <w:szCs w:val="13"/>
          <w:color w:val="auto"/>
        </w:rPr>
        <w:t>Inputs that are quoted prices for similar assets or liabilities in active markets, or that are quoted prices for identical or similar assets or liabilities in markets that are not active and inputs that are observable for the asset or liability, either directly or indirectly, for substantially the full term, if applicable, of the financial instrument.</w:t>
      </w:r>
    </w:p>
    <w:p>
      <w:pPr>
        <w:spacing w:after="0" w:line="84" w:lineRule="exact"/>
        <w:rPr>
          <w:sz w:val="20"/>
          <w:szCs w:val="20"/>
          <w:color w:val="auto"/>
        </w:rPr>
      </w:pPr>
    </w:p>
    <w:p>
      <w:pPr>
        <w:ind w:left="440"/>
        <w:spacing w:after="0"/>
        <w:tabs>
          <w:tab w:leader="none" w:pos="1240" w:val="left"/>
        </w:tabs>
        <w:rPr>
          <w:sz w:val="20"/>
          <w:szCs w:val="20"/>
          <w:color w:val="auto"/>
        </w:rPr>
      </w:pPr>
      <w:r>
        <w:rPr>
          <w:rFonts w:ascii="Arial" w:cs="Arial" w:eastAsia="Arial" w:hAnsi="Arial"/>
          <w:sz w:val="14"/>
          <w:szCs w:val="14"/>
          <w:color w:val="auto"/>
        </w:rPr>
        <w:t>Level 3:</w:t>
      </w:r>
      <w:r>
        <w:rPr>
          <w:sz w:val="20"/>
          <w:szCs w:val="20"/>
          <w:color w:val="auto"/>
        </w:rPr>
        <w:tab/>
      </w:r>
      <w:r>
        <w:rPr>
          <w:rFonts w:ascii="Arial" w:cs="Arial" w:eastAsia="Arial" w:hAnsi="Arial"/>
          <w:sz w:val="12"/>
          <w:szCs w:val="12"/>
          <w:color w:val="auto"/>
        </w:rPr>
        <w:t>Inputs that are unobservable for an asset or liability because they are based on our own assumptions about how market participants would price the asset or liability.</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149465"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3" w:name="page24"/>
    <w:bookmarkEnd w:id="23"/>
    <w:p>
      <w:pPr>
        <w:jc w:val="center"/>
        <w:spacing w:after="0"/>
        <w:rPr>
          <w:sz w:val="20"/>
          <w:szCs w:val="20"/>
          <w:color w:val="auto"/>
        </w:rPr>
      </w:pPr>
      <w:r>
        <w:rPr>
          <w:rFonts w:ascii="Arial" w:cs="Arial" w:eastAsia="Arial" w:hAnsi="Arial"/>
          <w:sz w:val="14"/>
          <w:szCs w:val="14"/>
          <w:b w:val="1"/>
          <w:bCs w:val="1"/>
          <w:color w:val="auto"/>
        </w:rPr>
        <w:t>PENNANTPARK FLOATING RATE CAPITAL LTD. AND SUBSIDIARIES</w:t>
      </w:r>
    </w:p>
    <w:p>
      <w:pPr>
        <w:jc w:val="center"/>
        <w:spacing w:after="0" w:line="225" w:lineRule="auto"/>
        <w:rPr>
          <w:sz w:val="20"/>
          <w:szCs w:val="20"/>
          <w:color w:val="auto"/>
        </w:rPr>
      </w:pPr>
      <w:r>
        <w:rPr>
          <w:rFonts w:ascii="Arial" w:cs="Arial" w:eastAsia="Arial" w:hAnsi="Arial"/>
          <w:sz w:val="14"/>
          <w:szCs w:val="14"/>
          <w:b w:val="1"/>
          <w:bCs w:val="1"/>
          <w:color w:val="auto"/>
        </w:rPr>
        <w:t>NOTES TO CONSOLIDATED FINANCIAL STATEMENTS-(Continued)</w:t>
      </w:r>
    </w:p>
    <w:p>
      <w:pPr>
        <w:jc w:val="center"/>
        <w:spacing w:after="0" w:line="221" w:lineRule="auto"/>
        <w:rPr>
          <w:sz w:val="20"/>
          <w:szCs w:val="20"/>
          <w:color w:val="auto"/>
        </w:rPr>
      </w:pPr>
      <w:r>
        <w:rPr>
          <w:rFonts w:ascii="Arial" w:cs="Arial" w:eastAsia="Arial" w:hAnsi="Arial"/>
          <w:sz w:val="14"/>
          <w:szCs w:val="14"/>
          <w:b w:val="1"/>
          <w:bCs w:val="1"/>
          <w:color w:val="auto"/>
        </w:rPr>
        <w:t>DECEMBER 31, 2019</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124" w:lineRule="exact"/>
        <w:rPr>
          <w:sz w:val="20"/>
          <w:szCs w:val="20"/>
          <w:color w:val="auto"/>
        </w:rPr>
      </w:pPr>
    </w:p>
    <w:p>
      <w:pPr>
        <w:ind w:right="80" w:firstLine="438"/>
        <w:spacing w:after="0" w:line="233" w:lineRule="auto"/>
        <w:rPr>
          <w:sz w:val="20"/>
          <w:szCs w:val="20"/>
          <w:color w:val="auto"/>
        </w:rPr>
      </w:pPr>
      <w:r>
        <w:rPr>
          <w:rFonts w:ascii="Arial" w:cs="Arial" w:eastAsia="Arial" w:hAnsi="Arial"/>
          <w:sz w:val="14"/>
          <w:szCs w:val="14"/>
          <w:color w:val="auto"/>
        </w:rPr>
        <w:t>A financial instrument’s categorization within the valuation hierarchy is based upon the lowest level of input that is significant to the fair value measurement. Generally, most of our investments, our 2031 Asset-Backed Debt and our Credit Facility are classified as Level 3. Our 2023 Notes are classified as Level 1, as they were valued using the closing price from the primary exchange. Due to the inherent uncertainty of determining the fair value of investments that do not have a readily available market value, the price used in an actual transaction may be different than our valuation and those differences may be material.</w:t>
      </w:r>
    </w:p>
    <w:p>
      <w:pPr>
        <w:spacing w:after="0" w:line="117" w:lineRule="exact"/>
        <w:rPr>
          <w:sz w:val="20"/>
          <w:szCs w:val="20"/>
          <w:color w:val="auto"/>
        </w:rPr>
      </w:pPr>
    </w:p>
    <w:p>
      <w:pPr>
        <w:ind w:firstLine="438"/>
        <w:spacing w:after="0" w:line="231" w:lineRule="auto"/>
        <w:rPr>
          <w:sz w:val="20"/>
          <w:szCs w:val="20"/>
          <w:color w:val="auto"/>
        </w:rPr>
      </w:pPr>
      <w:r>
        <w:rPr>
          <w:rFonts w:ascii="Arial" w:cs="Arial" w:eastAsia="Arial" w:hAnsi="Arial"/>
          <w:sz w:val="14"/>
          <w:szCs w:val="14"/>
          <w:color w:val="auto"/>
        </w:rPr>
        <w:t>The inputs into the determination of fair value may require significant management judgment or estimation. Even if observable market data is available, such information may be the result of consensus pricing information, disorderly transactions or broker quotes which include a disclaimer that the broker would not be held to such a price in an actual transaction. The non-binding nature of consensus pricing and/or quotes accompanied by disclaimer would result in classification as Level 3 information, assuming no additional corroborating evidence were available. Corroborating evidence that would result in classifying these non-binding broker/dealer bids as a Level 2 asset includes observable orderly market-based transactions for the same or similar assets or other relevant observable market-based inputs that may be used in pricing an asset.</w:t>
      </w:r>
    </w:p>
    <w:p>
      <w:pPr>
        <w:spacing w:after="0" w:line="116" w:lineRule="exact"/>
        <w:rPr>
          <w:sz w:val="20"/>
          <w:szCs w:val="20"/>
          <w:color w:val="auto"/>
        </w:rPr>
      </w:pPr>
    </w:p>
    <w:p>
      <w:pPr>
        <w:jc w:val="both"/>
        <w:ind w:right="60" w:firstLine="438"/>
        <w:spacing w:after="0" w:line="231" w:lineRule="auto"/>
        <w:rPr>
          <w:sz w:val="20"/>
          <w:szCs w:val="20"/>
          <w:color w:val="auto"/>
        </w:rPr>
      </w:pPr>
      <w:r>
        <w:rPr>
          <w:rFonts w:ascii="Arial" w:cs="Arial" w:eastAsia="Arial" w:hAnsi="Arial"/>
          <w:sz w:val="14"/>
          <w:szCs w:val="14"/>
          <w:color w:val="auto"/>
        </w:rPr>
        <w:t>Our investments are generally structured as Floating Rate Loans, mainly first lien secured debt, but also may include second lien secured debt, subordinated debt and equity investments. The transaction price, excluding transaction costs, is typically the best estimate of fair value at inception. Ongoing reviews by our Investment Adviser and independent valuation firms are based on an assessment of each underlying investment, incorporating valuations that consider the evaluation of financing and sale transactions with third parties, expected cash flows and market-based information including comparable transactions, performance multiples and yields, among other factors. These non-public investments valued using unobservable inputs are included in Level 3 of the fair value hierarchy.</w:t>
      </w:r>
    </w:p>
    <w:p>
      <w:pPr>
        <w:spacing w:after="0" w:line="116" w:lineRule="exact"/>
        <w:rPr>
          <w:sz w:val="20"/>
          <w:szCs w:val="20"/>
          <w:color w:val="auto"/>
        </w:rPr>
      </w:pPr>
    </w:p>
    <w:p>
      <w:pPr>
        <w:ind w:right="280" w:firstLine="438"/>
        <w:spacing w:after="0" w:line="253" w:lineRule="auto"/>
        <w:rPr>
          <w:sz w:val="20"/>
          <w:szCs w:val="20"/>
          <w:color w:val="auto"/>
        </w:rPr>
      </w:pPr>
      <w:r>
        <w:rPr>
          <w:rFonts w:ascii="Arial" w:cs="Arial" w:eastAsia="Arial" w:hAnsi="Arial"/>
          <w:sz w:val="14"/>
          <w:szCs w:val="14"/>
          <w:color w:val="auto"/>
        </w:rPr>
        <w:t>A review of fair value hierarchy classifications is conducted on a quarterly basis. Changes in our ability to observe valuation inputs may result in a reclassification for certain financial assets or liabilities.</w:t>
      </w:r>
    </w:p>
    <w:p>
      <w:pPr>
        <w:spacing w:after="0" w:line="106" w:lineRule="exact"/>
        <w:rPr>
          <w:sz w:val="20"/>
          <w:szCs w:val="20"/>
          <w:color w:val="auto"/>
        </w:rPr>
      </w:pPr>
    </w:p>
    <w:p>
      <w:pPr>
        <w:jc w:val="both"/>
        <w:ind w:right="260" w:firstLine="438"/>
        <w:spacing w:after="0" w:line="238" w:lineRule="auto"/>
        <w:rPr>
          <w:sz w:val="20"/>
          <w:szCs w:val="20"/>
          <w:color w:val="auto"/>
        </w:rPr>
      </w:pPr>
      <w:r>
        <w:rPr>
          <w:rFonts w:ascii="Arial" w:cs="Arial" w:eastAsia="Arial" w:hAnsi="Arial"/>
          <w:sz w:val="14"/>
          <w:szCs w:val="14"/>
          <w:color w:val="auto"/>
        </w:rPr>
        <w:t>In addition to using the above inputs in cash equivalents, investments, our 2023 Notes, our 2031 Asset-Backed Debt and our Credit Facility valuations, we employ the valuation policy approved by our board of directors that is consistent with ASC 820. Consistent with our valuation policy, we evaluate the source of inputs, including any markets in which our investments are trading, in determining fair value. See Note 2.</w:t>
      </w:r>
    </w:p>
    <w:p>
      <w:pPr>
        <w:spacing w:after="0" w:line="115" w:lineRule="exact"/>
        <w:rPr>
          <w:sz w:val="20"/>
          <w:szCs w:val="20"/>
          <w:color w:val="auto"/>
        </w:rPr>
      </w:pPr>
    </w:p>
    <w:p>
      <w:pPr>
        <w:ind w:right="80" w:firstLine="438"/>
        <w:spacing w:after="0" w:line="251" w:lineRule="auto"/>
        <w:rPr>
          <w:sz w:val="20"/>
          <w:szCs w:val="20"/>
          <w:color w:val="auto"/>
        </w:rPr>
      </w:pPr>
      <w:r>
        <w:rPr>
          <w:rFonts w:ascii="Arial" w:cs="Arial" w:eastAsia="Arial" w:hAnsi="Arial"/>
          <w:sz w:val="13"/>
          <w:szCs w:val="13"/>
          <w:color w:val="auto"/>
        </w:rPr>
        <w:t>As outlined in the table below, some of our Level 3 investments using a market approach valuation technique are valued using the average of the bids from brokers or dealers. The bids include a disclaimer, may not have corroborating evidence, may be the result of a disorderly transaction and may be the result of consensus pricing. The Investment Adviser assesses the source and reliability of bids from brokers or dealers. If the board of directors has a bona fide reason to believe any such bids do not reflect the fair value of an investment, it may independently value such investment by using the valuation procedure that it uses with respect to assets for which market quotations are not readily available. In accordance with ASC 820, Fair Value Measurement), we do not categorize any investments for which fair value is measured using the net asset value per share as a practical expedient within the fair value hierarchy.</w:t>
      </w:r>
    </w:p>
    <w:p>
      <w:pPr>
        <w:spacing w:after="0" w:line="109" w:lineRule="exact"/>
        <w:rPr>
          <w:sz w:val="20"/>
          <w:szCs w:val="20"/>
          <w:color w:val="auto"/>
        </w:rPr>
      </w:pPr>
    </w:p>
    <w:p>
      <w:pPr>
        <w:ind w:right="20" w:firstLine="438"/>
        <w:spacing w:after="0" w:line="225" w:lineRule="auto"/>
        <w:rPr>
          <w:sz w:val="20"/>
          <w:szCs w:val="20"/>
          <w:color w:val="auto"/>
        </w:rPr>
      </w:pPr>
      <w:r>
        <w:rPr>
          <w:rFonts w:ascii="Arial" w:cs="Arial" w:eastAsia="Arial" w:hAnsi="Arial"/>
          <w:sz w:val="14"/>
          <w:szCs w:val="14"/>
          <w:color w:val="auto"/>
        </w:rPr>
        <w:t>The remainder of our investment portfolio and our long-term Credit Facility are valued using a market comparable or an enterprise market value technique. With respect to investments for which there is no readily available market value, the factors that the board of directors may take into account in pricing our investments at fair value include, as relevant, the nature and realizable value of any collateral, the portfolio company’s ability to make payments, its earnings and discounted cash flow, the markets in which the portfolio company does business, comparison to publicly traded securities and other relevant factors. When an external event such as a purchase transaction, public offering or subsequent equity sale occurs, the pricing indicated by the external event, excluding transaction costs, is used to corroborate the valuation. When using earnings multiples to value a portfolio company, the multiple used requires the use of judgment and estimates in determining how a market participant would price such an asset. These non-public investments using unobservable inputs are included in Level 3 of the fair value hierarchy. Generally, the sensitivity of unobservable inputs or combination of inputs such as industry comparable companies, market outlook, consistency, discount rates and reliability of earnings and prospects for growth, or lack thereof, affects the multiple used in pricing an investment. As a result, any change in any one of those factors may have a significant impact on the valuation of an investment. Generally, an increase in a market yield will result in a decrease in the valuation of a debt investment, while a decrease in a market yield will have the opposite effect. Generally, an increase in an earnings before interest, taxes, depreciation and amortization, or EBITDA, multiple will result in an increase in the valuation of an investment, while a decrease in an EBITDA multiple will have the opposite effect.</w:t>
      </w:r>
    </w:p>
    <w:p>
      <w:pPr>
        <w:spacing w:after="0" w:line="122" w:lineRule="exact"/>
        <w:rPr>
          <w:sz w:val="20"/>
          <w:szCs w:val="20"/>
          <w:color w:val="auto"/>
        </w:rPr>
      </w:pPr>
    </w:p>
    <w:p>
      <w:pPr>
        <w:ind w:left="440"/>
        <w:spacing w:after="0"/>
        <w:rPr>
          <w:sz w:val="20"/>
          <w:szCs w:val="20"/>
          <w:color w:val="auto"/>
        </w:rPr>
      </w:pPr>
      <w:r>
        <w:rPr>
          <w:rFonts w:ascii="Arial" w:cs="Arial" w:eastAsia="Arial" w:hAnsi="Arial"/>
          <w:sz w:val="14"/>
          <w:szCs w:val="14"/>
          <w:color w:val="auto"/>
        </w:rPr>
        <w:t>Our Level 3 valuation techniques, unobservable inputs and ranges were categorized as follows for ASC 820 purposes:</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20" w:type="dxa"/>
            <w:vAlign w:val="bottom"/>
            <w:vMerge w:val="restart"/>
          </w:tcPr>
          <w:p>
            <w:pPr>
              <w:spacing w:after="0"/>
              <w:rPr>
                <w:sz w:val="20"/>
                <w:szCs w:val="20"/>
                <w:color w:val="auto"/>
              </w:rPr>
            </w:pPr>
            <w:r>
              <w:rPr>
                <w:rFonts w:ascii="Arial" w:cs="Arial" w:eastAsia="Arial" w:hAnsi="Arial"/>
                <w:sz w:val="14"/>
                <w:szCs w:val="14"/>
                <w:b w:val="1"/>
                <w:bCs w:val="1"/>
                <w:color w:val="auto"/>
              </w:rPr>
              <w:t>Asset Category</w:t>
            </w:r>
          </w:p>
        </w:tc>
        <w:tc>
          <w:tcPr>
            <w:tcW w:w="160" w:type="dxa"/>
            <w:vAlign w:val="bottom"/>
          </w:tcPr>
          <w:p>
            <w:pPr>
              <w:spacing w:after="0"/>
              <w:rPr>
                <w:sz w:val="14"/>
                <w:szCs w:val="14"/>
                <w:color w:val="auto"/>
              </w:rPr>
            </w:pPr>
          </w:p>
        </w:tc>
        <w:tc>
          <w:tcPr>
            <w:tcW w:w="1680" w:type="dxa"/>
            <w:vAlign w:val="bottom"/>
            <w:gridSpan w:val="2"/>
          </w:tcPr>
          <w:p>
            <w:pPr>
              <w:spacing w:after="0"/>
              <w:rPr>
                <w:sz w:val="20"/>
                <w:szCs w:val="20"/>
                <w:color w:val="auto"/>
              </w:rPr>
            </w:pPr>
            <w:r>
              <w:rPr>
                <w:rFonts w:ascii="Arial" w:cs="Arial" w:eastAsia="Arial" w:hAnsi="Arial"/>
                <w:sz w:val="14"/>
                <w:szCs w:val="14"/>
                <w:b w:val="1"/>
                <w:bCs w:val="1"/>
                <w:color w:val="auto"/>
                <w:w w:val="93"/>
              </w:rPr>
              <w:t>Fair value at December 31,</w:t>
            </w:r>
          </w:p>
        </w:tc>
        <w:tc>
          <w:tcPr>
            <w:tcW w:w="260" w:type="dxa"/>
            <w:vAlign w:val="bottom"/>
          </w:tcPr>
          <w:p>
            <w:pPr>
              <w:spacing w:after="0"/>
              <w:rPr>
                <w:sz w:val="14"/>
                <w:szCs w:val="14"/>
                <w:color w:val="auto"/>
              </w:rPr>
            </w:pPr>
          </w:p>
        </w:tc>
        <w:tc>
          <w:tcPr>
            <w:tcW w:w="196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3"/>
              </w:rPr>
              <w:t>Valuation Technique</w:t>
            </w:r>
          </w:p>
        </w:tc>
        <w:tc>
          <w:tcPr>
            <w:tcW w:w="196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4"/>
              </w:rPr>
              <w:t>Unobservable Input</w:t>
            </w:r>
          </w:p>
        </w:tc>
        <w:tc>
          <w:tcPr>
            <w:tcW w:w="18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Range of Input</w:t>
            </w:r>
          </w:p>
        </w:tc>
        <w:tc>
          <w:tcPr>
            <w:tcW w:w="0" w:type="dxa"/>
            <w:vAlign w:val="bottom"/>
          </w:tcPr>
          <w:p>
            <w:pPr>
              <w:spacing w:after="0"/>
              <w:rPr>
                <w:sz w:val="1"/>
                <w:szCs w:val="1"/>
                <w:color w:val="auto"/>
              </w:rPr>
            </w:pPr>
          </w:p>
        </w:tc>
      </w:tr>
      <w:tr>
        <w:trPr>
          <w:trHeight w:val="171"/>
        </w:trPr>
        <w:tc>
          <w:tcPr>
            <w:tcW w:w="342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20" w:type="dxa"/>
            <w:vAlign w:val="bottom"/>
          </w:tcPr>
          <w:p>
            <w:pPr>
              <w:jc w:val="center"/>
              <w:ind w:right="88"/>
              <w:spacing w:after="0"/>
              <w:rPr>
                <w:sz w:val="20"/>
                <w:szCs w:val="20"/>
                <w:color w:val="auto"/>
              </w:rPr>
            </w:pPr>
            <w:r>
              <w:rPr>
                <w:rFonts w:ascii="Arial" w:cs="Arial" w:eastAsia="Arial" w:hAnsi="Arial"/>
                <w:sz w:val="14"/>
                <w:szCs w:val="14"/>
                <w:b w:val="1"/>
                <w:bCs w:val="1"/>
                <w:color w:val="auto"/>
                <w:w w:val="89"/>
              </w:rPr>
              <w:t>2019</w:t>
            </w:r>
          </w:p>
        </w:tc>
        <w:tc>
          <w:tcPr>
            <w:tcW w:w="260" w:type="dxa"/>
            <w:vAlign w:val="bottom"/>
          </w:tcPr>
          <w:p>
            <w:pPr>
              <w:spacing w:after="0"/>
              <w:rPr>
                <w:sz w:val="14"/>
                <w:szCs w:val="14"/>
                <w:color w:val="auto"/>
              </w:rPr>
            </w:pPr>
          </w:p>
        </w:tc>
        <w:tc>
          <w:tcPr>
            <w:tcW w:w="1960" w:type="dxa"/>
            <w:vAlign w:val="bottom"/>
            <w:gridSpan w:val="2"/>
            <w:vMerge w:val="continue"/>
          </w:tcPr>
          <w:p>
            <w:pPr>
              <w:spacing w:after="0"/>
              <w:rPr>
                <w:sz w:val="14"/>
                <w:szCs w:val="14"/>
                <w:color w:val="auto"/>
              </w:rPr>
            </w:pPr>
          </w:p>
        </w:tc>
        <w:tc>
          <w:tcPr>
            <w:tcW w:w="1960" w:type="dxa"/>
            <w:vAlign w:val="bottom"/>
            <w:gridSpan w:val="2"/>
            <w:vMerge w:val="continue"/>
          </w:tcPr>
          <w:p>
            <w:pPr>
              <w:spacing w:after="0"/>
              <w:rPr>
                <w:sz w:val="14"/>
                <w:szCs w:val="14"/>
                <w:color w:val="auto"/>
              </w:rPr>
            </w:pPr>
          </w:p>
        </w:tc>
        <w:tc>
          <w:tcPr>
            <w:tcW w:w="18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 xml:space="preserve">(Weighted Average) </w:t>
            </w:r>
            <w:r>
              <w:rPr>
                <w:rFonts w:ascii="Arial" w:cs="Arial" w:eastAsia="Arial" w:hAnsi="Arial"/>
                <w:sz w:val="12"/>
                <w:szCs w:val="12"/>
                <w:b w:val="1"/>
                <w:bCs w:val="1"/>
                <w:color w:val="auto"/>
                <w:w w:val="93"/>
              </w:rPr>
              <w:t>(1)</w:t>
            </w:r>
          </w:p>
        </w:tc>
        <w:tc>
          <w:tcPr>
            <w:tcW w:w="0" w:type="dxa"/>
            <w:vAlign w:val="bottom"/>
          </w:tcPr>
          <w:p>
            <w:pPr>
              <w:spacing w:after="0"/>
              <w:rPr>
                <w:sz w:val="1"/>
                <w:szCs w:val="1"/>
                <w:color w:val="auto"/>
              </w:rPr>
            </w:pPr>
          </w:p>
        </w:tc>
      </w:tr>
      <w:tr>
        <w:trPr>
          <w:trHeight w:val="155"/>
        </w:trPr>
        <w:tc>
          <w:tcPr>
            <w:tcW w:w="3420" w:type="dxa"/>
            <w:vAlign w:val="bottom"/>
            <w:tcBorders>
              <w:top w:val="single" w:sz="8" w:color="auto"/>
            </w:tcBorders>
            <w:shd w:val="clear" w:color="auto" w:fill="CCECFF"/>
          </w:tcPr>
          <w:p>
            <w:pPr>
              <w:spacing w:after="0" w:line="155" w:lineRule="exact"/>
              <w:rPr>
                <w:sz w:val="20"/>
                <w:szCs w:val="20"/>
                <w:color w:val="auto"/>
              </w:rPr>
            </w:pPr>
            <w:r>
              <w:rPr>
                <w:rFonts w:ascii="Arial" w:cs="Arial" w:eastAsia="Arial" w:hAnsi="Arial"/>
                <w:sz w:val="14"/>
                <w:szCs w:val="14"/>
                <w:color w:val="auto"/>
              </w:rPr>
              <w:t>First lien</w:t>
            </w:r>
          </w:p>
        </w:tc>
        <w:tc>
          <w:tcPr>
            <w:tcW w:w="160" w:type="dxa"/>
            <w:vAlign w:val="bottom"/>
            <w:tcBorders>
              <w:top w:val="single" w:sz="8" w:color="CCECFF"/>
            </w:tcBorders>
            <w:shd w:val="clear" w:color="auto" w:fill="CCECFF"/>
          </w:tcPr>
          <w:p>
            <w:pPr>
              <w:spacing w:after="0"/>
              <w:rPr>
                <w:sz w:val="13"/>
                <w:szCs w:val="13"/>
                <w:color w:val="auto"/>
              </w:rPr>
            </w:pPr>
          </w:p>
        </w:tc>
        <w:tc>
          <w:tcPr>
            <w:tcW w:w="160" w:type="dxa"/>
            <w:vAlign w:val="bottom"/>
            <w:tcBorders>
              <w:top w:val="single" w:sz="8" w:color="auto"/>
            </w:tcBorders>
            <w:shd w:val="clear" w:color="auto" w:fill="CCECFF"/>
          </w:tcPr>
          <w:p>
            <w:pPr>
              <w:spacing w:after="0" w:line="155" w:lineRule="exact"/>
              <w:rPr>
                <w:sz w:val="20"/>
                <w:szCs w:val="20"/>
                <w:color w:val="auto"/>
              </w:rPr>
            </w:pPr>
            <w:r>
              <w:rPr>
                <w:rFonts w:ascii="Arial" w:cs="Arial" w:eastAsia="Arial" w:hAnsi="Arial"/>
                <w:sz w:val="14"/>
                <w:szCs w:val="14"/>
                <w:color w:val="auto"/>
              </w:rPr>
              <w:t>$</w:t>
            </w:r>
          </w:p>
        </w:tc>
        <w:tc>
          <w:tcPr>
            <w:tcW w:w="152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272,193,711</w:t>
            </w:r>
          </w:p>
        </w:tc>
        <w:tc>
          <w:tcPr>
            <w:tcW w:w="260" w:type="dxa"/>
            <w:vAlign w:val="bottom"/>
            <w:tcBorders>
              <w:top w:val="single" w:sz="8" w:color="CCECFF"/>
            </w:tcBorders>
            <w:shd w:val="clear" w:color="auto" w:fill="CCECFF"/>
          </w:tcPr>
          <w:p>
            <w:pPr>
              <w:spacing w:after="0"/>
              <w:rPr>
                <w:sz w:val="13"/>
                <w:szCs w:val="13"/>
                <w:color w:val="auto"/>
              </w:rPr>
            </w:pPr>
          </w:p>
        </w:tc>
        <w:tc>
          <w:tcPr>
            <w:tcW w:w="1800" w:type="dxa"/>
            <w:vAlign w:val="bottom"/>
            <w:tcBorders>
              <w:top w:val="single" w:sz="8" w:color="auto"/>
            </w:tcBorders>
            <w:shd w:val="clear" w:color="auto" w:fill="CCECFF"/>
          </w:tcPr>
          <w:p>
            <w:pPr>
              <w:jc w:val="center"/>
              <w:spacing w:after="0" w:line="155" w:lineRule="exact"/>
              <w:rPr>
                <w:sz w:val="20"/>
                <w:szCs w:val="20"/>
                <w:color w:val="auto"/>
              </w:rPr>
            </w:pPr>
            <w:r>
              <w:rPr>
                <w:rFonts w:ascii="Arial" w:cs="Arial" w:eastAsia="Arial" w:hAnsi="Arial"/>
                <w:sz w:val="14"/>
                <w:szCs w:val="14"/>
                <w:color w:val="auto"/>
                <w:w w:val="94"/>
              </w:rPr>
              <w:t>Market Comparable</w:t>
            </w:r>
          </w:p>
        </w:tc>
        <w:tc>
          <w:tcPr>
            <w:tcW w:w="160" w:type="dxa"/>
            <w:vAlign w:val="bottom"/>
            <w:tcBorders>
              <w:top w:val="single" w:sz="8" w:color="CCECFF"/>
            </w:tcBorders>
            <w:shd w:val="clear" w:color="auto" w:fill="CCECFF"/>
          </w:tcPr>
          <w:p>
            <w:pPr>
              <w:spacing w:after="0"/>
              <w:rPr>
                <w:sz w:val="13"/>
                <w:szCs w:val="13"/>
                <w:color w:val="auto"/>
              </w:rPr>
            </w:pPr>
          </w:p>
        </w:tc>
        <w:tc>
          <w:tcPr>
            <w:tcW w:w="1800" w:type="dxa"/>
            <w:vAlign w:val="bottom"/>
            <w:tcBorders>
              <w:top w:val="single" w:sz="8" w:color="auto"/>
            </w:tcBorders>
            <w:shd w:val="clear" w:color="auto" w:fill="CCECFF"/>
          </w:tcPr>
          <w:p>
            <w:pPr>
              <w:jc w:val="center"/>
              <w:spacing w:after="0" w:line="155" w:lineRule="exact"/>
              <w:rPr>
                <w:sz w:val="20"/>
                <w:szCs w:val="20"/>
                <w:color w:val="auto"/>
              </w:rPr>
            </w:pPr>
            <w:r>
              <w:rPr>
                <w:rFonts w:ascii="Arial" w:cs="Arial" w:eastAsia="Arial" w:hAnsi="Arial"/>
                <w:sz w:val="14"/>
                <w:szCs w:val="14"/>
                <w:color w:val="auto"/>
                <w:w w:val="94"/>
              </w:rPr>
              <w:t>Broker/Dealer bids or quotes</w:t>
            </w:r>
          </w:p>
        </w:tc>
        <w:tc>
          <w:tcPr>
            <w:tcW w:w="160" w:type="dxa"/>
            <w:vAlign w:val="bottom"/>
            <w:tcBorders>
              <w:top w:val="single" w:sz="8" w:color="CCECFF"/>
            </w:tcBorders>
            <w:shd w:val="clear" w:color="auto" w:fill="CCECFF"/>
          </w:tcPr>
          <w:p>
            <w:pPr>
              <w:spacing w:after="0"/>
              <w:rPr>
                <w:sz w:val="13"/>
                <w:szCs w:val="13"/>
                <w:color w:val="auto"/>
              </w:rPr>
            </w:pPr>
          </w:p>
        </w:tc>
        <w:tc>
          <w:tcPr>
            <w:tcW w:w="1700" w:type="dxa"/>
            <w:vAlign w:val="bottom"/>
            <w:tcBorders>
              <w:top w:val="single" w:sz="8" w:color="auto"/>
            </w:tcBorders>
            <w:shd w:val="clear" w:color="auto" w:fill="CCECFF"/>
          </w:tcPr>
          <w:p>
            <w:pPr>
              <w:jc w:val="center"/>
              <w:spacing w:after="0" w:line="155" w:lineRule="exact"/>
              <w:rPr>
                <w:sz w:val="20"/>
                <w:szCs w:val="20"/>
                <w:color w:val="auto"/>
              </w:rPr>
            </w:pPr>
            <w:r>
              <w:rPr>
                <w:rFonts w:ascii="Arial" w:cs="Arial" w:eastAsia="Arial" w:hAnsi="Arial"/>
                <w:sz w:val="14"/>
                <w:szCs w:val="14"/>
                <w:color w:val="auto"/>
              </w:rPr>
              <w:t>N/A</w:t>
            </w:r>
          </w:p>
        </w:tc>
        <w:tc>
          <w:tcPr>
            <w:tcW w:w="100" w:type="dxa"/>
            <w:vAlign w:val="bottom"/>
            <w:tcBorders>
              <w:top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420" w:type="dxa"/>
            <w:vAlign w:val="bottom"/>
          </w:tcPr>
          <w:p>
            <w:pPr>
              <w:spacing w:after="0"/>
              <w:rPr>
                <w:sz w:val="20"/>
                <w:szCs w:val="20"/>
                <w:color w:val="auto"/>
              </w:rPr>
            </w:pPr>
            <w:r>
              <w:rPr>
                <w:rFonts w:ascii="Arial" w:cs="Arial" w:eastAsia="Arial" w:hAnsi="Arial"/>
                <w:sz w:val="14"/>
                <w:szCs w:val="14"/>
                <w:color w:val="auto"/>
              </w:rPr>
              <w:t>First lien</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759,949,627</w:t>
            </w:r>
          </w:p>
        </w:tc>
        <w:tc>
          <w:tcPr>
            <w:tcW w:w="260" w:type="dxa"/>
            <w:vAlign w:val="bottom"/>
          </w:tcPr>
          <w:p>
            <w:pPr>
              <w:spacing w:after="0"/>
              <w:rPr>
                <w:sz w:val="14"/>
                <w:szCs w:val="14"/>
                <w:color w:val="auto"/>
              </w:rPr>
            </w:pPr>
          </w:p>
        </w:tc>
        <w:tc>
          <w:tcPr>
            <w:tcW w:w="1960" w:type="dxa"/>
            <w:vAlign w:val="bottom"/>
            <w:gridSpan w:val="2"/>
          </w:tcPr>
          <w:p>
            <w:pPr>
              <w:jc w:val="center"/>
              <w:ind w:right="160"/>
              <w:spacing w:after="0"/>
              <w:rPr>
                <w:sz w:val="20"/>
                <w:szCs w:val="20"/>
                <w:color w:val="auto"/>
              </w:rPr>
            </w:pPr>
            <w:r>
              <w:rPr>
                <w:rFonts w:ascii="Arial" w:cs="Arial" w:eastAsia="Arial" w:hAnsi="Arial"/>
                <w:sz w:val="14"/>
                <w:szCs w:val="14"/>
                <w:color w:val="auto"/>
                <w:w w:val="94"/>
              </w:rPr>
              <w:t>Market Comparable</w:t>
            </w:r>
          </w:p>
        </w:tc>
        <w:tc>
          <w:tcPr>
            <w:tcW w:w="1960" w:type="dxa"/>
            <w:vAlign w:val="bottom"/>
            <w:gridSpan w:val="2"/>
          </w:tcPr>
          <w:p>
            <w:pPr>
              <w:jc w:val="center"/>
              <w:ind w:right="160"/>
              <w:spacing w:after="0"/>
              <w:rPr>
                <w:sz w:val="20"/>
                <w:szCs w:val="20"/>
                <w:color w:val="auto"/>
              </w:rPr>
            </w:pPr>
            <w:r>
              <w:rPr>
                <w:rFonts w:ascii="Arial" w:cs="Arial" w:eastAsia="Arial" w:hAnsi="Arial"/>
                <w:sz w:val="14"/>
                <w:szCs w:val="14"/>
                <w:color w:val="auto"/>
                <w:w w:val="97"/>
              </w:rPr>
              <w:t>Market Yield</w:t>
            </w:r>
          </w:p>
        </w:tc>
        <w:tc>
          <w:tcPr>
            <w:tcW w:w="1800" w:type="dxa"/>
            <w:vAlign w:val="bottom"/>
            <w:gridSpan w:val="2"/>
          </w:tcPr>
          <w:p>
            <w:pPr>
              <w:jc w:val="center"/>
              <w:ind w:right="120"/>
              <w:spacing w:after="0"/>
              <w:rPr>
                <w:sz w:val="20"/>
                <w:szCs w:val="20"/>
                <w:color w:val="auto"/>
              </w:rPr>
            </w:pPr>
            <w:r>
              <w:rPr>
                <w:rFonts w:ascii="Arial" w:cs="Arial" w:eastAsia="Arial" w:hAnsi="Arial"/>
                <w:sz w:val="14"/>
                <w:szCs w:val="14"/>
                <w:color w:val="auto"/>
                <w:w w:val="93"/>
              </w:rPr>
              <w:t>4.1% – 15.5% (8.4%)</w:t>
            </w:r>
          </w:p>
        </w:tc>
        <w:tc>
          <w:tcPr>
            <w:tcW w:w="0" w:type="dxa"/>
            <w:vAlign w:val="bottom"/>
          </w:tcPr>
          <w:p>
            <w:pPr>
              <w:spacing w:after="0"/>
              <w:rPr>
                <w:sz w:val="1"/>
                <w:szCs w:val="1"/>
                <w:color w:val="auto"/>
              </w:rPr>
            </w:pPr>
          </w:p>
        </w:tc>
      </w:tr>
      <w:tr>
        <w:trPr>
          <w:trHeight w:val="162"/>
        </w:trPr>
        <w:tc>
          <w:tcPr>
            <w:tcW w:w="3420" w:type="dxa"/>
            <w:vAlign w:val="bottom"/>
            <w:shd w:val="clear" w:color="auto" w:fill="CCECFF"/>
          </w:tcPr>
          <w:p>
            <w:pPr>
              <w:spacing w:after="0"/>
              <w:rPr>
                <w:sz w:val="20"/>
                <w:szCs w:val="20"/>
                <w:color w:val="auto"/>
              </w:rPr>
            </w:pPr>
            <w:r>
              <w:rPr>
                <w:rFonts w:ascii="Arial" w:cs="Arial" w:eastAsia="Arial" w:hAnsi="Arial"/>
                <w:sz w:val="14"/>
                <w:szCs w:val="14"/>
                <w:color w:val="auto"/>
              </w:rPr>
              <w:t>Second lien</w:t>
            </w:r>
          </w:p>
        </w:tc>
        <w:tc>
          <w:tcPr>
            <w:tcW w:w="160" w:type="dxa"/>
            <w:vAlign w:val="bottom"/>
            <w:shd w:val="clear" w:color="auto" w:fill="CCECFF"/>
          </w:tcPr>
          <w:p>
            <w:pPr>
              <w:spacing w:after="0"/>
              <w:rPr>
                <w:sz w:val="14"/>
                <w:szCs w:val="14"/>
                <w:color w:val="auto"/>
              </w:rPr>
            </w:pPr>
          </w:p>
        </w:tc>
        <w:tc>
          <w:tcPr>
            <w:tcW w:w="160" w:type="dxa"/>
            <w:vAlign w:val="bottom"/>
            <w:shd w:val="clear" w:color="auto" w:fill="CCECFF"/>
          </w:tcPr>
          <w:p>
            <w:pPr>
              <w:spacing w:after="0"/>
              <w:rPr>
                <w:sz w:val="14"/>
                <w:szCs w:val="14"/>
                <w:color w:val="auto"/>
              </w:rPr>
            </w:pPr>
          </w:p>
        </w:tc>
        <w:tc>
          <w:tcPr>
            <w:tcW w:w="15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27,435,119</w:t>
            </w:r>
          </w:p>
        </w:tc>
        <w:tc>
          <w:tcPr>
            <w:tcW w:w="260" w:type="dxa"/>
            <w:vAlign w:val="bottom"/>
            <w:shd w:val="clear" w:color="auto" w:fill="CCECFF"/>
          </w:tcPr>
          <w:p>
            <w:pPr>
              <w:spacing w:after="0"/>
              <w:rPr>
                <w:sz w:val="14"/>
                <w:szCs w:val="14"/>
                <w:color w:val="auto"/>
              </w:rPr>
            </w:pPr>
          </w:p>
        </w:tc>
        <w:tc>
          <w:tcPr>
            <w:tcW w:w="1960" w:type="dxa"/>
            <w:vAlign w:val="bottom"/>
            <w:gridSpan w:val="2"/>
            <w:shd w:val="clear" w:color="auto" w:fill="CCECFF"/>
          </w:tcPr>
          <w:p>
            <w:pPr>
              <w:jc w:val="center"/>
              <w:ind w:right="160"/>
              <w:spacing w:after="0"/>
              <w:rPr>
                <w:sz w:val="20"/>
                <w:szCs w:val="20"/>
                <w:color w:val="auto"/>
              </w:rPr>
            </w:pPr>
            <w:r>
              <w:rPr>
                <w:rFonts w:ascii="Arial" w:cs="Arial" w:eastAsia="Arial" w:hAnsi="Arial"/>
                <w:sz w:val="14"/>
                <w:szCs w:val="14"/>
                <w:color w:val="auto"/>
                <w:w w:val="94"/>
              </w:rPr>
              <w:t>Market Comparable</w:t>
            </w:r>
          </w:p>
        </w:tc>
        <w:tc>
          <w:tcPr>
            <w:tcW w:w="1960" w:type="dxa"/>
            <w:vAlign w:val="bottom"/>
            <w:gridSpan w:val="2"/>
            <w:shd w:val="clear" w:color="auto" w:fill="CCECFF"/>
          </w:tcPr>
          <w:p>
            <w:pPr>
              <w:jc w:val="center"/>
              <w:ind w:right="160"/>
              <w:spacing w:after="0"/>
              <w:rPr>
                <w:sz w:val="20"/>
                <w:szCs w:val="20"/>
                <w:color w:val="auto"/>
              </w:rPr>
            </w:pPr>
            <w:r>
              <w:rPr>
                <w:rFonts w:ascii="Arial" w:cs="Arial" w:eastAsia="Arial" w:hAnsi="Arial"/>
                <w:sz w:val="14"/>
                <w:szCs w:val="14"/>
                <w:color w:val="auto"/>
                <w:w w:val="97"/>
              </w:rPr>
              <w:t>Market Yield</w:t>
            </w:r>
          </w:p>
        </w:tc>
        <w:tc>
          <w:tcPr>
            <w:tcW w:w="1800" w:type="dxa"/>
            <w:vAlign w:val="bottom"/>
            <w:gridSpan w:val="2"/>
            <w:shd w:val="clear" w:color="auto" w:fill="CCECFF"/>
          </w:tcPr>
          <w:p>
            <w:pPr>
              <w:jc w:val="center"/>
              <w:ind w:right="120"/>
              <w:spacing w:after="0"/>
              <w:rPr>
                <w:sz w:val="20"/>
                <w:szCs w:val="20"/>
                <w:color w:val="auto"/>
              </w:rPr>
            </w:pPr>
            <w:r>
              <w:rPr>
                <w:rFonts w:ascii="Arial" w:cs="Arial" w:eastAsia="Arial" w:hAnsi="Arial"/>
                <w:sz w:val="14"/>
                <w:szCs w:val="14"/>
                <w:color w:val="auto"/>
                <w:w w:val="94"/>
              </w:rPr>
              <w:t>4.1% – 12.7% (10.7%)</w:t>
            </w:r>
          </w:p>
        </w:tc>
        <w:tc>
          <w:tcPr>
            <w:tcW w:w="0" w:type="dxa"/>
            <w:vAlign w:val="bottom"/>
          </w:tcPr>
          <w:p>
            <w:pPr>
              <w:spacing w:after="0"/>
              <w:rPr>
                <w:sz w:val="1"/>
                <w:szCs w:val="1"/>
                <w:color w:val="auto"/>
              </w:rPr>
            </w:pPr>
          </w:p>
        </w:tc>
      </w:tr>
      <w:tr>
        <w:trPr>
          <w:trHeight w:val="162"/>
        </w:trPr>
        <w:tc>
          <w:tcPr>
            <w:tcW w:w="3420" w:type="dxa"/>
            <w:vAlign w:val="bottom"/>
          </w:tcPr>
          <w:p>
            <w:pPr>
              <w:spacing w:after="0"/>
              <w:rPr>
                <w:sz w:val="20"/>
                <w:szCs w:val="20"/>
                <w:color w:val="auto"/>
              </w:rPr>
            </w:pPr>
            <w:r>
              <w:rPr>
                <w:rFonts w:ascii="Arial" w:cs="Arial" w:eastAsia="Arial" w:hAnsi="Arial"/>
                <w:sz w:val="14"/>
                <w:szCs w:val="14"/>
                <w:color w:val="auto"/>
              </w:rPr>
              <w:t>First lien</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10,370,100</w:t>
            </w:r>
          </w:p>
        </w:tc>
        <w:tc>
          <w:tcPr>
            <w:tcW w:w="260" w:type="dxa"/>
            <w:vAlign w:val="bottom"/>
          </w:tcPr>
          <w:p>
            <w:pPr>
              <w:spacing w:after="0"/>
              <w:rPr>
                <w:sz w:val="14"/>
                <w:szCs w:val="14"/>
                <w:color w:val="auto"/>
              </w:rPr>
            </w:pPr>
          </w:p>
        </w:tc>
        <w:tc>
          <w:tcPr>
            <w:tcW w:w="1960" w:type="dxa"/>
            <w:vAlign w:val="bottom"/>
            <w:gridSpan w:val="2"/>
          </w:tcPr>
          <w:p>
            <w:pPr>
              <w:jc w:val="center"/>
              <w:ind w:right="160"/>
              <w:spacing w:after="0"/>
              <w:rPr>
                <w:sz w:val="20"/>
                <w:szCs w:val="20"/>
                <w:color w:val="auto"/>
              </w:rPr>
            </w:pPr>
            <w:r>
              <w:rPr>
                <w:rFonts w:ascii="Arial" w:cs="Arial" w:eastAsia="Arial" w:hAnsi="Arial"/>
                <w:sz w:val="14"/>
                <w:szCs w:val="14"/>
                <w:color w:val="auto"/>
                <w:w w:val="93"/>
              </w:rPr>
              <w:t>Enterprise Market Value</w:t>
            </w:r>
          </w:p>
        </w:tc>
        <w:tc>
          <w:tcPr>
            <w:tcW w:w="1960" w:type="dxa"/>
            <w:vAlign w:val="bottom"/>
            <w:gridSpan w:val="2"/>
          </w:tcPr>
          <w:p>
            <w:pPr>
              <w:jc w:val="center"/>
              <w:ind w:right="160"/>
              <w:spacing w:after="0"/>
              <w:rPr>
                <w:sz w:val="20"/>
                <w:szCs w:val="20"/>
                <w:color w:val="auto"/>
              </w:rPr>
            </w:pPr>
            <w:r>
              <w:rPr>
                <w:rFonts w:ascii="Arial" w:cs="Arial" w:eastAsia="Arial" w:hAnsi="Arial"/>
                <w:sz w:val="14"/>
                <w:szCs w:val="14"/>
                <w:color w:val="auto"/>
              </w:rPr>
              <w:t>EBITDA multiple</w:t>
            </w:r>
          </w:p>
        </w:tc>
        <w:tc>
          <w:tcPr>
            <w:tcW w:w="1800" w:type="dxa"/>
            <w:vAlign w:val="bottom"/>
            <w:gridSpan w:val="2"/>
          </w:tcPr>
          <w:p>
            <w:pPr>
              <w:jc w:val="center"/>
              <w:ind w:right="100"/>
              <w:spacing w:after="0"/>
              <w:rPr>
                <w:sz w:val="20"/>
                <w:szCs w:val="20"/>
                <w:color w:val="auto"/>
              </w:rPr>
            </w:pPr>
            <w:r>
              <w:rPr>
                <w:rFonts w:ascii="Arial" w:cs="Arial" w:eastAsia="Arial" w:hAnsi="Arial"/>
                <w:sz w:val="14"/>
                <w:szCs w:val="14"/>
                <w:color w:val="auto"/>
                <w:w w:val="94"/>
              </w:rPr>
              <w:t>5.0x – 14.7x (8.2x)</w:t>
            </w:r>
          </w:p>
        </w:tc>
        <w:tc>
          <w:tcPr>
            <w:tcW w:w="0" w:type="dxa"/>
            <w:vAlign w:val="bottom"/>
          </w:tcPr>
          <w:p>
            <w:pPr>
              <w:spacing w:after="0"/>
              <w:rPr>
                <w:sz w:val="1"/>
                <w:szCs w:val="1"/>
                <w:color w:val="auto"/>
              </w:rPr>
            </w:pPr>
          </w:p>
        </w:tc>
      </w:tr>
      <w:tr>
        <w:trPr>
          <w:trHeight w:val="162"/>
        </w:trPr>
        <w:tc>
          <w:tcPr>
            <w:tcW w:w="3420" w:type="dxa"/>
            <w:vAlign w:val="bottom"/>
            <w:shd w:val="clear" w:color="auto" w:fill="CCECFF"/>
          </w:tcPr>
          <w:p>
            <w:pPr>
              <w:spacing w:after="0"/>
              <w:rPr>
                <w:sz w:val="20"/>
                <w:szCs w:val="20"/>
                <w:color w:val="auto"/>
              </w:rPr>
            </w:pPr>
            <w:r>
              <w:rPr>
                <w:rFonts w:ascii="Arial" w:cs="Arial" w:eastAsia="Arial" w:hAnsi="Arial"/>
                <w:sz w:val="14"/>
                <w:szCs w:val="14"/>
                <w:color w:val="auto"/>
              </w:rPr>
              <w:t>Second lien</w:t>
            </w:r>
          </w:p>
        </w:tc>
        <w:tc>
          <w:tcPr>
            <w:tcW w:w="160" w:type="dxa"/>
            <w:vAlign w:val="bottom"/>
            <w:shd w:val="clear" w:color="auto" w:fill="CCECFF"/>
          </w:tcPr>
          <w:p>
            <w:pPr>
              <w:spacing w:after="0"/>
              <w:rPr>
                <w:sz w:val="14"/>
                <w:szCs w:val="14"/>
                <w:color w:val="auto"/>
              </w:rPr>
            </w:pPr>
          </w:p>
        </w:tc>
        <w:tc>
          <w:tcPr>
            <w:tcW w:w="160" w:type="dxa"/>
            <w:vAlign w:val="bottom"/>
            <w:shd w:val="clear" w:color="auto" w:fill="CCECFF"/>
          </w:tcPr>
          <w:p>
            <w:pPr>
              <w:spacing w:after="0"/>
              <w:rPr>
                <w:sz w:val="14"/>
                <w:szCs w:val="14"/>
                <w:color w:val="auto"/>
              </w:rPr>
            </w:pPr>
          </w:p>
        </w:tc>
        <w:tc>
          <w:tcPr>
            <w:tcW w:w="15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5,458,138</w:t>
            </w:r>
          </w:p>
        </w:tc>
        <w:tc>
          <w:tcPr>
            <w:tcW w:w="260" w:type="dxa"/>
            <w:vAlign w:val="bottom"/>
            <w:shd w:val="clear" w:color="auto" w:fill="CCECFF"/>
          </w:tcPr>
          <w:p>
            <w:pPr>
              <w:spacing w:after="0"/>
              <w:rPr>
                <w:sz w:val="14"/>
                <w:szCs w:val="14"/>
                <w:color w:val="auto"/>
              </w:rPr>
            </w:pPr>
          </w:p>
        </w:tc>
        <w:tc>
          <w:tcPr>
            <w:tcW w:w="1960" w:type="dxa"/>
            <w:vAlign w:val="bottom"/>
            <w:gridSpan w:val="2"/>
            <w:shd w:val="clear" w:color="auto" w:fill="CCECFF"/>
          </w:tcPr>
          <w:p>
            <w:pPr>
              <w:jc w:val="center"/>
              <w:ind w:right="160"/>
              <w:spacing w:after="0"/>
              <w:rPr>
                <w:sz w:val="20"/>
                <w:szCs w:val="20"/>
                <w:color w:val="auto"/>
              </w:rPr>
            </w:pPr>
            <w:r>
              <w:rPr>
                <w:rFonts w:ascii="Arial" w:cs="Arial" w:eastAsia="Arial" w:hAnsi="Arial"/>
                <w:sz w:val="14"/>
                <w:szCs w:val="14"/>
                <w:color w:val="auto"/>
                <w:w w:val="93"/>
              </w:rPr>
              <w:t>Enterprise Market Value</w:t>
            </w:r>
          </w:p>
        </w:tc>
        <w:tc>
          <w:tcPr>
            <w:tcW w:w="1960" w:type="dxa"/>
            <w:vAlign w:val="bottom"/>
            <w:gridSpan w:val="2"/>
            <w:shd w:val="clear" w:color="auto" w:fill="CCECFF"/>
          </w:tcPr>
          <w:p>
            <w:pPr>
              <w:jc w:val="center"/>
              <w:ind w:right="160"/>
              <w:spacing w:after="0"/>
              <w:rPr>
                <w:sz w:val="20"/>
                <w:szCs w:val="20"/>
                <w:color w:val="auto"/>
              </w:rPr>
            </w:pPr>
            <w:r>
              <w:rPr>
                <w:rFonts w:ascii="Arial" w:cs="Arial" w:eastAsia="Arial" w:hAnsi="Arial"/>
                <w:sz w:val="14"/>
                <w:szCs w:val="14"/>
                <w:color w:val="auto"/>
              </w:rPr>
              <w:t>EBITDA multiple</w:t>
            </w:r>
          </w:p>
        </w:tc>
        <w:tc>
          <w:tcPr>
            <w:tcW w:w="1800" w:type="dxa"/>
            <w:vAlign w:val="bottom"/>
            <w:gridSpan w:val="2"/>
            <w:shd w:val="clear" w:color="auto" w:fill="CCECFF"/>
          </w:tcPr>
          <w:p>
            <w:pPr>
              <w:jc w:val="center"/>
              <w:ind w:right="120"/>
              <w:spacing w:after="0"/>
              <w:rPr>
                <w:sz w:val="20"/>
                <w:szCs w:val="20"/>
                <w:color w:val="auto"/>
              </w:rPr>
            </w:pPr>
            <w:r>
              <w:rPr>
                <w:rFonts w:ascii="Arial" w:cs="Arial" w:eastAsia="Arial" w:hAnsi="Arial"/>
                <w:sz w:val="14"/>
                <w:szCs w:val="14"/>
                <w:color w:val="auto"/>
                <w:w w:val="93"/>
              </w:rPr>
              <w:t>14.7x</w:t>
            </w:r>
          </w:p>
        </w:tc>
        <w:tc>
          <w:tcPr>
            <w:tcW w:w="0" w:type="dxa"/>
            <w:vAlign w:val="bottom"/>
          </w:tcPr>
          <w:p>
            <w:pPr>
              <w:spacing w:after="0"/>
              <w:rPr>
                <w:sz w:val="1"/>
                <w:szCs w:val="1"/>
                <w:color w:val="auto"/>
              </w:rPr>
            </w:pPr>
          </w:p>
        </w:tc>
      </w:tr>
      <w:tr>
        <w:trPr>
          <w:trHeight w:val="162"/>
        </w:trPr>
        <w:tc>
          <w:tcPr>
            <w:tcW w:w="3420" w:type="dxa"/>
            <w:vAlign w:val="bottom"/>
            <w:tcBorders>
              <w:bottom w:val="single" w:sz="8" w:color="CCECFF"/>
            </w:tcBorders>
          </w:tcPr>
          <w:p>
            <w:pPr>
              <w:spacing w:after="0"/>
              <w:rPr>
                <w:sz w:val="20"/>
                <w:szCs w:val="20"/>
                <w:color w:val="auto"/>
              </w:rPr>
            </w:pPr>
            <w:r>
              <w:rPr>
                <w:rFonts w:ascii="Arial" w:cs="Arial" w:eastAsia="Arial" w:hAnsi="Arial"/>
                <w:sz w:val="14"/>
                <w:szCs w:val="14"/>
                <w:color w:val="auto"/>
              </w:rPr>
              <w:t>Equity</w:t>
            </w:r>
          </w:p>
        </w:tc>
        <w:tc>
          <w:tcPr>
            <w:tcW w:w="160" w:type="dxa"/>
            <w:vAlign w:val="bottom"/>
            <w:tcBorders>
              <w:bottom w:val="single" w:sz="8" w:color="CCEC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50,981,372</w:t>
            </w:r>
          </w:p>
        </w:tc>
        <w:tc>
          <w:tcPr>
            <w:tcW w:w="260" w:type="dxa"/>
            <w:vAlign w:val="bottom"/>
            <w:tcBorders>
              <w:bottom w:val="single" w:sz="8" w:color="CCECFF"/>
            </w:tcBorders>
          </w:tcPr>
          <w:p>
            <w:pPr>
              <w:spacing w:after="0"/>
              <w:rPr>
                <w:sz w:val="14"/>
                <w:szCs w:val="14"/>
                <w:color w:val="auto"/>
              </w:rPr>
            </w:pPr>
          </w:p>
        </w:tc>
        <w:tc>
          <w:tcPr>
            <w:tcW w:w="1960" w:type="dxa"/>
            <w:vAlign w:val="bottom"/>
            <w:tcBorders>
              <w:bottom w:val="single" w:sz="8" w:color="CCECFF"/>
            </w:tcBorders>
            <w:gridSpan w:val="2"/>
          </w:tcPr>
          <w:p>
            <w:pPr>
              <w:jc w:val="center"/>
              <w:ind w:right="160"/>
              <w:spacing w:after="0"/>
              <w:rPr>
                <w:sz w:val="20"/>
                <w:szCs w:val="20"/>
                <w:color w:val="auto"/>
              </w:rPr>
            </w:pPr>
            <w:r>
              <w:rPr>
                <w:rFonts w:ascii="Arial" w:cs="Arial" w:eastAsia="Arial" w:hAnsi="Arial"/>
                <w:sz w:val="14"/>
                <w:szCs w:val="14"/>
                <w:color w:val="auto"/>
                <w:w w:val="93"/>
              </w:rPr>
              <w:t>Enterprise Market Value</w:t>
            </w:r>
          </w:p>
        </w:tc>
        <w:tc>
          <w:tcPr>
            <w:tcW w:w="1960" w:type="dxa"/>
            <w:vAlign w:val="bottom"/>
            <w:tcBorders>
              <w:bottom w:val="single" w:sz="8" w:color="CCECFF"/>
            </w:tcBorders>
            <w:gridSpan w:val="2"/>
          </w:tcPr>
          <w:p>
            <w:pPr>
              <w:jc w:val="center"/>
              <w:ind w:right="160"/>
              <w:spacing w:after="0"/>
              <w:rPr>
                <w:sz w:val="20"/>
                <w:szCs w:val="20"/>
                <w:color w:val="auto"/>
              </w:rPr>
            </w:pPr>
            <w:r>
              <w:rPr>
                <w:rFonts w:ascii="Arial" w:cs="Arial" w:eastAsia="Arial" w:hAnsi="Arial"/>
                <w:sz w:val="14"/>
                <w:szCs w:val="14"/>
                <w:color w:val="auto"/>
              </w:rPr>
              <w:t>EBITDA multiple</w:t>
            </w:r>
          </w:p>
        </w:tc>
        <w:tc>
          <w:tcPr>
            <w:tcW w:w="1800" w:type="dxa"/>
            <w:vAlign w:val="bottom"/>
            <w:tcBorders>
              <w:bottom w:val="single" w:sz="8" w:color="CCECFF"/>
            </w:tcBorders>
            <w:gridSpan w:val="2"/>
          </w:tcPr>
          <w:p>
            <w:pPr>
              <w:jc w:val="center"/>
              <w:ind w:right="120"/>
              <w:spacing w:after="0"/>
              <w:rPr>
                <w:sz w:val="20"/>
                <w:szCs w:val="20"/>
                <w:color w:val="auto"/>
              </w:rPr>
            </w:pPr>
            <w:r>
              <w:rPr>
                <w:rFonts w:ascii="Arial" w:cs="Arial" w:eastAsia="Arial" w:hAnsi="Arial"/>
                <w:sz w:val="14"/>
                <w:szCs w:val="14"/>
                <w:color w:val="auto"/>
                <w:w w:val="93"/>
              </w:rPr>
              <w:t>6.5x – 14.7x (11.3x)</w:t>
            </w:r>
          </w:p>
        </w:tc>
        <w:tc>
          <w:tcPr>
            <w:tcW w:w="0" w:type="dxa"/>
            <w:vAlign w:val="bottom"/>
          </w:tcPr>
          <w:p>
            <w:pPr>
              <w:spacing w:after="0"/>
              <w:rPr>
                <w:sz w:val="1"/>
                <w:szCs w:val="1"/>
                <w:color w:val="auto"/>
              </w:rPr>
            </w:pPr>
          </w:p>
        </w:tc>
      </w:tr>
      <w:tr>
        <w:trPr>
          <w:trHeight w:val="155"/>
        </w:trPr>
        <w:tc>
          <w:tcPr>
            <w:tcW w:w="3420" w:type="dxa"/>
            <w:vAlign w:val="bottom"/>
            <w:tcBorders>
              <w:bottom w:val="single" w:sz="8" w:color="CCECFF"/>
            </w:tcBorders>
            <w:shd w:val="clear" w:color="auto" w:fill="CCECFF"/>
          </w:tcPr>
          <w:p>
            <w:pPr>
              <w:ind w:left="260"/>
              <w:spacing w:after="0" w:line="155" w:lineRule="exact"/>
              <w:rPr>
                <w:sz w:val="20"/>
                <w:szCs w:val="20"/>
                <w:color w:val="auto"/>
              </w:rPr>
            </w:pPr>
            <w:r>
              <w:rPr>
                <w:rFonts w:ascii="Arial" w:cs="Arial" w:eastAsia="Arial" w:hAnsi="Arial"/>
                <w:sz w:val="14"/>
                <w:szCs w:val="14"/>
                <w:color w:val="auto"/>
              </w:rPr>
              <w:t>Total Level 3 investments</w:t>
            </w:r>
          </w:p>
        </w:tc>
        <w:tc>
          <w:tcPr>
            <w:tcW w:w="160" w:type="dxa"/>
            <w:vAlign w:val="bottom"/>
            <w:tcBorders>
              <w:bottom w:val="single" w:sz="8" w:color="CCECFF"/>
            </w:tcBorders>
            <w:shd w:val="clear" w:color="auto" w:fill="CCECFF"/>
          </w:tcPr>
          <w:p>
            <w:pPr>
              <w:spacing w:after="0"/>
              <w:rPr>
                <w:sz w:val="13"/>
                <w:szCs w:val="13"/>
                <w:color w:val="auto"/>
              </w:rPr>
            </w:pPr>
          </w:p>
        </w:tc>
        <w:tc>
          <w:tcPr>
            <w:tcW w:w="160" w:type="dxa"/>
            <w:vAlign w:val="bottom"/>
            <w:tcBorders>
              <w:bottom w:val="single" w:sz="8" w:color="auto"/>
            </w:tcBorders>
            <w:shd w:val="clear" w:color="auto" w:fill="CCECFF"/>
          </w:tcPr>
          <w:p>
            <w:pPr>
              <w:spacing w:after="0" w:line="155" w:lineRule="exact"/>
              <w:rPr>
                <w:sz w:val="20"/>
                <w:szCs w:val="20"/>
                <w:color w:val="auto"/>
              </w:rPr>
            </w:pPr>
            <w:r>
              <w:rPr>
                <w:rFonts w:ascii="Arial" w:cs="Arial" w:eastAsia="Arial" w:hAnsi="Arial"/>
                <w:sz w:val="14"/>
                <w:szCs w:val="14"/>
                <w:color w:val="auto"/>
              </w:rPr>
              <w:t>$</w:t>
            </w:r>
          </w:p>
        </w:tc>
        <w:tc>
          <w:tcPr>
            <w:tcW w:w="152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1,126,388,066</w:t>
            </w:r>
          </w:p>
        </w:tc>
        <w:tc>
          <w:tcPr>
            <w:tcW w:w="260" w:type="dxa"/>
            <w:vAlign w:val="bottom"/>
            <w:tcBorders>
              <w:bottom w:val="single" w:sz="8" w:color="CCECFF"/>
            </w:tcBorders>
            <w:shd w:val="clear" w:color="auto" w:fill="CCECFF"/>
          </w:tcPr>
          <w:p>
            <w:pPr>
              <w:spacing w:after="0"/>
              <w:rPr>
                <w:sz w:val="13"/>
                <w:szCs w:val="13"/>
                <w:color w:val="auto"/>
              </w:rPr>
            </w:pPr>
          </w:p>
        </w:tc>
        <w:tc>
          <w:tcPr>
            <w:tcW w:w="1800" w:type="dxa"/>
            <w:vAlign w:val="bottom"/>
            <w:tcBorders>
              <w:bottom w:val="single" w:sz="8" w:color="CCECFF"/>
            </w:tcBorders>
            <w:shd w:val="clear" w:color="auto" w:fill="CCECFF"/>
          </w:tcPr>
          <w:p>
            <w:pPr>
              <w:spacing w:after="0"/>
              <w:rPr>
                <w:sz w:val="13"/>
                <w:szCs w:val="13"/>
                <w:color w:val="auto"/>
              </w:rPr>
            </w:pPr>
          </w:p>
        </w:tc>
        <w:tc>
          <w:tcPr>
            <w:tcW w:w="160" w:type="dxa"/>
            <w:vAlign w:val="bottom"/>
            <w:tcBorders>
              <w:bottom w:val="single" w:sz="8" w:color="CCECFF"/>
            </w:tcBorders>
            <w:shd w:val="clear" w:color="auto" w:fill="CCECFF"/>
          </w:tcPr>
          <w:p>
            <w:pPr>
              <w:spacing w:after="0"/>
              <w:rPr>
                <w:sz w:val="13"/>
                <w:szCs w:val="13"/>
                <w:color w:val="auto"/>
              </w:rPr>
            </w:pPr>
          </w:p>
        </w:tc>
        <w:tc>
          <w:tcPr>
            <w:tcW w:w="1800" w:type="dxa"/>
            <w:vAlign w:val="bottom"/>
            <w:tcBorders>
              <w:bottom w:val="single" w:sz="8" w:color="CCECFF"/>
            </w:tcBorders>
            <w:shd w:val="clear" w:color="auto" w:fill="CCECFF"/>
          </w:tcPr>
          <w:p>
            <w:pPr>
              <w:spacing w:after="0"/>
              <w:rPr>
                <w:sz w:val="13"/>
                <w:szCs w:val="13"/>
                <w:color w:val="auto"/>
              </w:rPr>
            </w:pPr>
          </w:p>
        </w:tc>
        <w:tc>
          <w:tcPr>
            <w:tcW w:w="160" w:type="dxa"/>
            <w:vAlign w:val="bottom"/>
            <w:tcBorders>
              <w:bottom w:val="single" w:sz="8" w:color="CCECFF"/>
            </w:tcBorders>
            <w:shd w:val="clear" w:color="auto" w:fill="CCECFF"/>
          </w:tcPr>
          <w:p>
            <w:pPr>
              <w:spacing w:after="0"/>
              <w:rPr>
                <w:sz w:val="13"/>
                <w:szCs w:val="13"/>
                <w:color w:val="auto"/>
              </w:rPr>
            </w:pPr>
          </w:p>
        </w:tc>
        <w:tc>
          <w:tcPr>
            <w:tcW w:w="1700" w:type="dxa"/>
            <w:vAlign w:val="bottom"/>
            <w:tcBorders>
              <w:bottom w:val="single" w:sz="8" w:color="CCECFF"/>
            </w:tcBorders>
            <w:shd w:val="clear" w:color="auto" w:fill="CCECFF"/>
          </w:tcPr>
          <w:p>
            <w:pPr>
              <w:spacing w:after="0"/>
              <w:rPr>
                <w:sz w:val="13"/>
                <w:szCs w:val="13"/>
                <w:color w:val="auto"/>
              </w:rPr>
            </w:pPr>
          </w:p>
        </w:tc>
        <w:tc>
          <w:tcPr>
            <w:tcW w:w="100" w:type="dxa"/>
            <w:vAlign w:val="bottom"/>
            <w:tcBorders>
              <w:bottom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420" w:type="dxa"/>
            <w:vAlign w:val="bottom"/>
            <w:vMerge w:val="restart"/>
          </w:tcPr>
          <w:p>
            <w:pPr>
              <w:spacing w:after="0"/>
              <w:rPr>
                <w:sz w:val="20"/>
                <w:szCs w:val="20"/>
                <w:color w:val="auto"/>
              </w:rPr>
            </w:pPr>
            <w:r>
              <w:rPr>
                <w:rFonts w:ascii="Arial" w:cs="Arial" w:eastAsia="Arial" w:hAnsi="Arial"/>
                <w:sz w:val="14"/>
                <w:szCs w:val="14"/>
                <w:color w:val="auto"/>
              </w:rPr>
              <w:t>Long-Term Credit Facility</w:t>
            </w:r>
          </w:p>
        </w:tc>
        <w:tc>
          <w:tcPr>
            <w:tcW w:w="320" w:type="dxa"/>
            <w:vAlign w:val="bottom"/>
            <w:gridSpan w:val="2"/>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960" w:type="dxa"/>
            <w:vAlign w:val="bottom"/>
            <w:gridSpan w:val="2"/>
            <w:vMerge w:val="restart"/>
          </w:tcPr>
          <w:p>
            <w:pPr>
              <w:jc w:val="center"/>
              <w:ind w:right="160"/>
              <w:spacing w:after="0"/>
              <w:rPr>
                <w:sz w:val="20"/>
                <w:szCs w:val="20"/>
                <w:color w:val="auto"/>
              </w:rPr>
            </w:pPr>
            <w:r>
              <w:rPr>
                <w:rFonts w:ascii="Arial" w:cs="Arial" w:eastAsia="Arial" w:hAnsi="Arial"/>
                <w:sz w:val="14"/>
                <w:szCs w:val="14"/>
                <w:color w:val="auto"/>
                <w:w w:val="94"/>
              </w:rPr>
              <w:t>Market Comparable</w:t>
            </w:r>
          </w:p>
        </w:tc>
        <w:tc>
          <w:tcPr>
            <w:tcW w:w="1960" w:type="dxa"/>
            <w:vAlign w:val="bottom"/>
            <w:gridSpan w:val="2"/>
            <w:vMerge w:val="restart"/>
          </w:tcPr>
          <w:p>
            <w:pPr>
              <w:jc w:val="center"/>
              <w:ind w:right="160"/>
              <w:spacing w:after="0"/>
              <w:rPr>
                <w:sz w:val="20"/>
                <w:szCs w:val="20"/>
                <w:color w:val="auto"/>
              </w:rPr>
            </w:pPr>
            <w:r>
              <w:rPr>
                <w:rFonts w:ascii="Arial" w:cs="Arial" w:eastAsia="Arial" w:hAnsi="Arial"/>
                <w:sz w:val="14"/>
                <w:szCs w:val="14"/>
                <w:color w:val="auto"/>
                <w:w w:val="97"/>
              </w:rPr>
              <w:t>Market Yield</w:t>
            </w:r>
          </w:p>
        </w:tc>
        <w:tc>
          <w:tcPr>
            <w:tcW w:w="1700" w:type="dxa"/>
            <w:vAlign w:val="bottom"/>
            <w:vMerge w:val="restart"/>
          </w:tcPr>
          <w:p>
            <w:pPr>
              <w:jc w:val="center"/>
              <w:spacing w:after="0"/>
              <w:rPr>
                <w:sz w:val="20"/>
                <w:szCs w:val="20"/>
                <w:color w:val="auto"/>
              </w:rPr>
            </w:pPr>
            <w:r>
              <w:rPr>
                <w:rFonts w:ascii="Arial" w:cs="Arial" w:eastAsia="Arial" w:hAnsi="Arial"/>
                <w:sz w:val="14"/>
                <w:szCs w:val="14"/>
                <w:color w:val="auto"/>
                <w:w w:val="93"/>
              </w:rPr>
              <w:t>4.1%</w:t>
            </w: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342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line="143" w:lineRule="exact"/>
              <w:rPr>
                <w:sz w:val="20"/>
                <w:szCs w:val="20"/>
                <w:color w:val="auto"/>
              </w:rPr>
            </w:pPr>
            <w:r>
              <w:rPr>
                <w:rFonts w:ascii="Arial" w:cs="Arial" w:eastAsia="Arial" w:hAnsi="Arial"/>
                <w:sz w:val="14"/>
                <w:szCs w:val="14"/>
                <w:color w:val="auto"/>
              </w:rPr>
              <w:t>$</w:t>
            </w:r>
          </w:p>
        </w:tc>
        <w:tc>
          <w:tcPr>
            <w:tcW w:w="152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334,040,510</w:t>
            </w:r>
          </w:p>
        </w:tc>
        <w:tc>
          <w:tcPr>
            <w:tcW w:w="260" w:type="dxa"/>
            <w:vAlign w:val="bottom"/>
          </w:tcPr>
          <w:p>
            <w:pPr>
              <w:spacing w:after="0"/>
              <w:rPr>
                <w:sz w:val="12"/>
                <w:szCs w:val="12"/>
                <w:color w:val="auto"/>
              </w:rPr>
            </w:pPr>
          </w:p>
        </w:tc>
        <w:tc>
          <w:tcPr>
            <w:tcW w:w="1960" w:type="dxa"/>
            <w:vAlign w:val="bottom"/>
            <w:gridSpan w:val="2"/>
            <w:vMerge w:val="continue"/>
          </w:tcPr>
          <w:p>
            <w:pPr>
              <w:spacing w:after="0"/>
              <w:rPr>
                <w:sz w:val="12"/>
                <w:szCs w:val="12"/>
                <w:color w:val="auto"/>
              </w:rPr>
            </w:pPr>
          </w:p>
        </w:tc>
        <w:tc>
          <w:tcPr>
            <w:tcW w:w="1960" w:type="dxa"/>
            <w:vAlign w:val="bottom"/>
            <w:gridSpan w:val="2"/>
            <w:vMerge w:val="continue"/>
          </w:tcPr>
          <w:p>
            <w:pPr>
              <w:spacing w:after="0"/>
              <w:rPr>
                <w:sz w:val="12"/>
                <w:szCs w:val="12"/>
                <w:color w:val="auto"/>
              </w:rPr>
            </w:pPr>
          </w:p>
        </w:tc>
        <w:tc>
          <w:tcPr>
            <w:tcW w:w="17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8"/>
        </w:trPr>
        <w:tc>
          <w:tcPr>
            <w:tcW w:w="3420" w:type="dxa"/>
            <w:vAlign w:val="bottom"/>
            <w:vMerge w:val="restart"/>
          </w:tcPr>
          <w:p>
            <w:pPr>
              <w:spacing w:after="0"/>
              <w:rPr>
                <w:sz w:val="20"/>
                <w:szCs w:val="20"/>
                <w:color w:val="auto"/>
              </w:rPr>
            </w:pPr>
            <w:r>
              <w:rPr>
                <w:rFonts w:ascii="Arial" w:cs="Arial" w:eastAsia="Arial" w:hAnsi="Arial"/>
                <w:sz w:val="14"/>
                <w:szCs w:val="14"/>
                <w:b w:val="1"/>
                <w:bCs w:val="1"/>
                <w:color w:val="auto"/>
              </w:rPr>
              <w:t>Asset Category</w:t>
            </w:r>
          </w:p>
        </w:tc>
        <w:tc>
          <w:tcPr>
            <w:tcW w:w="1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520" w:type="dxa"/>
            <w:vAlign w:val="bottom"/>
          </w:tcPr>
          <w:p>
            <w:pPr>
              <w:jc w:val="center"/>
              <w:ind w:right="108"/>
              <w:spacing w:after="0"/>
              <w:rPr>
                <w:sz w:val="20"/>
                <w:szCs w:val="20"/>
                <w:color w:val="auto"/>
              </w:rPr>
            </w:pPr>
            <w:r>
              <w:rPr>
                <w:rFonts w:ascii="Arial" w:cs="Arial" w:eastAsia="Arial" w:hAnsi="Arial"/>
                <w:sz w:val="14"/>
                <w:szCs w:val="14"/>
                <w:b w:val="1"/>
                <w:bCs w:val="1"/>
                <w:color w:val="auto"/>
                <w:w w:val="95"/>
              </w:rPr>
              <w:t>Fair value at</w:t>
            </w:r>
          </w:p>
        </w:tc>
        <w:tc>
          <w:tcPr>
            <w:tcW w:w="260" w:type="dxa"/>
            <w:vAlign w:val="bottom"/>
          </w:tcPr>
          <w:p>
            <w:pPr>
              <w:spacing w:after="0"/>
              <w:rPr>
                <w:sz w:val="23"/>
                <w:szCs w:val="23"/>
                <w:color w:val="auto"/>
              </w:rPr>
            </w:pPr>
          </w:p>
        </w:tc>
        <w:tc>
          <w:tcPr>
            <w:tcW w:w="196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3"/>
              </w:rPr>
              <w:t>Valuation Technique</w:t>
            </w:r>
          </w:p>
        </w:tc>
        <w:tc>
          <w:tcPr>
            <w:tcW w:w="196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4"/>
              </w:rPr>
              <w:t>Unobservable Input</w:t>
            </w:r>
          </w:p>
        </w:tc>
        <w:tc>
          <w:tcPr>
            <w:tcW w:w="18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Range of Input</w:t>
            </w:r>
          </w:p>
        </w:tc>
        <w:tc>
          <w:tcPr>
            <w:tcW w:w="0" w:type="dxa"/>
            <w:vAlign w:val="bottom"/>
          </w:tcPr>
          <w:p>
            <w:pPr>
              <w:spacing w:after="0"/>
              <w:rPr>
                <w:sz w:val="1"/>
                <w:szCs w:val="1"/>
                <w:color w:val="auto"/>
              </w:rPr>
            </w:pPr>
          </w:p>
        </w:tc>
      </w:tr>
      <w:tr>
        <w:trPr>
          <w:trHeight w:val="171"/>
        </w:trPr>
        <w:tc>
          <w:tcPr>
            <w:tcW w:w="342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20" w:type="dxa"/>
            <w:vAlign w:val="bottom"/>
          </w:tcPr>
          <w:p>
            <w:pPr>
              <w:jc w:val="center"/>
              <w:ind w:right="88"/>
              <w:spacing w:after="0"/>
              <w:rPr>
                <w:sz w:val="20"/>
                <w:szCs w:val="20"/>
                <w:color w:val="auto"/>
              </w:rPr>
            </w:pPr>
            <w:r>
              <w:rPr>
                <w:rFonts w:ascii="Arial" w:cs="Arial" w:eastAsia="Arial" w:hAnsi="Arial"/>
                <w:sz w:val="14"/>
                <w:szCs w:val="14"/>
                <w:b w:val="1"/>
                <w:bCs w:val="1"/>
                <w:color w:val="auto"/>
                <w:w w:val="91"/>
              </w:rPr>
              <w:t>September 30, 2019</w:t>
            </w:r>
          </w:p>
        </w:tc>
        <w:tc>
          <w:tcPr>
            <w:tcW w:w="260" w:type="dxa"/>
            <w:vAlign w:val="bottom"/>
          </w:tcPr>
          <w:p>
            <w:pPr>
              <w:spacing w:after="0"/>
              <w:rPr>
                <w:sz w:val="14"/>
                <w:szCs w:val="14"/>
                <w:color w:val="auto"/>
              </w:rPr>
            </w:pPr>
          </w:p>
        </w:tc>
        <w:tc>
          <w:tcPr>
            <w:tcW w:w="1960" w:type="dxa"/>
            <w:vAlign w:val="bottom"/>
            <w:gridSpan w:val="2"/>
            <w:vMerge w:val="continue"/>
          </w:tcPr>
          <w:p>
            <w:pPr>
              <w:spacing w:after="0"/>
              <w:rPr>
                <w:sz w:val="14"/>
                <w:szCs w:val="14"/>
                <w:color w:val="auto"/>
              </w:rPr>
            </w:pPr>
          </w:p>
        </w:tc>
        <w:tc>
          <w:tcPr>
            <w:tcW w:w="1960" w:type="dxa"/>
            <w:vAlign w:val="bottom"/>
            <w:gridSpan w:val="2"/>
            <w:vMerge w:val="continue"/>
          </w:tcPr>
          <w:p>
            <w:pPr>
              <w:spacing w:after="0"/>
              <w:rPr>
                <w:sz w:val="14"/>
                <w:szCs w:val="14"/>
                <w:color w:val="auto"/>
              </w:rPr>
            </w:pPr>
          </w:p>
        </w:tc>
        <w:tc>
          <w:tcPr>
            <w:tcW w:w="18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 xml:space="preserve">(Weighted Average) </w:t>
            </w:r>
            <w:r>
              <w:rPr>
                <w:rFonts w:ascii="Arial" w:cs="Arial" w:eastAsia="Arial" w:hAnsi="Arial"/>
                <w:sz w:val="12"/>
                <w:szCs w:val="12"/>
                <w:b w:val="1"/>
                <w:bCs w:val="1"/>
                <w:color w:val="auto"/>
                <w:w w:val="93"/>
              </w:rPr>
              <w:t>(1)</w:t>
            </w:r>
          </w:p>
        </w:tc>
        <w:tc>
          <w:tcPr>
            <w:tcW w:w="0" w:type="dxa"/>
            <w:vAlign w:val="bottom"/>
          </w:tcPr>
          <w:p>
            <w:pPr>
              <w:spacing w:after="0"/>
              <w:rPr>
                <w:sz w:val="1"/>
                <w:szCs w:val="1"/>
                <w:color w:val="auto"/>
              </w:rPr>
            </w:pPr>
          </w:p>
        </w:tc>
      </w:tr>
      <w:tr>
        <w:trPr>
          <w:trHeight w:val="155"/>
        </w:trPr>
        <w:tc>
          <w:tcPr>
            <w:tcW w:w="3420" w:type="dxa"/>
            <w:vAlign w:val="bottom"/>
            <w:tcBorders>
              <w:top w:val="single" w:sz="8" w:color="auto"/>
            </w:tcBorders>
            <w:shd w:val="clear" w:color="auto" w:fill="CCECFF"/>
          </w:tcPr>
          <w:p>
            <w:pPr>
              <w:spacing w:after="0" w:line="155" w:lineRule="exact"/>
              <w:rPr>
                <w:sz w:val="20"/>
                <w:szCs w:val="20"/>
                <w:color w:val="auto"/>
              </w:rPr>
            </w:pPr>
            <w:r>
              <w:rPr>
                <w:rFonts w:ascii="Arial" w:cs="Arial" w:eastAsia="Arial" w:hAnsi="Arial"/>
                <w:sz w:val="14"/>
                <w:szCs w:val="14"/>
                <w:color w:val="auto"/>
              </w:rPr>
              <w:t>First lien</w:t>
            </w:r>
          </w:p>
        </w:tc>
        <w:tc>
          <w:tcPr>
            <w:tcW w:w="160" w:type="dxa"/>
            <w:vAlign w:val="bottom"/>
            <w:tcBorders>
              <w:top w:val="single" w:sz="8" w:color="CCECFF"/>
            </w:tcBorders>
            <w:shd w:val="clear" w:color="auto" w:fill="CCECFF"/>
          </w:tcPr>
          <w:p>
            <w:pPr>
              <w:spacing w:after="0"/>
              <w:rPr>
                <w:sz w:val="13"/>
                <w:szCs w:val="13"/>
                <w:color w:val="auto"/>
              </w:rPr>
            </w:pPr>
          </w:p>
        </w:tc>
        <w:tc>
          <w:tcPr>
            <w:tcW w:w="160" w:type="dxa"/>
            <w:vAlign w:val="bottom"/>
            <w:tcBorders>
              <w:top w:val="single" w:sz="8" w:color="auto"/>
            </w:tcBorders>
            <w:shd w:val="clear" w:color="auto" w:fill="CCECFF"/>
          </w:tcPr>
          <w:p>
            <w:pPr>
              <w:spacing w:after="0" w:line="155" w:lineRule="exact"/>
              <w:rPr>
                <w:sz w:val="20"/>
                <w:szCs w:val="20"/>
                <w:color w:val="auto"/>
              </w:rPr>
            </w:pPr>
            <w:r>
              <w:rPr>
                <w:rFonts w:ascii="Arial" w:cs="Arial" w:eastAsia="Arial" w:hAnsi="Arial"/>
                <w:sz w:val="14"/>
                <w:szCs w:val="14"/>
                <w:color w:val="auto"/>
              </w:rPr>
              <w:t>$</w:t>
            </w:r>
          </w:p>
        </w:tc>
        <w:tc>
          <w:tcPr>
            <w:tcW w:w="152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274,095,799</w:t>
            </w:r>
          </w:p>
        </w:tc>
        <w:tc>
          <w:tcPr>
            <w:tcW w:w="260" w:type="dxa"/>
            <w:vAlign w:val="bottom"/>
            <w:tcBorders>
              <w:top w:val="single" w:sz="8" w:color="CCECFF"/>
            </w:tcBorders>
            <w:shd w:val="clear" w:color="auto" w:fill="CCECFF"/>
          </w:tcPr>
          <w:p>
            <w:pPr>
              <w:spacing w:after="0"/>
              <w:rPr>
                <w:sz w:val="13"/>
                <w:szCs w:val="13"/>
                <w:color w:val="auto"/>
              </w:rPr>
            </w:pPr>
          </w:p>
        </w:tc>
        <w:tc>
          <w:tcPr>
            <w:tcW w:w="1800" w:type="dxa"/>
            <w:vAlign w:val="bottom"/>
            <w:tcBorders>
              <w:top w:val="single" w:sz="8" w:color="auto"/>
            </w:tcBorders>
            <w:shd w:val="clear" w:color="auto" w:fill="CCECFF"/>
          </w:tcPr>
          <w:p>
            <w:pPr>
              <w:jc w:val="center"/>
              <w:spacing w:after="0" w:line="155" w:lineRule="exact"/>
              <w:rPr>
                <w:sz w:val="20"/>
                <w:szCs w:val="20"/>
                <w:color w:val="auto"/>
              </w:rPr>
            </w:pPr>
            <w:r>
              <w:rPr>
                <w:rFonts w:ascii="Arial" w:cs="Arial" w:eastAsia="Arial" w:hAnsi="Arial"/>
                <w:sz w:val="14"/>
                <w:szCs w:val="14"/>
                <w:color w:val="auto"/>
                <w:w w:val="94"/>
              </w:rPr>
              <w:t>Market Comparable</w:t>
            </w:r>
          </w:p>
        </w:tc>
        <w:tc>
          <w:tcPr>
            <w:tcW w:w="160" w:type="dxa"/>
            <w:vAlign w:val="bottom"/>
            <w:tcBorders>
              <w:top w:val="single" w:sz="8" w:color="CCECFF"/>
            </w:tcBorders>
            <w:shd w:val="clear" w:color="auto" w:fill="CCECFF"/>
          </w:tcPr>
          <w:p>
            <w:pPr>
              <w:spacing w:after="0"/>
              <w:rPr>
                <w:sz w:val="13"/>
                <w:szCs w:val="13"/>
                <w:color w:val="auto"/>
              </w:rPr>
            </w:pPr>
          </w:p>
        </w:tc>
        <w:tc>
          <w:tcPr>
            <w:tcW w:w="1800" w:type="dxa"/>
            <w:vAlign w:val="bottom"/>
            <w:tcBorders>
              <w:top w:val="single" w:sz="8" w:color="auto"/>
            </w:tcBorders>
            <w:shd w:val="clear" w:color="auto" w:fill="CCECFF"/>
          </w:tcPr>
          <w:p>
            <w:pPr>
              <w:jc w:val="center"/>
              <w:spacing w:after="0" w:line="155" w:lineRule="exact"/>
              <w:rPr>
                <w:sz w:val="20"/>
                <w:szCs w:val="20"/>
                <w:color w:val="auto"/>
              </w:rPr>
            </w:pPr>
            <w:r>
              <w:rPr>
                <w:rFonts w:ascii="Arial" w:cs="Arial" w:eastAsia="Arial" w:hAnsi="Arial"/>
                <w:sz w:val="14"/>
                <w:szCs w:val="14"/>
                <w:color w:val="auto"/>
                <w:w w:val="94"/>
              </w:rPr>
              <w:t>Broker/Dealer bids or quotes</w:t>
            </w:r>
          </w:p>
        </w:tc>
        <w:tc>
          <w:tcPr>
            <w:tcW w:w="160" w:type="dxa"/>
            <w:vAlign w:val="bottom"/>
            <w:tcBorders>
              <w:top w:val="single" w:sz="8" w:color="CCECFF"/>
            </w:tcBorders>
            <w:shd w:val="clear" w:color="auto" w:fill="CCECFF"/>
          </w:tcPr>
          <w:p>
            <w:pPr>
              <w:spacing w:after="0"/>
              <w:rPr>
                <w:sz w:val="13"/>
                <w:szCs w:val="13"/>
                <w:color w:val="auto"/>
              </w:rPr>
            </w:pPr>
          </w:p>
        </w:tc>
        <w:tc>
          <w:tcPr>
            <w:tcW w:w="1700" w:type="dxa"/>
            <w:vAlign w:val="bottom"/>
            <w:tcBorders>
              <w:top w:val="single" w:sz="8" w:color="auto"/>
            </w:tcBorders>
            <w:shd w:val="clear" w:color="auto" w:fill="CCECFF"/>
          </w:tcPr>
          <w:p>
            <w:pPr>
              <w:jc w:val="center"/>
              <w:spacing w:after="0" w:line="155" w:lineRule="exact"/>
              <w:rPr>
                <w:sz w:val="20"/>
                <w:szCs w:val="20"/>
                <w:color w:val="auto"/>
              </w:rPr>
            </w:pPr>
            <w:r>
              <w:rPr>
                <w:rFonts w:ascii="Arial" w:cs="Arial" w:eastAsia="Arial" w:hAnsi="Arial"/>
                <w:sz w:val="14"/>
                <w:szCs w:val="14"/>
                <w:color w:val="auto"/>
              </w:rPr>
              <w:t>N/A</w:t>
            </w:r>
          </w:p>
        </w:tc>
        <w:tc>
          <w:tcPr>
            <w:tcW w:w="100" w:type="dxa"/>
            <w:vAlign w:val="bottom"/>
            <w:tcBorders>
              <w:top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420" w:type="dxa"/>
            <w:vAlign w:val="bottom"/>
          </w:tcPr>
          <w:p>
            <w:pPr>
              <w:spacing w:after="0"/>
              <w:rPr>
                <w:sz w:val="20"/>
                <w:szCs w:val="20"/>
                <w:color w:val="auto"/>
              </w:rPr>
            </w:pPr>
            <w:r>
              <w:rPr>
                <w:rFonts w:ascii="Arial" w:cs="Arial" w:eastAsia="Arial" w:hAnsi="Arial"/>
                <w:sz w:val="14"/>
                <w:szCs w:val="14"/>
                <w:color w:val="auto"/>
              </w:rPr>
              <w:t>Second lien</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2,205,284</w:t>
            </w:r>
          </w:p>
        </w:tc>
        <w:tc>
          <w:tcPr>
            <w:tcW w:w="260" w:type="dxa"/>
            <w:vAlign w:val="bottom"/>
          </w:tcPr>
          <w:p>
            <w:pPr>
              <w:spacing w:after="0"/>
              <w:rPr>
                <w:sz w:val="14"/>
                <w:szCs w:val="14"/>
                <w:color w:val="auto"/>
              </w:rPr>
            </w:pPr>
          </w:p>
        </w:tc>
        <w:tc>
          <w:tcPr>
            <w:tcW w:w="1960" w:type="dxa"/>
            <w:vAlign w:val="bottom"/>
            <w:gridSpan w:val="2"/>
          </w:tcPr>
          <w:p>
            <w:pPr>
              <w:jc w:val="center"/>
              <w:ind w:right="160"/>
              <w:spacing w:after="0"/>
              <w:rPr>
                <w:sz w:val="20"/>
                <w:szCs w:val="20"/>
                <w:color w:val="auto"/>
              </w:rPr>
            </w:pPr>
            <w:r>
              <w:rPr>
                <w:rFonts w:ascii="Arial" w:cs="Arial" w:eastAsia="Arial" w:hAnsi="Arial"/>
                <w:sz w:val="14"/>
                <w:szCs w:val="14"/>
                <w:color w:val="auto"/>
                <w:w w:val="94"/>
              </w:rPr>
              <w:t>Market Comparable</w:t>
            </w:r>
          </w:p>
        </w:tc>
        <w:tc>
          <w:tcPr>
            <w:tcW w:w="1960" w:type="dxa"/>
            <w:vAlign w:val="bottom"/>
            <w:gridSpan w:val="2"/>
          </w:tcPr>
          <w:p>
            <w:pPr>
              <w:jc w:val="center"/>
              <w:ind w:right="160"/>
              <w:spacing w:after="0"/>
              <w:rPr>
                <w:sz w:val="20"/>
                <w:szCs w:val="20"/>
                <w:color w:val="auto"/>
              </w:rPr>
            </w:pPr>
            <w:r>
              <w:rPr>
                <w:rFonts w:ascii="Arial" w:cs="Arial" w:eastAsia="Arial" w:hAnsi="Arial"/>
                <w:sz w:val="14"/>
                <w:szCs w:val="14"/>
                <w:color w:val="auto"/>
                <w:w w:val="94"/>
              </w:rPr>
              <w:t>Broker/Dealer bids or quotes</w:t>
            </w:r>
          </w:p>
        </w:tc>
        <w:tc>
          <w:tcPr>
            <w:tcW w:w="1800" w:type="dxa"/>
            <w:vAlign w:val="bottom"/>
            <w:gridSpan w:val="2"/>
          </w:tcPr>
          <w:p>
            <w:pPr>
              <w:jc w:val="center"/>
              <w:ind w:right="120"/>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62"/>
        </w:trPr>
        <w:tc>
          <w:tcPr>
            <w:tcW w:w="3420" w:type="dxa"/>
            <w:vAlign w:val="bottom"/>
            <w:shd w:val="clear" w:color="auto" w:fill="CCECFF"/>
          </w:tcPr>
          <w:p>
            <w:pPr>
              <w:spacing w:after="0"/>
              <w:rPr>
                <w:sz w:val="20"/>
                <w:szCs w:val="20"/>
                <w:color w:val="auto"/>
              </w:rPr>
            </w:pPr>
            <w:r>
              <w:rPr>
                <w:rFonts w:ascii="Arial" w:cs="Arial" w:eastAsia="Arial" w:hAnsi="Arial"/>
                <w:sz w:val="14"/>
                <w:szCs w:val="14"/>
                <w:color w:val="auto"/>
              </w:rPr>
              <w:t>First lien</w:t>
            </w:r>
          </w:p>
        </w:tc>
        <w:tc>
          <w:tcPr>
            <w:tcW w:w="160" w:type="dxa"/>
            <w:vAlign w:val="bottom"/>
            <w:shd w:val="clear" w:color="auto" w:fill="CCECFF"/>
          </w:tcPr>
          <w:p>
            <w:pPr>
              <w:spacing w:after="0"/>
              <w:rPr>
                <w:sz w:val="14"/>
                <w:szCs w:val="14"/>
                <w:color w:val="auto"/>
              </w:rPr>
            </w:pPr>
          </w:p>
        </w:tc>
        <w:tc>
          <w:tcPr>
            <w:tcW w:w="160" w:type="dxa"/>
            <w:vAlign w:val="bottom"/>
            <w:shd w:val="clear" w:color="auto" w:fill="CCECFF"/>
          </w:tcPr>
          <w:p>
            <w:pPr>
              <w:spacing w:after="0"/>
              <w:rPr>
                <w:sz w:val="14"/>
                <w:szCs w:val="14"/>
                <w:color w:val="auto"/>
              </w:rPr>
            </w:pPr>
          </w:p>
        </w:tc>
        <w:tc>
          <w:tcPr>
            <w:tcW w:w="15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661,720,734</w:t>
            </w:r>
          </w:p>
        </w:tc>
        <w:tc>
          <w:tcPr>
            <w:tcW w:w="260" w:type="dxa"/>
            <w:vAlign w:val="bottom"/>
            <w:shd w:val="clear" w:color="auto" w:fill="CCECFF"/>
          </w:tcPr>
          <w:p>
            <w:pPr>
              <w:spacing w:after="0"/>
              <w:rPr>
                <w:sz w:val="14"/>
                <w:szCs w:val="14"/>
                <w:color w:val="auto"/>
              </w:rPr>
            </w:pPr>
          </w:p>
        </w:tc>
        <w:tc>
          <w:tcPr>
            <w:tcW w:w="1960" w:type="dxa"/>
            <w:vAlign w:val="bottom"/>
            <w:gridSpan w:val="2"/>
            <w:shd w:val="clear" w:color="auto" w:fill="CCECFF"/>
          </w:tcPr>
          <w:p>
            <w:pPr>
              <w:jc w:val="center"/>
              <w:ind w:right="160"/>
              <w:spacing w:after="0"/>
              <w:rPr>
                <w:sz w:val="20"/>
                <w:szCs w:val="20"/>
                <w:color w:val="auto"/>
              </w:rPr>
            </w:pPr>
            <w:r>
              <w:rPr>
                <w:rFonts w:ascii="Arial" w:cs="Arial" w:eastAsia="Arial" w:hAnsi="Arial"/>
                <w:sz w:val="14"/>
                <w:szCs w:val="14"/>
                <w:color w:val="auto"/>
                <w:w w:val="94"/>
              </w:rPr>
              <w:t>Market Comparable</w:t>
            </w:r>
          </w:p>
        </w:tc>
        <w:tc>
          <w:tcPr>
            <w:tcW w:w="1960" w:type="dxa"/>
            <w:vAlign w:val="bottom"/>
            <w:gridSpan w:val="2"/>
            <w:shd w:val="clear" w:color="auto" w:fill="CCECFF"/>
          </w:tcPr>
          <w:p>
            <w:pPr>
              <w:jc w:val="center"/>
              <w:ind w:right="160"/>
              <w:spacing w:after="0"/>
              <w:rPr>
                <w:sz w:val="20"/>
                <w:szCs w:val="20"/>
                <w:color w:val="auto"/>
              </w:rPr>
            </w:pPr>
            <w:r>
              <w:rPr>
                <w:rFonts w:ascii="Arial" w:cs="Arial" w:eastAsia="Arial" w:hAnsi="Arial"/>
                <w:sz w:val="14"/>
                <w:szCs w:val="14"/>
                <w:color w:val="auto"/>
                <w:w w:val="97"/>
              </w:rPr>
              <w:t>Market Yield</w:t>
            </w:r>
          </w:p>
        </w:tc>
        <w:tc>
          <w:tcPr>
            <w:tcW w:w="1800" w:type="dxa"/>
            <w:vAlign w:val="bottom"/>
            <w:gridSpan w:val="2"/>
            <w:shd w:val="clear" w:color="auto" w:fill="CCECFF"/>
          </w:tcPr>
          <w:p>
            <w:pPr>
              <w:jc w:val="center"/>
              <w:ind w:right="120"/>
              <w:spacing w:after="0"/>
              <w:rPr>
                <w:sz w:val="20"/>
                <w:szCs w:val="20"/>
                <w:color w:val="auto"/>
              </w:rPr>
            </w:pPr>
            <w:r>
              <w:rPr>
                <w:rFonts w:ascii="Arial" w:cs="Arial" w:eastAsia="Arial" w:hAnsi="Arial"/>
                <w:sz w:val="14"/>
                <w:szCs w:val="14"/>
                <w:color w:val="auto"/>
                <w:w w:val="93"/>
              </w:rPr>
              <w:t>3.9% – 29.2% (8.3%)</w:t>
            </w:r>
          </w:p>
        </w:tc>
        <w:tc>
          <w:tcPr>
            <w:tcW w:w="0" w:type="dxa"/>
            <w:vAlign w:val="bottom"/>
          </w:tcPr>
          <w:p>
            <w:pPr>
              <w:spacing w:after="0"/>
              <w:rPr>
                <w:sz w:val="1"/>
                <w:szCs w:val="1"/>
                <w:color w:val="auto"/>
              </w:rPr>
            </w:pPr>
          </w:p>
        </w:tc>
      </w:tr>
      <w:tr>
        <w:trPr>
          <w:trHeight w:val="162"/>
        </w:trPr>
        <w:tc>
          <w:tcPr>
            <w:tcW w:w="3420" w:type="dxa"/>
            <w:vAlign w:val="bottom"/>
          </w:tcPr>
          <w:p>
            <w:pPr>
              <w:spacing w:after="0"/>
              <w:rPr>
                <w:sz w:val="20"/>
                <w:szCs w:val="20"/>
                <w:color w:val="auto"/>
              </w:rPr>
            </w:pPr>
            <w:r>
              <w:rPr>
                <w:rFonts w:ascii="Arial" w:cs="Arial" w:eastAsia="Arial" w:hAnsi="Arial"/>
                <w:sz w:val="14"/>
                <w:szCs w:val="14"/>
                <w:color w:val="auto"/>
              </w:rPr>
              <w:t>Second lien</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26,851,188</w:t>
            </w:r>
          </w:p>
        </w:tc>
        <w:tc>
          <w:tcPr>
            <w:tcW w:w="260" w:type="dxa"/>
            <w:vAlign w:val="bottom"/>
          </w:tcPr>
          <w:p>
            <w:pPr>
              <w:spacing w:after="0"/>
              <w:rPr>
                <w:sz w:val="14"/>
                <w:szCs w:val="14"/>
                <w:color w:val="auto"/>
              </w:rPr>
            </w:pPr>
          </w:p>
        </w:tc>
        <w:tc>
          <w:tcPr>
            <w:tcW w:w="1960" w:type="dxa"/>
            <w:vAlign w:val="bottom"/>
            <w:gridSpan w:val="2"/>
          </w:tcPr>
          <w:p>
            <w:pPr>
              <w:jc w:val="center"/>
              <w:ind w:right="160"/>
              <w:spacing w:after="0"/>
              <w:rPr>
                <w:sz w:val="20"/>
                <w:szCs w:val="20"/>
                <w:color w:val="auto"/>
              </w:rPr>
            </w:pPr>
            <w:r>
              <w:rPr>
                <w:rFonts w:ascii="Arial" w:cs="Arial" w:eastAsia="Arial" w:hAnsi="Arial"/>
                <w:sz w:val="14"/>
                <w:szCs w:val="14"/>
                <w:color w:val="auto"/>
                <w:w w:val="94"/>
              </w:rPr>
              <w:t>Market Comparable</w:t>
            </w:r>
          </w:p>
        </w:tc>
        <w:tc>
          <w:tcPr>
            <w:tcW w:w="1960" w:type="dxa"/>
            <w:vAlign w:val="bottom"/>
            <w:gridSpan w:val="2"/>
          </w:tcPr>
          <w:p>
            <w:pPr>
              <w:jc w:val="center"/>
              <w:ind w:right="160"/>
              <w:spacing w:after="0"/>
              <w:rPr>
                <w:sz w:val="20"/>
                <w:szCs w:val="20"/>
                <w:color w:val="auto"/>
              </w:rPr>
            </w:pPr>
            <w:r>
              <w:rPr>
                <w:rFonts w:ascii="Arial" w:cs="Arial" w:eastAsia="Arial" w:hAnsi="Arial"/>
                <w:sz w:val="14"/>
                <w:szCs w:val="14"/>
                <w:color w:val="auto"/>
                <w:w w:val="97"/>
              </w:rPr>
              <w:t>Market Yield</w:t>
            </w:r>
          </w:p>
        </w:tc>
        <w:tc>
          <w:tcPr>
            <w:tcW w:w="1800" w:type="dxa"/>
            <w:vAlign w:val="bottom"/>
            <w:gridSpan w:val="2"/>
          </w:tcPr>
          <w:p>
            <w:pPr>
              <w:jc w:val="center"/>
              <w:ind w:right="120"/>
              <w:spacing w:after="0"/>
              <w:rPr>
                <w:sz w:val="20"/>
                <w:szCs w:val="20"/>
                <w:color w:val="auto"/>
              </w:rPr>
            </w:pPr>
            <w:r>
              <w:rPr>
                <w:rFonts w:ascii="Arial" w:cs="Arial" w:eastAsia="Arial" w:hAnsi="Arial"/>
                <w:sz w:val="14"/>
                <w:szCs w:val="14"/>
                <w:color w:val="auto"/>
                <w:w w:val="94"/>
              </w:rPr>
              <w:t>3.9% – 14.2% (10.6%)</w:t>
            </w:r>
          </w:p>
        </w:tc>
        <w:tc>
          <w:tcPr>
            <w:tcW w:w="0" w:type="dxa"/>
            <w:vAlign w:val="bottom"/>
          </w:tcPr>
          <w:p>
            <w:pPr>
              <w:spacing w:after="0"/>
              <w:rPr>
                <w:sz w:val="1"/>
                <w:szCs w:val="1"/>
                <w:color w:val="auto"/>
              </w:rPr>
            </w:pPr>
          </w:p>
        </w:tc>
      </w:tr>
      <w:tr>
        <w:trPr>
          <w:trHeight w:val="162"/>
        </w:trPr>
        <w:tc>
          <w:tcPr>
            <w:tcW w:w="3420" w:type="dxa"/>
            <w:vAlign w:val="bottom"/>
            <w:shd w:val="clear" w:color="auto" w:fill="CCECFF"/>
          </w:tcPr>
          <w:p>
            <w:pPr>
              <w:spacing w:after="0"/>
              <w:rPr>
                <w:sz w:val="20"/>
                <w:szCs w:val="20"/>
                <w:color w:val="auto"/>
              </w:rPr>
            </w:pPr>
            <w:r>
              <w:rPr>
                <w:rFonts w:ascii="Arial" w:cs="Arial" w:eastAsia="Arial" w:hAnsi="Arial"/>
                <w:sz w:val="14"/>
                <w:szCs w:val="14"/>
                <w:color w:val="auto"/>
              </w:rPr>
              <w:t>First lien</w:t>
            </w:r>
          </w:p>
        </w:tc>
        <w:tc>
          <w:tcPr>
            <w:tcW w:w="160" w:type="dxa"/>
            <w:vAlign w:val="bottom"/>
            <w:shd w:val="clear" w:color="auto" w:fill="CCECFF"/>
          </w:tcPr>
          <w:p>
            <w:pPr>
              <w:spacing w:after="0"/>
              <w:rPr>
                <w:sz w:val="14"/>
                <w:szCs w:val="14"/>
                <w:color w:val="auto"/>
              </w:rPr>
            </w:pPr>
          </w:p>
        </w:tc>
        <w:tc>
          <w:tcPr>
            <w:tcW w:w="160" w:type="dxa"/>
            <w:vAlign w:val="bottom"/>
            <w:shd w:val="clear" w:color="auto" w:fill="CCECFF"/>
          </w:tcPr>
          <w:p>
            <w:pPr>
              <w:spacing w:after="0"/>
              <w:rPr>
                <w:sz w:val="14"/>
                <w:szCs w:val="14"/>
                <w:color w:val="auto"/>
              </w:rPr>
            </w:pPr>
          </w:p>
        </w:tc>
        <w:tc>
          <w:tcPr>
            <w:tcW w:w="15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9,084,267</w:t>
            </w:r>
          </w:p>
        </w:tc>
        <w:tc>
          <w:tcPr>
            <w:tcW w:w="260" w:type="dxa"/>
            <w:vAlign w:val="bottom"/>
            <w:shd w:val="clear" w:color="auto" w:fill="CCECFF"/>
          </w:tcPr>
          <w:p>
            <w:pPr>
              <w:spacing w:after="0"/>
              <w:rPr>
                <w:sz w:val="14"/>
                <w:szCs w:val="14"/>
                <w:color w:val="auto"/>
              </w:rPr>
            </w:pPr>
          </w:p>
        </w:tc>
        <w:tc>
          <w:tcPr>
            <w:tcW w:w="1960" w:type="dxa"/>
            <w:vAlign w:val="bottom"/>
            <w:gridSpan w:val="2"/>
            <w:shd w:val="clear" w:color="auto" w:fill="CCECFF"/>
          </w:tcPr>
          <w:p>
            <w:pPr>
              <w:jc w:val="center"/>
              <w:ind w:right="160"/>
              <w:spacing w:after="0"/>
              <w:rPr>
                <w:sz w:val="20"/>
                <w:szCs w:val="20"/>
                <w:color w:val="auto"/>
              </w:rPr>
            </w:pPr>
            <w:r>
              <w:rPr>
                <w:rFonts w:ascii="Arial" w:cs="Arial" w:eastAsia="Arial" w:hAnsi="Arial"/>
                <w:sz w:val="14"/>
                <w:szCs w:val="14"/>
                <w:color w:val="auto"/>
                <w:w w:val="93"/>
              </w:rPr>
              <w:t>Enterprise Market Value</w:t>
            </w:r>
          </w:p>
        </w:tc>
        <w:tc>
          <w:tcPr>
            <w:tcW w:w="1960" w:type="dxa"/>
            <w:vAlign w:val="bottom"/>
            <w:gridSpan w:val="2"/>
            <w:shd w:val="clear" w:color="auto" w:fill="CCECFF"/>
          </w:tcPr>
          <w:p>
            <w:pPr>
              <w:jc w:val="center"/>
              <w:ind w:right="160"/>
              <w:spacing w:after="0"/>
              <w:rPr>
                <w:sz w:val="20"/>
                <w:szCs w:val="20"/>
                <w:color w:val="auto"/>
              </w:rPr>
            </w:pPr>
            <w:r>
              <w:rPr>
                <w:rFonts w:ascii="Arial" w:cs="Arial" w:eastAsia="Arial" w:hAnsi="Arial"/>
                <w:sz w:val="14"/>
                <w:szCs w:val="14"/>
                <w:color w:val="auto"/>
              </w:rPr>
              <w:t>EBITDA multiple</w:t>
            </w:r>
          </w:p>
        </w:tc>
        <w:tc>
          <w:tcPr>
            <w:tcW w:w="1800" w:type="dxa"/>
            <w:vAlign w:val="bottom"/>
            <w:gridSpan w:val="2"/>
            <w:shd w:val="clear" w:color="auto" w:fill="CCECFF"/>
          </w:tcPr>
          <w:p>
            <w:pPr>
              <w:jc w:val="center"/>
              <w:ind w:right="100"/>
              <w:spacing w:after="0"/>
              <w:rPr>
                <w:sz w:val="20"/>
                <w:szCs w:val="20"/>
                <w:color w:val="auto"/>
              </w:rPr>
            </w:pPr>
            <w:r>
              <w:rPr>
                <w:rFonts w:ascii="Arial" w:cs="Arial" w:eastAsia="Arial" w:hAnsi="Arial"/>
                <w:sz w:val="14"/>
                <w:szCs w:val="14"/>
                <w:color w:val="auto"/>
                <w:w w:val="94"/>
              </w:rPr>
              <w:t>5.0x – 10.9x (6.5x)</w:t>
            </w:r>
          </w:p>
        </w:tc>
        <w:tc>
          <w:tcPr>
            <w:tcW w:w="0" w:type="dxa"/>
            <w:vAlign w:val="bottom"/>
          </w:tcPr>
          <w:p>
            <w:pPr>
              <w:spacing w:after="0"/>
              <w:rPr>
                <w:sz w:val="1"/>
                <w:szCs w:val="1"/>
                <w:color w:val="auto"/>
              </w:rPr>
            </w:pPr>
          </w:p>
        </w:tc>
      </w:tr>
      <w:tr>
        <w:trPr>
          <w:trHeight w:val="162"/>
        </w:trPr>
        <w:tc>
          <w:tcPr>
            <w:tcW w:w="3420" w:type="dxa"/>
            <w:vAlign w:val="bottom"/>
          </w:tcPr>
          <w:p>
            <w:pPr>
              <w:spacing w:after="0"/>
              <w:rPr>
                <w:sz w:val="20"/>
                <w:szCs w:val="20"/>
                <w:color w:val="auto"/>
              </w:rPr>
            </w:pPr>
            <w:r>
              <w:rPr>
                <w:rFonts w:ascii="Arial" w:cs="Arial" w:eastAsia="Arial" w:hAnsi="Arial"/>
                <w:sz w:val="14"/>
                <w:szCs w:val="14"/>
                <w:color w:val="auto"/>
              </w:rPr>
              <w:t>Second lien</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5,314,125</w:t>
            </w:r>
          </w:p>
        </w:tc>
        <w:tc>
          <w:tcPr>
            <w:tcW w:w="260" w:type="dxa"/>
            <w:vAlign w:val="bottom"/>
          </w:tcPr>
          <w:p>
            <w:pPr>
              <w:spacing w:after="0"/>
              <w:rPr>
                <w:sz w:val="14"/>
                <w:szCs w:val="14"/>
                <w:color w:val="auto"/>
              </w:rPr>
            </w:pPr>
          </w:p>
        </w:tc>
        <w:tc>
          <w:tcPr>
            <w:tcW w:w="1960" w:type="dxa"/>
            <w:vAlign w:val="bottom"/>
            <w:gridSpan w:val="2"/>
          </w:tcPr>
          <w:p>
            <w:pPr>
              <w:jc w:val="center"/>
              <w:ind w:right="160"/>
              <w:spacing w:after="0"/>
              <w:rPr>
                <w:sz w:val="20"/>
                <w:szCs w:val="20"/>
                <w:color w:val="auto"/>
              </w:rPr>
            </w:pPr>
            <w:r>
              <w:rPr>
                <w:rFonts w:ascii="Arial" w:cs="Arial" w:eastAsia="Arial" w:hAnsi="Arial"/>
                <w:sz w:val="14"/>
                <w:szCs w:val="14"/>
                <w:color w:val="auto"/>
                <w:w w:val="93"/>
              </w:rPr>
              <w:t>Enterprise Market Value</w:t>
            </w:r>
          </w:p>
        </w:tc>
        <w:tc>
          <w:tcPr>
            <w:tcW w:w="1960" w:type="dxa"/>
            <w:vAlign w:val="bottom"/>
            <w:gridSpan w:val="2"/>
          </w:tcPr>
          <w:p>
            <w:pPr>
              <w:jc w:val="center"/>
              <w:ind w:right="160"/>
              <w:spacing w:after="0"/>
              <w:rPr>
                <w:sz w:val="20"/>
                <w:szCs w:val="20"/>
                <w:color w:val="auto"/>
              </w:rPr>
            </w:pPr>
            <w:r>
              <w:rPr>
                <w:rFonts w:ascii="Arial" w:cs="Arial" w:eastAsia="Arial" w:hAnsi="Arial"/>
                <w:sz w:val="14"/>
                <w:szCs w:val="14"/>
                <w:color w:val="auto"/>
              </w:rPr>
              <w:t>EBITDA multiple</w:t>
            </w:r>
          </w:p>
        </w:tc>
        <w:tc>
          <w:tcPr>
            <w:tcW w:w="1800" w:type="dxa"/>
            <w:vAlign w:val="bottom"/>
            <w:gridSpan w:val="2"/>
          </w:tcPr>
          <w:p>
            <w:pPr>
              <w:jc w:val="center"/>
              <w:ind w:right="120"/>
              <w:spacing w:after="0"/>
              <w:rPr>
                <w:sz w:val="20"/>
                <w:szCs w:val="20"/>
                <w:color w:val="auto"/>
              </w:rPr>
            </w:pPr>
            <w:r>
              <w:rPr>
                <w:rFonts w:ascii="Arial" w:cs="Arial" w:eastAsia="Arial" w:hAnsi="Arial"/>
                <w:sz w:val="14"/>
                <w:szCs w:val="14"/>
                <w:color w:val="auto"/>
                <w:w w:val="93"/>
              </w:rPr>
              <w:t>10.9x</w:t>
            </w:r>
          </w:p>
        </w:tc>
        <w:tc>
          <w:tcPr>
            <w:tcW w:w="0" w:type="dxa"/>
            <w:vAlign w:val="bottom"/>
          </w:tcPr>
          <w:p>
            <w:pPr>
              <w:spacing w:after="0"/>
              <w:rPr>
                <w:sz w:val="1"/>
                <w:szCs w:val="1"/>
                <w:color w:val="auto"/>
              </w:rPr>
            </w:pPr>
          </w:p>
        </w:tc>
      </w:tr>
      <w:tr>
        <w:trPr>
          <w:trHeight w:val="162"/>
        </w:trPr>
        <w:tc>
          <w:tcPr>
            <w:tcW w:w="3420" w:type="dxa"/>
            <w:vAlign w:val="bottom"/>
            <w:shd w:val="clear" w:color="auto" w:fill="CCECFF"/>
          </w:tcPr>
          <w:p>
            <w:pPr>
              <w:spacing w:after="0"/>
              <w:rPr>
                <w:sz w:val="20"/>
                <w:szCs w:val="20"/>
                <w:color w:val="auto"/>
              </w:rPr>
            </w:pPr>
            <w:r>
              <w:rPr>
                <w:rFonts w:ascii="Arial" w:cs="Arial" w:eastAsia="Arial" w:hAnsi="Arial"/>
                <w:sz w:val="14"/>
                <w:szCs w:val="14"/>
                <w:color w:val="auto"/>
              </w:rPr>
              <w:t>Equity</w:t>
            </w:r>
          </w:p>
        </w:tc>
        <w:tc>
          <w:tcPr>
            <w:tcW w:w="160" w:type="dxa"/>
            <w:vAlign w:val="bottom"/>
            <w:shd w:val="clear" w:color="auto" w:fill="CCECFF"/>
          </w:tcPr>
          <w:p>
            <w:pPr>
              <w:spacing w:after="0"/>
              <w:rPr>
                <w:sz w:val="14"/>
                <w:szCs w:val="14"/>
                <w:color w:val="auto"/>
              </w:rPr>
            </w:pPr>
          </w:p>
        </w:tc>
        <w:tc>
          <w:tcPr>
            <w:tcW w:w="160" w:type="dxa"/>
            <w:vAlign w:val="bottom"/>
            <w:tcBorders>
              <w:bottom w:val="single" w:sz="8" w:color="auto"/>
            </w:tcBorders>
            <w:shd w:val="clear" w:color="auto" w:fill="CCECFF"/>
          </w:tcPr>
          <w:p>
            <w:pPr>
              <w:spacing w:after="0"/>
              <w:rPr>
                <w:sz w:val="14"/>
                <w:szCs w:val="14"/>
                <w:color w:val="auto"/>
              </w:rPr>
            </w:pPr>
          </w:p>
        </w:tc>
        <w:tc>
          <w:tcPr>
            <w:tcW w:w="15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52,466,181</w:t>
            </w:r>
          </w:p>
        </w:tc>
        <w:tc>
          <w:tcPr>
            <w:tcW w:w="260" w:type="dxa"/>
            <w:vAlign w:val="bottom"/>
            <w:shd w:val="clear" w:color="auto" w:fill="CCECFF"/>
          </w:tcPr>
          <w:p>
            <w:pPr>
              <w:spacing w:after="0"/>
              <w:rPr>
                <w:sz w:val="14"/>
                <w:szCs w:val="14"/>
                <w:color w:val="auto"/>
              </w:rPr>
            </w:pPr>
          </w:p>
        </w:tc>
        <w:tc>
          <w:tcPr>
            <w:tcW w:w="1960" w:type="dxa"/>
            <w:vAlign w:val="bottom"/>
            <w:gridSpan w:val="2"/>
            <w:shd w:val="clear" w:color="auto" w:fill="CCECFF"/>
          </w:tcPr>
          <w:p>
            <w:pPr>
              <w:jc w:val="center"/>
              <w:ind w:right="160"/>
              <w:spacing w:after="0"/>
              <w:rPr>
                <w:sz w:val="20"/>
                <w:szCs w:val="20"/>
                <w:color w:val="auto"/>
              </w:rPr>
            </w:pPr>
            <w:r>
              <w:rPr>
                <w:rFonts w:ascii="Arial" w:cs="Arial" w:eastAsia="Arial" w:hAnsi="Arial"/>
                <w:sz w:val="14"/>
                <w:szCs w:val="14"/>
                <w:color w:val="auto"/>
                <w:w w:val="93"/>
              </w:rPr>
              <w:t>Enterprise Market Value</w:t>
            </w:r>
          </w:p>
        </w:tc>
        <w:tc>
          <w:tcPr>
            <w:tcW w:w="1960" w:type="dxa"/>
            <w:vAlign w:val="bottom"/>
            <w:gridSpan w:val="2"/>
            <w:shd w:val="clear" w:color="auto" w:fill="CCECFF"/>
          </w:tcPr>
          <w:p>
            <w:pPr>
              <w:jc w:val="center"/>
              <w:ind w:right="160"/>
              <w:spacing w:after="0"/>
              <w:rPr>
                <w:sz w:val="20"/>
                <w:szCs w:val="20"/>
                <w:color w:val="auto"/>
              </w:rPr>
            </w:pPr>
            <w:r>
              <w:rPr>
                <w:rFonts w:ascii="Arial" w:cs="Arial" w:eastAsia="Arial" w:hAnsi="Arial"/>
                <w:sz w:val="14"/>
                <w:szCs w:val="14"/>
                <w:color w:val="auto"/>
              </w:rPr>
              <w:t>EBITDA multiple</w:t>
            </w:r>
          </w:p>
        </w:tc>
        <w:tc>
          <w:tcPr>
            <w:tcW w:w="1800" w:type="dxa"/>
            <w:vAlign w:val="bottom"/>
            <w:gridSpan w:val="2"/>
            <w:shd w:val="clear" w:color="auto" w:fill="CCECFF"/>
          </w:tcPr>
          <w:p>
            <w:pPr>
              <w:jc w:val="center"/>
              <w:ind w:right="120"/>
              <w:spacing w:after="0"/>
              <w:rPr>
                <w:sz w:val="20"/>
                <w:szCs w:val="20"/>
                <w:color w:val="auto"/>
              </w:rPr>
            </w:pPr>
            <w:r>
              <w:rPr>
                <w:rFonts w:ascii="Arial" w:cs="Arial" w:eastAsia="Arial" w:hAnsi="Arial"/>
                <w:sz w:val="14"/>
                <w:szCs w:val="14"/>
                <w:color w:val="auto"/>
                <w:w w:val="93"/>
              </w:rPr>
              <w:t>6.3x – 50.8x (15.4x)</w:t>
            </w:r>
          </w:p>
        </w:tc>
        <w:tc>
          <w:tcPr>
            <w:tcW w:w="0" w:type="dxa"/>
            <w:vAlign w:val="bottom"/>
          </w:tcPr>
          <w:p>
            <w:pPr>
              <w:spacing w:after="0"/>
              <w:rPr>
                <w:sz w:val="1"/>
                <w:szCs w:val="1"/>
                <w:color w:val="auto"/>
              </w:rPr>
            </w:pPr>
          </w:p>
        </w:tc>
      </w:tr>
      <w:tr>
        <w:trPr>
          <w:trHeight w:val="196"/>
        </w:trPr>
        <w:tc>
          <w:tcPr>
            <w:tcW w:w="3420" w:type="dxa"/>
            <w:vAlign w:val="bottom"/>
            <w:tcBorders>
              <w:bottom w:val="single" w:sz="8" w:color="CCECFF"/>
            </w:tcBorders>
          </w:tcPr>
          <w:p>
            <w:pPr>
              <w:ind w:left="260"/>
              <w:spacing w:after="0" w:line="155" w:lineRule="exact"/>
              <w:rPr>
                <w:sz w:val="20"/>
                <w:szCs w:val="20"/>
                <w:color w:val="auto"/>
              </w:rPr>
            </w:pPr>
            <w:r>
              <w:rPr>
                <w:rFonts w:ascii="Arial" w:cs="Arial" w:eastAsia="Arial" w:hAnsi="Arial"/>
                <w:sz w:val="14"/>
                <w:szCs w:val="14"/>
                <w:color w:val="auto"/>
              </w:rPr>
              <w:t>Total Level 3 investments</w:t>
            </w:r>
          </w:p>
        </w:tc>
        <w:tc>
          <w:tcPr>
            <w:tcW w:w="160" w:type="dxa"/>
            <w:vAlign w:val="bottom"/>
            <w:tcBorders>
              <w:bottom w:val="single" w:sz="8" w:color="CCECFF"/>
            </w:tcBorders>
          </w:tcPr>
          <w:p>
            <w:pPr>
              <w:spacing w:after="0"/>
              <w:rPr>
                <w:sz w:val="17"/>
                <w:szCs w:val="17"/>
                <w:color w:val="auto"/>
              </w:rPr>
            </w:pPr>
          </w:p>
        </w:tc>
        <w:tc>
          <w:tcPr>
            <w:tcW w:w="16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15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1,031,737,579</w:t>
            </w:r>
          </w:p>
        </w:tc>
        <w:tc>
          <w:tcPr>
            <w:tcW w:w="260" w:type="dxa"/>
            <w:vAlign w:val="bottom"/>
            <w:tcBorders>
              <w:bottom w:val="single" w:sz="8" w:color="CCECFF"/>
            </w:tcBorders>
          </w:tcPr>
          <w:p>
            <w:pPr>
              <w:spacing w:after="0"/>
              <w:rPr>
                <w:sz w:val="17"/>
                <w:szCs w:val="17"/>
                <w:color w:val="auto"/>
              </w:rPr>
            </w:pPr>
          </w:p>
        </w:tc>
        <w:tc>
          <w:tcPr>
            <w:tcW w:w="1800" w:type="dxa"/>
            <w:vAlign w:val="bottom"/>
            <w:tcBorders>
              <w:bottom w:val="single" w:sz="8" w:color="CCECFF"/>
            </w:tcBorders>
          </w:tcPr>
          <w:p>
            <w:pPr>
              <w:spacing w:after="0"/>
              <w:rPr>
                <w:sz w:val="17"/>
                <w:szCs w:val="17"/>
                <w:color w:val="auto"/>
              </w:rPr>
            </w:pPr>
          </w:p>
        </w:tc>
        <w:tc>
          <w:tcPr>
            <w:tcW w:w="160" w:type="dxa"/>
            <w:vAlign w:val="bottom"/>
            <w:tcBorders>
              <w:bottom w:val="single" w:sz="8" w:color="CCECFF"/>
            </w:tcBorders>
          </w:tcPr>
          <w:p>
            <w:pPr>
              <w:spacing w:after="0"/>
              <w:rPr>
                <w:sz w:val="17"/>
                <w:szCs w:val="17"/>
                <w:color w:val="auto"/>
              </w:rPr>
            </w:pPr>
          </w:p>
        </w:tc>
        <w:tc>
          <w:tcPr>
            <w:tcW w:w="1800" w:type="dxa"/>
            <w:vAlign w:val="bottom"/>
            <w:tcBorders>
              <w:bottom w:val="single" w:sz="8" w:color="CCECFF"/>
            </w:tcBorders>
          </w:tcPr>
          <w:p>
            <w:pPr>
              <w:spacing w:after="0"/>
              <w:rPr>
                <w:sz w:val="17"/>
                <w:szCs w:val="17"/>
                <w:color w:val="auto"/>
              </w:rPr>
            </w:pPr>
          </w:p>
        </w:tc>
        <w:tc>
          <w:tcPr>
            <w:tcW w:w="160" w:type="dxa"/>
            <w:vAlign w:val="bottom"/>
            <w:tcBorders>
              <w:bottom w:val="single" w:sz="8" w:color="CCECFF"/>
            </w:tcBorders>
          </w:tcPr>
          <w:p>
            <w:pPr>
              <w:spacing w:after="0"/>
              <w:rPr>
                <w:sz w:val="17"/>
                <w:szCs w:val="17"/>
                <w:color w:val="auto"/>
              </w:rPr>
            </w:pPr>
          </w:p>
        </w:tc>
        <w:tc>
          <w:tcPr>
            <w:tcW w:w="1700" w:type="dxa"/>
            <w:vAlign w:val="bottom"/>
            <w:tcBorders>
              <w:bottom w:val="single" w:sz="8" w:color="CCECFF"/>
            </w:tcBorders>
          </w:tcPr>
          <w:p>
            <w:pPr>
              <w:spacing w:after="0"/>
              <w:rPr>
                <w:sz w:val="17"/>
                <w:szCs w:val="17"/>
                <w:color w:val="auto"/>
              </w:rPr>
            </w:pPr>
          </w:p>
        </w:tc>
        <w:tc>
          <w:tcPr>
            <w:tcW w:w="100" w:type="dxa"/>
            <w:vAlign w:val="bottom"/>
            <w:tcBorders>
              <w:bottom w:val="single" w:sz="8" w:color="CCECFF"/>
            </w:tcBorders>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3420" w:type="dxa"/>
            <w:vAlign w:val="bottom"/>
            <w:tcBorders>
              <w:bottom w:val="single" w:sz="8" w:color="CCECFF"/>
            </w:tcBorders>
            <w:shd w:val="clear" w:color="auto" w:fill="CCECFF"/>
          </w:tcPr>
          <w:p>
            <w:pPr>
              <w:spacing w:after="0" w:line="143" w:lineRule="exact"/>
              <w:rPr>
                <w:sz w:val="20"/>
                <w:szCs w:val="20"/>
                <w:color w:val="auto"/>
              </w:rPr>
            </w:pPr>
            <w:r>
              <w:rPr>
                <w:rFonts w:ascii="Arial" w:cs="Arial" w:eastAsia="Arial" w:hAnsi="Arial"/>
                <w:sz w:val="14"/>
                <w:szCs w:val="14"/>
                <w:color w:val="auto"/>
              </w:rPr>
              <w:t>Long-Term Credit Facility</w:t>
            </w:r>
          </w:p>
        </w:tc>
        <w:tc>
          <w:tcPr>
            <w:tcW w:w="160" w:type="dxa"/>
            <w:vAlign w:val="bottom"/>
            <w:tcBorders>
              <w:bottom w:val="single" w:sz="8" w:color="CCECFF"/>
            </w:tcBorders>
            <w:shd w:val="clear" w:color="auto" w:fill="CCECFF"/>
          </w:tcPr>
          <w:p>
            <w:pPr>
              <w:spacing w:after="0"/>
              <w:rPr>
                <w:sz w:val="12"/>
                <w:szCs w:val="12"/>
                <w:color w:val="auto"/>
              </w:rPr>
            </w:pPr>
          </w:p>
        </w:tc>
        <w:tc>
          <w:tcPr>
            <w:tcW w:w="160" w:type="dxa"/>
            <w:vAlign w:val="bottom"/>
            <w:tcBorders>
              <w:bottom w:val="single" w:sz="8" w:color="auto"/>
            </w:tcBorders>
            <w:shd w:val="clear" w:color="auto" w:fill="CCECFF"/>
          </w:tcPr>
          <w:p>
            <w:pPr>
              <w:spacing w:after="0" w:line="143" w:lineRule="exact"/>
              <w:rPr>
                <w:sz w:val="20"/>
                <w:szCs w:val="20"/>
                <w:color w:val="auto"/>
              </w:rPr>
            </w:pPr>
            <w:r>
              <w:rPr>
                <w:rFonts w:ascii="Arial" w:cs="Arial" w:eastAsia="Arial" w:hAnsi="Arial"/>
                <w:sz w:val="14"/>
                <w:szCs w:val="14"/>
                <w:color w:val="auto"/>
              </w:rPr>
              <w:t>$</w:t>
            </w:r>
          </w:p>
        </w:tc>
        <w:tc>
          <w:tcPr>
            <w:tcW w:w="1520" w:type="dxa"/>
            <w:vAlign w:val="bottom"/>
            <w:tcBorders>
              <w:bottom w:val="single" w:sz="8" w:color="auto"/>
            </w:tcBorders>
            <w:shd w:val="clear" w:color="auto" w:fill="CCECFF"/>
          </w:tcPr>
          <w:p>
            <w:pPr>
              <w:jc w:val="right"/>
              <w:spacing w:after="0" w:line="143" w:lineRule="exact"/>
              <w:rPr>
                <w:sz w:val="20"/>
                <w:szCs w:val="20"/>
                <w:color w:val="auto"/>
              </w:rPr>
            </w:pPr>
            <w:r>
              <w:rPr>
                <w:rFonts w:ascii="Arial" w:cs="Arial" w:eastAsia="Arial" w:hAnsi="Arial"/>
                <w:sz w:val="14"/>
                <w:szCs w:val="14"/>
                <w:color w:val="auto"/>
              </w:rPr>
              <w:t>263,988,583</w:t>
            </w:r>
          </w:p>
        </w:tc>
        <w:tc>
          <w:tcPr>
            <w:tcW w:w="260" w:type="dxa"/>
            <w:vAlign w:val="bottom"/>
            <w:tcBorders>
              <w:bottom w:val="single" w:sz="8" w:color="CCECFF"/>
            </w:tcBorders>
            <w:shd w:val="clear" w:color="auto" w:fill="CCECFF"/>
          </w:tcPr>
          <w:p>
            <w:pPr>
              <w:spacing w:after="0"/>
              <w:rPr>
                <w:sz w:val="12"/>
                <w:szCs w:val="12"/>
                <w:color w:val="auto"/>
              </w:rPr>
            </w:pPr>
          </w:p>
        </w:tc>
        <w:tc>
          <w:tcPr>
            <w:tcW w:w="1960" w:type="dxa"/>
            <w:vAlign w:val="bottom"/>
            <w:tcBorders>
              <w:bottom w:val="single" w:sz="8" w:color="CCECFF"/>
            </w:tcBorders>
            <w:gridSpan w:val="2"/>
            <w:shd w:val="clear" w:color="auto" w:fill="CCECFF"/>
          </w:tcPr>
          <w:p>
            <w:pPr>
              <w:jc w:val="center"/>
              <w:ind w:right="160"/>
              <w:spacing w:after="0" w:line="143" w:lineRule="exact"/>
              <w:rPr>
                <w:sz w:val="20"/>
                <w:szCs w:val="20"/>
                <w:color w:val="auto"/>
              </w:rPr>
            </w:pPr>
            <w:r>
              <w:rPr>
                <w:rFonts w:ascii="Arial" w:cs="Arial" w:eastAsia="Arial" w:hAnsi="Arial"/>
                <w:sz w:val="14"/>
                <w:szCs w:val="14"/>
                <w:color w:val="auto"/>
                <w:w w:val="94"/>
              </w:rPr>
              <w:t>Market Comparable</w:t>
            </w:r>
          </w:p>
        </w:tc>
        <w:tc>
          <w:tcPr>
            <w:tcW w:w="1960" w:type="dxa"/>
            <w:vAlign w:val="bottom"/>
            <w:tcBorders>
              <w:bottom w:val="single" w:sz="8" w:color="CCECFF"/>
            </w:tcBorders>
            <w:gridSpan w:val="2"/>
            <w:shd w:val="clear" w:color="auto" w:fill="CCECFF"/>
          </w:tcPr>
          <w:p>
            <w:pPr>
              <w:jc w:val="center"/>
              <w:ind w:right="160"/>
              <w:spacing w:after="0" w:line="143" w:lineRule="exact"/>
              <w:rPr>
                <w:sz w:val="20"/>
                <w:szCs w:val="20"/>
                <w:color w:val="auto"/>
              </w:rPr>
            </w:pPr>
            <w:r>
              <w:rPr>
                <w:rFonts w:ascii="Arial" w:cs="Arial" w:eastAsia="Arial" w:hAnsi="Arial"/>
                <w:sz w:val="14"/>
                <w:szCs w:val="14"/>
                <w:color w:val="auto"/>
                <w:w w:val="97"/>
              </w:rPr>
              <w:t>Market Yield</w:t>
            </w:r>
          </w:p>
        </w:tc>
        <w:tc>
          <w:tcPr>
            <w:tcW w:w="1700" w:type="dxa"/>
            <w:vAlign w:val="bottom"/>
            <w:tcBorders>
              <w:bottom w:val="single" w:sz="8" w:color="CCECFF"/>
            </w:tcBorders>
            <w:shd w:val="clear" w:color="auto" w:fill="CCECFF"/>
          </w:tcPr>
          <w:p>
            <w:pPr>
              <w:jc w:val="center"/>
              <w:spacing w:after="0" w:line="143" w:lineRule="exact"/>
              <w:rPr>
                <w:sz w:val="20"/>
                <w:szCs w:val="20"/>
                <w:color w:val="auto"/>
              </w:rPr>
            </w:pPr>
            <w:r>
              <w:rPr>
                <w:rFonts w:ascii="Arial" w:cs="Arial" w:eastAsia="Arial" w:hAnsi="Arial"/>
                <w:sz w:val="14"/>
                <w:szCs w:val="14"/>
                <w:color w:val="auto"/>
                <w:w w:val="93"/>
              </w:rPr>
              <w:t>4.0%</w:t>
            </w:r>
          </w:p>
        </w:tc>
        <w:tc>
          <w:tcPr>
            <w:tcW w:w="100" w:type="dxa"/>
            <w:vAlign w:val="bottom"/>
            <w:tcBorders>
              <w:bottom w:val="single" w:sz="8" w:color="CCECFF"/>
            </w:tcBorders>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185991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859915" cy="8255"/>
                    </a:xfrm>
                    <a:prstGeom prst="rect">
                      <a:avLst/>
                    </a:prstGeom>
                    <a:noFill/>
                  </pic:spPr>
                </pic:pic>
              </a:graphicData>
            </a:graphic>
          </wp:anchor>
        </w:drawing>
      </w:r>
    </w:p>
    <w:p>
      <w:pPr>
        <w:spacing w:after="0" w:line="150" w:lineRule="exact"/>
        <w:rPr>
          <w:sz w:val="20"/>
          <w:szCs w:val="20"/>
          <w:color w:val="auto"/>
        </w:rPr>
      </w:pPr>
    </w:p>
    <w:p>
      <w:pPr>
        <w:ind w:left="520" w:hanging="512"/>
        <w:spacing w:after="0"/>
        <w:tabs>
          <w:tab w:leader="none" w:pos="520" w:val="left"/>
        </w:tabs>
        <w:numPr>
          <w:ilvl w:val="0"/>
          <w:numId w:val="11"/>
        </w:numPr>
        <w:rPr>
          <w:rFonts w:ascii="Arial" w:cs="Arial" w:eastAsia="Arial" w:hAnsi="Arial"/>
          <w:sz w:val="12"/>
          <w:szCs w:val="12"/>
          <w:color w:val="auto"/>
        </w:rPr>
      </w:pPr>
      <w:r>
        <w:rPr>
          <w:rFonts w:ascii="Arial" w:cs="Arial" w:eastAsia="Arial" w:hAnsi="Arial"/>
          <w:sz w:val="14"/>
          <w:szCs w:val="14"/>
          <w:color w:val="auto"/>
        </w:rPr>
        <w:t>The weighted averages disclosed in the table above were weighted by their relative fair value.</w:t>
      </w:r>
    </w:p>
    <w:p>
      <w:pPr>
        <w:spacing w:after="0" w:line="200" w:lineRule="exact"/>
        <w:rPr>
          <w:rFonts w:ascii="Arial" w:cs="Arial" w:eastAsia="Arial" w:hAnsi="Arial"/>
          <w:sz w:val="12"/>
          <w:szCs w:val="12"/>
          <w:color w:val="auto"/>
        </w:rPr>
      </w:pPr>
    </w:p>
    <w:p>
      <w:pPr>
        <w:spacing w:after="0" w:line="224" w:lineRule="exact"/>
        <w:rPr>
          <w:rFonts w:ascii="Arial" w:cs="Arial" w:eastAsia="Arial" w:hAnsi="Arial"/>
          <w:sz w:val="12"/>
          <w:szCs w:val="12"/>
          <w:color w:val="auto"/>
        </w:rPr>
      </w:pPr>
    </w:p>
    <w:p>
      <w:pPr>
        <w:ind w:left="5560"/>
        <w:spacing w:after="0"/>
        <w:rPr>
          <w:rFonts w:ascii="Arial" w:cs="Arial" w:eastAsia="Arial" w:hAnsi="Arial"/>
          <w:sz w:val="12"/>
          <w:szCs w:val="12"/>
          <w:color w:val="auto"/>
        </w:rPr>
      </w:pPr>
      <w:r>
        <w:rPr>
          <w:rFonts w:ascii="Arial" w:cs="Arial" w:eastAsia="Arial" w:hAnsi="Arial"/>
          <w:sz w:val="13"/>
          <w:szCs w:val="13"/>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149465"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4" w:name="page25"/>
    <w:bookmarkEnd w:id="24"/>
    <w:p>
      <w:pPr>
        <w:jc w:val="center"/>
        <w:ind w:right="20"/>
        <w:spacing w:after="0"/>
        <w:rPr>
          <w:sz w:val="20"/>
          <w:szCs w:val="20"/>
          <w:color w:val="auto"/>
        </w:rPr>
      </w:pPr>
      <w:r>
        <w:rPr>
          <w:rFonts w:ascii="Arial" w:cs="Arial" w:eastAsia="Arial" w:hAnsi="Arial"/>
          <w:sz w:val="14"/>
          <w:szCs w:val="14"/>
          <w:b w:val="1"/>
          <w:bCs w:val="1"/>
          <w:color w:val="auto"/>
        </w:rPr>
        <w:t>PENNANTPARK FLOATING RATE CAPITAL LTD. AND SUBSIDIARIES</w:t>
      </w:r>
    </w:p>
    <w:p>
      <w:pPr>
        <w:jc w:val="center"/>
        <w:ind w:right="20"/>
        <w:spacing w:after="0" w:line="225" w:lineRule="auto"/>
        <w:rPr>
          <w:sz w:val="20"/>
          <w:szCs w:val="20"/>
          <w:color w:val="auto"/>
        </w:rPr>
      </w:pPr>
      <w:r>
        <w:rPr>
          <w:rFonts w:ascii="Arial" w:cs="Arial" w:eastAsia="Arial" w:hAnsi="Arial"/>
          <w:sz w:val="14"/>
          <w:szCs w:val="14"/>
          <w:b w:val="1"/>
          <w:bCs w:val="1"/>
          <w:color w:val="auto"/>
        </w:rPr>
        <w:t>NOTES TO CONSOLIDATED FINANCIAL STATEMENTS-(Continued)</w:t>
      </w:r>
    </w:p>
    <w:p>
      <w:pPr>
        <w:jc w:val="center"/>
        <w:ind w:right="20"/>
        <w:spacing w:after="0" w:line="221" w:lineRule="auto"/>
        <w:rPr>
          <w:sz w:val="20"/>
          <w:szCs w:val="20"/>
          <w:color w:val="auto"/>
        </w:rPr>
      </w:pPr>
      <w:r>
        <w:rPr>
          <w:rFonts w:ascii="Arial" w:cs="Arial" w:eastAsia="Arial" w:hAnsi="Arial"/>
          <w:sz w:val="14"/>
          <w:szCs w:val="14"/>
          <w:b w:val="1"/>
          <w:bCs w:val="1"/>
          <w:color w:val="auto"/>
        </w:rPr>
        <w:t>DECEMBER 31, 2019</w:t>
      </w:r>
    </w:p>
    <w:p>
      <w:pPr>
        <w:spacing w:after="0" w:line="1"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(Unaudited)</w:t>
      </w:r>
    </w:p>
    <w:p>
      <w:pPr>
        <w:spacing w:after="0" w:line="124" w:lineRule="exact"/>
        <w:rPr>
          <w:sz w:val="20"/>
          <w:szCs w:val="20"/>
          <w:color w:val="auto"/>
        </w:rPr>
      </w:pPr>
    </w:p>
    <w:p>
      <w:pPr>
        <w:ind w:left="440"/>
        <w:spacing w:after="0"/>
        <w:rPr>
          <w:sz w:val="20"/>
          <w:szCs w:val="20"/>
          <w:color w:val="auto"/>
        </w:rPr>
      </w:pPr>
      <w:r>
        <w:rPr>
          <w:rFonts w:ascii="Arial" w:cs="Arial" w:eastAsia="Arial" w:hAnsi="Arial"/>
          <w:sz w:val="13"/>
          <w:szCs w:val="13"/>
          <w:color w:val="auto"/>
        </w:rPr>
        <w:t>Our investments, cash and cash equivalents, Credit Facility, 2023 Notes, and the 2031 Asset-Backed Debt were categorized as follows in the fair value hierarchy for ASC 820 purposes: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3020" w:type="dxa"/>
            <w:vAlign w:val="bottom"/>
            <w:tcBorders>
              <w:bottom w:val="single" w:sz="8" w:color="auto"/>
            </w:tcBorders>
            <w:gridSpan w:val="6"/>
          </w:tcPr>
          <w:p>
            <w:pPr>
              <w:jc w:val="right"/>
              <w:ind w:right="48"/>
              <w:spacing w:after="0"/>
              <w:rPr>
                <w:sz w:val="20"/>
                <w:szCs w:val="20"/>
                <w:color w:val="auto"/>
              </w:rPr>
            </w:pPr>
            <w:r>
              <w:rPr>
                <w:rFonts w:ascii="Arial" w:cs="Arial" w:eastAsia="Arial" w:hAnsi="Arial"/>
                <w:sz w:val="14"/>
                <w:szCs w:val="14"/>
                <w:b w:val="1"/>
                <w:bCs w:val="1"/>
                <w:color w:val="auto"/>
              </w:rPr>
              <w:t>Fair Value at December 31, 2019</w:t>
            </w:r>
          </w:p>
        </w:tc>
        <w:tc>
          <w:tcPr>
            <w:tcW w:w="9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3780" w:type="dxa"/>
            <w:vAlign w:val="bottom"/>
            <w:vMerge w:val="restart"/>
          </w:tcPr>
          <w:p>
            <w:pPr>
              <w:spacing w:after="0"/>
              <w:rPr>
                <w:sz w:val="20"/>
                <w:szCs w:val="20"/>
                <w:color w:val="auto"/>
              </w:rPr>
            </w:pPr>
            <w:r>
              <w:rPr>
                <w:rFonts w:ascii="Arial" w:cs="Arial" w:eastAsia="Arial" w:hAnsi="Arial"/>
                <w:sz w:val="14"/>
                <w:szCs w:val="14"/>
                <w:b w:val="1"/>
                <w:bCs w:val="1"/>
                <w:color w:val="auto"/>
              </w:rPr>
              <w:t>Description</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60" w:type="dxa"/>
            <w:vAlign w:val="bottom"/>
            <w:vMerge w:val="restart"/>
          </w:tcPr>
          <w:p>
            <w:pPr>
              <w:jc w:val="right"/>
              <w:ind w:right="248"/>
              <w:spacing w:after="0"/>
              <w:rPr>
                <w:sz w:val="20"/>
                <w:szCs w:val="20"/>
                <w:color w:val="auto"/>
              </w:rPr>
            </w:pPr>
            <w:r>
              <w:rPr>
                <w:rFonts w:ascii="Arial" w:cs="Arial" w:eastAsia="Arial" w:hAnsi="Arial"/>
                <w:sz w:val="14"/>
                <w:szCs w:val="14"/>
                <w:b w:val="1"/>
                <w:bCs w:val="1"/>
                <w:color w:val="auto"/>
              </w:rPr>
              <w:t>Fair Value</w:t>
            </w: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vMerge w:val="restart"/>
          </w:tcPr>
          <w:p>
            <w:pPr>
              <w:jc w:val="right"/>
              <w:ind w:right="328"/>
              <w:spacing w:after="0"/>
              <w:rPr>
                <w:sz w:val="20"/>
                <w:szCs w:val="20"/>
                <w:color w:val="auto"/>
              </w:rPr>
            </w:pPr>
            <w:r>
              <w:rPr>
                <w:rFonts w:ascii="Arial" w:cs="Arial" w:eastAsia="Arial" w:hAnsi="Arial"/>
                <w:sz w:val="14"/>
                <w:szCs w:val="14"/>
                <w:b w:val="1"/>
                <w:bCs w:val="1"/>
                <w:color w:val="auto"/>
              </w:rPr>
              <w:t>Level 1</w:t>
            </w: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0" w:type="dxa"/>
            <w:vAlign w:val="bottom"/>
            <w:vMerge w:val="restart"/>
          </w:tcPr>
          <w:p>
            <w:pPr>
              <w:ind w:left="160"/>
              <w:spacing w:after="0"/>
              <w:rPr>
                <w:sz w:val="20"/>
                <w:szCs w:val="20"/>
                <w:color w:val="auto"/>
              </w:rPr>
            </w:pPr>
            <w:r>
              <w:rPr>
                <w:rFonts w:ascii="Arial" w:cs="Arial" w:eastAsia="Arial" w:hAnsi="Arial"/>
                <w:sz w:val="14"/>
                <w:szCs w:val="14"/>
                <w:b w:val="1"/>
                <w:bCs w:val="1"/>
                <w:color w:val="auto"/>
              </w:rPr>
              <w:t>Level 2</w:t>
            </w: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2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Level 3</w:t>
            </w:r>
          </w:p>
        </w:tc>
        <w:tc>
          <w:tcPr>
            <w:tcW w:w="100" w:type="dxa"/>
            <w:vAlign w:val="bottom"/>
          </w:tcPr>
          <w:p>
            <w:pPr>
              <w:spacing w:after="0"/>
              <w:rPr>
                <w:sz w:val="11"/>
                <w:szCs w:val="11"/>
                <w:color w:val="auto"/>
              </w:rPr>
            </w:pPr>
          </w:p>
        </w:tc>
        <w:tc>
          <w:tcPr>
            <w:tcW w:w="1180" w:type="dxa"/>
            <w:vAlign w:val="bottom"/>
          </w:tcPr>
          <w:p>
            <w:pPr>
              <w:jc w:val="center"/>
              <w:ind w:right="48"/>
              <w:spacing w:after="0" w:line="133" w:lineRule="exact"/>
              <w:rPr>
                <w:sz w:val="20"/>
                <w:szCs w:val="20"/>
                <w:color w:val="auto"/>
              </w:rPr>
            </w:pPr>
            <w:r>
              <w:rPr>
                <w:rFonts w:ascii="Arial" w:cs="Arial" w:eastAsia="Arial" w:hAnsi="Arial"/>
                <w:sz w:val="14"/>
                <w:szCs w:val="14"/>
                <w:b w:val="1"/>
                <w:bCs w:val="1"/>
                <w:color w:val="auto"/>
                <w:w w:val="94"/>
              </w:rPr>
              <w:t>Measured at Net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37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 xml:space="preserve">Asset Value </w:t>
            </w:r>
            <w:r>
              <w:rPr>
                <w:rFonts w:ascii="Arial" w:cs="Arial" w:eastAsia="Arial" w:hAnsi="Arial"/>
                <w:sz w:val="12"/>
                <w:szCs w:val="12"/>
                <w:b w:val="1"/>
                <w:bCs w:val="1"/>
                <w:color w:val="auto"/>
                <w:w w:val="91"/>
              </w:rPr>
              <w:t>(1)</w:t>
            </w:r>
          </w:p>
        </w:tc>
        <w:tc>
          <w:tcPr>
            <w:tcW w:w="0" w:type="dxa"/>
            <w:vAlign w:val="bottom"/>
          </w:tcPr>
          <w:p>
            <w:pPr>
              <w:spacing w:after="0"/>
              <w:rPr>
                <w:sz w:val="1"/>
                <w:szCs w:val="1"/>
                <w:color w:val="auto"/>
              </w:rPr>
            </w:pPr>
          </w:p>
        </w:tc>
      </w:tr>
      <w:tr>
        <w:trPr>
          <w:trHeight w:val="156"/>
        </w:trPr>
        <w:tc>
          <w:tcPr>
            <w:tcW w:w="3780" w:type="dxa"/>
            <w:vAlign w:val="bottom"/>
            <w:tcBorders>
              <w:top w:val="single" w:sz="8" w:color="auto"/>
            </w:tcBorders>
            <w:shd w:val="clear" w:color="auto" w:fill="CCECFF"/>
          </w:tcPr>
          <w:p>
            <w:pPr>
              <w:spacing w:after="0" w:line="155" w:lineRule="exact"/>
              <w:rPr>
                <w:sz w:val="20"/>
                <w:szCs w:val="20"/>
                <w:color w:val="auto"/>
              </w:rPr>
            </w:pPr>
            <w:r>
              <w:rPr>
                <w:rFonts w:ascii="Arial" w:cs="Arial" w:eastAsia="Arial" w:hAnsi="Arial"/>
                <w:sz w:val="14"/>
                <w:szCs w:val="14"/>
                <w:color w:val="auto"/>
              </w:rPr>
              <w:t>First lien</w:t>
            </w:r>
          </w:p>
        </w:tc>
        <w:tc>
          <w:tcPr>
            <w:tcW w:w="120" w:type="dxa"/>
            <w:vAlign w:val="bottom"/>
            <w:tcBorders>
              <w:top w:val="single" w:sz="8" w:color="CCECFF"/>
            </w:tcBorders>
            <w:shd w:val="clear" w:color="auto" w:fill="CCECFF"/>
          </w:tcPr>
          <w:p>
            <w:pPr>
              <w:spacing w:after="0"/>
              <w:rPr>
                <w:sz w:val="13"/>
                <w:szCs w:val="13"/>
                <w:color w:val="auto"/>
              </w:rPr>
            </w:pPr>
          </w:p>
        </w:tc>
        <w:tc>
          <w:tcPr>
            <w:tcW w:w="200" w:type="dxa"/>
            <w:vAlign w:val="bottom"/>
            <w:tcBorders>
              <w:top w:val="single" w:sz="8" w:color="auto"/>
            </w:tcBorders>
            <w:shd w:val="clear" w:color="auto" w:fill="CCECFF"/>
          </w:tcPr>
          <w:p>
            <w:pPr>
              <w:jc w:val="right"/>
              <w:ind w:right="48"/>
              <w:spacing w:after="0" w:line="155" w:lineRule="exact"/>
              <w:rPr>
                <w:sz w:val="20"/>
                <w:szCs w:val="20"/>
                <w:color w:val="auto"/>
              </w:rPr>
            </w:pPr>
            <w:r>
              <w:rPr>
                <w:rFonts w:ascii="Arial" w:cs="Arial" w:eastAsia="Arial" w:hAnsi="Arial"/>
                <w:sz w:val="14"/>
                <w:szCs w:val="14"/>
                <w:color w:val="auto"/>
                <w:w w:val="76"/>
              </w:rPr>
              <w:t>$</w:t>
            </w:r>
          </w:p>
        </w:tc>
        <w:tc>
          <w:tcPr>
            <w:tcW w:w="106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1,042,513,437</w:t>
            </w:r>
          </w:p>
        </w:tc>
        <w:tc>
          <w:tcPr>
            <w:tcW w:w="240" w:type="dxa"/>
            <w:vAlign w:val="bottom"/>
            <w:tcBorders>
              <w:top w:val="single" w:sz="8" w:color="CCECFF"/>
            </w:tcBorders>
            <w:shd w:val="clear" w:color="auto" w:fill="CCECFF"/>
          </w:tcPr>
          <w:p>
            <w:pPr>
              <w:spacing w:after="0"/>
              <w:rPr>
                <w:sz w:val="13"/>
                <w:szCs w:val="13"/>
                <w:color w:val="auto"/>
              </w:rPr>
            </w:pPr>
          </w:p>
        </w:tc>
        <w:tc>
          <w:tcPr>
            <w:tcW w:w="220" w:type="dxa"/>
            <w:vAlign w:val="bottom"/>
            <w:tcBorders>
              <w:top w:val="single" w:sz="8" w:color="auto"/>
            </w:tcBorders>
            <w:shd w:val="clear" w:color="auto" w:fill="CCECFF"/>
          </w:tcPr>
          <w:p>
            <w:pPr>
              <w:jc w:val="right"/>
              <w:ind w:right="109"/>
              <w:spacing w:after="0"/>
              <w:rPr>
                <w:sz w:val="20"/>
                <w:szCs w:val="20"/>
                <w:color w:val="auto"/>
              </w:rPr>
            </w:pPr>
            <w:r>
              <w:rPr>
                <w:rFonts w:ascii="Arial" w:cs="Arial" w:eastAsia="Arial" w:hAnsi="Arial"/>
                <w:sz w:val="10"/>
                <w:szCs w:val="10"/>
                <w:color w:val="auto"/>
                <w:w w:val="71"/>
              </w:rPr>
              <w:t>$</w:t>
            </w:r>
          </w:p>
        </w:tc>
        <w:tc>
          <w:tcPr>
            <w:tcW w:w="102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w:t>
            </w:r>
          </w:p>
        </w:tc>
        <w:tc>
          <w:tcPr>
            <w:tcW w:w="240" w:type="dxa"/>
            <w:vAlign w:val="bottom"/>
            <w:tcBorders>
              <w:top w:val="single" w:sz="8" w:color="CCECFF"/>
            </w:tcBorders>
            <w:shd w:val="clear" w:color="auto" w:fill="CCECFF"/>
          </w:tcPr>
          <w:p>
            <w:pPr>
              <w:spacing w:after="0"/>
              <w:rPr>
                <w:sz w:val="13"/>
                <w:szCs w:val="13"/>
                <w:color w:val="auto"/>
              </w:rPr>
            </w:pPr>
          </w:p>
        </w:tc>
        <w:tc>
          <w:tcPr>
            <w:tcW w:w="240" w:type="dxa"/>
            <w:vAlign w:val="bottom"/>
            <w:tcBorders>
              <w:top w:val="single" w:sz="8" w:color="auto"/>
            </w:tcBorders>
            <w:shd w:val="clear" w:color="auto" w:fill="CCECFF"/>
          </w:tcPr>
          <w:p>
            <w:pPr>
              <w:jc w:val="right"/>
              <w:ind w:right="88"/>
              <w:spacing w:after="0" w:line="155" w:lineRule="exact"/>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tcBorders>
            <w:shd w:val="clear" w:color="auto" w:fill="CCECFF"/>
          </w:tcPr>
          <w:p>
            <w:pPr>
              <w:ind w:left="840"/>
              <w:spacing w:after="0" w:line="155" w:lineRule="exact"/>
              <w:rPr>
                <w:sz w:val="20"/>
                <w:szCs w:val="20"/>
                <w:color w:val="auto"/>
              </w:rPr>
            </w:pPr>
            <w:r>
              <w:rPr>
                <w:rFonts w:ascii="Arial" w:cs="Arial" w:eastAsia="Arial" w:hAnsi="Arial"/>
                <w:sz w:val="14"/>
                <w:szCs w:val="14"/>
                <w:color w:val="auto"/>
                <w:w w:val="99"/>
              </w:rPr>
              <w:t>—</w:t>
            </w:r>
          </w:p>
        </w:tc>
        <w:tc>
          <w:tcPr>
            <w:tcW w:w="240" w:type="dxa"/>
            <w:vAlign w:val="bottom"/>
            <w:tcBorders>
              <w:top w:val="single" w:sz="8" w:color="CCECFF"/>
            </w:tcBorders>
            <w:shd w:val="clear" w:color="auto" w:fill="CCECFF"/>
          </w:tcPr>
          <w:p>
            <w:pPr>
              <w:spacing w:after="0"/>
              <w:rPr>
                <w:sz w:val="13"/>
                <w:szCs w:val="13"/>
                <w:color w:val="auto"/>
              </w:rPr>
            </w:pPr>
          </w:p>
        </w:tc>
        <w:tc>
          <w:tcPr>
            <w:tcW w:w="280" w:type="dxa"/>
            <w:vAlign w:val="bottom"/>
            <w:tcBorders>
              <w:top w:val="single" w:sz="8" w:color="auto"/>
            </w:tcBorders>
            <w:shd w:val="clear" w:color="auto" w:fill="CCECFF"/>
          </w:tcPr>
          <w:p>
            <w:pPr>
              <w:jc w:val="right"/>
              <w:ind w:right="128"/>
              <w:spacing w:after="0" w:line="155" w:lineRule="exact"/>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1,042,513,437</w:t>
            </w:r>
          </w:p>
        </w:tc>
        <w:tc>
          <w:tcPr>
            <w:tcW w:w="240" w:type="dxa"/>
            <w:vAlign w:val="bottom"/>
            <w:tcBorders>
              <w:top w:val="single" w:sz="8" w:color="CCECFF"/>
            </w:tcBorders>
            <w:shd w:val="clear" w:color="auto" w:fill="CCECFF"/>
          </w:tcPr>
          <w:p>
            <w:pPr>
              <w:spacing w:after="0"/>
              <w:rPr>
                <w:sz w:val="13"/>
                <w:szCs w:val="13"/>
                <w:color w:val="auto"/>
              </w:rPr>
            </w:pPr>
          </w:p>
        </w:tc>
        <w:tc>
          <w:tcPr>
            <w:tcW w:w="10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w w:val="76"/>
              </w:rPr>
              <w:t>$</w:t>
            </w:r>
          </w:p>
        </w:tc>
        <w:tc>
          <w:tcPr>
            <w:tcW w:w="118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w:t>
            </w:r>
          </w:p>
        </w:tc>
        <w:tc>
          <w:tcPr>
            <w:tcW w:w="100" w:type="dxa"/>
            <w:vAlign w:val="bottom"/>
            <w:tcBorders>
              <w:top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780" w:type="dxa"/>
            <w:vAlign w:val="bottom"/>
          </w:tcPr>
          <w:p>
            <w:pPr>
              <w:spacing w:after="0"/>
              <w:rPr>
                <w:sz w:val="20"/>
                <w:szCs w:val="20"/>
                <w:color w:val="auto"/>
              </w:rPr>
            </w:pPr>
            <w:r>
              <w:rPr>
                <w:rFonts w:ascii="Arial" w:cs="Arial" w:eastAsia="Arial" w:hAnsi="Arial"/>
                <w:sz w:val="14"/>
                <w:szCs w:val="14"/>
                <w:color w:val="auto"/>
              </w:rPr>
              <w:t>Second lien</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32,893,257</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tcPr>
          <w:p>
            <w:pPr>
              <w:ind w:left="840"/>
              <w:spacing w:after="0"/>
              <w:rPr>
                <w:sz w:val="20"/>
                <w:szCs w:val="20"/>
                <w:color w:val="auto"/>
              </w:rPr>
            </w:pPr>
            <w:r>
              <w:rPr>
                <w:rFonts w:ascii="Arial" w:cs="Arial" w:eastAsia="Arial" w:hAnsi="Arial"/>
                <w:sz w:val="14"/>
                <w:szCs w:val="14"/>
                <w:color w:val="auto"/>
                <w:w w:val="99"/>
              </w:rPr>
              <w:t>—</w:t>
            </w: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32,893,257</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3780" w:type="dxa"/>
            <w:vAlign w:val="bottom"/>
            <w:shd w:val="clear" w:color="auto" w:fill="CCECFF"/>
          </w:tcPr>
          <w:p>
            <w:pPr>
              <w:spacing w:after="0"/>
              <w:rPr>
                <w:sz w:val="20"/>
                <w:szCs w:val="20"/>
                <w:color w:val="auto"/>
              </w:rPr>
            </w:pPr>
            <w:r>
              <w:rPr>
                <w:rFonts w:ascii="Arial" w:cs="Arial" w:eastAsia="Arial" w:hAnsi="Arial"/>
                <w:sz w:val="14"/>
                <w:szCs w:val="14"/>
                <w:color w:val="auto"/>
              </w:rPr>
              <w:t>Equity</w:t>
            </w:r>
          </w:p>
        </w:tc>
        <w:tc>
          <w:tcPr>
            <w:tcW w:w="120" w:type="dxa"/>
            <w:vAlign w:val="bottom"/>
            <w:shd w:val="clear" w:color="auto" w:fill="CCECFF"/>
          </w:tcPr>
          <w:p>
            <w:pPr>
              <w:spacing w:after="0"/>
              <w:rPr>
                <w:sz w:val="14"/>
                <w:szCs w:val="14"/>
                <w:color w:val="auto"/>
              </w:rPr>
            </w:pPr>
          </w:p>
        </w:tc>
        <w:tc>
          <w:tcPr>
            <w:tcW w:w="200" w:type="dxa"/>
            <w:vAlign w:val="bottom"/>
            <w:tcBorders>
              <w:bottom w:val="single" w:sz="8" w:color="auto"/>
            </w:tcBorders>
            <w:shd w:val="clear" w:color="auto" w:fill="CCECFF"/>
          </w:tcPr>
          <w:p>
            <w:pPr>
              <w:spacing w:after="0"/>
              <w:rPr>
                <w:sz w:val="14"/>
                <w:szCs w:val="14"/>
                <w:color w:val="auto"/>
              </w:rPr>
            </w:pPr>
          </w:p>
        </w:tc>
        <w:tc>
          <w:tcPr>
            <w:tcW w:w="10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100,709,220</w:t>
            </w:r>
          </w:p>
        </w:tc>
        <w:tc>
          <w:tcPr>
            <w:tcW w:w="240" w:type="dxa"/>
            <w:vAlign w:val="bottom"/>
            <w:shd w:val="clear" w:color="auto" w:fill="CCECFF"/>
          </w:tcPr>
          <w:p>
            <w:pPr>
              <w:spacing w:after="0"/>
              <w:rPr>
                <w:sz w:val="14"/>
                <w:szCs w:val="14"/>
                <w:color w:val="auto"/>
              </w:rPr>
            </w:pPr>
          </w:p>
        </w:tc>
        <w:tc>
          <w:tcPr>
            <w:tcW w:w="220" w:type="dxa"/>
            <w:vAlign w:val="bottom"/>
            <w:tcBorders>
              <w:bottom w:val="single" w:sz="8" w:color="auto"/>
            </w:tcBorders>
            <w:shd w:val="clear" w:color="auto" w:fill="CCECFF"/>
          </w:tcPr>
          <w:p>
            <w:pPr>
              <w:spacing w:after="0"/>
              <w:rPr>
                <w:sz w:val="14"/>
                <w:szCs w:val="14"/>
                <w:color w:val="auto"/>
              </w:rPr>
            </w:pPr>
          </w:p>
        </w:tc>
        <w:tc>
          <w:tcPr>
            <w:tcW w:w="10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CFF"/>
          </w:tcPr>
          <w:p>
            <w:pPr>
              <w:spacing w:after="0"/>
              <w:rPr>
                <w:sz w:val="14"/>
                <w:szCs w:val="14"/>
                <w:color w:val="auto"/>
              </w:rPr>
            </w:pPr>
          </w:p>
        </w:tc>
        <w:tc>
          <w:tcPr>
            <w:tcW w:w="240" w:type="dxa"/>
            <w:vAlign w:val="bottom"/>
            <w:tcBorders>
              <w:bottom w:val="single" w:sz="8" w:color="auto"/>
            </w:tcBorders>
            <w:shd w:val="clear" w:color="auto" w:fill="CCECFF"/>
          </w:tcPr>
          <w:p>
            <w:pPr>
              <w:spacing w:after="0"/>
              <w:rPr>
                <w:sz w:val="14"/>
                <w:szCs w:val="14"/>
                <w:color w:val="auto"/>
              </w:rPr>
            </w:pPr>
          </w:p>
        </w:tc>
        <w:tc>
          <w:tcPr>
            <w:tcW w:w="1000" w:type="dxa"/>
            <w:vAlign w:val="bottom"/>
            <w:tcBorders>
              <w:bottom w:val="single" w:sz="8" w:color="auto"/>
            </w:tcBorders>
            <w:shd w:val="clear" w:color="auto" w:fill="CCECFF"/>
          </w:tcPr>
          <w:p>
            <w:pPr>
              <w:ind w:left="840"/>
              <w:spacing w:after="0"/>
              <w:rPr>
                <w:sz w:val="20"/>
                <w:szCs w:val="20"/>
                <w:color w:val="auto"/>
              </w:rPr>
            </w:pPr>
            <w:r>
              <w:rPr>
                <w:rFonts w:ascii="Arial" w:cs="Arial" w:eastAsia="Arial" w:hAnsi="Arial"/>
                <w:sz w:val="14"/>
                <w:szCs w:val="14"/>
                <w:color w:val="auto"/>
                <w:w w:val="99"/>
              </w:rPr>
              <w:t>—</w:t>
            </w:r>
          </w:p>
        </w:tc>
        <w:tc>
          <w:tcPr>
            <w:tcW w:w="240" w:type="dxa"/>
            <w:vAlign w:val="bottom"/>
            <w:shd w:val="clear" w:color="auto" w:fill="CCECFF"/>
          </w:tcPr>
          <w:p>
            <w:pPr>
              <w:spacing w:after="0"/>
              <w:rPr>
                <w:sz w:val="14"/>
                <w:szCs w:val="14"/>
                <w:color w:val="auto"/>
              </w:rPr>
            </w:pPr>
          </w:p>
        </w:tc>
        <w:tc>
          <w:tcPr>
            <w:tcW w:w="280" w:type="dxa"/>
            <w:vAlign w:val="bottom"/>
            <w:tcBorders>
              <w:bottom w:val="single" w:sz="8" w:color="auto"/>
            </w:tcBorders>
            <w:shd w:val="clear" w:color="auto" w:fill="CCECFF"/>
          </w:tcPr>
          <w:p>
            <w:pPr>
              <w:spacing w:after="0"/>
              <w:rPr>
                <w:sz w:val="14"/>
                <w:szCs w:val="14"/>
                <w:color w:val="auto"/>
              </w:rPr>
            </w:pPr>
          </w:p>
        </w:tc>
        <w:tc>
          <w:tcPr>
            <w:tcW w:w="9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50,981,372</w:t>
            </w:r>
          </w:p>
        </w:tc>
        <w:tc>
          <w:tcPr>
            <w:tcW w:w="240" w:type="dxa"/>
            <w:vAlign w:val="bottom"/>
            <w:shd w:val="clear" w:color="auto" w:fill="CCECFF"/>
          </w:tcPr>
          <w:p>
            <w:pPr>
              <w:spacing w:after="0"/>
              <w:rPr>
                <w:sz w:val="14"/>
                <w:szCs w:val="14"/>
                <w:color w:val="auto"/>
              </w:rPr>
            </w:pPr>
          </w:p>
        </w:tc>
        <w:tc>
          <w:tcPr>
            <w:tcW w:w="100" w:type="dxa"/>
            <w:vAlign w:val="bottom"/>
            <w:tcBorders>
              <w:bottom w:val="single" w:sz="8" w:color="auto"/>
            </w:tcBorders>
            <w:shd w:val="clear" w:color="auto" w:fill="CCECFF"/>
          </w:tcPr>
          <w:p>
            <w:pPr>
              <w:spacing w:after="0"/>
              <w:rPr>
                <w:sz w:val="14"/>
                <w:szCs w:val="14"/>
                <w:color w:val="auto"/>
              </w:rPr>
            </w:pPr>
          </w:p>
        </w:tc>
        <w:tc>
          <w:tcPr>
            <w:tcW w:w="11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49,727,848</w:t>
            </w: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3780" w:type="dxa"/>
            <w:vAlign w:val="bottom"/>
            <w:tcBorders>
              <w:bottom w:val="single" w:sz="8" w:color="CCECFF"/>
            </w:tcBorders>
          </w:tcPr>
          <w:p>
            <w:pPr>
              <w:ind w:left="500"/>
              <w:spacing w:after="0" w:line="155" w:lineRule="exact"/>
              <w:rPr>
                <w:sz w:val="20"/>
                <w:szCs w:val="20"/>
                <w:color w:val="auto"/>
              </w:rPr>
            </w:pPr>
            <w:r>
              <w:rPr>
                <w:rFonts w:ascii="Arial" w:cs="Arial" w:eastAsia="Arial" w:hAnsi="Arial"/>
                <w:sz w:val="14"/>
                <w:szCs w:val="14"/>
                <w:color w:val="auto"/>
              </w:rPr>
              <w:t>Total investments</w:t>
            </w:r>
          </w:p>
        </w:tc>
        <w:tc>
          <w:tcPr>
            <w:tcW w:w="120" w:type="dxa"/>
            <w:vAlign w:val="bottom"/>
            <w:tcBorders>
              <w:bottom w:val="single" w:sz="8" w:color="CCEC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1,176,115,914</w:t>
            </w:r>
          </w:p>
        </w:tc>
        <w:tc>
          <w:tcPr>
            <w:tcW w:w="240" w:type="dxa"/>
            <w:vAlign w:val="bottom"/>
            <w:tcBorders>
              <w:bottom w:val="single" w:sz="8" w:color="CCEC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240" w:type="dxa"/>
            <w:vAlign w:val="bottom"/>
            <w:tcBorders>
              <w:bottom w:val="single" w:sz="8" w:color="CCEC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ind w:left="840"/>
              <w:spacing w:after="0" w:line="155" w:lineRule="exact"/>
              <w:rPr>
                <w:sz w:val="20"/>
                <w:szCs w:val="20"/>
                <w:color w:val="auto"/>
              </w:rPr>
            </w:pPr>
            <w:r>
              <w:rPr>
                <w:rFonts w:ascii="Arial" w:cs="Arial" w:eastAsia="Arial" w:hAnsi="Arial"/>
                <w:sz w:val="14"/>
                <w:szCs w:val="14"/>
                <w:color w:val="auto"/>
                <w:w w:val="99"/>
              </w:rPr>
              <w:t>—</w:t>
            </w:r>
          </w:p>
        </w:tc>
        <w:tc>
          <w:tcPr>
            <w:tcW w:w="240" w:type="dxa"/>
            <w:vAlign w:val="bottom"/>
            <w:tcBorders>
              <w:bottom w:val="single" w:sz="8" w:color="CCEC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1,126,388,066</w:t>
            </w:r>
          </w:p>
        </w:tc>
        <w:tc>
          <w:tcPr>
            <w:tcW w:w="240" w:type="dxa"/>
            <w:vAlign w:val="bottom"/>
            <w:tcBorders>
              <w:bottom w:val="single" w:sz="8" w:color="CCEC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49,727,848</w:t>
            </w:r>
          </w:p>
        </w:tc>
        <w:tc>
          <w:tcPr>
            <w:tcW w:w="100" w:type="dxa"/>
            <w:vAlign w:val="bottom"/>
            <w:tcBorders>
              <w:bottom w:val="single" w:sz="8" w:color="CCECFF"/>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780" w:type="dxa"/>
            <w:vAlign w:val="bottom"/>
            <w:shd w:val="clear" w:color="auto" w:fill="CCECFF"/>
          </w:tcPr>
          <w:p>
            <w:pPr>
              <w:spacing w:after="0" w:line="155" w:lineRule="exact"/>
              <w:rPr>
                <w:sz w:val="20"/>
                <w:szCs w:val="20"/>
                <w:color w:val="auto"/>
              </w:rPr>
            </w:pPr>
            <w:r>
              <w:rPr>
                <w:rFonts w:ascii="Arial" w:cs="Arial" w:eastAsia="Arial" w:hAnsi="Arial"/>
                <w:sz w:val="14"/>
                <w:szCs w:val="14"/>
                <w:color w:val="auto"/>
              </w:rPr>
              <w:t>Cash and cash equivalents</w:t>
            </w:r>
          </w:p>
        </w:tc>
        <w:tc>
          <w:tcPr>
            <w:tcW w:w="120" w:type="dxa"/>
            <w:vAlign w:val="bottom"/>
            <w:shd w:val="clear" w:color="auto" w:fill="CCECFF"/>
          </w:tcPr>
          <w:p>
            <w:pPr>
              <w:spacing w:after="0"/>
              <w:rPr>
                <w:sz w:val="13"/>
                <w:szCs w:val="13"/>
                <w:color w:val="auto"/>
              </w:rPr>
            </w:pPr>
          </w:p>
        </w:tc>
        <w:tc>
          <w:tcPr>
            <w:tcW w:w="200" w:type="dxa"/>
            <w:vAlign w:val="bottom"/>
            <w:tcBorders>
              <w:bottom w:val="single" w:sz="8" w:color="auto"/>
            </w:tcBorders>
            <w:shd w:val="clear" w:color="auto" w:fill="CCECFF"/>
          </w:tcPr>
          <w:p>
            <w:pPr>
              <w:spacing w:after="0"/>
              <w:rPr>
                <w:sz w:val="13"/>
                <w:szCs w:val="13"/>
                <w:color w:val="auto"/>
              </w:rPr>
            </w:pPr>
          </w:p>
        </w:tc>
        <w:tc>
          <w:tcPr>
            <w:tcW w:w="106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56,292,541</w:t>
            </w:r>
          </w:p>
        </w:tc>
        <w:tc>
          <w:tcPr>
            <w:tcW w:w="240" w:type="dxa"/>
            <w:vAlign w:val="bottom"/>
            <w:shd w:val="clear" w:color="auto" w:fill="CCECFF"/>
          </w:tcPr>
          <w:p>
            <w:pPr>
              <w:spacing w:after="0"/>
              <w:rPr>
                <w:sz w:val="13"/>
                <w:szCs w:val="13"/>
                <w:color w:val="auto"/>
              </w:rPr>
            </w:pPr>
          </w:p>
        </w:tc>
        <w:tc>
          <w:tcPr>
            <w:tcW w:w="220" w:type="dxa"/>
            <w:vAlign w:val="bottom"/>
            <w:tcBorders>
              <w:bottom w:val="single" w:sz="8" w:color="auto"/>
            </w:tcBorders>
            <w:shd w:val="clear" w:color="auto" w:fill="CCECFF"/>
          </w:tcPr>
          <w:p>
            <w:pPr>
              <w:spacing w:after="0"/>
              <w:rPr>
                <w:sz w:val="13"/>
                <w:szCs w:val="13"/>
                <w:color w:val="auto"/>
              </w:rPr>
            </w:pPr>
          </w:p>
        </w:tc>
        <w:tc>
          <w:tcPr>
            <w:tcW w:w="102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56,292,541</w:t>
            </w:r>
          </w:p>
        </w:tc>
        <w:tc>
          <w:tcPr>
            <w:tcW w:w="240" w:type="dxa"/>
            <w:vAlign w:val="bottom"/>
            <w:shd w:val="clear" w:color="auto" w:fill="CCECFF"/>
          </w:tcPr>
          <w:p>
            <w:pPr>
              <w:spacing w:after="0"/>
              <w:rPr>
                <w:sz w:val="13"/>
                <w:szCs w:val="13"/>
                <w:color w:val="auto"/>
              </w:rPr>
            </w:pPr>
          </w:p>
        </w:tc>
        <w:tc>
          <w:tcPr>
            <w:tcW w:w="240" w:type="dxa"/>
            <w:vAlign w:val="bottom"/>
            <w:tcBorders>
              <w:bottom w:val="single" w:sz="8" w:color="auto"/>
            </w:tcBorders>
            <w:shd w:val="clear" w:color="auto" w:fill="CCECFF"/>
          </w:tcPr>
          <w:p>
            <w:pPr>
              <w:spacing w:after="0"/>
              <w:rPr>
                <w:sz w:val="13"/>
                <w:szCs w:val="13"/>
                <w:color w:val="auto"/>
              </w:rPr>
            </w:pPr>
          </w:p>
        </w:tc>
        <w:tc>
          <w:tcPr>
            <w:tcW w:w="1000" w:type="dxa"/>
            <w:vAlign w:val="bottom"/>
            <w:tcBorders>
              <w:bottom w:val="single" w:sz="8" w:color="auto"/>
            </w:tcBorders>
            <w:shd w:val="clear" w:color="auto" w:fill="CCECFF"/>
          </w:tcPr>
          <w:p>
            <w:pPr>
              <w:ind w:left="840"/>
              <w:spacing w:after="0" w:line="155" w:lineRule="exact"/>
              <w:rPr>
                <w:sz w:val="20"/>
                <w:szCs w:val="20"/>
                <w:color w:val="auto"/>
              </w:rPr>
            </w:pPr>
            <w:r>
              <w:rPr>
                <w:rFonts w:ascii="Arial" w:cs="Arial" w:eastAsia="Arial" w:hAnsi="Arial"/>
                <w:sz w:val="14"/>
                <w:szCs w:val="14"/>
                <w:color w:val="auto"/>
                <w:w w:val="99"/>
              </w:rPr>
              <w:t>—</w:t>
            </w:r>
          </w:p>
        </w:tc>
        <w:tc>
          <w:tcPr>
            <w:tcW w:w="240" w:type="dxa"/>
            <w:vAlign w:val="bottom"/>
            <w:shd w:val="clear" w:color="auto" w:fill="CCECFF"/>
          </w:tcPr>
          <w:p>
            <w:pPr>
              <w:spacing w:after="0"/>
              <w:rPr>
                <w:sz w:val="13"/>
                <w:szCs w:val="13"/>
                <w:color w:val="auto"/>
              </w:rPr>
            </w:pPr>
          </w:p>
        </w:tc>
        <w:tc>
          <w:tcPr>
            <w:tcW w:w="280" w:type="dxa"/>
            <w:vAlign w:val="bottom"/>
            <w:tcBorders>
              <w:bottom w:val="single" w:sz="8" w:color="auto"/>
            </w:tcBorders>
            <w:shd w:val="clear" w:color="auto" w:fill="CCECFF"/>
          </w:tcPr>
          <w:p>
            <w:pPr>
              <w:spacing w:after="0"/>
              <w:rPr>
                <w:sz w:val="13"/>
                <w:szCs w:val="13"/>
                <w:color w:val="auto"/>
              </w:rPr>
            </w:pPr>
          </w:p>
        </w:tc>
        <w:tc>
          <w:tcPr>
            <w:tcW w:w="98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w:t>
            </w:r>
          </w:p>
        </w:tc>
        <w:tc>
          <w:tcPr>
            <w:tcW w:w="240" w:type="dxa"/>
            <w:vAlign w:val="bottom"/>
            <w:shd w:val="clear" w:color="auto" w:fill="CCECFF"/>
          </w:tcPr>
          <w:p>
            <w:pPr>
              <w:spacing w:after="0"/>
              <w:rPr>
                <w:sz w:val="13"/>
                <w:szCs w:val="13"/>
                <w:color w:val="auto"/>
              </w:rPr>
            </w:pPr>
          </w:p>
        </w:tc>
        <w:tc>
          <w:tcPr>
            <w:tcW w:w="100" w:type="dxa"/>
            <w:vAlign w:val="bottom"/>
            <w:tcBorders>
              <w:bottom w:val="single" w:sz="8" w:color="auto"/>
            </w:tcBorders>
            <w:shd w:val="clear" w:color="auto" w:fill="CCECFF"/>
          </w:tcPr>
          <w:p>
            <w:pPr>
              <w:spacing w:after="0"/>
              <w:rPr>
                <w:sz w:val="13"/>
                <w:szCs w:val="13"/>
                <w:color w:val="auto"/>
              </w:rPr>
            </w:pPr>
          </w:p>
        </w:tc>
        <w:tc>
          <w:tcPr>
            <w:tcW w:w="118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3780" w:type="dxa"/>
            <w:vAlign w:val="bottom"/>
            <w:tcBorders>
              <w:bottom w:val="single" w:sz="8" w:color="CCECFF"/>
            </w:tcBorders>
          </w:tcPr>
          <w:p>
            <w:pPr>
              <w:ind w:left="500"/>
              <w:spacing w:after="0" w:line="155" w:lineRule="exact"/>
              <w:rPr>
                <w:sz w:val="20"/>
                <w:szCs w:val="20"/>
                <w:color w:val="auto"/>
              </w:rPr>
            </w:pPr>
            <w:r>
              <w:rPr>
                <w:rFonts w:ascii="Arial" w:cs="Arial" w:eastAsia="Arial" w:hAnsi="Arial"/>
                <w:sz w:val="14"/>
                <w:szCs w:val="14"/>
                <w:color w:val="auto"/>
              </w:rPr>
              <w:t>Total investments and cash and cash equivalents</w:t>
            </w:r>
          </w:p>
        </w:tc>
        <w:tc>
          <w:tcPr>
            <w:tcW w:w="120" w:type="dxa"/>
            <w:vAlign w:val="bottom"/>
            <w:tcBorders>
              <w:bottom w:val="single" w:sz="8" w:color="CCECFF"/>
            </w:tcBorders>
          </w:tcPr>
          <w:p>
            <w:pPr>
              <w:spacing w:after="0"/>
              <w:rPr>
                <w:sz w:val="17"/>
                <w:szCs w:val="17"/>
                <w:color w:val="auto"/>
              </w:rPr>
            </w:pPr>
          </w:p>
        </w:tc>
        <w:tc>
          <w:tcPr>
            <w:tcW w:w="20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w w:val="76"/>
              </w:rPr>
              <w:t>$</w:t>
            </w:r>
          </w:p>
        </w:tc>
        <w:tc>
          <w:tcPr>
            <w:tcW w:w="10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1,232,408,455</w:t>
            </w:r>
          </w:p>
        </w:tc>
        <w:tc>
          <w:tcPr>
            <w:tcW w:w="240" w:type="dxa"/>
            <w:vAlign w:val="bottom"/>
            <w:tcBorders>
              <w:bottom w:val="single" w:sz="8" w:color="CCECFF"/>
            </w:tcBorders>
          </w:tcPr>
          <w:p>
            <w:pPr>
              <w:spacing w:after="0"/>
              <w:rPr>
                <w:sz w:val="17"/>
                <w:szCs w:val="17"/>
                <w:color w:val="auto"/>
              </w:rPr>
            </w:pPr>
          </w:p>
        </w:tc>
        <w:tc>
          <w:tcPr>
            <w:tcW w:w="220" w:type="dxa"/>
            <w:vAlign w:val="bottom"/>
            <w:tcBorders>
              <w:bottom w:val="single" w:sz="8" w:color="auto"/>
            </w:tcBorders>
          </w:tcPr>
          <w:p>
            <w:pPr>
              <w:jc w:val="right"/>
              <w:ind w:right="109"/>
              <w:spacing w:after="0"/>
              <w:rPr>
                <w:sz w:val="20"/>
                <w:szCs w:val="20"/>
                <w:color w:val="auto"/>
              </w:rPr>
            </w:pPr>
            <w:r>
              <w:rPr>
                <w:rFonts w:ascii="Arial" w:cs="Arial" w:eastAsia="Arial" w:hAnsi="Arial"/>
                <w:sz w:val="10"/>
                <w:szCs w:val="10"/>
                <w:color w:val="auto"/>
                <w:w w:val="71"/>
              </w:rPr>
              <w:t>$</w:t>
            </w:r>
          </w:p>
        </w:tc>
        <w:tc>
          <w:tcPr>
            <w:tcW w:w="10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56,292,541</w:t>
            </w:r>
          </w:p>
        </w:tc>
        <w:tc>
          <w:tcPr>
            <w:tcW w:w="240" w:type="dxa"/>
            <w:vAlign w:val="bottom"/>
            <w:tcBorders>
              <w:bottom w:val="single" w:sz="8" w:color="CCECFF"/>
            </w:tcBorders>
          </w:tcPr>
          <w:p>
            <w:pPr>
              <w:spacing w:after="0"/>
              <w:rPr>
                <w:sz w:val="17"/>
                <w:szCs w:val="17"/>
                <w:color w:val="auto"/>
              </w:rPr>
            </w:pPr>
          </w:p>
        </w:tc>
        <w:tc>
          <w:tcPr>
            <w:tcW w:w="240" w:type="dxa"/>
            <w:vAlign w:val="bottom"/>
            <w:tcBorders>
              <w:bottom w:val="single" w:sz="8" w:color="auto"/>
            </w:tcBorders>
          </w:tcPr>
          <w:p>
            <w:pPr>
              <w:jc w:val="right"/>
              <w:ind w:right="88"/>
              <w:spacing w:after="0" w:line="155" w:lineRule="exact"/>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auto"/>
            </w:tcBorders>
          </w:tcPr>
          <w:p>
            <w:pPr>
              <w:ind w:left="840"/>
              <w:spacing w:after="0" w:line="155" w:lineRule="exact"/>
              <w:rPr>
                <w:sz w:val="20"/>
                <w:szCs w:val="20"/>
                <w:color w:val="auto"/>
              </w:rPr>
            </w:pPr>
            <w:r>
              <w:rPr>
                <w:rFonts w:ascii="Arial" w:cs="Arial" w:eastAsia="Arial" w:hAnsi="Arial"/>
                <w:sz w:val="14"/>
                <w:szCs w:val="14"/>
                <w:color w:val="auto"/>
                <w:w w:val="99"/>
              </w:rPr>
              <w:t>—</w:t>
            </w:r>
          </w:p>
        </w:tc>
        <w:tc>
          <w:tcPr>
            <w:tcW w:w="240" w:type="dxa"/>
            <w:vAlign w:val="bottom"/>
            <w:tcBorders>
              <w:bottom w:val="single" w:sz="8" w:color="CCECFF"/>
            </w:tcBorders>
          </w:tcPr>
          <w:p>
            <w:pPr>
              <w:spacing w:after="0"/>
              <w:rPr>
                <w:sz w:val="17"/>
                <w:szCs w:val="17"/>
                <w:color w:val="auto"/>
              </w:rPr>
            </w:pPr>
          </w:p>
        </w:tc>
        <w:tc>
          <w:tcPr>
            <w:tcW w:w="280" w:type="dxa"/>
            <w:vAlign w:val="bottom"/>
            <w:tcBorders>
              <w:bottom w:val="single" w:sz="8" w:color="auto"/>
            </w:tcBorders>
          </w:tcPr>
          <w:p>
            <w:pPr>
              <w:jc w:val="right"/>
              <w:ind w:right="128"/>
              <w:spacing w:after="0" w:line="155" w:lineRule="exact"/>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1,126,388,066</w:t>
            </w:r>
          </w:p>
        </w:tc>
        <w:tc>
          <w:tcPr>
            <w:tcW w:w="240" w:type="dxa"/>
            <w:vAlign w:val="bottom"/>
            <w:tcBorders>
              <w:bottom w:val="single" w:sz="8" w:color="CCECFF"/>
            </w:tcBorders>
          </w:tcPr>
          <w:p>
            <w:pPr>
              <w:spacing w:after="0"/>
              <w:rPr>
                <w:sz w:val="17"/>
                <w:szCs w:val="17"/>
                <w:color w:val="auto"/>
              </w:rPr>
            </w:pPr>
          </w:p>
        </w:tc>
        <w:tc>
          <w:tcPr>
            <w:tcW w:w="1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11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49,727,848</w:t>
            </w:r>
          </w:p>
        </w:tc>
        <w:tc>
          <w:tcPr>
            <w:tcW w:w="100" w:type="dxa"/>
            <w:vAlign w:val="bottom"/>
            <w:tcBorders>
              <w:bottom w:val="single" w:sz="8" w:color="CCECFF"/>
            </w:tcBorders>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3780" w:type="dxa"/>
            <w:vAlign w:val="bottom"/>
            <w:shd w:val="clear" w:color="auto" w:fill="CCECFF"/>
          </w:tcPr>
          <w:p>
            <w:pPr>
              <w:spacing w:after="0" w:line="143" w:lineRule="exact"/>
              <w:rPr>
                <w:sz w:val="20"/>
                <w:szCs w:val="20"/>
                <w:color w:val="auto"/>
              </w:rPr>
            </w:pPr>
            <w:r>
              <w:rPr>
                <w:rFonts w:ascii="Arial" w:cs="Arial" w:eastAsia="Arial" w:hAnsi="Arial"/>
                <w:sz w:val="14"/>
                <w:szCs w:val="14"/>
                <w:color w:val="auto"/>
              </w:rPr>
              <w:t>Long-Term Credit Facility</w:t>
            </w:r>
          </w:p>
        </w:tc>
        <w:tc>
          <w:tcPr>
            <w:tcW w:w="120" w:type="dxa"/>
            <w:vAlign w:val="bottom"/>
            <w:shd w:val="clear" w:color="auto" w:fill="CCECFF"/>
          </w:tcPr>
          <w:p>
            <w:pPr>
              <w:spacing w:after="0"/>
              <w:rPr>
                <w:sz w:val="12"/>
                <w:szCs w:val="12"/>
                <w:color w:val="auto"/>
              </w:rPr>
            </w:pPr>
          </w:p>
        </w:tc>
        <w:tc>
          <w:tcPr>
            <w:tcW w:w="200" w:type="dxa"/>
            <w:vAlign w:val="bottom"/>
            <w:shd w:val="clear" w:color="auto" w:fill="CCECFF"/>
          </w:tcPr>
          <w:p>
            <w:pPr>
              <w:jc w:val="right"/>
              <w:ind w:right="48"/>
              <w:spacing w:after="0" w:line="143" w:lineRule="exact"/>
              <w:rPr>
                <w:sz w:val="20"/>
                <w:szCs w:val="20"/>
                <w:color w:val="auto"/>
              </w:rPr>
            </w:pPr>
            <w:r>
              <w:rPr>
                <w:rFonts w:ascii="Arial" w:cs="Arial" w:eastAsia="Arial" w:hAnsi="Arial"/>
                <w:sz w:val="14"/>
                <w:szCs w:val="14"/>
                <w:color w:val="auto"/>
                <w:w w:val="76"/>
              </w:rPr>
              <w:t>$</w:t>
            </w:r>
          </w:p>
        </w:tc>
        <w:tc>
          <w:tcPr>
            <w:tcW w:w="1060" w:type="dxa"/>
            <w:vAlign w:val="bottom"/>
            <w:shd w:val="clear" w:color="auto" w:fill="CCECFF"/>
          </w:tcPr>
          <w:p>
            <w:pPr>
              <w:jc w:val="right"/>
              <w:spacing w:after="0" w:line="143" w:lineRule="exact"/>
              <w:rPr>
                <w:sz w:val="20"/>
                <w:szCs w:val="20"/>
                <w:color w:val="auto"/>
              </w:rPr>
            </w:pPr>
            <w:r>
              <w:rPr>
                <w:rFonts w:ascii="Arial" w:cs="Arial" w:eastAsia="Arial" w:hAnsi="Arial"/>
                <w:sz w:val="14"/>
                <w:szCs w:val="14"/>
                <w:color w:val="auto"/>
              </w:rPr>
              <w:t>334,040,510</w:t>
            </w:r>
          </w:p>
        </w:tc>
        <w:tc>
          <w:tcPr>
            <w:tcW w:w="240" w:type="dxa"/>
            <w:vAlign w:val="bottom"/>
            <w:shd w:val="clear" w:color="auto" w:fill="CCECFF"/>
          </w:tcPr>
          <w:p>
            <w:pPr>
              <w:spacing w:after="0"/>
              <w:rPr>
                <w:sz w:val="12"/>
                <w:szCs w:val="12"/>
                <w:color w:val="auto"/>
              </w:rPr>
            </w:pPr>
          </w:p>
        </w:tc>
        <w:tc>
          <w:tcPr>
            <w:tcW w:w="220" w:type="dxa"/>
            <w:vAlign w:val="bottom"/>
            <w:shd w:val="clear" w:color="auto" w:fill="CCECFF"/>
          </w:tcPr>
          <w:p>
            <w:pPr>
              <w:jc w:val="right"/>
              <w:ind w:right="109"/>
              <w:spacing w:after="0"/>
              <w:rPr>
                <w:sz w:val="20"/>
                <w:szCs w:val="20"/>
                <w:color w:val="auto"/>
              </w:rPr>
            </w:pPr>
            <w:r>
              <w:rPr>
                <w:rFonts w:ascii="Arial" w:cs="Arial" w:eastAsia="Arial" w:hAnsi="Arial"/>
                <w:sz w:val="10"/>
                <w:szCs w:val="10"/>
                <w:color w:val="auto"/>
                <w:w w:val="71"/>
              </w:rPr>
              <w:t>$</w:t>
            </w:r>
          </w:p>
        </w:tc>
        <w:tc>
          <w:tcPr>
            <w:tcW w:w="1020" w:type="dxa"/>
            <w:vAlign w:val="bottom"/>
            <w:shd w:val="clear" w:color="auto" w:fill="CCECFF"/>
          </w:tcPr>
          <w:p>
            <w:pPr>
              <w:jc w:val="right"/>
              <w:spacing w:after="0" w:line="143" w:lineRule="exact"/>
              <w:rPr>
                <w:sz w:val="20"/>
                <w:szCs w:val="20"/>
                <w:color w:val="auto"/>
              </w:rPr>
            </w:pPr>
            <w:r>
              <w:rPr>
                <w:rFonts w:ascii="Arial" w:cs="Arial" w:eastAsia="Arial" w:hAnsi="Arial"/>
                <w:sz w:val="14"/>
                <w:szCs w:val="14"/>
                <w:color w:val="auto"/>
              </w:rPr>
              <w:t>—</w:t>
            </w:r>
          </w:p>
        </w:tc>
        <w:tc>
          <w:tcPr>
            <w:tcW w:w="240" w:type="dxa"/>
            <w:vAlign w:val="bottom"/>
            <w:shd w:val="clear" w:color="auto" w:fill="CCECFF"/>
          </w:tcPr>
          <w:p>
            <w:pPr>
              <w:spacing w:after="0"/>
              <w:rPr>
                <w:sz w:val="12"/>
                <w:szCs w:val="12"/>
                <w:color w:val="auto"/>
              </w:rPr>
            </w:pPr>
          </w:p>
        </w:tc>
        <w:tc>
          <w:tcPr>
            <w:tcW w:w="240" w:type="dxa"/>
            <w:vAlign w:val="bottom"/>
            <w:shd w:val="clear" w:color="auto" w:fill="CCECFF"/>
          </w:tcPr>
          <w:p>
            <w:pPr>
              <w:jc w:val="right"/>
              <w:ind w:right="88"/>
              <w:spacing w:after="0" w:line="143" w:lineRule="exact"/>
              <w:rPr>
                <w:sz w:val="20"/>
                <w:szCs w:val="20"/>
                <w:color w:val="auto"/>
              </w:rPr>
            </w:pPr>
            <w:r>
              <w:rPr>
                <w:rFonts w:ascii="Arial" w:cs="Arial" w:eastAsia="Arial" w:hAnsi="Arial"/>
                <w:sz w:val="14"/>
                <w:szCs w:val="14"/>
                <w:color w:val="auto"/>
                <w:w w:val="76"/>
              </w:rPr>
              <w:t>$</w:t>
            </w:r>
          </w:p>
        </w:tc>
        <w:tc>
          <w:tcPr>
            <w:tcW w:w="1000" w:type="dxa"/>
            <w:vAlign w:val="bottom"/>
            <w:shd w:val="clear" w:color="auto" w:fill="CCECFF"/>
          </w:tcPr>
          <w:p>
            <w:pPr>
              <w:ind w:left="840"/>
              <w:spacing w:after="0" w:line="143" w:lineRule="exact"/>
              <w:rPr>
                <w:sz w:val="20"/>
                <w:szCs w:val="20"/>
                <w:color w:val="auto"/>
              </w:rPr>
            </w:pPr>
            <w:r>
              <w:rPr>
                <w:rFonts w:ascii="Arial" w:cs="Arial" w:eastAsia="Arial" w:hAnsi="Arial"/>
                <w:sz w:val="14"/>
                <w:szCs w:val="14"/>
                <w:color w:val="auto"/>
                <w:w w:val="99"/>
              </w:rPr>
              <w:t>—</w:t>
            </w:r>
          </w:p>
        </w:tc>
        <w:tc>
          <w:tcPr>
            <w:tcW w:w="240" w:type="dxa"/>
            <w:vAlign w:val="bottom"/>
            <w:shd w:val="clear" w:color="auto" w:fill="CCECFF"/>
          </w:tcPr>
          <w:p>
            <w:pPr>
              <w:spacing w:after="0"/>
              <w:rPr>
                <w:sz w:val="12"/>
                <w:szCs w:val="12"/>
                <w:color w:val="auto"/>
              </w:rPr>
            </w:pPr>
          </w:p>
        </w:tc>
        <w:tc>
          <w:tcPr>
            <w:tcW w:w="280" w:type="dxa"/>
            <w:vAlign w:val="bottom"/>
            <w:shd w:val="clear" w:color="auto" w:fill="CCECFF"/>
          </w:tcPr>
          <w:p>
            <w:pPr>
              <w:jc w:val="right"/>
              <w:ind w:right="128"/>
              <w:spacing w:after="0" w:line="143" w:lineRule="exact"/>
              <w:rPr>
                <w:sz w:val="20"/>
                <w:szCs w:val="20"/>
                <w:color w:val="auto"/>
              </w:rPr>
            </w:pPr>
            <w:r>
              <w:rPr>
                <w:rFonts w:ascii="Arial" w:cs="Arial" w:eastAsia="Arial" w:hAnsi="Arial"/>
                <w:sz w:val="14"/>
                <w:szCs w:val="14"/>
                <w:color w:val="auto"/>
                <w:w w:val="76"/>
              </w:rPr>
              <w:t>$</w:t>
            </w:r>
          </w:p>
        </w:tc>
        <w:tc>
          <w:tcPr>
            <w:tcW w:w="980" w:type="dxa"/>
            <w:vAlign w:val="bottom"/>
            <w:shd w:val="clear" w:color="auto" w:fill="CCECFF"/>
          </w:tcPr>
          <w:p>
            <w:pPr>
              <w:jc w:val="right"/>
              <w:spacing w:after="0" w:line="143" w:lineRule="exact"/>
              <w:rPr>
                <w:sz w:val="20"/>
                <w:szCs w:val="20"/>
                <w:color w:val="auto"/>
              </w:rPr>
            </w:pPr>
            <w:r>
              <w:rPr>
                <w:rFonts w:ascii="Arial" w:cs="Arial" w:eastAsia="Arial" w:hAnsi="Arial"/>
                <w:sz w:val="14"/>
                <w:szCs w:val="14"/>
                <w:color w:val="auto"/>
              </w:rPr>
              <w:t>334,040,510</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jc w:val="right"/>
              <w:spacing w:after="0" w:line="143" w:lineRule="exact"/>
              <w:rPr>
                <w:sz w:val="20"/>
                <w:szCs w:val="20"/>
                <w:color w:val="auto"/>
              </w:rPr>
            </w:pPr>
            <w:r>
              <w:rPr>
                <w:rFonts w:ascii="Arial" w:cs="Arial" w:eastAsia="Arial" w:hAnsi="Arial"/>
                <w:sz w:val="14"/>
                <w:szCs w:val="14"/>
                <w:color w:val="auto"/>
                <w:w w:val="76"/>
              </w:rPr>
              <w:t>$</w:t>
            </w:r>
          </w:p>
        </w:tc>
        <w:tc>
          <w:tcPr>
            <w:tcW w:w="1180" w:type="dxa"/>
            <w:vAlign w:val="bottom"/>
            <w:shd w:val="clear" w:color="auto" w:fill="CCECFF"/>
          </w:tcPr>
          <w:p>
            <w:pPr>
              <w:jc w:val="right"/>
              <w:spacing w:after="0" w:line="143" w:lineRule="exact"/>
              <w:rPr>
                <w:sz w:val="20"/>
                <w:szCs w:val="20"/>
                <w:color w:val="auto"/>
              </w:rPr>
            </w:pPr>
            <w:r>
              <w:rPr>
                <w:rFonts w:ascii="Arial" w:cs="Arial" w:eastAsia="Arial" w:hAnsi="Arial"/>
                <w:sz w:val="14"/>
                <w:szCs w:val="14"/>
                <w:color w:val="auto"/>
              </w:rPr>
              <w:t>—</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780" w:type="dxa"/>
            <w:vAlign w:val="bottom"/>
          </w:tcPr>
          <w:p>
            <w:pPr>
              <w:spacing w:after="0"/>
              <w:rPr>
                <w:sz w:val="20"/>
                <w:szCs w:val="20"/>
                <w:color w:val="auto"/>
              </w:rPr>
            </w:pPr>
            <w:r>
              <w:rPr>
                <w:rFonts w:ascii="Arial" w:cs="Arial" w:eastAsia="Arial" w:hAnsi="Arial"/>
                <w:sz w:val="14"/>
                <w:szCs w:val="14"/>
                <w:color w:val="auto"/>
              </w:rPr>
              <w:t>2023 Notes</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133,826,569</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133,826,569</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tcPr>
          <w:p>
            <w:pPr>
              <w:ind w:left="840"/>
              <w:spacing w:after="0"/>
              <w:rPr>
                <w:sz w:val="20"/>
                <w:szCs w:val="20"/>
                <w:color w:val="auto"/>
              </w:rPr>
            </w:pPr>
            <w:r>
              <w:rPr>
                <w:rFonts w:ascii="Arial" w:cs="Arial" w:eastAsia="Arial" w:hAnsi="Arial"/>
                <w:sz w:val="14"/>
                <w:szCs w:val="14"/>
                <w:color w:val="auto"/>
                <w:w w:val="99"/>
              </w:rPr>
              <w:t>—</w:t>
            </w: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3780" w:type="dxa"/>
            <w:vAlign w:val="bottom"/>
            <w:shd w:val="clear" w:color="auto" w:fill="CCECFF"/>
          </w:tcPr>
          <w:p>
            <w:pPr>
              <w:spacing w:after="0"/>
              <w:rPr>
                <w:sz w:val="20"/>
                <w:szCs w:val="20"/>
                <w:color w:val="auto"/>
              </w:rPr>
            </w:pPr>
            <w:r>
              <w:rPr>
                <w:rFonts w:ascii="Arial" w:cs="Arial" w:eastAsia="Arial" w:hAnsi="Arial"/>
                <w:sz w:val="14"/>
                <w:szCs w:val="14"/>
                <w:color w:val="auto"/>
              </w:rPr>
              <w:t xml:space="preserve">2031 Asset-Backed Debt </w:t>
            </w:r>
            <w:r>
              <w:rPr>
                <w:rFonts w:ascii="Arial" w:cs="Arial" w:eastAsia="Arial" w:hAnsi="Arial"/>
                <w:sz w:val="12"/>
                <w:szCs w:val="12"/>
                <w:color w:val="auto"/>
              </w:rPr>
              <w:t>(2)</w:t>
            </w:r>
          </w:p>
        </w:tc>
        <w:tc>
          <w:tcPr>
            <w:tcW w:w="120" w:type="dxa"/>
            <w:vAlign w:val="bottom"/>
            <w:shd w:val="clear" w:color="auto" w:fill="CCECFF"/>
          </w:tcPr>
          <w:p>
            <w:pPr>
              <w:spacing w:after="0"/>
              <w:rPr>
                <w:sz w:val="14"/>
                <w:szCs w:val="14"/>
                <w:color w:val="auto"/>
              </w:rPr>
            </w:pPr>
          </w:p>
        </w:tc>
        <w:tc>
          <w:tcPr>
            <w:tcW w:w="200" w:type="dxa"/>
            <w:vAlign w:val="bottom"/>
            <w:shd w:val="clear" w:color="auto" w:fill="CCECFF"/>
          </w:tcPr>
          <w:p>
            <w:pPr>
              <w:spacing w:after="0"/>
              <w:rPr>
                <w:sz w:val="14"/>
                <w:szCs w:val="14"/>
                <w:color w:val="auto"/>
              </w:rPr>
            </w:pPr>
          </w:p>
        </w:tc>
        <w:tc>
          <w:tcPr>
            <w:tcW w:w="10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224,393,947</w:t>
            </w:r>
          </w:p>
        </w:tc>
        <w:tc>
          <w:tcPr>
            <w:tcW w:w="24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10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1000" w:type="dxa"/>
            <w:vAlign w:val="bottom"/>
            <w:shd w:val="clear" w:color="auto" w:fill="CCECFF"/>
          </w:tcPr>
          <w:p>
            <w:pPr>
              <w:ind w:left="840"/>
              <w:spacing w:after="0"/>
              <w:rPr>
                <w:sz w:val="20"/>
                <w:szCs w:val="20"/>
                <w:color w:val="auto"/>
              </w:rPr>
            </w:pPr>
            <w:r>
              <w:rPr>
                <w:rFonts w:ascii="Arial" w:cs="Arial" w:eastAsia="Arial" w:hAnsi="Arial"/>
                <w:sz w:val="14"/>
                <w:szCs w:val="14"/>
                <w:color w:val="auto"/>
                <w:w w:val="99"/>
              </w:rPr>
              <w:t>—</w:t>
            </w:r>
          </w:p>
        </w:tc>
        <w:tc>
          <w:tcPr>
            <w:tcW w:w="240" w:type="dxa"/>
            <w:vAlign w:val="bottom"/>
            <w:shd w:val="clear" w:color="auto" w:fill="CCECFF"/>
          </w:tcPr>
          <w:p>
            <w:pPr>
              <w:spacing w:after="0"/>
              <w:rPr>
                <w:sz w:val="14"/>
                <w:szCs w:val="14"/>
                <w:color w:val="auto"/>
              </w:rPr>
            </w:pPr>
          </w:p>
        </w:tc>
        <w:tc>
          <w:tcPr>
            <w:tcW w:w="280" w:type="dxa"/>
            <w:vAlign w:val="bottom"/>
            <w:shd w:val="clear" w:color="auto" w:fill="CCECFF"/>
          </w:tcPr>
          <w:p>
            <w:pPr>
              <w:spacing w:after="0"/>
              <w:rPr>
                <w:sz w:val="14"/>
                <w:szCs w:val="14"/>
                <w:color w:val="auto"/>
              </w:rPr>
            </w:pPr>
          </w:p>
        </w:tc>
        <w:tc>
          <w:tcPr>
            <w:tcW w:w="9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224,393,947</w:t>
            </w:r>
          </w:p>
        </w:tc>
        <w:tc>
          <w:tcPr>
            <w:tcW w:w="24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1280" w:type="dxa"/>
            <w:vAlign w:val="bottom"/>
            <w:gridSpan w:val="2"/>
            <w:shd w:val="clear" w:color="auto" w:fill="CCECFF"/>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6"/>
        </w:trPr>
        <w:tc>
          <w:tcPr>
            <w:tcW w:w="3780" w:type="dxa"/>
            <w:vAlign w:val="bottom"/>
          </w:tcPr>
          <w:p>
            <w:pPr>
              <w:spacing w:after="0" w:line="155" w:lineRule="exact"/>
              <w:rPr>
                <w:sz w:val="20"/>
                <w:szCs w:val="20"/>
                <w:color w:val="auto"/>
              </w:rPr>
            </w:pPr>
            <w:r>
              <w:rPr>
                <w:rFonts w:ascii="Arial" w:cs="Arial" w:eastAsia="Arial" w:hAnsi="Arial"/>
                <w:sz w:val="14"/>
                <w:szCs w:val="14"/>
                <w:color w:val="auto"/>
              </w:rPr>
              <w:t>Total debt</w:t>
            </w:r>
          </w:p>
        </w:tc>
        <w:tc>
          <w:tcPr>
            <w:tcW w:w="120" w:type="dxa"/>
            <w:vAlign w:val="bottom"/>
          </w:tcPr>
          <w:p>
            <w:pPr>
              <w:spacing w:after="0"/>
              <w:rPr>
                <w:sz w:val="13"/>
                <w:szCs w:val="13"/>
                <w:color w:val="auto"/>
              </w:rPr>
            </w:pPr>
          </w:p>
        </w:tc>
        <w:tc>
          <w:tcPr>
            <w:tcW w:w="200" w:type="dxa"/>
            <w:vAlign w:val="bottom"/>
            <w:tcBorders>
              <w:top w:val="single" w:sz="8" w:color="auto"/>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w w:val="76"/>
              </w:rPr>
              <w:t>$</w:t>
            </w:r>
          </w:p>
        </w:tc>
        <w:tc>
          <w:tcPr>
            <w:tcW w:w="10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692,261,026</w:t>
            </w:r>
          </w:p>
        </w:tc>
        <w:tc>
          <w:tcPr>
            <w:tcW w:w="240" w:type="dxa"/>
            <w:vAlign w:val="bottom"/>
          </w:tcPr>
          <w:p>
            <w:pPr>
              <w:spacing w:after="0"/>
              <w:rPr>
                <w:sz w:val="13"/>
                <w:szCs w:val="13"/>
                <w:color w:val="auto"/>
              </w:rPr>
            </w:pPr>
          </w:p>
        </w:tc>
        <w:tc>
          <w:tcPr>
            <w:tcW w:w="220" w:type="dxa"/>
            <w:vAlign w:val="bottom"/>
            <w:tcBorders>
              <w:top w:val="single" w:sz="8" w:color="auto"/>
              <w:bottom w:val="single" w:sz="8" w:color="auto"/>
            </w:tcBorders>
          </w:tcPr>
          <w:p>
            <w:pPr>
              <w:jc w:val="right"/>
              <w:ind w:right="109"/>
              <w:spacing w:after="0"/>
              <w:rPr>
                <w:sz w:val="20"/>
                <w:szCs w:val="20"/>
                <w:color w:val="auto"/>
              </w:rPr>
            </w:pPr>
            <w:r>
              <w:rPr>
                <w:rFonts w:ascii="Arial" w:cs="Arial" w:eastAsia="Arial" w:hAnsi="Arial"/>
                <w:sz w:val="10"/>
                <w:szCs w:val="10"/>
                <w:color w:val="auto"/>
                <w:w w:val="71"/>
              </w:rPr>
              <w:t>$</w:t>
            </w:r>
          </w:p>
        </w:tc>
        <w:tc>
          <w:tcPr>
            <w:tcW w:w="10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133,826,569</w:t>
            </w:r>
          </w:p>
        </w:tc>
        <w:tc>
          <w:tcPr>
            <w:tcW w:w="240" w:type="dxa"/>
            <w:vAlign w:val="bottom"/>
          </w:tcPr>
          <w:p>
            <w:pPr>
              <w:spacing w:after="0"/>
              <w:rPr>
                <w:sz w:val="13"/>
                <w:szCs w:val="13"/>
                <w:color w:val="auto"/>
              </w:rPr>
            </w:pPr>
          </w:p>
        </w:tc>
        <w:tc>
          <w:tcPr>
            <w:tcW w:w="240" w:type="dxa"/>
            <w:vAlign w:val="bottom"/>
            <w:tcBorders>
              <w:top w:val="single" w:sz="8" w:color="auto"/>
              <w:bottom w:val="single" w:sz="8" w:color="auto"/>
            </w:tcBorders>
          </w:tcPr>
          <w:p>
            <w:pPr>
              <w:jc w:val="right"/>
              <w:ind w:right="88"/>
              <w:spacing w:after="0" w:line="155" w:lineRule="exact"/>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bottom w:val="single" w:sz="8" w:color="auto"/>
            </w:tcBorders>
          </w:tcPr>
          <w:p>
            <w:pPr>
              <w:ind w:left="840"/>
              <w:spacing w:after="0" w:line="155" w:lineRule="exact"/>
              <w:rPr>
                <w:sz w:val="20"/>
                <w:szCs w:val="20"/>
                <w:color w:val="auto"/>
              </w:rPr>
            </w:pPr>
            <w:r>
              <w:rPr>
                <w:rFonts w:ascii="Arial" w:cs="Arial" w:eastAsia="Arial" w:hAnsi="Arial"/>
                <w:sz w:val="14"/>
                <w:szCs w:val="14"/>
                <w:color w:val="auto"/>
                <w:w w:val="99"/>
              </w:rPr>
              <w:t>—</w:t>
            </w:r>
          </w:p>
        </w:tc>
        <w:tc>
          <w:tcPr>
            <w:tcW w:w="240" w:type="dxa"/>
            <w:vAlign w:val="bottom"/>
          </w:tcPr>
          <w:p>
            <w:pPr>
              <w:spacing w:after="0"/>
              <w:rPr>
                <w:sz w:val="13"/>
                <w:szCs w:val="13"/>
                <w:color w:val="auto"/>
              </w:rPr>
            </w:pPr>
          </w:p>
        </w:tc>
        <w:tc>
          <w:tcPr>
            <w:tcW w:w="280" w:type="dxa"/>
            <w:vAlign w:val="bottom"/>
            <w:tcBorders>
              <w:top w:val="single" w:sz="8" w:color="auto"/>
              <w:bottom w:val="single" w:sz="8" w:color="auto"/>
            </w:tcBorders>
          </w:tcPr>
          <w:p>
            <w:pPr>
              <w:jc w:val="right"/>
              <w:ind w:right="128"/>
              <w:spacing w:after="0" w:line="155" w:lineRule="exact"/>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558,434,457</w:t>
            </w:r>
          </w:p>
        </w:tc>
        <w:tc>
          <w:tcPr>
            <w:tcW w:w="24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11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185991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859915" cy="8890"/>
                    </a:xfrm>
                    <a:prstGeom prst="rect">
                      <a:avLst/>
                    </a:prstGeom>
                    <a:noFill/>
                  </pic:spPr>
                </pic:pic>
              </a:graphicData>
            </a:graphic>
          </wp:anchor>
        </w:drawing>
      </w:r>
    </w:p>
    <w:p>
      <w:pPr>
        <w:spacing w:after="0" w:line="150" w:lineRule="exact"/>
        <w:rPr>
          <w:sz w:val="20"/>
          <w:szCs w:val="20"/>
          <w:color w:val="auto"/>
        </w:rPr>
      </w:pPr>
    </w:p>
    <w:p>
      <w:pPr>
        <w:ind w:left="380" w:right="120" w:hanging="372"/>
        <w:spacing w:after="0" w:line="251" w:lineRule="auto"/>
        <w:tabs>
          <w:tab w:leader="none" w:pos="380" w:val="left"/>
        </w:tabs>
        <w:numPr>
          <w:ilvl w:val="0"/>
          <w:numId w:val="12"/>
        </w:numPr>
        <w:rPr>
          <w:rFonts w:ascii="Arial" w:cs="Arial" w:eastAsia="Arial" w:hAnsi="Arial"/>
          <w:sz w:val="12"/>
          <w:szCs w:val="12"/>
          <w:color w:val="auto"/>
        </w:rPr>
      </w:pPr>
      <w:r>
        <w:rPr>
          <w:rFonts w:ascii="Arial" w:cs="Arial" w:eastAsia="Arial" w:hAnsi="Arial"/>
          <w:sz w:val="14"/>
          <w:szCs w:val="14"/>
          <w:color w:val="auto"/>
        </w:rPr>
        <w:t>In accordance with ASC Subtopic 820-10, Fair Value Measurements and Disclosures, or ASC 820-10, our equity investment in PSSL is measured using the net asset value per share (or its equivalent) as a practical expedient for fair value, have not been classified in the fair value hierarchy.</w:t>
      </w:r>
    </w:p>
    <w:p>
      <w:pPr>
        <w:ind w:left="380" w:right="300" w:hanging="372"/>
        <w:spacing w:after="0" w:line="253" w:lineRule="auto"/>
        <w:tabs>
          <w:tab w:leader="none" w:pos="380" w:val="left"/>
        </w:tabs>
        <w:numPr>
          <w:ilvl w:val="0"/>
          <w:numId w:val="12"/>
        </w:numPr>
        <w:rPr>
          <w:rFonts w:ascii="Arial" w:cs="Arial" w:eastAsia="Arial" w:hAnsi="Arial"/>
          <w:sz w:val="12"/>
          <w:szCs w:val="12"/>
          <w:color w:val="auto"/>
        </w:rPr>
      </w:pPr>
      <w:r>
        <w:rPr>
          <w:rFonts w:ascii="Arial" w:cs="Arial" w:eastAsia="Arial" w:hAnsi="Arial"/>
          <w:sz w:val="14"/>
          <w:szCs w:val="14"/>
          <w:color w:val="auto"/>
        </w:rPr>
        <w:t>We elected not to apply ASC 825-10 to the 2031 Asset-Backed Debt and thus the balance reported in the Consolidated Statement of Assets and Liabilities represents the carrying value, which approximates the fair value.</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3020" w:type="dxa"/>
            <w:vAlign w:val="bottom"/>
            <w:tcBorders>
              <w:bottom w:val="single" w:sz="8" w:color="auto"/>
            </w:tcBorders>
            <w:gridSpan w:val="6"/>
          </w:tcPr>
          <w:p>
            <w:pPr>
              <w:jc w:val="right"/>
              <w:ind w:right="28"/>
              <w:spacing w:after="0"/>
              <w:rPr>
                <w:sz w:val="20"/>
                <w:szCs w:val="20"/>
                <w:color w:val="auto"/>
              </w:rPr>
            </w:pPr>
            <w:r>
              <w:rPr>
                <w:rFonts w:ascii="Arial" w:cs="Arial" w:eastAsia="Arial" w:hAnsi="Arial"/>
                <w:sz w:val="14"/>
                <w:szCs w:val="14"/>
                <w:b w:val="1"/>
                <w:bCs w:val="1"/>
                <w:color w:val="auto"/>
              </w:rPr>
              <w:t>Fair Value at September 30, 2019</w:t>
            </w:r>
          </w:p>
        </w:tc>
        <w:tc>
          <w:tcPr>
            <w:tcW w:w="9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3780" w:type="dxa"/>
            <w:vAlign w:val="bottom"/>
            <w:vMerge w:val="restart"/>
          </w:tcPr>
          <w:p>
            <w:pPr>
              <w:spacing w:after="0"/>
              <w:rPr>
                <w:sz w:val="20"/>
                <w:szCs w:val="20"/>
                <w:color w:val="auto"/>
              </w:rPr>
            </w:pPr>
            <w:r>
              <w:rPr>
                <w:rFonts w:ascii="Arial" w:cs="Arial" w:eastAsia="Arial" w:hAnsi="Arial"/>
                <w:sz w:val="14"/>
                <w:szCs w:val="14"/>
                <w:b w:val="1"/>
                <w:bCs w:val="1"/>
                <w:color w:val="auto"/>
              </w:rPr>
              <w:t>Description</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60" w:type="dxa"/>
            <w:vAlign w:val="bottom"/>
            <w:vMerge w:val="restart"/>
          </w:tcPr>
          <w:p>
            <w:pPr>
              <w:jc w:val="right"/>
              <w:ind w:right="248"/>
              <w:spacing w:after="0"/>
              <w:rPr>
                <w:sz w:val="20"/>
                <w:szCs w:val="20"/>
                <w:color w:val="auto"/>
              </w:rPr>
            </w:pPr>
            <w:r>
              <w:rPr>
                <w:rFonts w:ascii="Arial" w:cs="Arial" w:eastAsia="Arial" w:hAnsi="Arial"/>
                <w:sz w:val="14"/>
                <w:szCs w:val="14"/>
                <w:b w:val="1"/>
                <w:bCs w:val="1"/>
                <w:color w:val="auto"/>
              </w:rPr>
              <w:t>Fair Value</w:t>
            </w: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vMerge w:val="restart"/>
          </w:tcPr>
          <w:p>
            <w:pPr>
              <w:jc w:val="right"/>
              <w:ind w:right="328"/>
              <w:spacing w:after="0"/>
              <w:rPr>
                <w:sz w:val="20"/>
                <w:szCs w:val="20"/>
                <w:color w:val="auto"/>
              </w:rPr>
            </w:pPr>
            <w:r>
              <w:rPr>
                <w:rFonts w:ascii="Arial" w:cs="Arial" w:eastAsia="Arial" w:hAnsi="Arial"/>
                <w:sz w:val="14"/>
                <w:szCs w:val="14"/>
                <w:b w:val="1"/>
                <w:bCs w:val="1"/>
                <w:color w:val="auto"/>
              </w:rPr>
              <w:t>Level 1</w:t>
            </w: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0" w:type="dxa"/>
            <w:vAlign w:val="bottom"/>
            <w:vMerge w:val="restart"/>
          </w:tcPr>
          <w:p>
            <w:pPr>
              <w:ind w:left="160"/>
              <w:spacing w:after="0"/>
              <w:rPr>
                <w:sz w:val="20"/>
                <w:szCs w:val="20"/>
                <w:color w:val="auto"/>
              </w:rPr>
            </w:pPr>
            <w:r>
              <w:rPr>
                <w:rFonts w:ascii="Arial" w:cs="Arial" w:eastAsia="Arial" w:hAnsi="Arial"/>
                <w:sz w:val="14"/>
                <w:szCs w:val="14"/>
                <w:b w:val="1"/>
                <w:bCs w:val="1"/>
                <w:color w:val="auto"/>
              </w:rPr>
              <w:t>Level 2</w:t>
            </w: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2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Level 3</w:t>
            </w:r>
          </w:p>
        </w:tc>
        <w:tc>
          <w:tcPr>
            <w:tcW w:w="100" w:type="dxa"/>
            <w:vAlign w:val="bottom"/>
          </w:tcPr>
          <w:p>
            <w:pPr>
              <w:spacing w:after="0"/>
              <w:rPr>
                <w:sz w:val="11"/>
                <w:szCs w:val="11"/>
                <w:color w:val="auto"/>
              </w:rPr>
            </w:pPr>
          </w:p>
        </w:tc>
        <w:tc>
          <w:tcPr>
            <w:tcW w:w="1180" w:type="dxa"/>
            <w:vAlign w:val="bottom"/>
          </w:tcPr>
          <w:p>
            <w:pPr>
              <w:jc w:val="center"/>
              <w:ind w:right="48"/>
              <w:spacing w:after="0" w:line="133" w:lineRule="exact"/>
              <w:rPr>
                <w:sz w:val="20"/>
                <w:szCs w:val="20"/>
                <w:color w:val="auto"/>
              </w:rPr>
            </w:pPr>
            <w:r>
              <w:rPr>
                <w:rFonts w:ascii="Arial" w:cs="Arial" w:eastAsia="Arial" w:hAnsi="Arial"/>
                <w:sz w:val="14"/>
                <w:szCs w:val="14"/>
                <w:b w:val="1"/>
                <w:bCs w:val="1"/>
                <w:color w:val="auto"/>
                <w:w w:val="94"/>
              </w:rPr>
              <w:t>Measured at Net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37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 xml:space="preserve">Asset Value </w:t>
            </w:r>
            <w:r>
              <w:rPr>
                <w:rFonts w:ascii="Arial" w:cs="Arial" w:eastAsia="Arial" w:hAnsi="Arial"/>
                <w:sz w:val="12"/>
                <w:szCs w:val="12"/>
                <w:b w:val="1"/>
                <w:bCs w:val="1"/>
                <w:color w:val="auto"/>
                <w:w w:val="91"/>
              </w:rPr>
              <w:t>(1)</w:t>
            </w:r>
          </w:p>
        </w:tc>
        <w:tc>
          <w:tcPr>
            <w:tcW w:w="0" w:type="dxa"/>
            <w:vAlign w:val="bottom"/>
          </w:tcPr>
          <w:p>
            <w:pPr>
              <w:spacing w:after="0"/>
              <w:rPr>
                <w:sz w:val="1"/>
                <w:szCs w:val="1"/>
                <w:color w:val="auto"/>
              </w:rPr>
            </w:pPr>
          </w:p>
        </w:tc>
      </w:tr>
      <w:tr>
        <w:trPr>
          <w:trHeight w:val="155"/>
        </w:trPr>
        <w:tc>
          <w:tcPr>
            <w:tcW w:w="3780" w:type="dxa"/>
            <w:vAlign w:val="bottom"/>
            <w:tcBorders>
              <w:top w:val="single" w:sz="8" w:color="auto"/>
            </w:tcBorders>
            <w:shd w:val="clear" w:color="auto" w:fill="CCECFF"/>
          </w:tcPr>
          <w:p>
            <w:pPr>
              <w:spacing w:after="0" w:line="155" w:lineRule="exact"/>
              <w:rPr>
                <w:sz w:val="20"/>
                <w:szCs w:val="20"/>
                <w:color w:val="auto"/>
              </w:rPr>
            </w:pPr>
            <w:r>
              <w:rPr>
                <w:rFonts w:ascii="Arial" w:cs="Arial" w:eastAsia="Arial" w:hAnsi="Arial"/>
                <w:sz w:val="14"/>
                <w:szCs w:val="14"/>
                <w:color w:val="auto"/>
              </w:rPr>
              <w:t>First lien</w:t>
            </w:r>
          </w:p>
        </w:tc>
        <w:tc>
          <w:tcPr>
            <w:tcW w:w="120" w:type="dxa"/>
            <w:vAlign w:val="bottom"/>
            <w:tcBorders>
              <w:top w:val="single" w:sz="8" w:color="CCECFF"/>
            </w:tcBorders>
            <w:shd w:val="clear" w:color="auto" w:fill="CCECFF"/>
          </w:tcPr>
          <w:p>
            <w:pPr>
              <w:spacing w:after="0"/>
              <w:rPr>
                <w:sz w:val="13"/>
                <w:szCs w:val="13"/>
                <w:color w:val="auto"/>
              </w:rPr>
            </w:pPr>
          </w:p>
        </w:tc>
        <w:tc>
          <w:tcPr>
            <w:tcW w:w="200" w:type="dxa"/>
            <w:vAlign w:val="bottom"/>
            <w:tcBorders>
              <w:top w:val="single" w:sz="8" w:color="auto"/>
            </w:tcBorders>
            <w:shd w:val="clear" w:color="auto" w:fill="CCECFF"/>
          </w:tcPr>
          <w:p>
            <w:pPr>
              <w:jc w:val="right"/>
              <w:ind w:right="48"/>
              <w:spacing w:after="0" w:line="155" w:lineRule="exact"/>
              <w:rPr>
                <w:sz w:val="20"/>
                <w:szCs w:val="20"/>
                <w:color w:val="auto"/>
              </w:rPr>
            </w:pPr>
            <w:r>
              <w:rPr>
                <w:rFonts w:ascii="Arial" w:cs="Arial" w:eastAsia="Arial" w:hAnsi="Arial"/>
                <w:sz w:val="14"/>
                <w:szCs w:val="14"/>
                <w:color w:val="auto"/>
                <w:w w:val="76"/>
              </w:rPr>
              <w:t>$</w:t>
            </w:r>
          </w:p>
        </w:tc>
        <w:tc>
          <w:tcPr>
            <w:tcW w:w="106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944,900,800</w:t>
            </w:r>
          </w:p>
        </w:tc>
        <w:tc>
          <w:tcPr>
            <w:tcW w:w="240" w:type="dxa"/>
            <w:vAlign w:val="bottom"/>
            <w:tcBorders>
              <w:top w:val="single" w:sz="8" w:color="CCECFF"/>
            </w:tcBorders>
            <w:shd w:val="clear" w:color="auto" w:fill="CCECFF"/>
          </w:tcPr>
          <w:p>
            <w:pPr>
              <w:spacing w:after="0"/>
              <w:rPr>
                <w:sz w:val="13"/>
                <w:szCs w:val="13"/>
                <w:color w:val="auto"/>
              </w:rPr>
            </w:pPr>
          </w:p>
        </w:tc>
        <w:tc>
          <w:tcPr>
            <w:tcW w:w="220" w:type="dxa"/>
            <w:vAlign w:val="bottom"/>
            <w:tcBorders>
              <w:top w:val="single" w:sz="8" w:color="auto"/>
            </w:tcBorders>
            <w:shd w:val="clear" w:color="auto" w:fill="CCECFF"/>
          </w:tcPr>
          <w:p>
            <w:pPr>
              <w:jc w:val="right"/>
              <w:ind w:right="109"/>
              <w:spacing w:after="0"/>
              <w:rPr>
                <w:sz w:val="20"/>
                <w:szCs w:val="20"/>
                <w:color w:val="auto"/>
              </w:rPr>
            </w:pPr>
            <w:r>
              <w:rPr>
                <w:rFonts w:ascii="Arial" w:cs="Arial" w:eastAsia="Arial" w:hAnsi="Arial"/>
                <w:sz w:val="10"/>
                <w:szCs w:val="10"/>
                <w:color w:val="auto"/>
                <w:w w:val="71"/>
              </w:rPr>
              <w:t>$</w:t>
            </w:r>
          </w:p>
        </w:tc>
        <w:tc>
          <w:tcPr>
            <w:tcW w:w="102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w:t>
            </w:r>
          </w:p>
        </w:tc>
        <w:tc>
          <w:tcPr>
            <w:tcW w:w="240" w:type="dxa"/>
            <w:vAlign w:val="bottom"/>
            <w:tcBorders>
              <w:top w:val="single" w:sz="8" w:color="CCECFF"/>
            </w:tcBorders>
            <w:shd w:val="clear" w:color="auto" w:fill="CCECFF"/>
          </w:tcPr>
          <w:p>
            <w:pPr>
              <w:spacing w:after="0"/>
              <w:rPr>
                <w:sz w:val="13"/>
                <w:szCs w:val="13"/>
                <w:color w:val="auto"/>
              </w:rPr>
            </w:pPr>
          </w:p>
        </w:tc>
        <w:tc>
          <w:tcPr>
            <w:tcW w:w="240" w:type="dxa"/>
            <w:vAlign w:val="bottom"/>
            <w:tcBorders>
              <w:top w:val="single" w:sz="8" w:color="auto"/>
            </w:tcBorders>
            <w:shd w:val="clear" w:color="auto" w:fill="CCECFF"/>
          </w:tcPr>
          <w:p>
            <w:pPr>
              <w:jc w:val="right"/>
              <w:ind w:right="88"/>
              <w:spacing w:after="0" w:line="155" w:lineRule="exact"/>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tcBorders>
            <w:shd w:val="clear" w:color="auto" w:fill="CCECFF"/>
          </w:tcPr>
          <w:p>
            <w:pPr>
              <w:ind w:left="840"/>
              <w:spacing w:after="0" w:line="155" w:lineRule="exact"/>
              <w:rPr>
                <w:sz w:val="20"/>
                <w:szCs w:val="20"/>
                <w:color w:val="auto"/>
              </w:rPr>
            </w:pPr>
            <w:r>
              <w:rPr>
                <w:rFonts w:ascii="Arial" w:cs="Arial" w:eastAsia="Arial" w:hAnsi="Arial"/>
                <w:sz w:val="14"/>
                <w:szCs w:val="14"/>
                <w:color w:val="auto"/>
                <w:w w:val="99"/>
              </w:rPr>
              <w:t>—</w:t>
            </w:r>
          </w:p>
        </w:tc>
        <w:tc>
          <w:tcPr>
            <w:tcW w:w="240" w:type="dxa"/>
            <w:vAlign w:val="bottom"/>
            <w:tcBorders>
              <w:top w:val="single" w:sz="8" w:color="CCECFF"/>
            </w:tcBorders>
            <w:shd w:val="clear" w:color="auto" w:fill="CCECFF"/>
          </w:tcPr>
          <w:p>
            <w:pPr>
              <w:spacing w:after="0"/>
              <w:rPr>
                <w:sz w:val="13"/>
                <w:szCs w:val="13"/>
                <w:color w:val="auto"/>
              </w:rPr>
            </w:pPr>
          </w:p>
        </w:tc>
        <w:tc>
          <w:tcPr>
            <w:tcW w:w="280" w:type="dxa"/>
            <w:vAlign w:val="bottom"/>
            <w:tcBorders>
              <w:top w:val="single" w:sz="8" w:color="auto"/>
            </w:tcBorders>
            <w:shd w:val="clear" w:color="auto" w:fill="CCECFF"/>
          </w:tcPr>
          <w:p>
            <w:pPr>
              <w:jc w:val="right"/>
              <w:ind w:right="128"/>
              <w:spacing w:after="0" w:line="155" w:lineRule="exact"/>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944,900,800</w:t>
            </w:r>
          </w:p>
        </w:tc>
        <w:tc>
          <w:tcPr>
            <w:tcW w:w="240" w:type="dxa"/>
            <w:vAlign w:val="bottom"/>
            <w:tcBorders>
              <w:top w:val="single" w:sz="8" w:color="CCECFF"/>
            </w:tcBorders>
            <w:shd w:val="clear" w:color="auto" w:fill="CCECFF"/>
          </w:tcPr>
          <w:p>
            <w:pPr>
              <w:spacing w:after="0"/>
              <w:rPr>
                <w:sz w:val="13"/>
                <w:szCs w:val="13"/>
                <w:color w:val="auto"/>
              </w:rPr>
            </w:pPr>
          </w:p>
        </w:tc>
        <w:tc>
          <w:tcPr>
            <w:tcW w:w="10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w w:val="76"/>
              </w:rPr>
              <w:t>$</w:t>
            </w:r>
          </w:p>
        </w:tc>
        <w:tc>
          <w:tcPr>
            <w:tcW w:w="118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w:t>
            </w:r>
          </w:p>
        </w:tc>
        <w:tc>
          <w:tcPr>
            <w:tcW w:w="100" w:type="dxa"/>
            <w:vAlign w:val="bottom"/>
            <w:tcBorders>
              <w:top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780" w:type="dxa"/>
            <w:vAlign w:val="bottom"/>
          </w:tcPr>
          <w:p>
            <w:pPr>
              <w:spacing w:after="0"/>
              <w:rPr>
                <w:sz w:val="20"/>
                <w:szCs w:val="20"/>
                <w:color w:val="auto"/>
              </w:rPr>
            </w:pPr>
            <w:r>
              <w:rPr>
                <w:rFonts w:ascii="Arial" w:cs="Arial" w:eastAsia="Arial" w:hAnsi="Arial"/>
                <w:sz w:val="14"/>
                <w:szCs w:val="14"/>
                <w:color w:val="auto"/>
              </w:rPr>
              <w:t>Second lien</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34,370,598</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tcPr>
          <w:p>
            <w:pPr>
              <w:ind w:left="840"/>
              <w:spacing w:after="0"/>
              <w:rPr>
                <w:sz w:val="20"/>
                <w:szCs w:val="20"/>
                <w:color w:val="auto"/>
              </w:rPr>
            </w:pPr>
            <w:r>
              <w:rPr>
                <w:rFonts w:ascii="Arial" w:cs="Arial" w:eastAsia="Arial" w:hAnsi="Arial"/>
                <w:sz w:val="14"/>
                <w:szCs w:val="14"/>
                <w:color w:val="auto"/>
                <w:w w:val="99"/>
              </w:rPr>
              <w:t>—</w:t>
            </w: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34,370,598</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3780" w:type="dxa"/>
            <w:vAlign w:val="bottom"/>
            <w:shd w:val="clear" w:color="auto" w:fill="CCECFF"/>
          </w:tcPr>
          <w:p>
            <w:pPr>
              <w:spacing w:after="0"/>
              <w:rPr>
                <w:sz w:val="20"/>
                <w:szCs w:val="20"/>
                <w:color w:val="auto"/>
              </w:rPr>
            </w:pPr>
            <w:r>
              <w:rPr>
                <w:rFonts w:ascii="Arial" w:cs="Arial" w:eastAsia="Arial" w:hAnsi="Arial"/>
                <w:sz w:val="14"/>
                <w:szCs w:val="14"/>
                <w:color w:val="auto"/>
              </w:rPr>
              <w:t>Equity</w:t>
            </w:r>
          </w:p>
        </w:tc>
        <w:tc>
          <w:tcPr>
            <w:tcW w:w="120" w:type="dxa"/>
            <w:vAlign w:val="bottom"/>
            <w:shd w:val="clear" w:color="auto" w:fill="CCECFF"/>
          </w:tcPr>
          <w:p>
            <w:pPr>
              <w:spacing w:after="0"/>
              <w:rPr>
                <w:sz w:val="14"/>
                <w:szCs w:val="14"/>
                <w:color w:val="auto"/>
              </w:rPr>
            </w:pPr>
          </w:p>
        </w:tc>
        <w:tc>
          <w:tcPr>
            <w:tcW w:w="200" w:type="dxa"/>
            <w:vAlign w:val="bottom"/>
            <w:tcBorders>
              <w:bottom w:val="single" w:sz="8" w:color="auto"/>
            </w:tcBorders>
            <w:shd w:val="clear" w:color="auto" w:fill="CCECFF"/>
          </w:tcPr>
          <w:p>
            <w:pPr>
              <w:spacing w:after="0"/>
              <w:rPr>
                <w:sz w:val="14"/>
                <w:szCs w:val="14"/>
                <w:color w:val="auto"/>
              </w:rPr>
            </w:pPr>
          </w:p>
        </w:tc>
        <w:tc>
          <w:tcPr>
            <w:tcW w:w="10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102,435,511</w:t>
            </w:r>
          </w:p>
        </w:tc>
        <w:tc>
          <w:tcPr>
            <w:tcW w:w="240" w:type="dxa"/>
            <w:vAlign w:val="bottom"/>
            <w:shd w:val="clear" w:color="auto" w:fill="CCECFF"/>
          </w:tcPr>
          <w:p>
            <w:pPr>
              <w:spacing w:after="0"/>
              <w:rPr>
                <w:sz w:val="14"/>
                <w:szCs w:val="14"/>
                <w:color w:val="auto"/>
              </w:rPr>
            </w:pPr>
          </w:p>
        </w:tc>
        <w:tc>
          <w:tcPr>
            <w:tcW w:w="220" w:type="dxa"/>
            <w:vAlign w:val="bottom"/>
            <w:tcBorders>
              <w:bottom w:val="single" w:sz="8" w:color="auto"/>
            </w:tcBorders>
            <w:shd w:val="clear" w:color="auto" w:fill="CCECFF"/>
          </w:tcPr>
          <w:p>
            <w:pPr>
              <w:spacing w:after="0"/>
              <w:rPr>
                <w:sz w:val="14"/>
                <w:szCs w:val="14"/>
                <w:color w:val="auto"/>
              </w:rPr>
            </w:pPr>
          </w:p>
        </w:tc>
        <w:tc>
          <w:tcPr>
            <w:tcW w:w="10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CFF"/>
          </w:tcPr>
          <w:p>
            <w:pPr>
              <w:spacing w:after="0"/>
              <w:rPr>
                <w:sz w:val="14"/>
                <w:szCs w:val="14"/>
                <w:color w:val="auto"/>
              </w:rPr>
            </w:pPr>
          </w:p>
        </w:tc>
        <w:tc>
          <w:tcPr>
            <w:tcW w:w="240" w:type="dxa"/>
            <w:vAlign w:val="bottom"/>
            <w:tcBorders>
              <w:bottom w:val="single" w:sz="8" w:color="auto"/>
            </w:tcBorders>
            <w:shd w:val="clear" w:color="auto" w:fill="CCECFF"/>
          </w:tcPr>
          <w:p>
            <w:pPr>
              <w:spacing w:after="0"/>
              <w:rPr>
                <w:sz w:val="14"/>
                <w:szCs w:val="14"/>
                <w:color w:val="auto"/>
              </w:rPr>
            </w:pPr>
          </w:p>
        </w:tc>
        <w:tc>
          <w:tcPr>
            <w:tcW w:w="1000" w:type="dxa"/>
            <w:vAlign w:val="bottom"/>
            <w:tcBorders>
              <w:bottom w:val="single" w:sz="8" w:color="auto"/>
            </w:tcBorders>
            <w:shd w:val="clear" w:color="auto" w:fill="CCECFF"/>
          </w:tcPr>
          <w:p>
            <w:pPr>
              <w:ind w:left="840"/>
              <w:spacing w:after="0"/>
              <w:rPr>
                <w:sz w:val="20"/>
                <w:szCs w:val="20"/>
                <w:color w:val="auto"/>
              </w:rPr>
            </w:pPr>
            <w:r>
              <w:rPr>
                <w:rFonts w:ascii="Arial" w:cs="Arial" w:eastAsia="Arial" w:hAnsi="Arial"/>
                <w:sz w:val="14"/>
                <w:szCs w:val="14"/>
                <w:color w:val="auto"/>
                <w:w w:val="99"/>
              </w:rPr>
              <w:t>—</w:t>
            </w:r>
          </w:p>
        </w:tc>
        <w:tc>
          <w:tcPr>
            <w:tcW w:w="240" w:type="dxa"/>
            <w:vAlign w:val="bottom"/>
            <w:shd w:val="clear" w:color="auto" w:fill="CCECFF"/>
          </w:tcPr>
          <w:p>
            <w:pPr>
              <w:spacing w:after="0"/>
              <w:rPr>
                <w:sz w:val="14"/>
                <w:szCs w:val="14"/>
                <w:color w:val="auto"/>
              </w:rPr>
            </w:pPr>
          </w:p>
        </w:tc>
        <w:tc>
          <w:tcPr>
            <w:tcW w:w="280" w:type="dxa"/>
            <w:vAlign w:val="bottom"/>
            <w:tcBorders>
              <w:bottom w:val="single" w:sz="8" w:color="auto"/>
            </w:tcBorders>
            <w:shd w:val="clear" w:color="auto" w:fill="CCECFF"/>
          </w:tcPr>
          <w:p>
            <w:pPr>
              <w:spacing w:after="0"/>
              <w:rPr>
                <w:sz w:val="14"/>
                <w:szCs w:val="14"/>
                <w:color w:val="auto"/>
              </w:rPr>
            </w:pPr>
          </w:p>
        </w:tc>
        <w:tc>
          <w:tcPr>
            <w:tcW w:w="9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52,466,181</w:t>
            </w:r>
          </w:p>
        </w:tc>
        <w:tc>
          <w:tcPr>
            <w:tcW w:w="240" w:type="dxa"/>
            <w:vAlign w:val="bottom"/>
            <w:shd w:val="clear" w:color="auto" w:fill="CCECFF"/>
          </w:tcPr>
          <w:p>
            <w:pPr>
              <w:spacing w:after="0"/>
              <w:rPr>
                <w:sz w:val="14"/>
                <w:szCs w:val="14"/>
                <w:color w:val="auto"/>
              </w:rPr>
            </w:pPr>
          </w:p>
        </w:tc>
        <w:tc>
          <w:tcPr>
            <w:tcW w:w="100" w:type="dxa"/>
            <w:vAlign w:val="bottom"/>
            <w:tcBorders>
              <w:bottom w:val="single" w:sz="8" w:color="auto"/>
            </w:tcBorders>
            <w:shd w:val="clear" w:color="auto" w:fill="CCECFF"/>
          </w:tcPr>
          <w:p>
            <w:pPr>
              <w:spacing w:after="0"/>
              <w:rPr>
                <w:sz w:val="14"/>
                <w:szCs w:val="14"/>
                <w:color w:val="auto"/>
              </w:rPr>
            </w:pPr>
          </w:p>
        </w:tc>
        <w:tc>
          <w:tcPr>
            <w:tcW w:w="11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49,969,330</w:t>
            </w: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780" w:type="dxa"/>
            <w:vAlign w:val="bottom"/>
            <w:tcBorders>
              <w:bottom w:val="single" w:sz="8" w:color="CCECFF"/>
            </w:tcBorders>
          </w:tcPr>
          <w:p>
            <w:pPr>
              <w:ind w:left="500"/>
              <w:spacing w:after="0" w:line="155" w:lineRule="exact"/>
              <w:rPr>
                <w:sz w:val="20"/>
                <w:szCs w:val="20"/>
                <w:color w:val="auto"/>
              </w:rPr>
            </w:pPr>
            <w:r>
              <w:rPr>
                <w:rFonts w:ascii="Arial" w:cs="Arial" w:eastAsia="Arial" w:hAnsi="Arial"/>
                <w:sz w:val="14"/>
                <w:szCs w:val="14"/>
                <w:color w:val="auto"/>
              </w:rPr>
              <w:t>Total investments</w:t>
            </w:r>
          </w:p>
        </w:tc>
        <w:tc>
          <w:tcPr>
            <w:tcW w:w="120" w:type="dxa"/>
            <w:vAlign w:val="bottom"/>
            <w:tcBorders>
              <w:bottom w:val="single" w:sz="8" w:color="CCEC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1,081,706,909</w:t>
            </w:r>
          </w:p>
        </w:tc>
        <w:tc>
          <w:tcPr>
            <w:tcW w:w="240" w:type="dxa"/>
            <w:vAlign w:val="bottom"/>
            <w:tcBorders>
              <w:bottom w:val="single" w:sz="8" w:color="CCEC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240" w:type="dxa"/>
            <w:vAlign w:val="bottom"/>
            <w:tcBorders>
              <w:bottom w:val="single" w:sz="8" w:color="CCEC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ind w:left="840"/>
              <w:spacing w:after="0" w:line="155" w:lineRule="exact"/>
              <w:rPr>
                <w:sz w:val="20"/>
                <w:szCs w:val="20"/>
                <w:color w:val="auto"/>
              </w:rPr>
            </w:pPr>
            <w:r>
              <w:rPr>
                <w:rFonts w:ascii="Arial" w:cs="Arial" w:eastAsia="Arial" w:hAnsi="Arial"/>
                <w:sz w:val="14"/>
                <w:szCs w:val="14"/>
                <w:color w:val="auto"/>
                <w:w w:val="99"/>
              </w:rPr>
              <w:t>—</w:t>
            </w:r>
          </w:p>
        </w:tc>
        <w:tc>
          <w:tcPr>
            <w:tcW w:w="240" w:type="dxa"/>
            <w:vAlign w:val="bottom"/>
            <w:tcBorders>
              <w:bottom w:val="single" w:sz="8" w:color="CCEC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1,031,737,579</w:t>
            </w:r>
          </w:p>
        </w:tc>
        <w:tc>
          <w:tcPr>
            <w:tcW w:w="240" w:type="dxa"/>
            <w:vAlign w:val="bottom"/>
            <w:tcBorders>
              <w:bottom w:val="single" w:sz="8" w:color="CCEC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49,969,330</w:t>
            </w:r>
          </w:p>
        </w:tc>
        <w:tc>
          <w:tcPr>
            <w:tcW w:w="100" w:type="dxa"/>
            <w:vAlign w:val="bottom"/>
            <w:tcBorders>
              <w:bottom w:val="single" w:sz="8" w:color="CCECFF"/>
            </w:tcBorders>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3780" w:type="dxa"/>
            <w:vAlign w:val="bottom"/>
            <w:shd w:val="clear" w:color="auto" w:fill="CCECFF"/>
          </w:tcPr>
          <w:p>
            <w:pPr>
              <w:spacing w:after="0" w:line="155" w:lineRule="exact"/>
              <w:rPr>
                <w:sz w:val="20"/>
                <w:szCs w:val="20"/>
                <w:color w:val="auto"/>
              </w:rPr>
            </w:pPr>
            <w:r>
              <w:rPr>
                <w:rFonts w:ascii="Arial" w:cs="Arial" w:eastAsia="Arial" w:hAnsi="Arial"/>
                <w:sz w:val="14"/>
                <w:szCs w:val="14"/>
                <w:color w:val="auto"/>
              </w:rPr>
              <w:t>Cash and cash equivalents</w:t>
            </w:r>
          </w:p>
        </w:tc>
        <w:tc>
          <w:tcPr>
            <w:tcW w:w="120" w:type="dxa"/>
            <w:vAlign w:val="bottom"/>
            <w:shd w:val="clear" w:color="auto" w:fill="CCECFF"/>
          </w:tcPr>
          <w:p>
            <w:pPr>
              <w:spacing w:after="0"/>
              <w:rPr>
                <w:sz w:val="13"/>
                <w:szCs w:val="13"/>
                <w:color w:val="auto"/>
              </w:rPr>
            </w:pPr>
          </w:p>
        </w:tc>
        <w:tc>
          <w:tcPr>
            <w:tcW w:w="200" w:type="dxa"/>
            <w:vAlign w:val="bottom"/>
            <w:tcBorders>
              <w:bottom w:val="single" w:sz="8" w:color="auto"/>
            </w:tcBorders>
            <w:shd w:val="clear" w:color="auto" w:fill="CCECFF"/>
          </w:tcPr>
          <w:p>
            <w:pPr>
              <w:spacing w:after="0"/>
              <w:rPr>
                <w:sz w:val="13"/>
                <w:szCs w:val="13"/>
                <w:color w:val="auto"/>
              </w:rPr>
            </w:pPr>
          </w:p>
        </w:tc>
        <w:tc>
          <w:tcPr>
            <w:tcW w:w="106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63,337,728</w:t>
            </w:r>
          </w:p>
        </w:tc>
        <w:tc>
          <w:tcPr>
            <w:tcW w:w="240" w:type="dxa"/>
            <w:vAlign w:val="bottom"/>
            <w:shd w:val="clear" w:color="auto" w:fill="CCECFF"/>
          </w:tcPr>
          <w:p>
            <w:pPr>
              <w:spacing w:after="0"/>
              <w:rPr>
                <w:sz w:val="13"/>
                <w:szCs w:val="13"/>
                <w:color w:val="auto"/>
              </w:rPr>
            </w:pPr>
          </w:p>
        </w:tc>
        <w:tc>
          <w:tcPr>
            <w:tcW w:w="220" w:type="dxa"/>
            <w:vAlign w:val="bottom"/>
            <w:tcBorders>
              <w:bottom w:val="single" w:sz="8" w:color="auto"/>
            </w:tcBorders>
            <w:shd w:val="clear" w:color="auto" w:fill="CCECFF"/>
          </w:tcPr>
          <w:p>
            <w:pPr>
              <w:spacing w:after="0"/>
              <w:rPr>
                <w:sz w:val="13"/>
                <w:szCs w:val="13"/>
                <w:color w:val="auto"/>
              </w:rPr>
            </w:pPr>
          </w:p>
        </w:tc>
        <w:tc>
          <w:tcPr>
            <w:tcW w:w="102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63,337,728</w:t>
            </w:r>
          </w:p>
        </w:tc>
        <w:tc>
          <w:tcPr>
            <w:tcW w:w="240" w:type="dxa"/>
            <w:vAlign w:val="bottom"/>
            <w:shd w:val="clear" w:color="auto" w:fill="CCECFF"/>
          </w:tcPr>
          <w:p>
            <w:pPr>
              <w:spacing w:after="0"/>
              <w:rPr>
                <w:sz w:val="13"/>
                <w:szCs w:val="13"/>
                <w:color w:val="auto"/>
              </w:rPr>
            </w:pPr>
          </w:p>
        </w:tc>
        <w:tc>
          <w:tcPr>
            <w:tcW w:w="240" w:type="dxa"/>
            <w:vAlign w:val="bottom"/>
            <w:tcBorders>
              <w:bottom w:val="single" w:sz="8" w:color="auto"/>
            </w:tcBorders>
            <w:shd w:val="clear" w:color="auto" w:fill="CCECFF"/>
          </w:tcPr>
          <w:p>
            <w:pPr>
              <w:spacing w:after="0"/>
              <w:rPr>
                <w:sz w:val="13"/>
                <w:szCs w:val="13"/>
                <w:color w:val="auto"/>
              </w:rPr>
            </w:pPr>
          </w:p>
        </w:tc>
        <w:tc>
          <w:tcPr>
            <w:tcW w:w="1000" w:type="dxa"/>
            <w:vAlign w:val="bottom"/>
            <w:tcBorders>
              <w:bottom w:val="single" w:sz="8" w:color="auto"/>
            </w:tcBorders>
            <w:shd w:val="clear" w:color="auto" w:fill="CCECFF"/>
          </w:tcPr>
          <w:p>
            <w:pPr>
              <w:ind w:left="840"/>
              <w:spacing w:after="0" w:line="155" w:lineRule="exact"/>
              <w:rPr>
                <w:sz w:val="20"/>
                <w:szCs w:val="20"/>
                <w:color w:val="auto"/>
              </w:rPr>
            </w:pPr>
            <w:r>
              <w:rPr>
                <w:rFonts w:ascii="Arial" w:cs="Arial" w:eastAsia="Arial" w:hAnsi="Arial"/>
                <w:sz w:val="14"/>
                <w:szCs w:val="14"/>
                <w:color w:val="auto"/>
                <w:w w:val="99"/>
              </w:rPr>
              <w:t>—</w:t>
            </w:r>
          </w:p>
        </w:tc>
        <w:tc>
          <w:tcPr>
            <w:tcW w:w="240" w:type="dxa"/>
            <w:vAlign w:val="bottom"/>
            <w:shd w:val="clear" w:color="auto" w:fill="CCECFF"/>
          </w:tcPr>
          <w:p>
            <w:pPr>
              <w:spacing w:after="0"/>
              <w:rPr>
                <w:sz w:val="13"/>
                <w:szCs w:val="13"/>
                <w:color w:val="auto"/>
              </w:rPr>
            </w:pPr>
          </w:p>
        </w:tc>
        <w:tc>
          <w:tcPr>
            <w:tcW w:w="280" w:type="dxa"/>
            <w:vAlign w:val="bottom"/>
            <w:tcBorders>
              <w:bottom w:val="single" w:sz="8" w:color="auto"/>
            </w:tcBorders>
            <w:shd w:val="clear" w:color="auto" w:fill="CCECFF"/>
          </w:tcPr>
          <w:p>
            <w:pPr>
              <w:spacing w:after="0"/>
              <w:rPr>
                <w:sz w:val="13"/>
                <w:szCs w:val="13"/>
                <w:color w:val="auto"/>
              </w:rPr>
            </w:pPr>
          </w:p>
        </w:tc>
        <w:tc>
          <w:tcPr>
            <w:tcW w:w="98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w:t>
            </w:r>
          </w:p>
        </w:tc>
        <w:tc>
          <w:tcPr>
            <w:tcW w:w="240" w:type="dxa"/>
            <w:vAlign w:val="bottom"/>
            <w:shd w:val="clear" w:color="auto" w:fill="CCECFF"/>
          </w:tcPr>
          <w:p>
            <w:pPr>
              <w:spacing w:after="0"/>
              <w:rPr>
                <w:sz w:val="13"/>
                <w:szCs w:val="13"/>
                <w:color w:val="auto"/>
              </w:rPr>
            </w:pPr>
          </w:p>
        </w:tc>
        <w:tc>
          <w:tcPr>
            <w:tcW w:w="100" w:type="dxa"/>
            <w:vAlign w:val="bottom"/>
            <w:tcBorders>
              <w:bottom w:val="single" w:sz="8" w:color="auto"/>
            </w:tcBorders>
            <w:shd w:val="clear" w:color="auto" w:fill="CCECFF"/>
          </w:tcPr>
          <w:p>
            <w:pPr>
              <w:spacing w:after="0"/>
              <w:rPr>
                <w:sz w:val="13"/>
                <w:szCs w:val="13"/>
                <w:color w:val="auto"/>
              </w:rPr>
            </w:pPr>
          </w:p>
        </w:tc>
        <w:tc>
          <w:tcPr>
            <w:tcW w:w="118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3780" w:type="dxa"/>
            <w:vAlign w:val="bottom"/>
            <w:tcBorders>
              <w:bottom w:val="single" w:sz="8" w:color="CCECFF"/>
            </w:tcBorders>
          </w:tcPr>
          <w:p>
            <w:pPr>
              <w:ind w:left="500"/>
              <w:spacing w:after="0" w:line="155" w:lineRule="exact"/>
              <w:rPr>
                <w:sz w:val="20"/>
                <w:szCs w:val="20"/>
                <w:color w:val="auto"/>
              </w:rPr>
            </w:pPr>
            <w:r>
              <w:rPr>
                <w:rFonts w:ascii="Arial" w:cs="Arial" w:eastAsia="Arial" w:hAnsi="Arial"/>
                <w:sz w:val="14"/>
                <w:szCs w:val="14"/>
                <w:color w:val="auto"/>
              </w:rPr>
              <w:t>Total investments and cash and cash equivalents</w:t>
            </w:r>
          </w:p>
        </w:tc>
        <w:tc>
          <w:tcPr>
            <w:tcW w:w="120" w:type="dxa"/>
            <w:vAlign w:val="bottom"/>
            <w:tcBorders>
              <w:bottom w:val="single" w:sz="8" w:color="CCECFF"/>
            </w:tcBorders>
          </w:tcPr>
          <w:p>
            <w:pPr>
              <w:spacing w:after="0"/>
              <w:rPr>
                <w:sz w:val="17"/>
                <w:szCs w:val="17"/>
                <w:color w:val="auto"/>
              </w:rPr>
            </w:pPr>
          </w:p>
        </w:tc>
        <w:tc>
          <w:tcPr>
            <w:tcW w:w="20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w w:val="76"/>
              </w:rPr>
              <w:t>$</w:t>
            </w:r>
          </w:p>
        </w:tc>
        <w:tc>
          <w:tcPr>
            <w:tcW w:w="10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1,145,044,637</w:t>
            </w:r>
          </w:p>
        </w:tc>
        <w:tc>
          <w:tcPr>
            <w:tcW w:w="240" w:type="dxa"/>
            <w:vAlign w:val="bottom"/>
            <w:tcBorders>
              <w:bottom w:val="single" w:sz="8" w:color="CCECFF"/>
            </w:tcBorders>
          </w:tcPr>
          <w:p>
            <w:pPr>
              <w:spacing w:after="0"/>
              <w:rPr>
                <w:sz w:val="17"/>
                <w:szCs w:val="17"/>
                <w:color w:val="auto"/>
              </w:rPr>
            </w:pPr>
          </w:p>
        </w:tc>
        <w:tc>
          <w:tcPr>
            <w:tcW w:w="220" w:type="dxa"/>
            <w:vAlign w:val="bottom"/>
            <w:tcBorders>
              <w:bottom w:val="single" w:sz="8" w:color="auto"/>
            </w:tcBorders>
          </w:tcPr>
          <w:p>
            <w:pPr>
              <w:jc w:val="right"/>
              <w:ind w:right="109"/>
              <w:spacing w:after="0"/>
              <w:rPr>
                <w:sz w:val="20"/>
                <w:szCs w:val="20"/>
                <w:color w:val="auto"/>
              </w:rPr>
            </w:pPr>
            <w:r>
              <w:rPr>
                <w:rFonts w:ascii="Arial" w:cs="Arial" w:eastAsia="Arial" w:hAnsi="Arial"/>
                <w:sz w:val="10"/>
                <w:szCs w:val="10"/>
                <w:color w:val="auto"/>
                <w:w w:val="71"/>
              </w:rPr>
              <w:t>$</w:t>
            </w:r>
          </w:p>
        </w:tc>
        <w:tc>
          <w:tcPr>
            <w:tcW w:w="10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63,337,728</w:t>
            </w:r>
          </w:p>
        </w:tc>
        <w:tc>
          <w:tcPr>
            <w:tcW w:w="240" w:type="dxa"/>
            <w:vAlign w:val="bottom"/>
            <w:tcBorders>
              <w:bottom w:val="single" w:sz="8" w:color="CCECFF"/>
            </w:tcBorders>
          </w:tcPr>
          <w:p>
            <w:pPr>
              <w:spacing w:after="0"/>
              <w:rPr>
                <w:sz w:val="17"/>
                <w:szCs w:val="17"/>
                <w:color w:val="auto"/>
              </w:rPr>
            </w:pPr>
          </w:p>
        </w:tc>
        <w:tc>
          <w:tcPr>
            <w:tcW w:w="240" w:type="dxa"/>
            <w:vAlign w:val="bottom"/>
            <w:tcBorders>
              <w:bottom w:val="single" w:sz="8" w:color="auto"/>
            </w:tcBorders>
          </w:tcPr>
          <w:p>
            <w:pPr>
              <w:jc w:val="right"/>
              <w:ind w:right="88"/>
              <w:spacing w:after="0" w:line="155" w:lineRule="exact"/>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auto"/>
            </w:tcBorders>
          </w:tcPr>
          <w:p>
            <w:pPr>
              <w:ind w:left="840"/>
              <w:spacing w:after="0" w:line="155" w:lineRule="exact"/>
              <w:rPr>
                <w:sz w:val="20"/>
                <w:szCs w:val="20"/>
                <w:color w:val="auto"/>
              </w:rPr>
            </w:pPr>
            <w:r>
              <w:rPr>
                <w:rFonts w:ascii="Arial" w:cs="Arial" w:eastAsia="Arial" w:hAnsi="Arial"/>
                <w:sz w:val="14"/>
                <w:szCs w:val="14"/>
                <w:color w:val="auto"/>
                <w:w w:val="99"/>
              </w:rPr>
              <w:t>—</w:t>
            </w:r>
          </w:p>
        </w:tc>
        <w:tc>
          <w:tcPr>
            <w:tcW w:w="240" w:type="dxa"/>
            <w:vAlign w:val="bottom"/>
            <w:tcBorders>
              <w:bottom w:val="single" w:sz="8" w:color="CCECFF"/>
            </w:tcBorders>
          </w:tcPr>
          <w:p>
            <w:pPr>
              <w:spacing w:after="0"/>
              <w:rPr>
                <w:sz w:val="17"/>
                <w:szCs w:val="17"/>
                <w:color w:val="auto"/>
              </w:rPr>
            </w:pPr>
          </w:p>
        </w:tc>
        <w:tc>
          <w:tcPr>
            <w:tcW w:w="280" w:type="dxa"/>
            <w:vAlign w:val="bottom"/>
            <w:tcBorders>
              <w:bottom w:val="single" w:sz="8" w:color="auto"/>
            </w:tcBorders>
          </w:tcPr>
          <w:p>
            <w:pPr>
              <w:jc w:val="right"/>
              <w:ind w:right="128"/>
              <w:spacing w:after="0" w:line="155" w:lineRule="exact"/>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1,031,737,579</w:t>
            </w:r>
          </w:p>
        </w:tc>
        <w:tc>
          <w:tcPr>
            <w:tcW w:w="240" w:type="dxa"/>
            <w:vAlign w:val="bottom"/>
            <w:tcBorders>
              <w:bottom w:val="single" w:sz="8" w:color="CCECFF"/>
            </w:tcBorders>
          </w:tcPr>
          <w:p>
            <w:pPr>
              <w:spacing w:after="0"/>
              <w:rPr>
                <w:sz w:val="17"/>
                <w:szCs w:val="17"/>
                <w:color w:val="auto"/>
              </w:rPr>
            </w:pPr>
          </w:p>
        </w:tc>
        <w:tc>
          <w:tcPr>
            <w:tcW w:w="1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11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49,969,330</w:t>
            </w:r>
          </w:p>
        </w:tc>
        <w:tc>
          <w:tcPr>
            <w:tcW w:w="100" w:type="dxa"/>
            <w:vAlign w:val="bottom"/>
            <w:tcBorders>
              <w:bottom w:val="single" w:sz="8" w:color="CCECFF"/>
            </w:tcBorders>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3780" w:type="dxa"/>
            <w:vAlign w:val="bottom"/>
            <w:shd w:val="clear" w:color="auto" w:fill="CCECFF"/>
          </w:tcPr>
          <w:p>
            <w:pPr>
              <w:spacing w:after="0" w:line="143" w:lineRule="exact"/>
              <w:rPr>
                <w:sz w:val="20"/>
                <w:szCs w:val="20"/>
                <w:color w:val="auto"/>
              </w:rPr>
            </w:pPr>
            <w:r>
              <w:rPr>
                <w:rFonts w:ascii="Arial" w:cs="Arial" w:eastAsia="Arial" w:hAnsi="Arial"/>
                <w:sz w:val="14"/>
                <w:szCs w:val="14"/>
                <w:color w:val="auto"/>
              </w:rPr>
              <w:t>Long-Term Credit Facility</w:t>
            </w:r>
          </w:p>
        </w:tc>
        <w:tc>
          <w:tcPr>
            <w:tcW w:w="120" w:type="dxa"/>
            <w:vAlign w:val="bottom"/>
            <w:shd w:val="clear" w:color="auto" w:fill="CCECFF"/>
          </w:tcPr>
          <w:p>
            <w:pPr>
              <w:spacing w:after="0"/>
              <w:rPr>
                <w:sz w:val="12"/>
                <w:szCs w:val="12"/>
                <w:color w:val="auto"/>
              </w:rPr>
            </w:pPr>
          </w:p>
        </w:tc>
        <w:tc>
          <w:tcPr>
            <w:tcW w:w="200" w:type="dxa"/>
            <w:vAlign w:val="bottom"/>
            <w:shd w:val="clear" w:color="auto" w:fill="CCECFF"/>
          </w:tcPr>
          <w:p>
            <w:pPr>
              <w:jc w:val="right"/>
              <w:ind w:right="48"/>
              <w:spacing w:after="0" w:line="143" w:lineRule="exact"/>
              <w:rPr>
                <w:sz w:val="20"/>
                <w:szCs w:val="20"/>
                <w:color w:val="auto"/>
              </w:rPr>
            </w:pPr>
            <w:r>
              <w:rPr>
                <w:rFonts w:ascii="Arial" w:cs="Arial" w:eastAsia="Arial" w:hAnsi="Arial"/>
                <w:sz w:val="14"/>
                <w:szCs w:val="14"/>
                <w:color w:val="auto"/>
                <w:w w:val="76"/>
              </w:rPr>
              <w:t>$</w:t>
            </w:r>
          </w:p>
        </w:tc>
        <w:tc>
          <w:tcPr>
            <w:tcW w:w="1060" w:type="dxa"/>
            <w:vAlign w:val="bottom"/>
            <w:shd w:val="clear" w:color="auto" w:fill="CCECFF"/>
          </w:tcPr>
          <w:p>
            <w:pPr>
              <w:jc w:val="right"/>
              <w:spacing w:after="0" w:line="143" w:lineRule="exact"/>
              <w:rPr>
                <w:sz w:val="20"/>
                <w:szCs w:val="20"/>
                <w:color w:val="auto"/>
              </w:rPr>
            </w:pPr>
            <w:r>
              <w:rPr>
                <w:rFonts w:ascii="Arial" w:cs="Arial" w:eastAsia="Arial" w:hAnsi="Arial"/>
                <w:sz w:val="14"/>
                <w:szCs w:val="14"/>
                <w:color w:val="auto"/>
              </w:rPr>
              <w:t>263,988,583</w:t>
            </w:r>
          </w:p>
        </w:tc>
        <w:tc>
          <w:tcPr>
            <w:tcW w:w="240" w:type="dxa"/>
            <w:vAlign w:val="bottom"/>
            <w:shd w:val="clear" w:color="auto" w:fill="CCECFF"/>
          </w:tcPr>
          <w:p>
            <w:pPr>
              <w:spacing w:after="0"/>
              <w:rPr>
                <w:sz w:val="12"/>
                <w:szCs w:val="12"/>
                <w:color w:val="auto"/>
              </w:rPr>
            </w:pPr>
          </w:p>
        </w:tc>
        <w:tc>
          <w:tcPr>
            <w:tcW w:w="220" w:type="dxa"/>
            <w:vAlign w:val="bottom"/>
            <w:shd w:val="clear" w:color="auto" w:fill="CCECFF"/>
          </w:tcPr>
          <w:p>
            <w:pPr>
              <w:jc w:val="right"/>
              <w:ind w:right="109"/>
              <w:spacing w:after="0"/>
              <w:rPr>
                <w:sz w:val="20"/>
                <w:szCs w:val="20"/>
                <w:color w:val="auto"/>
              </w:rPr>
            </w:pPr>
            <w:r>
              <w:rPr>
                <w:rFonts w:ascii="Arial" w:cs="Arial" w:eastAsia="Arial" w:hAnsi="Arial"/>
                <w:sz w:val="10"/>
                <w:szCs w:val="10"/>
                <w:color w:val="auto"/>
                <w:w w:val="71"/>
              </w:rPr>
              <w:t>$</w:t>
            </w:r>
          </w:p>
        </w:tc>
        <w:tc>
          <w:tcPr>
            <w:tcW w:w="1020" w:type="dxa"/>
            <w:vAlign w:val="bottom"/>
            <w:shd w:val="clear" w:color="auto" w:fill="CCECFF"/>
          </w:tcPr>
          <w:p>
            <w:pPr>
              <w:jc w:val="right"/>
              <w:spacing w:after="0" w:line="143" w:lineRule="exact"/>
              <w:rPr>
                <w:sz w:val="20"/>
                <w:szCs w:val="20"/>
                <w:color w:val="auto"/>
              </w:rPr>
            </w:pPr>
            <w:r>
              <w:rPr>
                <w:rFonts w:ascii="Arial" w:cs="Arial" w:eastAsia="Arial" w:hAnsi="Arial"/>
                <w:sz w:val="14"/>
                <w:szCs w:val="14"/>
                <w:color w:val="auto"/>
              </w:rPr>
              <w:t>—</w:t>
            </w:r>
          </w:p>
        </w:tc>
        <w:tc>
          <w:tcPr>
            <w:tcW w:w="240" w:type="dxa"/>
            <w:vAlign w:val="bottom"/>
            <w:shd w:val="clear" w:color="auto" w:fill="CCECFF"/>
          </w:tcPr>
          <w:p>
            <w:pPr>
              <w:spacing w:after="0"/>
              <w:rPr>
                <w:sz w:val="12"/>
                <w:szCs w:val="12"/>
                <w:color w:val="auto"/>
              </w:rPr>
            </w:pPr>
          </w:p>
        </w:tc>
        <w:tc>
          <w:tcPr>
            <w:tcW w:w="240" w:type="dxa"/>
            <w:vAlign w:val="bottom"/>
            <w:shd w:val="clear" w:color="auto" w:fill="CCECFF"/>
          </w:tcPr>
          <w:p>
            <w:pPr>
              <w:jc w:val="right"/>
              <w:ind w:right="88"/>
              <w:spacing w:after="0" w:line="143" w:lineRule="exact"/>
              <w:rPr>
                <w:sz w:val="20"/>
                <w:szCs w:val="20"/>
                <w:color w:val="auto"/>
              </w:rPr>
            </w:pPr>
            <w:r>
              <w:rPr>
                <w:rFonts w:ascii="Arial" w:cs="Arial" w:eastAsia="Arial" w:hAnsi="Arial"/>
                <w:sz w:val="14"/>
                <w:szCs w:val="14"/>
                <w:color w:val="auto"/>
                <w:w w:val="76"/>
              </w:rPr>
              <w:t>$</w:t>
            </w:r>
          </w:p>
        </w:tc>
        <w:tc>
          <w:tcPr>
            <w:tcW w:w="1000" w:type="dxa"/>
            <w:vAlign w:val="bottom"/>
            <w:shd w:val="clear" w:color="auto" w:fill="CCECFF"/>
          </w:tcPr>
          <w:p>
            <w:pPr>
              <w:ind w:left="840"/>
              <w:spacing w:after="0" w:line="143" w:lineRule="exact"/>
              <w:rPr>
                <w:sz w:val="20"/>
                <w:szCs w:val="20"/>
                <w:color w:val="auto"/>
              </w:rPr>
            </w:pPr>
            <w:r>
              <w:rPr>
                <w:rFonts w:ascii="Arial" w:cs="Arial" w:eastAsia="Arial" w:hAnsi="Arial"/>
                <w:sz w:val="14"/>
                <w:szCs w:val="14"/>
                <w:color w:val="auto"/>
                <w:w w:val="99"/>
              </w:rPr>
              <w:t>—</w:t>
            </w:r>
          </w:p>
        </w:tc>
        <w:tc>
          <w:tcPr>
            <w:tcW w:w="240" w:type="dxa"/>
            <w:vAlign w:val="bottom"/>
            <w:shd w:val="clear" w:color="auto" w:fill="CCECFF"/>
          </w:tcPr>
          <w:p>
            <w:pPr>
              <w:spacing w:after="0"/>
              <w:rPr>
                <w:sz w:val="12"/>
                <w:szCs w:val="12"/>
                <w:color w:val="auto"/>
              </w:rPr>
            </w:pPr>
          </w:p>
        </w:tc>
        <w:tc>
          <w:tcPr>
            <w:tcW w:w="280" w:type="dxa"/>
            <w:vAlign w:val="bottom"/>
            <w:shd w:val="clear" w:color="auto" w:fill="CCECFF"/>
          </w:tcPr>
          <w:p>
            <w:pPr>
              <w:jc w:val="right"/>
              <w:ind w:right="128"/>
              <w:spacing w:after="0" w:line="143" w:lineRule="exact"/>
              <w:rPr>
                <w:sz w:val="20"/>
                <w:szCs w:val="20"/>
                <w:color w:val="auto"/>
              </w:rPr>
            </w:pPr>
            <w:r>
              <w:rPr>
                <w:rFonts w:ascii="Arial" w:cs="Arial" w:eastAsia="Arial" w:hAnsi="Arial"/>
                <w:sz w:val="14"/>
                <w:szCs w:val="14"/>
                <w:color w:val="auto"/>
                <w:w w:val="76"/>
              </w:rPr>
              <w:t>$</w:t>
            </w:r>
          </w:p>
        </w:tc>
        <w:tc>
          <w:tcPr>
            <w:tcW w:w="980" w:type="dxa"/>
            <w:vAlign w:val="bottom"/>
            <w:shd w:val="clear" w:color="auto" w:fill="CCECFF"/>
          </w:tcPr>
          <w:p>
            <w:pPr>
              <w:jc w:val="right"/>
              <w:spacing w:after="0" w:line="143" w:lineRule="exact"/>
              <w:rPr>
                <w:sz w:val="20"/>
                <w:szCs w:val="20"/>
                <w:color w:val="auto"/>
              </w:rPr>
            </w:pPr>
            <w:r>
              <w:rPr>
                <w:rFonts w:ascii="Arial" w:cs="Arial" w:eastAsia="Arial" w:hAnsi="Arial"/>
                <w:sz w:val="14"/>
                <w:szCs w:val="14"/>
                <w:color w:val="auto"/>
              </w:rPr>
              <w:t>263,988,583</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jc w:val="right"/>
              <w:spacing w:after="0" w:line="143" w:lineRule="exact"/>
              <w:rPr>
                <w:sz w:val="20"/>
                <w:szCs w:val="20"/>
                <w:color w:val="auto"/>
              </w:rPr>
            </w:pPr>
            <w:r>
              <w:rPr>
                <w:rFonts w:ascii="Arial" w:cs="Arial" w:eastAsia="Arial" w:hAnsi="Arial"/>
                <w:sz w:val="14"/>
                <w:szCs w:val="14"/>
                <w:color w:val="auto"/>
                <w:w w:val="76"/>
              </w:rPr>
              <w:t>$</w:t>
            </w:r>
          </w:p>
        </w:tc>
        <w:tc>
          <w:tcPr>
            <w:tcW w:w="1180" w:type="dxa"/>
            <w:vAlign w:val="bottom"/>
            <w:shd w:val="clear" w:color="auto" w:fill="CCECFF"/>
          </w:tcPr>
          <w:p>
            <w:pPr>
              <w:jc w:val="right"/>
              <w:spacing w:after="0" w:line="143" w:lineRule="exact"/>
              <w:rPr>
                <w:sz w:val="20"/>
                <w:szCs w:val="20"/>
                <w:color w:val="auto"/>
              </w:rPr>
            </w:pPr>
            <w:r>
              <w:rPr>
                <w:rFonts w:ascii="Arial" w:cs="Arial" w:eastAsia="Arial" w:hAnsi="Arial"/>
                <w:sz w:val="14"/>
                <w:szCs w:val="14"/>
                <w:color w:val="auto"/>
              </w:rPr>
              <w:t>—</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780" w:type="dxa"/>
            <w:vAlign w:val="bottom"/>
          </w:tcPr>
          <w:p>
            <w:pPr>
              <w:spacing w:after="0"/>
              <w:rPr>
                <w:sz w:val="20"/>
                <w:szCs w:val="20"/>
                <w:color w:val="auto"/>
              </w:rPr>
            </w:pPr>
            <w:r>
              <w:rPr>
                <w:rFonts w:ascii="Arial" w:cs="Arial" w:eastAsia="Arial" w:hAnsi="Arial"/>
                <w:sz w:val="14"/>
                <w:szCs w:val="14"/>
                <w:color w:val="auto"/>
              </w:rPr>
              <w:t>2023 Notes</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135,240,084</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135,240,084</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tcPr>
          <w:p>
            <w:pPr>
              <w:ind w:left="840"/>
              <w:spacing w:after="0"/>
              <w:rPr>
                <w:sz w:val="20"/>
                <w:szCs w:val="20"/>
                <w:color w:val="auto"/>
              </w:rPr>
            </w:pPr>
            <w:r>
              <w:rPr>
                <w:rFonts w:ascii="Arial" w:cs="Arial" w:eastAsia="Arial" w:hAnsi="Arial"/>
                <w:sz w:val="14"/>
                <w:szCs w:val="14"/>
                <w:color w:val="auto"/>
                <w:w w:val="99"/>
              </w:rPr>
              <w:t>—</w:t>
            </w: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2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3780" w:type="dxa"/>
            <w:vAlign w:val="bottom"/>
            <w:shd w:val="clear" w:color="auto" w:fill="CCECFF"/>
          </w:tcPr>
          <w:p>
            <w:pPr>
              <w:spacing w:after="0"/>
              <w:rPr>
                <w:sz w:val="20"/>
                <w:szCs w:val="20"/>
                <w:color w:val="auto"/>
              </w:rPr>
            </w:pPr>
            <w:r>
              <w:rPr>
                <w:rFonts w:ascii="Arial" w:cs="Arial" w:eastAsia="Arial" w:hAnsi="Arial"/>
                <w:sz w:val="14"/>
                <w:szCs w:val="14"/>
                <w:color w:val="auto"/>
              </w:rPr>
              <w:t>2031 Asset-Backed Debt</w:t>
            </w:r>
            <w:r>
              <w:rPr>
                <w:rFonts w:ascii="Arial" w:cs="Arial" w:eastAsia="Arial" w:hAnsi="Arial"/>
                <w:sz w:val="12"/>
                <w:szCs w:val="12"/>
                <w:color w:val="auto"/>
              </w:rPr>
              <w:t>(2)</w:t>
            </w:r>
          </w:p>
        </w:tc>
        <w:tc>
          <w:tcPr>
            <w:tcW w:w="120" w:type="dxa"/>
            <w:vAlign w:val="bottom"/>
            <w:shd w:val="clear" w:color="auto" w:fill="CCECFF"/>
          </w:tcPr>
          <w:p>
            <w:pPr>
              <w:spacing w:after="0"/>
              <w:rPr>
                <w:sz w:val="14"/>
                <w:szCs w:val="14"/>
                <w:color w:val="auto"/>
              </w:rPr>
            </w:pPr>
          </w:p>
        </w:tc>
        <w:tc>
          <w:tcPr>
            <w:tcW w:w="200" w:type="dxa"/>
            <w:vAlign w:val="bottom"/>
            <w:shd w:val="clear" w:color="auto" w:fill="CCECFF"/>
          </w:tcPr>
          <w:p>
            <w:pPr>
              <w:spacing w:after="0"/>
              <w:rPr>
                <w:sz w:val="14"/>
                <w:szCs w:val="14"/>
                <w:color w:val="auto"/>
              </w:rPr>
            </w:pPr>
          </w:p>
        </w:tc>
        <w:tc>
          <w:tcPr>
            <w:tcW w:w="10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224,321,845</w:t>
            </w:r>
          </w:p>
        </w:tc>
        <w:tc>
          <w:tcPr>
            <w:tcW w:w="24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10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1000" w:type="dxa"/>
            <w:vAlign w:val="bottom"/>
            <w:shd w:val="clear" w:color="auto" w:fill="CCECFF"/>
          </w:tcPr>
          <w:p>
            <w:pPr>
              <w:ind w:left="840"/>
              <w:spacing w:after="0"/>
              <w:rPr>
                <w:sz w:val="20"/>
                <w:szCs w:val="20"/>
                <w:color w:val="auto"/>
              </w:rPr>
            </w:pPr>
            <w:r>
              <w:rPr>
                <w:rFonts w:ascii="Arial" w:cs="Arial" w:eastAsia="Arial" w:hAnsi="Arial"/>
                <w:sz w:val="14"/>
                <w:szCs w:val="14"/>
                <w:color w:val="auto"/>
                <w:w w:val="99"/>
              </w:rPr>
              <w:t>—</w:t>
            </w:r>
          </w:p>
        </w:tc>
        <w:tc>
          <w:tcPr>
            <w:tcW w:w="240" w:type="dxa"/>
            <w:vAlign w:val="bottom"/>
            <w:shd w:val="clear" w:color="auto" w:fill="CCECFF"/>
          </w:tcPr>
          <w:p>
            <w:pPr>
              <w:spacing w:after="0"/>
              <w:rPr>
                <w:sz w:val="14"/>
                <w:szCs w:val="14"/>
                <w:color w:val="auto"/>
              </w:rPr>
            </w:pPr>
          </w:p>
        </w:tc>
        <w:tc>
          <w:tcPr>
            <w:tcW w:w="280" w:type="dxa"/>
            <w:vAlign w:val="bottom"/>
            <w:shd w:val="clear" w:color="auto" w:fill="CCECFF"/>
          </w:tcPr>
          <w:p>
            <w:pPr>
              <w:spacing w:after="0"/>
              <w:rPr>
                <w:sz w:val="14"/>
                <w:szCs w:val="14"/>
                <w:color w:val="auto"/>
              </w:rPr>
            </w:pPr>
          </w:p>
        </w:tc>
        <w:tc>
          <w:tcPr>
            <w:tcW w:w="9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224,321,845</w:t>
            </w:r>
          </w:p>
        </w:tc>
        <w:tc>
          <w:tcPr>
            <w:tcW w:w="24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1280" w:type="dxa"/>
            <w:vAlign w:val="bottom"/>
            <w:gridSpan w:val="2"/>
            <w:shd w:val="clear" w:color="auto" w:fill="CCECFF"/>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5"/>
        </w:trPr>
        <w:tc>
          <w:tcPr>
            <w:tcW w:w="3780" w:type="dxa"/>
            <w:vAlign w:val="bottom"/>
          </w:tcPr>
          <w:p>
            <w:pPr>
              <w:ind w:left="500"/>
              <w:spacing w:after="0" w:line="155" w:lineRule="exact"/>
              <w:rPr>
                <w:sz w:val="20"/>
                <w:szCs w:val="20"/>
                <w:color w:val="auto"/>
              </w:rPr>
            </w:pPr>
            <w:r>
              <w:rPr>
                <w:rFonts w:ascii="Arial" w:cs="Arial" w:eastAsia="Arial" w:hAnsi="Arial"/>
                <w:sz w:val="14"/>
                <w:szCs w:val="14"/>
                <w:color w:val="auto"/>
              </w:rPr>
              <w:t>Total debt</w:t>
            </w:r>
          </w:p>
        </w:tc>
        <w:tc>
          <w:tcPr>
            <w:tcW w:w="120" w:type="dxa"/>
            <w:vAlign w:val="bottom"/>
          </w:tcPr>
          <w:p>
            <w:pPr>
              <w:spacing w:after="0"/>
              <w:rPr>
                <w:sz w:val="13"/>
                <w:szCs w:val="13"/>
                <w:color w:val="auto"/>
              </w:rPr>
            </w:pPr>
          </w:p>
        </w:tc>
        <w:tc>
          <w:tcPr>
            <w:tcW w:w="200" w:type="dxa"/>
            <w:vAlign w:val="bottom"/>
            <w:tcBorders>
              <w:top w:val="single" w:sz="8" w:color="auto"/>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w w:val="76"/>
              </w:rPr>
              <w:t>$</w:t>
            </w:r>
          </w:p>
        </w:tc>
        <w:tc>
          <w:tcPr>
            <w:tcW w:w="10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623,550,512</w:t>
            </w:r>
          </w:p>
        </w:tc>
        <w:tc>
          <w:tcPr>
            <w:tcW w:w="240" w:type="dxa"/>
            <w:vAlign w:val="bottom"/>
          </w:tcPr>
          <w:p>
            <w:pPr>
              <w:spacing w:after="0"/>
              <w:rPr>
                <w:sz w:val="13"/>
                <w:szCs w:val="13"/>
                <w:color w:val="auto"/>
              </w:rPr>
            </w:pPr>
          </w:p>
        </w:tc>
        <w:tc>
          <w:tcPr>
            <w:tcW w:w="220" w:type="dxa"/>
            <w:vAlign w:val="bottom"/>
            <w:tcBorders>
              <w:top w:val="single" w:sz="8" w:color="auto"/>
              <w:bottom w:val="single" w:sz="8" w:color="auto"/>
            </w:tcBorders>
          </w:tcPr>
          <w:p>
            <w:pPr>
              <w:jc w:val="right"/>
              <w:ind w:right="109"/>
              <w:spacing w:after="0"/>
              <w:rPr>
                <w:sz w:val="20"/>
                <w:szCs w:val="20"/>
                <w:color w:val="auto"/>
              </w:rPr>
            </w:pPr>
            <w:r>
              <w:rPr>
                <w:rFonts w:ascii="Arial" w:cs="Arial" w:eastAsia="Arial" w:hAnsi="Arial"/>
                <w:sz w:val="10"/>
                <w:szCs w:val="10"/>
                <w:color w:val="auto"/>
                <w:w w:val="71"/>
              </w:rPr>
              <w:t>$</w:t>
            </w:r>
          </w:p>
        </w:tc>
        <w:tc>
          <w:tcPr>
            <w:tcW w:w="10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135,240,084</w:t>
            </w:r>
          </w:p>
        </w:tc>
        <w:tc>
          <w:tcPr>
            <w:tcW w:w="240" w:type="dxa"/>
            <w:vAlign w:val="bottom"/>
          </w:tcPr>
          <w:p>
            <w:pPr>
              <w:spacing w:after="0"/>
              <w:rPr>
                <w:sz w:val="13"/>
                <w:szCs w:val="13"/>
                <w:color w:val="auto"/>
              </w:rPr>
            </w:pPr>
          </w:p>
        </w:tc>
        <w:tc>
          <w:tcPr>
            <w:tcW w:w="240" w:type="dxa"/>
            <w:vAlign w:val="bottom"/>
            <w:tcBorders>
              <w:top w:val="single" w:sz="8" w:color="auto"/>
              <w:bottom w:val="single" w:sz="8" w:color="auto"/>
            </w:tcBorders>
          </w:tcPr>
          <w:p>
            <w:pPr>
              <w:jc w:val="right"/>
              <w:ind w:right="88"/>
              <w:spacing w:after="0" w:line="155" w:lineRule="exact"/>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bottom w:val="single" w:sz="8" w:color="auto"/>
            </w:tcBorders>
          </w:tcPr>
          <w:p>
            <w:pPr>
              <w:ind w:left="840"/>
              <w:spacing w:after="0" w:line="155" w:lineRule="exact"/>
              <w:rPr>
                <w:sz w:val="20"/>
                <w:szCs w:val="20"/>
                <w:color w:val="auto"/>
              </w:rPr>
            </w:pPr>
            <w:r>
              <w:rPr>
                <w:rFonts w:ascii="Arial" w:cs="Arial" w:eastAsia="Arial" w:hAnsi="Arial"/>
                <w:sz w:val="14"/>
                <w:szCs w:val="14"/>
                <w:color w:val="auto"/>
                <w:w w:val="99"/>
              </w:rPr>
              <w:t>—</w:t>
            </w:r>
          </w:p>
        </w:tc>
        <w:tc>
          <w:tcPr>
            <w:tcW w:w="240" w:type="dxa"/>
            <w:vAlign w:val="bottom"/>
          </w:tcPr>
          <w:p>
            <w:pPr>
              <w:spacing w:after="0"/>
              <w:rPr>
                <w:sz w:val="13"/>
                <w:szCs w:val="13"/>
                <w:color w:val="auto"/>
              </w:rPr>
            </w:pPr>
          </w:p>
        </w:tc>
        <w:tc>
          <w:tcPr>
            <w:tcW w:w="280" w:type="dxa"/>
            <w:vAlign w:val="bottom"/>
            <w:tcBorders>
              <w:top w:val="single" w:sz="8" w:color="auto"/>
              <w:bottom w:val="single" w:sz="8" w:color="auto"/>
            </w:tcBorders>
          </w:tcPr>
          <w:p>
            <w:pPr>
              <w:jc w:val="right"/>
              <w:ind w:right="128"/>
              <w:spacing w:after="0" w:line="155" w:lineRule="exact"/>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488,310,428</w:t>
            </w:r>
          </w:p>
        </w:tc>
        <w:tc>
          <w:tcPr>
            <w:tcW w:w="24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11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93980</wp:posOffset>
            </wp:positionV>
            <wp:extent cx="185991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859915" cy="8255"/>
                    </a:xfrm>
                    <a:prstGeom prst="rect">
                      <a:avLst/>
                    </a:prstGeom>
                    <a:noFill/>
                  </pic:spPr>
                </pic:pic>
              </a:graphicData>
            </a:graphic>
          </wp:anchor>
        </w:drawing>
      </w:r>
    </w:p>
    <w:p>
      <w:pPr>
        <w:spacing w:after="0" w:line="150" w:lineRule="exact"/>
        <w:rPr>
          <w:sz w:val="20"/>
          <w:szCs w:val="20"/>
          <w:color w:val="auto"/>
        </w:rPr>
      </w:pPr>
    </w:p>
    <w:p>
      <w:pPr>
        <w:ind w:left="380" w:right="120" w:hanging="372"/>
        <w:spacing w:after="0"/>
        <w:tabs>
          <w:tab w:leader="none" w:pos="380" w:val="left"/>
        </w:tabs>
        <w:numPr>
          <w:ilvl w:val="0"/>
          <w:numId w:val="13"/>
        </w:numPr>
        <w:rPr>
          <w:rFonts w:ascii="Arial" w:cs="Arial" w:eastAsia="Arial" w:hAnsi="Arial"/>
          <w:sz w:val="12"/>
          <w:szCs w:val="12"/>
          <w:color w:val="auto"/>
        </w:rPr>
      </w:pPr>
      <w:r>
        <w:rPr>
          <w:rFonts w:ascii="Arial" w:cs="Arial" w:eastAsia="Arial" w:hAnsi="Arial"/>
          <w:sz w:val="14"/>
          <w:szCs w:val="14"/>
          <w:color w:val="auto"/>
        </w:rPr>
        <w:t>In accordance with ASC Subtopic 820-10, Fair Value Measurements and Disclosures, or ASC 820-10, our equity investment in PSSL is measured using the net asset value per share (or its equivalent) as a practical expedient for fair value, have not been classified in the fair value hierarchy.</w:t>
      </w:r>
    </w:p>
    <w:p>
      <w:pPr>
        <w:ind w:left="380" w:right="300" w:hanging="372"/>
        <w:spacing w:after="0" w:line="237" w:lineRule="auto"/>
        <w:tabs>
          <w:tab w:leader="none" w:pos="380" w:val="left"/>
        </w:tabs>
        <w:numPr>
          <w:ilvl w:val="0"/>
          <w:numId w:val="13"/>
        </w:numPr>
        <w:rPr>
          <w:rFonts w:ascii="Arial" w:cs="Arial" w:eastAsia="Arial" w:hAnsi="Arial"/>
          <w:sz w:val="12"/>
          <w:szCs w:val="12"/>
          <w:color w:val="auto"/>
        </w:rPr>
      </w:pPr>
      <w:r>
        <w:rPr>
          <w:rFonts w:ascii="Arial" w:cs="Arial" w:eastAsia="Arial" w:hAnsi="Arial"/>
          <w:sz w:val="14"/>
          <w:szCs w:val="14"/>
          <w:color w:val="auto"/>
        </w:rPr>
        <w:t>We elected not to apply ASC 825-10 to the 2031 Asset-Backed Debt and thus the balance reported in the Consolidated Statement of Assets and Liabilities represents the carrying value, which approximates the fair value.</w:t>
      </w:r>
    </w:p>
    <w:p>
      <w:pPr>
        <w:spacing w:after="0" w:line="116" w:lineRule="exact"/>
        <w:rPr>
          <w:sz w:val="20"/>
          <w:szCs w:val="20"/>
          <w:color w:val="auto"/>
        </w:rPr>
      </w:pPr>
    </w:p>
    <w:p>
      <w:pPr>
        <w:ind w:left="440"/>
        <w:spacing w:after="0"/>
        <w:rPr>
          <w:sz w:val="20"/>
          <w:szCs w:val="20"/>
          <w:color w:val="auto"/>
        </w:rPr>
      </w:pPr>
      <w:r>
        <w:rPr>
          <w:rFonts w:ascii="Arial" w:cs="Arial" w:eastAsia="Arial" w:hAnsi="Arial"/>
          <w:sz w:val="14"/>
          <w:szCs w:val="14"/>
          <w:color w:val="auto"/>
        </w:rPr>
        <w:t>The tables below show a reconciliation of the beginning and ending balances for fair valued investments measured using significant unobservable inputs (Level 3):</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3340" w:type="dxa"/>
            <w:vAlign w:val="bottom"/>
            <w:tcBorders>
              <w:bottom w:val="single" w:sz="8" w:color="auto"/>
            </w:tcBorders>
            <w:gridSpan w:val="7"/>
          </w:tcPr>
          <w:p>
            <w:pPr>
              <w:jc w:val="center"/>
              <w:ind w:left="608"/>
              <w:spacing w:after="0"/>
              <w:rPr>
                <w:sz w:val="20"/>
                <w:szCs w:val="20"/>
                <w:color w:val="auto"/>
              </w:rPr>
            </w:pPr>
            <w:r>
              <w:rPr>
                <w:rFonts w:ascii="Arial" w:cs="Arial" w:eastAsia="Arial" w:hAnsi="Arial"/>
                <w:sz w:val="14"/>
                <w:szCs w:val="14"/>
                <w:b w:val="1"/>
                <w:bCs w:val="1"/>
                <w:color w:val="auto"/>
                <w:w w:val="93"/>
              </w:rPr>
              <w:t>Three Months Ended December 31, 2019</w:t>
            </w:r>
          </w:p>
        </w:tc>
        <w:tc>
          <w:tcPr>
            <w:tcW w:w="9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6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80" w:type="dxa"/>
            <w:vAlign w:val="bottom"/>
            <w:gridSpan w:val="2"/>
          </w:tcPr>
          <w:p>
            <w:pPr>
              <w:jc w:val="center"/>
              <w:ind w:right="340"/>
              <w:spacing w:after="0" w:line="133" w:lineRule="exact"/>
              <w:rPr>
                <w:sz w:val="20"/>
                <w:szCs w:val="20"/>
                <w:color w:val="auto"/>
              </w:rPr>
            </w:pPr>
            <w:r>
              <w:rPr>
                <w:rFonts w:ascii="Arial" w:cs="Arial" w:eastAsia="Arial" w:hAnsi="Arial"/>
                <w:sz w:val="14"/>
                <w:szCs w:val="14"/>
                <w:b w:val="1"/>
                <w:bCs w:val="1"/>
                <w:color w:val="auto"/>
                <w:w w:val="89"/>
              </w:rPr>
              <w:t>Second lien,</w:t>
            </w:r>
          </w:p>
        </w:tc>
        <w:tc>
          <w:tcPr>
            <w:tcW w:w="4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6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1"/>
              </w:rPr>
              <w:t>subordinated debt</w:t>
            </w:r>
          </w:p>
        </w:tc>
        <w:tc>
          <w:tcPr>
            <w:tcW w:w="4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520" w:type="dxa"/>
            <w:vAlign w:val="bottom"/>
            <w:vMerge w:val="restart"/>
          </w:tcPr>
          <w:p>
            <w:pPr>
              <w:spacing w:after="0"/>
              <w:rPr>
                <w:sz w:val="20"/>
                <w:szCs w:val="20"/>
                <w:color w:val="auto"/>
              </w:rPr>
            </w:pPr>
            <w:r>
              <w:rPr>
                <w:rFonts w:ascii="Arial" w:cs="Arial" w:eastAsia="Arial" w:hAnsi="Arial"/>
                <w:sz w:val="14"/>
                <w:szCs w:val="14"/>
                <w:b w:val="1"/>
                <w:bCs w:val="1"/>
                <w:color w:val="auto"/>
              </w:rPr>
              <w:t>Description</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rPr>
              <w:t>First Lien</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4"/>
              </w:rPr>
              <w:t>and equity</w:t>
            </w:r>
          </w:p>
        </w:tc>
        <w:tc>
          <w:tcPr>
            <w:tcW w:w="420" w:type="dxa"/>
            <w:vAlign w:val="bottom"/>
          </w:tcPr>
          <w:p>
            <w:pPr>
              <w:spacing w:after="0"/>
              <w:rPr>
                <w:sz w:val="12"/>
                <w:szCs w:val="12"/>
                <w:color w:val="auto"/>
              </w:rPr>
            </w:pPr>
          </w:p>
        </w:tc>
        <w:tc>
          <w:tcPr>
            <w:tcW w:w="1020" w:type="dxa"/>
            <w:vAlign w:val="bottom"/>
            <w:gridSpan w:val="2"/>
            <w:vMerge w:val="restart"/>
          </w:tcPr>
          <w:p>
            <w:pPr>
              <w:jc w:val="right"/>
              <w:ind w:right="600"/>
              <w:spacing w:after="0"/>
              <w:rPr>
                <w:sz w:val="20"/>
                <w:szCs w:val="20"/>
                <w:color w:val="auto"/>
              </w:rPr>
            </w:pPr>
            <w:r>
              <w:rPr>
                <w:rFonts w:ascii="Arial" w:cs="Arial" w:eastAsia="Arial" w:hAnsi="Arial"/>
                <w:sz w:val="14"/>
                <w:szCs w:val="14"/>
                <w:b w:val="1"/>
                <w:bCs w:val="1"/>
                <w:color w:val="auto"/>
                <w:w w:val="96"/>
              </w:rPr>
              <w:t>Totals</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65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8"/>
              </w:rPr>
              <w:t>investments</w:t>
            </w:r>
          </w:p>
        </w:tc>
        <w:tc>
          <w:tcPr>
            <w:tcW w:w="42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6520" w:type="dxa"/>
            <w:vAlign w:val="bottom"/>
            <w:tcBorders>
              <w:top w:val="single" w:sz="8" w:color="auto"/>
            </w:tcBorders>
            <w:shd w:val="clear" w:color="auto" w:fill="CCECFF"/>
          </w:tcPr>
          <w:p>
            <w:pPr>
              <w:spacing w:after="0" w:line="155" w:lineRule="exact"/>
              <w:rPr>
                <w:sz w:val="20"/>
                <w:szCs w:val="20"/>
                <w:color w:val="auto"/>
              </w:rPr>
            </w:pPr>
            <w:r>
              <w:rPr>
                <w:rFonts w:ascii="Arial" w:cs="Arial" w:eastAsia="Arial" w:hAnsi="Arial"/>
                <w:sz w:val="14"/>
                <w:szCs w:val="14"/>
                <w:color w:val="auto"/>
              </w:rPr>
              <w:t>Beginning Balance</w:t>
            </w:r>
          </w:p>
        </w:tc>
        <w:tc>
          <w:tcPr>
            <w:tcW w:w="140" w:type="dxa"/>
            <w:vAlign w:val="bottom"/>
            <w:tcBorders>
              <w:top w:val="single" w:sz="8" w:color="CCECFF"/>
            </w:tcBorders>
            <w:shd w:val="clear" w:color="auto" w:fill="CCECFF"/>
          </w:tcPr>
          <w:p>
            <w:pPr>
              <w:spacing w:after="0"/>
              <w:rPr>
                <w:sz w:val="13"/>
                <w:szCs w:val="13"/>
                <w:color w:val="auto"/>
              </w:rPr>
            </w:pPr>
          </w:p>
        </w:tc>
        <w:tc>
          <w:tcPr>
            <w:tcW w:w="220" w:type="dxa"/>
            <w:vAlign w:val="bottom"/>
            <w:tcBorders>
              <w:top w:val="single" w:sz="8" w:color="auto"/>
            </w:tcBorders>
            <w:shd w:val="clear" w:color="auto" w:fill="CCECFF"/>
          </w:tcPr>
          <w:p>
            <w:pPr>
              <w:jc w:val="right"/>
              <w:ind w:right="68"/>
              <w:spacing w:after="0" w:line="155" w:lineRule="exact"/>
              <w:rPr>
                <w:sz w:val="20"/>
                <w:szCs w:val="20"/>
                <w:color w:val="auto"/>
              </w:rPr>
            </w:pPr>
            <w:r>
              <w:rPr>
                <w:rFonts w:ascii="Arial" w:cs="Arial" w:eastAsia="Arial" w:hAnsi="Arial"/>
                <w:sz w:val="14"/>
                <w:szCs w:val="14"/>
                <w:color w:val="auto"/>
                <w:w w:val="76"/>
              </w:rPr>
              <w:t>$</w:t>
            </w:r>
          </w:p>
        </w:tc>
        <w:tc>
          <w:tcPr>
            <w:tcW w:w="110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944,900,800</w:t>
            </w:r>
          </w:p>
        </w:tc>
        <w:tc>
          <w:tcPr>
            <w:tcW w:w="140" w:type="dxa"/>
            <w:vAlign w:val="bottom"/>
            <w:tcBorders>
              <w:top w:val="single" w:sz="8" w:color="CCECFF"/>
            </w:tcBorders>
            <w:shd w:val="clear" w:color="auto" w:fill="CCECFF"/>
          </w:tcPr>
          <w:p>
            <w:pPr>
              <w:spacing w:after="0"/>
              <w:rPr>
                <w:sz w:val="13"/>
                <w:szCs w:val="13"/>
                <w:color w:val="auto"/>
              </w:rPr>
            </w:pPr>
          </w:p>
        </w:tc>
        <w:tc>
          <w:tcPr>
            <w:tcW w:w="100" w:type="dxa"/>
            <w:vAlign w:val="bottom"/>
            <w:tcBorders>
              <w:top w:val="single" w:sz="8" w:color="CCECFF"/>
            </w:tcBorders>
            <w:shd w:val="clear" w:color="auto" w:fill="CCECFF"/>
          </w:tcPr>
          <w:p>
            <w:pPr>
              <w:spacing w:after="0"/>
              <w:rPr>
                <w:sz w:val="13"/>
                <w:szCs w:val="13"/>
                <w:color w:val="auto"/>
              </w:rPr>
            </w:pPr>
          </w:p>
        </w:tc>
        <w:tc>
          <w:tcPr>
            <w:tcW w:w="10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w w:val="76"/>
              </w:rPr>
              <w:t>$</w:t>
            </w:r>
          </w:p>
        </w:tc>
        <w:tc>
          <w:tcPr>
            <w:tcW w:w="124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86,836,779</w:t>
            </w:r>
          </w:p>
        </w:tc>
        <w:tc>
          <w:tcPr>
            <w:tcW w:w="240" w:type="dxa"/>
            <w:vAlign w:val="bottom"/>
            <w:tcBorders>
              <w:top w:val="single" w:sz="8" w:color="CCECFF"/>
            </w:tcBorders>
            <w:shd w:val="clear" w:color="auto" w:fill="CCECFF"/>
          </w:tcPr>
          <w:p>
            <w:pPr>
              <w:spacing w:after="0"/>
              <w:rPr>
                <w:sz w:val="13"/>
                <w:szCs w:val="13"/>
                <w:color w:val="auto"/>
              </w:rPr>
            </w:pPr>
          </w:p>
        </w:tc>
        <w:tc>
          <w:tcPr>
            <w:tcW w:w="420" w:type="dxa"/>
            <w:vAlign w:val="bottom"/>
            <w:tcBorders>
              <w:top w:val="single" w:sz="8" w:color="auto"/>
            </w:tcBorders>
            <w:shd w:val="clear" w:color="auto" w:fill="CCECFF"/>
          </w:tcPr>
          <w:p>
            <w:pPr>
              <w:jc w:val="right"/>
              <w:ind w:right="268"/>
              <w:spacing w:after="0" w:line="155" w:lineRule="exact"/>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w w:val="98"/>
              </w:rPr>
              <w:t>1,031,737,579</w:t>
            </w:r>
          </w:p>
        </w:tc>
        <w:tc>
          <w:tcPr>
            <w:tcW w:w="100" w:type="dxa"/>
            <w:vAlign w:val="bottom"/>
            <w:tcBorders>
              <w:top w:val="single" w:sz="8" w:color="CCECFF"/>
            </w:tcBorders>
            <w:shd w:val="clear" w:color="auto" w:fill="CCEC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520" w:type="dxa"/>
            <w:vAlign w:val="bottom"/>
          </w:tcPr>
          <w:p>
            <w:pPr>
              <w:ind w:left="500"/>
              <w:spacing w:after="0"/>
              <w:rPr>
                <w:sz w:val="20"/>
                <w:szCs w:val="20"/>
                <w:color w:val="auto"/>
              </w:rPr>
            </w:pPr>
            <w:r>
              <w:rPr>
                <w:rFonts w:ascii="Arial" w:cs="Arial" w:eastAsia="Arial" w:hAnsi="Arial"/>
                <w:sz w:val="14"/>
                <w:szCs w:val="14"/>
                <w:color w:val="auto"/>
              </w:rPr>
              <w:t>Net realized gain</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976,698</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35,322</w:t>
            </w:r>
          </w:p>
        </w:tc>
        <w:tc>
          <w:tcPr>
            <w:tcW w:w="2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1,012,020</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520" w:type="dxa"/>
            <w:vAlign w:val="bottom"/>
            <w:shd w:val="clear" w:color="auto" w:fill="CCECFF"/>
          </w:tcPr>
          <w:p>
            <w:pPr>
              <w:ind w:left="500"/>
              <w:spacing w:after="0"/>
              <w:rPr>
                <w:sz w:val="20"/>
                <w:szCs w:val="20"/>
                <w:color w:val="auto"/>
              </w:rPr>
            </w:pPr>
            <w:r>
              <w:rPr>
                <w:rFonts w:ascii="Arial" w:cs="Arial" w:eastAsia="Arial" w:hAnsi="Arial"/>
                <w:sz w:val="14"/>
                <w:szCs w:val="14"/>
                <w:color w:val="auto"/>
              </w:rPr>
              <w:t>Net change in unrealized appreciation (depreciation)</w:t>
            </w:r>
          </w:p>
        </w:tc>
        <w:tc>
          <w:tcPr>
            <w:tcW w:w="14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11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679,968</w:t>
            </w:r>
          </w:p>
        </w:tc>
        <w:tc>
          <w:tcPr>
            <w:tcW w:w="14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1480" w:type="dxa"/>
            <w:vAlign w:val="bottom"/>
            <w:gridSpan w:val="2"/>
            <w:shd w:val="clear" w:color="auto" w:fill="CCECFF"/>
          </w:tcPr>
          <w:p>
            <w:pPr>
              <w:jc w:val="right"/>
              <w:ind w:right="200"/>
              <w:spacing w:after="0"/>
              <w:rPr>
                <w:sz w:val="20"/>
                <w:szCs w:val="20"/>
                <w:color w:val="auto"/>
              </w:rPr>
            </w:pPr>
            <w:r>
              <w:rPr>
                <w:rFonts w:ascii="Arial" w:cs="Arial" w:eastAsia="Arial" w:hAnsi="Arial"/>
                <w:sz w:val="14"/>
                <w:szCs w:val="14"/>
                <w:color w:val="auto"/>
              </w:rPr>
              <w:t>(4,051,404)</w:t>
            </w:r>
          </w:p>
        </w:tc>
        <w:tc>
          <w:tcPr>
            <w:tcW w:w="420" w:type="dxa"/>
            <w:vAlign w:val="bottom"/>
            <w:shd w:val="clear" w:color="auto" w:fill="CCECFF"/>
          </w:tcPr>
          <w:p>
            <w:pPr>
              <w:spacing w:after="0"/>
              <w:rPr>
                <w:sz w:val="14"/>
                <w:szCs w:val="14"/>
                <w:color w:val="auto"/>
              </w:rPr>
            </w:pPr>
          </w:p>
        </w:tc>
        <w:tc>
          <w:tcPr>
            <w:tcW w:w="1020" w:type="dxa"/>
            <w:vAlign w:val="bottom"/>
            <w:gridSpan w:val="2"/>
            <w:shd w:val="clear" w:color="auto" w:fill="CCECFF"/>
          </w:tcPr>
          <w:p>
            <w:pPr>
              <w:jc w:val="right"/>
              <w:ind w:right="60"/>
              <w:spacing w:after="0"/>
              <w:rPr>
                <w:sz w:val="20"/>
                <w:szCs w:val="20"/>
                <w:color w:val="auto"/>
              </w:rPr>
            </w:pPr>
            <w:r>
              <w:rPr>
                <w:rFonts w:ascii="Arial" w:cs="Arial" w:eastAsia="Arial" w:hAnsi="Arial"/>
                <w:sz w:val="14"/>
                <w:szCs w:val="14"/>
                <w:color w:val="auto"/>
              </w:rPr>
              <w:t>(3,371,436)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520" w:type="dxa"/>
            <w:vAlign w:val="bottom"/>
          </w:tcPr>
          <w:p>
            <w:pPr>
              <w:ind w:left="500"/>
              <w:spacing w:after="0"/>
              <w:rPr>
                <w:sz w:val="20"/>
                <w:szCs w:val="20"/>
                <w:color w:val="auto"/>
              </w:rPr>
            </w:pPr>
            <w:r>
              <w:rPr>
                <w:rFonts w:ascii="Arial" w:cs="Arial" w:eastAsia="Arial" w:hAnsi="Arial"/>
                <w:sz w:val="14"/>
                <w:szCs w:val="14"/>
                <w:color w:val="auto"/>
              </w:rPr>
              <w:t>Purchases, PIK interest, net discount accretion and non-cash exchanges</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237,379,619</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3,373,585</w:t>
            </w:r>
          </w:p>
        </w:tc>
        <w:tc>
          <w:tcPr>
            <w:tcW w:w="2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240,753,204</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520" w:type="dxa"/>
            <w:vAlign w:val="bottom"/>
            <w:shd w:val="clear" w:color="auto" w:fill="CCECFF"/>
          </w:tcPr>
          <w:p>
            <w:pPr>
              <w:ind w:left="500"/>
              <w:spacing w:after="0"/>
              <w:rPr>
                <w:sz w:val="20"/>
                <w:szCs w:val="20"/>
                <w:color w:val="auto"/>
              </w:rPr>
            </w:pPr>
            <w:r>
              <w:rPr>
                <w:rFonts w:ascii="Arial" w:cs="Arial" w:eastAsia="Arial" w:hAnsi="Arial"/>
                <w:sz w:val="14"/>
                <w:szCs w:val="14"/>
                <w:color w:val="auto"/>
              </w:rPr>
              <w:t>Sales, repayments and non-cash exchanges</w:t>
            </w:r>
          </w:p>
        </w:tc>
        <w:tc>
          <w:tcPr>
            <w:tcW w:w="14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1240" w:type="dxa"/>
            <w:vAlign w:val="bottom"/>
            <w:gridSpan w:val="2"/>
            <w:shd w:val="clear" w:color="auto" w:fill="CCECFF"/>
          </w:tcPr>
          <w:p>
            <w:pPr>
              <w:jc w:val="right"/>
              <w:ind w:right="100"/>
              <w:spacing w:after="0"/>
              <w:rPr>
                <w:sz w:val="20"/>
                <w:szCs w:val="20"/>
                <w:color w:val="auto"/>
              </w:rPr>
            </w:pPr>
            <w:r>
              <w:rPr>
                <w:rFonts w:ascii="Arial" w:cs="Arial" w:eastAsia="Arial" w:hAnsi="Arial"/>
                <w:sz w:val="14"/>
                <w:szCs w:val="14"/>
                <w:color w:val="auto"/>
              </w:rPr>
              <w:t>(141,423,648)</w:t>
            </w:r>
          </w:p>
        </w:tc>
        <w:tc>
          <w:tcPr>
            <w:tcW w:w="10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1480" w:type="dxa"/>
            <w:vAlign w:val="bottom"/>
            <w:gridSpan w:val="2"/>
            <w:shd w:val="clear" w:color="auto" w:fill="CCECFF"/>
          </w:tcPr>
          <w:p>
            <w:pPr>
              <w:jc w:val="right"/>
              <w:ind w:right="200"/>
              <w:spacing w:after="0"/>
              <w:rPr>
                <w:sz w:val="20"/>
                <w:szCs w:val="20"/>
                <w:color w:val="auto"/>
              </w:rPr>
            </w:pPr>
            <w:r>
              <w:rPr>
                <w:rFonts w:ascii="Arial" w:cs="Arial" w:eastAsia="Arial" w:hAnsi="Arial"/>
                <w:sz w:val="14"/>
                <w:szCs w:val="14"/>
                <w:color w:val="auto"/>
              </w:rPr>
              <w:t>(2,319,653)</w:t>
            </w:r>
          </w:p>
        </w:tc>
        <w:tc>
          <w:tcPr>
            <w:tcW w:w="420" w:type="dxa"/>
            <w:vAlign w:val="bottom"/>
            <w:shd w:val="clear" w:color="auto" w:fill="CCECFF"/>
          </w:tcPr>
          <w:p>
            <w:pPr>
              <w:spacing w:after="0"/>
              <w:rPr>
                <w:sz w:val="14"/>
                <w:szCs w:val="14"/>
                <w:color w:val="auto"/>
              </w:rPr>
            </w:pPr>
          </w:p>
        </w:tc>
        <w:tc>
          <w:tcPr>
            <w:tcW w:w="1020" w:type="dxa"/>
            <w:vAlign w:val="bottom"/>
            <w:gridSpan w:val="2"/>
            <w:shd w:val="clear" w:color="auto" w:fill="CCECFF"/>
          </w:tcPr>
          <w:p>
            <w:pPr>
              <w:jc w:val="right"/>
              <w:ind w:right="60"/>
              <w:spacing w:after="0"/>
              <w:rPr>
                <w:sz w:val="20"/>
                <w:szCs w:val="20"/>
                <w:color w:val="auto"/>
              </w:rPr>
            </w:pPr>
            <w:r>
              <w:rPr>
                <w:rFonts w:ascii="Arial" w:cs="Arial" w:eastAsia="Arial" w:hAnsi="Arial"/>
                <w:sz w:val="14"/>
                <w:szCs w:val="14"/>
                <w:color w:val="auto"/>
              </w:rPr>
              <w:t>(143,743,301)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520" w:type="dxa"/>
            <w:vAlign w:val="bottom"/>
          </w:tcPr>
          <w:p>
            <w:pPr>
              <w:ind w:left="500"/>
              <w:spacing w:after="0"/>
              <w:rPr>
                <w:sz w:val="20"/>
                <w:szCs w:val="20"/>
                <w:color w:val="auto"/>
              </w:rPr>
            </w:pPr>
            <w:r>
              <w:rPr>
                <w:rFonts w:ascii="Arial" w:cs="Arial" w:eastAsia="Arial" w:hAnsi="Arial"/>
                <w:sz w:val="14"/>
                <w:szCs w:val="14"/>
                <w:color w:val="auto"/>
              </w:rPr>
              <w:t>Transfers in and/or out of Level 3</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4"/>
                <w:szCs w:val="14"/>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6520" w:type="dxa"/>
            <w:vAlign w:val="bottom"/>
            <w:tcBorders>
              <w:top w:val="single" w:sz="8" w:color="CCECFF"/>
              <w:bottom w:val="single" w:sz="8" w:color="CCECFF"/>
            </w:tcBorders>
            <w:shd w:val="clear" w:color="auto" w:fill="CCECFF"/>
          </w:tcPr>
          <w:p>
            <w:pPr>
              <w:spacing w:after="0" w:line="155" w:lineRule="exact"/>
              <w:rPr>
                <w:sz w:val="20"/>
                <w:szCs w:val="20"/>
                <w:color w:val="auto"/>
              </w:rPr>
            </w:pPr>
            <w:r>
              <w:rPr>
                <w:rFonts w:ascii="Arial" w:cs="Arial" w:eastAsia="Arial" w:hAnsi="Arial"/>
                <w:sz w:val="14"/>
                <w:szCs w:val="14"/>
                <w:color w:val="auto"/>
              </w:rPr>
              <w:t>Ending Balance</w:t>
            </w:r>
          </w:p>
        </w:tc>
        <w:tc>
          <w:tcPr>
            <w:tcW w:w="140" w:type="dxa"/>
            <w:vAlign w:val="bottom"/>
            <w:tcBorders>
              <w:top w:val="single" w:sz="8" w:color="CCECFF"/>
              <w:bottom w:val="single" w:sz="8" w:color="CCECFF"/>
            </w:tcBorders>
            <w:shd w:val="clear" w:color="auto" w:fill="CCECFF"/>
          </w:tcPr>
          <w:p>
            <w:pPr>
              <w:spacing w:after="0"/>
              <w:rPr>
                <w:sz w:val="13"/>
                <w:szCs w:val="13"/>
                <w:color w:val="auto"/>
              </w:rPr>
            </w:pPr>
          </w:p>
        </w:tc>
        <w:tc>
          <w:tcPr>
            <w:tcW w:w="220" w:type="dxa"/>
            <w:vAlign w:val="bottom"/>
            <w:tcBorders>
              <w:top w:val="single" w:sz="8" w:color="auto"/>
              <w:bottom w:val="single" w:sz="8" w:color="auto"/>
            </w:tcBorders>
            <w:shd w:val="clear" w:color="auto" w:fill="CCECFF"/>
          </w:tcPr>
          <w:p>
            <w:pPr>
              <w:jc w:val="right"/>
              <w:ind w:right="68"/>
              <w:spacing w:after="0" w:line="155" w:lineRule="exact"/>
              <w:rPr>
                <w:sz w:val="20"/>
                <w:szCs w:val="20"/>
                <w:color w:val="auto"/>
              </w:rPr>
            </w:pPr>
            <w:r>
              <w:rPr>
                <w:rFonts w:ascii="Arial" w:cs="Arial" w:eastAsia="Arial" w:hAnsi="Arial"/>
                <w:sz w:val="14"/>
                <w:szCs w:val="14"/>
                <w:color w:val="auto"/>
                <w:w w:val="76"/>
              </w:rPr>
              <w:t>$</w:t>
            </w:r>
          </w:p>
        </w:tc>
        <w:tc>
          <w:tcPr>
            <w:tcW w:w="110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1,042,513,437</w:t>
            </w:r>
          </w:p>
        </w:tc>
        <w:tc>
          <w:tcPr>
            <w:tcW w:w="140" w:type="dxa"/>
            <w:vAlign w:val="bottom"/>
            <w:tcBorders>
              <w:top w:val="single" w:sz="8" w:color="CCECFF"/>
              <w:bottom w:val="single" w:sz="8" w:color="CCECFF"/>
            </w:tcBorders>
            <w:shd w:val="clear" w:color="auto" w:fill="CCECFF"/>
          </w:tcPr>
          <w:p>
            <w:pPr>
              <w:spacing w:after="0"/>
              <w:rPr>
                <w:sz w:val="13"/>
                <w:szCs w:val="13"/>
                <w:color w:val="auto"/>
              </w:rPr>
            </w:pPr>
          </w:p>
        </w:tc>
        <w:tc>
          <w:tcPr>
            <w:tcW w:w="100" w:type="dxa"/>
            <w:vAlign w:val="bottom"/>
            <w:tcBorders>
              <w:top w:val="single" w:sz="8" w:color="CCECFF"/>
              <w:bottom w:val="single" w:sz="8" w:color="CCECFF"/>
            </w:tcBorders>
            <w:shd w:val="clear" w:color="auto" w:fill="CCECFF"/>
          </w:tcPr>
          <w:p>
            <w:pPr>
              <w:spacing w:after="0"/>
              <w:rPr>
                <w:sz w:val="13"/>
                <w:szCs w:val="13"/>
                <w:color w:val="auto"/>
              </w:rPr>
            </w:pPr>
          </w:p>
        </w:tc>
        <w:tc>
          <w:tcPr>
            <w:tcW w:w="10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w w:val="76"/>
              </w:rPr>
              <w:t>$</w:t>
            </w:r>
          </w:p>
        </w:tc>
        <w:tc>
          <w:tcPr>
            <w:tcW w:w="124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83,874,629</w:t>
            </w:r>
          </w:p>
        </w:tc>
        <w:tc>
          <w:tcPr>
            <w:tcW w:w="240" w:type="dxa"/>
            <w:vAlign w:val="bottom"/>
            <w:tcBorders>
              <w:top w:val="single" w:sz="8" w:color="CCECFF"/>
              <w:bottom w:val="single" w:sz="8" w:color="CCECFF"/>
            </w:tcBorders>
            <w:shd w:val="clear" w:color="auto" w:fill="CCECFF"/>
          </w:tcPr>
          <w:p>
            <w:pPr>
              <w:spacing w:after="0"/>
              <w:rPr>
                <w:sz w:val="13"/>
                <w:szCs w:val="13"/>
                <w:color w:val="auto"/>
              </w:rPr>
            </w:pPr>
          </w:p>
        </w:tc>
        <w:tc>
          <w:tcPr>
            <w:tcW w:w="420" w:type="dxa"/>
            <w:vAlign w:val="bottom"/>
            <w:tcBorders>
              <w:top w:val="single" w:sz="8" w:color="auto"/>
              <w:bottom w:val="single" w:sz="8" w:color="auto"/>
            </w:tcBorders>
            <w:shd w:val="clear" w:color="auto" w:fill="CCECFF"/>
          </w:tcPr>
          <w:p>
            <w:pPr>
              <w:jc w:val="right"/>
              <w:ind w:right="268"/>
              <w:spacing w:after="0" w:line="155" w:lineRule="exact"/>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w w:val="98"/>
              </w:rPr>
              <w:t>1,126,388,066</w:t>
            </w:r>
          </w:p>
        </w:tc>
        <w:tc>
          <w:tcPr>
            <w:tcW w:w="100" w:type="dxa"/>
            <w:vAlign w:val="bottom"/>
            <w:tcBorders>
              <w:top w:val="single" w:sz="8" w:color="CCECFF"/>
              <w:bottom w:val="single" w:sz="8" w:color="CCECFF"/>
            </w:tcBorders>
            <w:shd w:val="clear" w:color="auto" w:fill="CCEC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520" w:type="dxa"/>
            <w:vAlign w:val="bottom"/>
            <w:vMerge w:val="restart"/>
          </w:tcPr>
          <w:p>
            <w:pPr>
              <w:spacing w:after="0"/>
              <w:rPr>
                <w:sz w:val="20"/>
                <w:szCs w:val="20"/>
                <w:color w:val="auto"/>
              </w:rPr>
            </w:pPr>
            <w:r>
              <w:rPr>
                <w:rFonts w:ascii="Arial" w:cs="Arial" w:eastAsia="Arial" w:hAnsi="Arial"/>
                <w:sz w:val="14"/>
                <w:szCs w:val="14"/>
                <w:color w:val="auto"/>
              </w:rPr>
              <w:t>Net change in unrealized (depreciation) appreciation reported within the net change in unrealized</w:t>
            </w: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652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6520" w:type="dxa"/>
            <w:vAlign w:val="bottom"/>
          </w:tcPr>
          <w:p>
            <w:pPr>
              <w:ind w:left="120"/>
              <w:spacing w:after="0" w:line="149" w:lineRule="exact"/>
              <w:rPr>
                <w:sz w:val="20"/>
                <w:szCs w:val="20"/>
                <w:color w:val="auto"/>
              </w:rPr>
            </w:pPr>
            <w:r>
              <w:rPr>
                <w:rFonts w:ascii="Arial" w:cs="Arial" w:eastAsia="Arial" w:hAnsi="Arial"/>
                <w:sz w:val="14"/>
                <w:szCs w:val="14"/>
                <w:color w:val="auto"/>
              </w:rPr>
              <w:t>(depreciation) appreciation on investments in our Consolidated Statements of Operations</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6520" w:type="dxa"/>
            <w:vAlign w:val="bottom"/>
          </w:tcPr>
          <w:p>
            <w:pPr>
              <w:ind w:left="120"/>
              <w:spacing w:after="0"/>
              <w:rPr>
                <w:sz w:val="20"/>
                <w:szCs w:val="20"/>
                <w:color w:val="auto"/>
              </w:rPr>
            </w:pPr>
            <w:r>
              <w:rPr>
                <w:rFonts w:ascii="Arial" w:cs="Arial" w:eastAsia="Arial" w:hAnsi="Arial"/>
                <w:sz w:val="14"/>
                <w:szCs w:val="14"/>
                <w:color w:val="auto"/>
              </w:rPr>
              <w:t>attributable to our Level 3 assets still held at the reporting date.</w:t>
            </w:r>
          </w:p>
        </w:tc>
        <w:tc>
          <w:tcPr>
            <w:tcW w:w="360" w:type="dxa"/>
            <w:vAlign w:val="bottom"/>
            <w:gridSpan w:val="2"/>
          </w:tcPr>
          <w:p>
            <w:pPr>
              <w:jc w:val="right"/>
              <w:ind w:right="68"/>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534,054</w:t>
            </w:r>
          </w:p>
        </w:tc>
        <w:tc>
          <w:tcPr>
            <w:tcW w:w="140" w:type="dxa"/>
            <w:vAlign w:val="bottom"/>
          </w:tcPr>
          <w:p>
            <w:pPr>
              <w:spacing w:after="0"/>
              <w:rPr>
                <w:sz w:val="14"/>
                <w:szCs w:val="14"/>
                <w:color w:val="auto"/>
              </w:rPr>
            </w:pPr>
          </w:p>
        </w:tc>
        <w:tc>
          <w:tcPr>
            <w:tcW w:w="2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480" w:type="dxa"/>
            <w:vAlign w:val="bottom"/>
            <w:gridSpan w:val="2"/>
          </w:tcPr>
          <w:p>
            <w:pPr>
              <w:jc w:val="right"/>
              <w:ind w:right="200"/>
              <w:spacing w:after="0"/>
              <w:rPr>
                <w:sz w:val="20"/>
                <w:szCs w:val="20"/>
                <w:color w:val="auto"/>
              </w:rPr>
            </w:pPr>
            <w:r>
              <w:rPr>
                <w:rFonts w:ascii="Arial" w:cs="Arial" w:eastAsia="Arial" w:hAnsi="Arial"/>
                <w:sz w:val="14"/>
                <w:szCs w:val="14"/>
                <w:color w:val="auto"/>
              </w:rPr>
              <w:t>(3,974,340)</w:t>
            </w:r>
          </w:p>
        </w:tc>
        <w:tc>
          <w:tcPr>
            <w:tcW w:w="420" w:type="dxa"/>
            <w:vAlign w:val="bottom"/>
          </w:tcPr>
          <w:p>
            <w:pPr>
              <w:jc w:val="right"/>
              <w:ind w:right="268"/>
              <w:spacing w:after="0"/>
              <w:rPr>
                <w:sz w:val="20"/>
                <w:szCs w:val="20"/>
                <w:color w:val="auto"/>
              </w:rPr>
            </w:pPr>
            <w:r>
              <w:rPr>
                <w:rFonts w:ascii="Arial" w:cs="Arial" w:eastAsia="Arial" w:hAnsi="Arial"/>
                <w:sz w:val="14"/>
                <w:szCs w:val="14"/>
                <w:color w:val="auto"/>
                <w:w w:val="76"/>
              </w:rPr>
              <w:t>$</w:t>
            </w:r>
          </w:p>
        </w:tc>
        <w:tc>
          <w:tcPr>
            <w:tcW w:w="1020" w:type="dxa"/>
            <w:vAlign w:val="bottom"/>
            <w:gridSpan w:val="2"/>
          </w:tcPr>
          <w:p>
            <w:pPr>
              <w:jc w:val="right"/>
              <w:ind w:right="60"/>
              <w:spacing w:after="0"/>
              <w:rPr>
                <w:sz w:val="20"/>
                <w:szCs w:val="20"/>
                <w:color w:val="auto"/>
              </w:rPr>
            </w:pPr>
            <w:r>
              <w:rPr>
                <w:rFonts w:ascii="Arial" w:cs="Arial" w:eastAsia="Arial" w:hAnsi="Arial"/>
                <w:sz w:val="14"/>
                <w:szCs w:val="14"/>
                <w:color w:val="auto"/>
              </w:rPr>
              <w:t>(3,440,286)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520" w:type="dxa"/>
            <w:vAlign w:val="bottom"/>
            <w:vMerge w:val="restart"/>
          </w:tcPr>
          <w:p>
            <w:pPr>
              <w:ind w:left="5560"/>
              <w:spacing w:after="0"/>
              <w:rPr>
                <w:sz w:val="20"/>
                <w:szCs w:val="20"/>
                <w:color w:val="auto"/>
              </w:rPr>
            </w:pPr>
            <w:r>
              <w:rPr>
                <w:rFonts w:ascii="Arial" w:cs="Arial" w:eastAsia="Arial" w:hAnsi="Arial"/>
                <w:sz w:val="13"/>
                <w:szCs w:val="13"/>
                <w:color w:val="auto"/>
              </w:rPr>
              <w:t>25</w:t>
            </w: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8"/>
        </w:trPr>
        <w:tc>
          <w:tcPr>
            <w:tcW w:w="652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4"/>
        </w:trPr>
        <w:tc>
          <w:tcPr>
            <w:tcW w:w="652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10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24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420" w:type="dxa"/>
            <w:vAlign w:val="bottom"/>
            <w:tcBorders>
              <w:bottom w:val="single" w:sz="8" w:color="9A9A9A"/>
            </w:tcBorders>
          </w:tcPr>
          <w:p>
            <w:pPr>
              <w:spacing w:after="0"/>
              <w:rPr>
                <w:sz w:val="9"/>
                <w:szCs w:val="9"/>
                <w:color w:val="auto"/>
              </w:rPr>
            </w:pPr>
          </w:p>
        </w:tc>
        <w:tc>
          <w:tcPr>
            <w:tcW w:w="9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118" w:right="319" w:bottom="1440" w:gutter="0" w:footer="0" w:header="0"/>
        </w:sectPr>
      </w:pPr>
    </w:p>
    <w:bookmarkStart w:id="25" w:name="page26"/>
    <w:bookmarkEnd w:id="25"/>
    <w:p>
      <w:pPr>
        <w:jc w:val="center"/>
        <w:spacing w:after="0"/>
        <w:rPr>
          <w:sz w:val="20"/>
          <w:szCs w:val="20"/>
          <w:color w:val="auto"/>
        </w:rPr>
      </w:pPr>
      <w:r>
        <w:rPr>
          <w:rFonts w:ascii="Arial" w:cs="Arial" w:eastAsia="Arial" w:hAnsi="Arial"/>
          <w:sz w:val="14"/>
          <w:szCs w:val="14"/>
          <w:b w:val="1"/>
          <w:bCs w:val="1"/>
          <w:color w:val="auto"/>
        </w:rPr>
        <w:t>PENNANTPARK FLOATING RATE CAPITAL LTD. AND SUBSIDIARIES</w:t>
      </w:r>
    </w:p>
    <w:p>
      <w:pPr>
        <w:jc w:val="center"/>
        <w:spacing w:after="0" w:line="225" w:lineRule="auto"/>
        <w:rPr>
          <w:sz w:val="20"/>
          <w:szCs w:val="20"/>
          <w:color w:val="auto"/>
        </w:rPr>
      </w:pPr>
      <w:r>
        <w:rPr>
          <w:rFonts w:ascii="Arial" w:cs="Arial" w:eastAsia="Arial" w:hAnsi="Arial"/>
          <w:sz w:val="14"/>
          <w:szCs w:val="14"/>
          <w:b w:val="1"/>
          <w:bCs w:val="1"/>
          <w:color w:val="auto"/>
        </w:rPr>
        <w:t>NOTES TO CONSOLIDATED FINANCIAL STATEMENTS-(Continued)</w:t>
      </w:r>
    </w:p>
    <w:p>
      <w:pPr>
        <w:jc w:val="center"/>
        <w:spacing w:after="0" w:line="221" w:lineRule="auto"/>
        <w:rPr>
          <w:sz w:val="20"/>
          <w:szCs w:val="20"/>
          <w:color w:val="auto"/>
        </w:rPr>
      </w:pPr>
      <w:r>
        <w:rPr>
          <w:rFonts w:ascii="Arial" w:cs="Arial" w:eastAsia="Arial" w:hAnsi="Arial"/>
          <w:sz w:val="14"/>
          <w:szCs w:val="14"/>
          <w:b w:val="1"/>
          <w:bCs w:val="1"/>
          <w:color w:val="auto"/>
        </w:rPr>
        <w:t>DECEMBER 31, 2019</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3340" w:type="dxa"/>
            <w:vAlign w:val="bottom"/>
            <w:tcBorders>
              <w:bottom w:val="single" w:sz="8" w:color="auto"/>
            </w:tcBorders>
            <w:gridSpan w:val="7"/>
          </w:tcPr>
          <w:p>
            <w:pPr>
              <w:jc w:val="center"/>
              <w:ind w:left="608"/>
              <w:spacing w:after="0"/>
              <w:rPr>
                <w:sz w:val="20"/>
                <w:szCs w:val="20"/>
                <w:color w:val="auto"/>
              </w:rPr>
            </w:pPr>
            <w:r>
              <w:rPr>
                <w:rFonts w:ascii="Arial" w:cs="Arial" w:eastAsia="Arial" w:hAnsi="Arial"/>
                <w:sz w:val="14"/>
                <w:szCs w:val="14"/>
                <w:b w:val="1"/>
                <w:bCs w:val="1"/>
                <w:color w:val="auto"/>
                <w:w w:val="93"/>
              </w:rPr>
              <w:t>Three Months Ended December 31, 2018</w:t>
            </w:r>
          </w:p>
        </w:tc>
        <w:tc>
          <w:tcPr>
            <w:tcW w:w="9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6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80" w:type="dxa"/>
            <w:vAlign w:val="bottom"/>
            <w:gridSpan w:val="2"/>
          </w:tcPr>
          <w:p>
            <w:pPr>
              <w:jc w:val="center"/>
              <w:ind w:right="340"/>
              <w:spacing w:after="0" w:line="133" w:lineRule="exact"/>
              <w:rPr>
                <w:sz w:val="20"/>
                <w:szCs w:val="20"/>
                <w:color w:val="auto"/>
              </w:rPr>
            </w:pPr>
            <w:r>
              <w:rPr>
                <w:rFonts w:ascii="Arial" w:cs="Arial" w:eastAsia="Arial" w:hAnsi="Arial"/>
                <w:sz w:val="14"/>
                <w:szCs w:val="14"/>
                <w:b w:val="1"/>
                <w:bCs w:val="1"/>
                <w:color w:val="auto"/>
                <w:w w:val="89"/>
              </w:rPr>
              <w:t>Second lien,</w:t>
            </w:r>
          </w:p>
        </w:tc>
        <w:tc>
          <w:tcPr>
            <w:tcW w:w="4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6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1"/>
              </w:rPr>
              <w:t>subordinated debt</w:t>
            </w:r>
          </w:p>
        </w:tc>
        <w:tc>
          <w:tcPr>
            <w:tcW w:w="4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520" w:type="dxa"/>
            <w:vAlign w:val="bottom"/>
            <w:vMerge w:val="restart"/>
          </w:tcPr>
          <w:p>
            <w:pPr>
              <w:spacing w:after="0"/>
              <w:rPr>
                <w:sz w:val="20"/>
                <w:szCs w:val="20"/>
                <w:color w:val="auto"/>
              </w:rPr>
            </w:pPr>
            <w:r>
              <w:rPr>
                <w:rFonts w:ascii="Arial" w:cs="Arial" w:eastAsia="Arial" w:hAnsi="Arial"/>
                <w:sz w:val="14"/>
                <w:szCs w:val="14"/>
                <w:b w:val="1"/>
                <w:bCs w:val="1"/>
                <w:color w:val="auto"/>
              </w:rPr>
              <w:t>Description</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rPr>
              <w:t>First Lien</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4"/>
              </w:rPr>
              <w:t>and equity</w:t>
            </w:r>
          </w:p>
        </w:tc>
        <w:tc>
          <w:tcPr>
            <w:tcW w:w="420" w:type="dxa"/>
            <w:vAlign w:val="bottom"/>
          </w:tcPr>
          <w:p>
            <w:pPr>
              <w:spacing w:after="0"/>
              <w:rPr>
                <w:sz w:val="12"/>
                <w:szCs w:val="12"/>
                <w:color w:val="auto"/>
              </w:rPr>
            </w:pPr>
          </w:p>
        </w:tc>
        <w:tc>
          <w:tcPr>
            <w:tcW w:w="1020" w:type="dxa"/>
            <w:vAlign w:val="bottom"/>
            <w:gridSpan w:val="2"/>
            <w:vMerge w:val="restart"/>
          </w:tcPr>
          <w:p>
            <w:pPr>
              <w:jc w:val="right"/>
              <w:ind w:right="600"/>
              <w:spacing w:after="0"/>
              <w:rPr>
                <w:sz w:val="20"/>
                <w:szCs w:val="20"/>
                <w:color w:val="auto"/>
              </w:rPr>
            </w:pPr>
            <w:r>
              <w:rPr>
                <w:rFonts w:ascii="Arial" w:cs="Arial" w:eastAsia="Arial" w:hAnsi="Arial"/>
                <w:sz w:val="14"/>
                <w:szCs w:val="14"/>
                <w:b w:val="1"/>
                <w:bCs w:val="1"/>
                <w:color w:val="auto"/>
                <w:w w:val="96"/>
              </w:rPr>
              <w:t>Totals</w:t>
            </w:r>
          </w:p>
        </w:tc>
        <w:tc>
          <w:tcPr>
            <w:tcW w:w="0" w:type="dxa"/>
            <w:vAlign w:val="bottom"/>
          </w:tcPr>
          <w:p>
            <w:pPr>
              <w:spacing w:after="0"/>
              <w:rPr>
                <w:sz w:val="1"/>
                <w:szCs w:val="1"/>
                <w:color w:val="auto"/>
              </w:rPr>
            </w:pPr>
          </w:p>
        </w:tc>
      </w:tr>
      <w:tr>
        <w:trPr>
          <w:trHeight w:val="171"/>
        </w:trPr>
        <w:tc>
          <w:tcPr>
            <w:tcW w:w="65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8"/>
              </w:rPr>
              <w:t>investments</w:t>
            </w:r>
          </w:p>
        </w:tc>
        <w:tc>
          <w:tcPr>
            <w:tcW w:w="42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6520" w:type="dxa"/>
            <w:vAlign w:val="bottom"/>
            <w:tcBorders>
              <w:top w:val="single" w:sz="8" w:color="auto"/>
            </w:tcBorders>
            <w:shd w:val="clear" w:color="auto" w:fill="CCECFF"/>
          </w:tcPr>
          <w:p>
            <w:pPr>
              <w:spacing w:after="0" w:line="155" w:lineRule="exact"/>
              <w:rPr>
                <w:sz w:val="20"/>
                <w:szCs w:val="20"/>
                <w:color w:val="auto"/>
              </w:rPr>
            </w:pPr>
            <w:r>
              <w:rPr>
                <w:rFonts w:ascii="Arial" w:cs="Arial" w:eastAsia="Arial" w:hAnsi="Arial"/>
                <w:sz w:val="14"/>
                <w:szCs w:val="14"/>
                <w:color w:val="auto"/>
              </w:rPr>
              <w:t>Beginning Balance</w:t>
            </w:r>
          </w:p>
        </w:tc>
        <w:tc>
          <w:tcPr>
            <w:tcW w:w="140" w:type="dxa"/>
            <w:vAlign w:val="bottom"/>
            <w:tcBorders>
              <w:top w:val="single" w:sz="8" w:color="CCECFF"/>
            </w:tcBorders>
            <w:shd w:val="clear" w:color="auto" w:fill="CCECFF"/>
          </w:tcPr>
          <w:p>
            <w:pPr>
              <w:spacing w:after="0"/>
              <w:rPr>
                <w:sz w:val="13"/>
                <w:szCs w:val="13"/>
                <w:color w:val="auto"/>
              </w:rPr>
            </w:pPr>
          </w:p>
        </w:tc>
        <w:tc>
          <w:tcPr>
            <w:tcW w:w="220" w:type="dxa"/>
            <w:vAlign w:val="bottom"/>
            <w:tcBorders>
              <w:top w:val="single" w:sz="8" w:color="auto"/>
            </w:tcBorders>
            <w:shd w:val="clear" w:color="auto" w:fill="CCECFF"/>
          </w:tcPr>
          <w:p>
            <w:pPr>
              <w:jc w:val="right"/>
              <w:ind w:right="68"/>
              <w:spacing w:after="0" w:line="155" w:lineRule="exact"/>
              <w:rPr>
                <w:sz w:val="20"/>
                <w:szCs w:val="20"/>
                <w:color w:val="auto"/>
              </w:rPr>
            </w:pPr>
            <w:r>
              <w:rPr>
                <w:rFonts w:ascii="Arial" w:cs="Arial" w:eastAsia="Arial" w:hAnsi="Arial"/>
                <w:sz w:val="14"/>
                <w:szCs w:val="14"/>
                <w:color w:val="auto"/>
                <w:w w:val="76"/>
              </w:rPr>
              <w:t>$</w:t>
            </w:r>
          </w:p>
        </w:tc>
        <w:tc>
          <w:tcPr>
            <w:tcW w:w="110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913,297,976</w:t>
            </w:r>
          </w:p>
        </w:tc>
        <w:tc>
          <w:tcPr>
            <w:tcW w:w="140" w:type="dxa"/>
            <w:vAlign w:val="bottom"/>
            <w:tcBorders>
              <w:top w:val="single" w:sz="8" w:color="CCECFF"/>
            </w:tcBorders>
            <w:shd w:val="clear" w:color="auto" w:fill="CCECFF"/>
          </w:tcPr>
          <w:p>
            <w:pPr>
              <w:spacing w:after="0"/>
              <w:rPr>
                <w:sz w:val="13"/>
                <w:szCs w:val="13"/>
                <w:color w:val="auto"/>
              </w:rPr>
            </w:pPr>
          </w:p>
        </w:tc>
        <w:tc>
          <w:tcPr>
            <w:tcW w:w="100" w:type="dxa"/>
            <w:vAlign w:val="bottom"/>
            <w:tcBorders>
              <w:top w:val="single" w:sz="8" w:color="CCECFF"/>
            </w:tcBorders>
            <w:shd w:val="clear" w:color="auto" w:fill="CCECFF"/>
          </w:tcPr>
          <w:p>
            <w:pPr>
              <w:spacing w:after="0"/>
              <w:rPr>
                <w:sz w:val="13"/>
                <w:szCs w:val="13"/>
                <w:color w:val="auto"/>
              </w:rPr>
            </w:pPr>
          </w:p>
        </w:tc>
        <w:tc>
          <w:tcPr>
            <w:tcW w:w="10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w w:val="76"/>
              </w:rPr>
              <w:t>$</w:t>
            </w:r>
          </w:p>
        </w:tc>
        <w:tc>
          <w:tcPr>
            <w:tcW w:w="124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42,517,588</w:t>
            </w:r>
          </w:p>
        </w:tc>
        <w:tc>
          <w:tcPr>
            <w:tcW w:w="240" w:type="dxa"/>
            <w:vAlign w:val="bottom"/>
            <w:tcBorders>
              <w:top w:val="single" w:sz="8" w:color="CCECFF"/>
            </w:tcBorders>
            <w:shd w:val="clear" w:color="auto" w:fill="CCECFF"/>
          </w:tcPr>
          <w:p>
            <w:pPr>
              <w:spacing w:after="0"/>
              <w:rPr>
                <w:sz w:val="13"/>
                <w:szCs w:val="13"/>
                <w:color w:val="auto"/>
              </w:rPr>
            </w:pPr>
          </w:p>
        </w:tc>
        <w:tc>
          <w:tcPr>
            <w:tcW w:w="420" w:type="dxa"/>
            <w:vAlign w:val="bottom"/>
            <w:tcBorders>
              <w:top w:val="single" w:sz="8" w:color="auto"/>
            </w:tcBorders>
            <w:shd w:val="clear" w:color="auto" w:fill="CCECFF"/>
          </w:tcPr>
          <w:p>
            <w:pPr>
              <w:jc w:val="right"/>
              <w:ind w:right="268"/>
              <w:spacing w:after="0" w:line="155" w:lineRule="exact"/>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955,815,564</w:t>
            </w:r>
          </w:p>
        </w:tc>
        <w:tc>
          <w:tcPr>
            <w:tcW w:w="100" w:type="dxa"/>
            <w:vAlign w:val="bottom"/>
            <w:tcBorders>
              <w:top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520" w:type="dxa"/>
            <w:vAlign w:val="bottom"/>
          </w:tcPr>
          <w:p>
            <w:pPr>
              <w:ind w:left="500"/>
              <w:spacing w:after="0"/>
              <w:rPr>
                <w:sz w:val="20"/>
                <w:szCs w:val="20"/>
                <w:color w:val="auto"/>
              </w:rPr>
            </w:pPr>
            <w:r>
              <w:rPr>
                <w:rFonts w:ascii="Arial" w:cs="Arial" w:eastAsia="Arial" w:hAnsi="Arial"/>
                <w:sz w:val="14"/>
                <w:szCs w:val="14"/>
                <w:color w:val="auto"/>
              </w:rPr>
              <w:t>Net realized gains</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271,716</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271,716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520" w:type="dxa"/>
            <w:vAlign w:val="bottom"/>
            <w:shd w:val="clear" w:color="auto" w:fill="CCECFF"/>
          </w:tcPr>
          <w:p>
            <w:pPr>
              <w:ind w:left="500"/>
              <w:spacing w:after="0"/>
              <w:rPr>
                <w:sz w:val="20"/>
                <w:szCs w:val="20"/>
                <w:color w:val="auto"/>
              </w:rPr>
            </w:pPr>
            <w:r>
              <w:rPr>
                <w:rFonts w:ascii="Arial" w:cs="Arial" w:eastAsia="Arial" w:hAnsi="Arial"/>
                <w:sz w:val="14"/>
                <w:szCs w:val="14"/>
                <w:color w:val="auto"/>
              </w:rPr>
              <w:t>Net change in unrealized (depreciation) appreciation</w:t>
            </w:r>
          </w:p>
        </w:tc>
        <w:tc>
          <w:tcPr>
            <w:tcW w:w="14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1240" w:type="dxa"/>
            <w:vAlign w:val="bottom"/>
            <w:gridSpan w:val="2"/>
            <w:shd w:val="clear" w:color="auto" w:fill="CCECFF"/>
          </w:tcPr>
          <w:p>
            <w:pPr>
              <w:jc w:val="right"/>
              <w:ind w:right="100"/>
              <w:spacing w:after="0"/>
              <w:rPr>
                <w:sz w:val="20"/>
                <w:szCs w:val="20"/>
                <w:color w:val="auto"/>
              </w:rPr>
            </w:pPr>
            <w:r>
              <w:rPr>
                <w:rFonts w:ascii="Arial" w:cs="Arial" w:eastAsia="Arial" w:hAnsi="Arial"/>
                <w:sz w:val="14"/>
                <w:szCs w:val="14"/>
                <w:color w:val="auto"/>
              </w:rPr>
              <w:t>(9,982,247)</w:t>
            </w:r>
          </w:p>
        </w:tc>
        <w:tc>
          <w:tcPr>
            <w:tcW w:w="10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12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180,425</w:t>
            </w:r>
          </w:p>
        </w:tc>
        <w:tc>
          <w:tcPr>
            <w:tcW w:w="240" w:type="dxa"/>
            <w:vAlign w:val="bottom"/>
            <w:shd w:val="clear" w:color="auto" w:fill="CCECFF"/>
          </w:tcPr>
          <w:p>
            <w:pPr>
              <w:spacing w:after="0"/>
              <w:rPr>
                <w:sz w:val="14"/>
                <w:szCs w:val="14"/>
                <w:color w:val="auto"/>
              </w:rPr>
            </w:pPr>
          </w:p>
        </w:tc>
        <w:tc>
          <w:tcPr>
            <w:tcW w:w="420" w:type="dxa"/>
            <w:vAlign w:val="bottom"/>
            <w:shd w:val="clear" w:color="auto" w:fill="CCECFF"/>
          </w:tcPr>
          <w:p>
            <w:pPr>
              <w:spacing w:after="0"/>
              <w:rPr>
                <w:sz w:val="14"/>
                <w:szCs w:val="14"/>
                <w:color w:val="auto"/>
              </w:rPr>
            </w:pPr>
          </w:p>
        </w:tc>
        <w:tc>
          <w:tcPr>
            <w:tcW w:w="1020" w:type="dxa"/>
            <w:vAlign w:val="bottom"/>
            <w:gridSpan w:val="2"/>
            <w:shd w:val="clear" w:color="auto" w:fill="CCECFF"/>
          </w:tcPr>
          <w:p>
            <w:pPr>
              <w:jc w:val="right"/>
              <w:ind w:right="60"/>
              <w:spacing w:after="0"/>
              <w:rPr>
                <w:sz w:val="20"/>
                <w:szCs w:val="20"/>
                <w:color w:val="auto"/>
              </w:rPr>
            </w:pPr>
            <w:r>
              <w:rPr>
                <w:rFonts w:ascii="Arial" w:cs="Arial" w:eastAsia="Arial" w:hAnsi="Arial"/>
                <w:sz w:val="14"/>
                <w:szCs w:val="14"/>
                <w:color w:val="auto"/>
              </w:rPr>
              <w:t>(9,801,822)</w:t>
            </w:r>
          </w:p>
        </w:tc>
        <w:tc>
          <w:tcPr>
            <w:tcW w:w="0" w:type="dxa"/>
            <w:vAlign w:val="bottom"/>
          </w:tcPr>
          <w:p>
            <w:pPr>
              <w:spacing w:after="0"/>
              <w:rPr>
                <w:sz w:val="1"/>
                <w:szCs w:val="1"/>
                <w:color w:val="auto"/>
              </w:rPr>
            </w:pPr>
          </w:p>
        </w:tc>
      </w:tr>
      <w:tr>
        <w:trPr>
          <w:trHeight w:val="162"/>
        </w:trPr>
        <w:tc>
          <w:tcPr>
            <w:tcW w:w="6520" w:type="dxa"/>
            <w:vAlign w:val="bottom"/>
          </w:tcPr>
          <w:p>
            <w:pPr>
              <w:ind w:left="500"/>
              <w:spacing w:after="0"/>
              <w:rPr>
                <w:sz w:val="20"/>
                <w:szCs w:val="20"/>
                <w:color w:val="auto"/>
              </w:rPr>
            </w:pPr>
            <w:r>
              <w:rPr>
                <w:rFonts w:ascii="Arial" w:cs="Arial" w:eastAsia="Arial" w:hAnsi="Arial"/>
                <w:sz w:val="14"/>
                <w:szCs w:val="14"/>
                <w:color w:val="auto"/>
              </w:rPr>
              <w:t>Purchases, PIK interest, net discount accretion and non-cash exchanges</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174,081,000</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1,908,075</w:t>
            </w:r>
          </w:p>
        </w:tc>
        <w:tc>
          <w:tcPr>
            <w:tcW w:w="2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175,989,075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520" w:type="dxa"/>
            <w:vAlign w:val="bottom"/>
            <w:shd w:val="clear" w:color="auto" w:fill="CCECFF"/>
          </w:tcPr>
          <w:p>
            <w:pPr>
              <w:ind w:left="500"/>
              <w:spacing w:after="0"/>
              <w:rPr>
                <w:sz w:val="20"/>
                <w:szCs w:val="20"/>
                <w:color w:val="auto"/>
              </w:rPr>
            </w:pPr>
            <w:r>
              <w:rPr>
                <w:rFonts w:ascii="Arial" w:cs="Arial" w:eastAsia="Arial" w:hAnsi="Arial"/>
                <w:sz w:val="14"/>
                <w:szCs w:val="14"/>
                <w:color w:val="auto"/>
              </w:rPr>
              <w:t>Sales, repayments and non-cash exchanges</w:t>
            </w:r>
          </w:p>
        </w:tc>
        <w:tc>
          <w:tcPr>
            <w:tcW w:w="14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1240" w:type="dxa"/>
            <w:vAlign w:val="bottom"/>
            <w:gridSpan w:val="2"/>
            <w:shd w:val="clear" w:color="auto" w:fill="CCECFF"/>
          </w:tcPr>
          <w:p>
            <w:pPr>
              <w:jc w:val="right"/>
              <w:ind w:right="100"/>
              <w:spacing w:after="0"/>
              <w:rPr>
                <w:sz w:val="20"/>
                <w:szCs w:val="20"/>
                <w:color w:val="auto"/>
              </w:rPr>
            </w:pPr>
            <w:r>
              <w:rPr>
                <w:rFonts w:ascii="Arial" w:cs="Arial" w:eastAsia="Arial" w:hAnsi="Arial"/>
                <w:sz w:val="14"/>
                <w:szCs w:val="14"/>
                <w:color w:val="auto"/>
              </w:rPr>
              <w:t>(190,086,145)</w:t>
            </w:r>
          </w:p>
        </w:tc>
        <w:tc>
          <w:tcPr>
            <w:tcW w:w="10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1480" w:type="dxa"/>
            <w:vAlign w:val="bottom"/>
            <w:gridSpan w:val="2"/>
            <w:shd w:val="clear" w:color="auto" w:fill="CCECFF"/>
          </w:tcPr>
          <w:p>
            <w:pPr>
              <w:jc w:val="right"/>
              <w:ind w:right="200"/>
              <w:spacing w:after="0"/>
              <w:rPr>
                <w:sz w:val="20"/>
                <w:szCs w:val="20"/>
                <w:color w:val="auto"/>
              </w:rPr>
            </w:pPr>
            <w:r>
              <w:rPr>
                <w:rFonts w:ascii="Arial" w:cs="Arial" w:eastAsia="Arial" w:hAnsi="Arial"/>
                <w:sz w:val="14"/>
                <w:szCs w:val="14"/>
                <w:color w:val="auto"/>
              </w:rPr>
              <w:t>(208,334)</w:t>
            </w:r>
          </w:p>
        </w:tc>
        <w:tc>
          <w:tcPr>
            <w:tcW w:w="420" w:type="dxa"/>
            <w:vAlign w:val="bottom"/>
            <w:shd w:val="clear" w:color="auto" w:fill="CCECFF"/>
          </w:tcPr>
          <w:p>
            <w:pPr>
              <w:spacing w:after="0"/>
              <w:rPr>
                <w:sz w:val="14"/>
                <w:szCs w:val="14"/>
                <w:color w:val="auto"/>
              </w:rPr>
            </w:pPr>
          </w:p>
        </w:tc>
        <w:tc>
          <w:tcPr>
            <w:tcW w:w="1020" w:type="dxa"/>
            <w:vAlign w:val="bottom"/>
            <w:gridSpan w:val="2"/>
            <w:shd w:val="clear" w:color="auto" w:fill="CCECFF"/>
          </w:tcPr>
          <w:p>
            <w:pPr>
              <w:jc w:val="right"/>
              <w:ind w:right="60"/>
              <w:spacing w:after="0"/>
              <w:rPr>
                <w:sz w:val="20"/>
                <w:szCs w:val="20"/>
                <w:color w:val="auto"/>
              </w:rPr>
            </w:pPr>
            <w:r>
              <w:rPr>
                <w:rFonts w:ascii="Arial" w:cs="Arial" w:eastAsia="Arial" w:hAnsi="Arial"/>
                <w:sz w:val="14"/>
                <w:szCs w:val="14"/>
                <w:color w:val="auto"/>
              </w:rPr>
              <w:t>(190,294,479)</w:t>
            </w:r>
          </w:p>
        </w:tc>
        <w:tc>
          <w:tcPr>
            <w:tcW w:w="0" w:type="dxa"/>
            <w:vAlign w:val="bottom"/>
          </w:tcPr>
          <w:p>
            <w:pPr>
              <w:spacing w:after="0"/>
              <w:rPr>
                <w:sz w:val="1"/>
                <w:szCs w:val="1"/>
                <w:color w:val="auto"/>
              </w:rPr>
            </w:pPr>
          </w:p>
        </w:tc>
      </w:tr>
      <w:tr>
        <w:trPr>
          <w:trHeight w:val="162"/>
        </w:trPr>
        <w:tc>
          <w:tcPr>
            <w:tcW w:w="6520" w:type="dxa"/>
            <w:vAlign w:val="bottom"/>
          </w:tcPr>
          <w:p>
            <w:pPr>
              <w:ind w:left="500"/>
              <w:spacing w:after="0"/>
              <w:rPr>
                <w:sz w:val="20"/>
                <w:szCs w:val="20"/>
                <w:color w:val="auto"/>
              </w:rPr>
            </w:pPr>
            <w:r>
              <w:rPr>
                <w:rFonts w:ascii="Arial" w:cs="Arial" w:eastAsia="Arial" w:hAnsi="Arial"/>
                <w:sz w:val="14"/>
                <w:szCs w:val="14"/>
                <w:color w:val="auto"/>
              </w:rPr>
              <w:t>Transfers in and/or out of Level 3</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4"/>
                <w:szCs w:val="14"/>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5"/>
        </w:trPr>
        <w:tc>
          <w:tcPr>
            <w:tcW w:w="6520" w:type="dxa"/>
            <w:vAlign w:val="bottom"/>
            <w:tcBorders>
              <w:top w:val="single" w:sz="8" w:color="CCECFF"/>
              <w:bottom w:val="single" w:sz="8" w:color="CCECFF"/>
            </w:tcBorders>
            <w:shd w:val="clear" w:color="auto" w:fill="CCECFF"/>
          </w:tcPr>
          <w:p>
            <w:pPr>
              <w:spacing w:after="0" w:line="155" w:lineRule="exact"/>
              <w:rPr>
                <w:sz w:val="20"/>
                <w:szCs w:val="20"/>
                <w:color w:val="auto"/>
              </w:rPr>
            </w:pPr>
            <w:r>
              <w:rPr>
                <w:rFonts w:ascii="Arial" w:cs="Arial" w:eastAsia="Arial" w:hAnsi="Arial"/>
                <w:sz w:val="14"/>
                <w:szCs w:val="14"/>
                <w:color w:val="auto"/>
              </w:rPr>
              <w:t>Ending Balance</w:t>
            </w:r>
          </w:p>
        </w:tc>
        <w:tc>
          <w:tcPr>
            <w:tcW w:w="140" w:type="dxa"/>
            <w:vAlign w:val="bottom"/>
            <w:tcBorders>
              <w:top w:val="single" w:sz="8" w:color="CCECFF"/>
              <w:bottom w:val="single" w:sz="8" w:color="CCECFF"/>
            </w:tcBorders>
            <w:shd w:val="clear" w:color="auto" w:fill="CCECFF"/>
          </w:tcPr>
          <w:p>
            <w:pPr>
              <w:spacing w:after="0"/>
              <w:rPr>
                <w:sz w:val="13"/>
                <w:szCs w:val="13"/>
                <w:color w:val="auto"/>
              </w:rPr>
            </w:pPr>
          </w:p>
        </w:tc>
        <w:tc>
          <w:tcPr>
            <w:tcW w:w="220" w:type="dxa"/>
            <w:vAlign w:val="bottom"/>
            <w:tcBorders>
              <w:top w:val="single" w:sz="8" w:color="auto"/>
              <w:bottom w:val="single" w:sz="8" w:color="auto"/>
            </w:tcBorders>
            <w:shd w:val="clear" w:color="auto" w:fill="CCECFF"/>
          </w:tcPr>
          <w:p>
            <w:pPr>
              <w:jc w:val="right"/>
              <w:ind w:right="68"/>
              <w:spacing w:after="0" w:line="155" w:lineRule="exact"/>
              <w:rPr>
                <w:sz w:val="20"/>
                <w:szCs w:val="20"/>
                <w:color w:val="auto"/>
              </w:rPr>
            </w:pPr>
            <w:r>
              <w:rPr>
                <w:rFonts w:ascii="Arial" w:cs="Arial" w:eastAsia="Arial" w:hAnsi="Arial"/>
                <w:sz w:val="14"/>
                <w:szCs w:val="14"/>
                <w:color w:val="auto"/>
                <w:w w:val="76"/>
              </w:rPr>
              <w:t>$</w:t>
            </w:r>
          </w:p>
        </w:tc>
        <w:tc>
          <w:tcPr>
            <w:tcW w:w="110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887,582,300</w:t>
            </w:r>
          </w:p>
        </w:tc>
        <w:tc>
          <w:tcPr>
            <w:tcW w:w="140" w:type="dxa"/>
            <w:vAlign w:val="bottom"/>
            <w:tcBorders>
              <w:top w:val="single" w:sz="8" w:color="CCECFF"/>
              <w:bottom w:val="single" w:sz="8" w:color="CCECFF"/>
            </w:tcBorders>
            <w:shd w:val="clear" w:color="auto" w:fill="CCECFF"/>
          </w:tcPr>
          <w:p>
            <w:pPr>
              <w:spacing w:after="0"/>
              <w:rPr>
                <w:sz w:val="13"/>
                <w:szCs w:val="13"/>
                <w:color w:val="auto"/>
              </w:rPr>
            </w:pPr>
          </w:p>
        </w:tc>
        <w:tc>
          <w:tcPr>
            <w:tcW w:w="100" w:type="dxa"/>
            <w:vAlign w:val="bottom"/>
            <w:tcBorders>
              <w:top w:val="single" w:sz="8" w:color="CCECFF"/>
              <w:bottom w:val="single" w:sz="8" w:color="CCECFF"/>
            </w:tcBorders>
            <w:shd w:val="clear" w:color="auto" w:fill="CCECFF"/>
          </w:tcPr>
          <w:p>
            <w:pPr>
              <w:spacing w:after="0"/>
              <w:rPr>
                <w:sz w:val="13"/>
                <w:szCs w:val="13"/>
                <w:color w:val="auto"/>
              </w:rPr>
            </w:pPr>
          </w:p>
        </w:tc>
        <w:tc>
          <w:tcPr>
            <w:tcW w:w="10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w w:val="76"/>
              </w:rPr>
              <w:t>$</w:t>
            </w:r>
          </w:p>
        </w:tc>
        <w:tc>
          <w:tcPr>
            <w:tcW w:w="124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44,397,754</w:t>
            </w:r>
          </w:p>
        </w:tc>
        <w:tc>
          <w:tcPr>
            <w:tcW w:w="240" w:type="dxa"/>
            <w:vAlign w:val="bottom"/>
            <w:tcBorders>
              <w:top w:val="single" w:sz="8" w:color="CCECFF"/>
              <w:bottom w:val="single" w:sz="8" w:color="CCECFF"/>
            </w:tcBorders>
            <w:shd w:val="clear" w:color="auto" w:fill="CCECFF"/>
          </w:tcPr>
          <w:p>
            <w:pPr>
              <w:spacing w:after="0"/>
              <w:rPr>
                <w:sz w:val="13"/>
                <w:szCs w:val="13"/>
                <w:color w:val="auto"/>
              </w:rPr>
            </w:pPr>
          </w:p>
        </w:tc>
        <w:tc>
          <w:tcPr>
            <w:tcW w:w="420" w:type="dxa"/>
            <w:vAlign w:val="bottom"/>
            <w:tcBorders>
              <w:top w:val="single" w:sz="8" w:color="auto"/>
              <w:bottom w:val="single" w:sz="8" w:color="auto"/>
            </w:tcBorders>
            <w:shd w:val="clear" w:color="auto" w:fill="CCECFF"/>
          </w:tcPr>
          <w:p>
            <w:pPr>
              <w:jc w:val="right"/>
              <w:ind w:right="268"/>
              <w:spacing w:after="0" w:line="155" w:lineRule="exact"/>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931,980,054</w:t>
            </w:r>
          </w:p>
        </w:tc>
        <w:tc>
          <w:tcPr>
            <w:tcW w:w="100" w:type="dxa"/>
            <w:vAlign w:val="bottom"/>
            <w:tcBorders>
              <w:top w:val="single" w:sz="8" w:color="CCECFF"/>
              <w:bottom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520" w:type="dxa"/>
            <w:vAlign w:val="bottom"/>
            <w:vMerge w:val="restart"/>
          </w:tcPr>
          <w:p>
            <w:pPr>
              <w:spacing w:after="0"/>
              <w:rPr>
                <w:sz w:val="20"/>
                <w:szCs w:val="20"/>
                <w:color w:val="auto"/>
              </w:rPr>
            </w:pPr>
            <w:r>
              <w:rPr>
                <w:rFonts w:ascii="Arial" w:cs="Arial" w:eastAsia="Arial" w:hAnsi="Arial"/>
                <w:sz w:val="14"/>
                <w:szCs w:val="14"/>
                <w:color w:val="auto"/>
              </w:rPr>
              <w:t>Net change in unrealized (depreciation) appreciation reported within the net change in unrealized</w:t>
            </w: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652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6520" w:type="dxa"/>
            <w:vAlign w:val="bottom"/>
          </w:tcPr>
          <w:p>
            <w:pPr>
              <w:ind w:left="120"/>
              <w:spacing w:after="0" w:line="149" w:lineRule="exact"/>
              <w:rPr>
                <w:sz w:val="20"/>
                <w:szCs w:val="20"/>
                <w:color w:val="auto"/>
              </w:rPr>
            </w:pPr>
            <w:r>
              <w:rPr>
                <w:rFonts w:ascii="Arial" w:cs="Arial" w:eastAsia="Arial" w:hAnsi="Arial"/>
                <w:sz w:val="14"/>
                <w:szCs w:val="14"/>
                <w:color w:val="auto"/>
              </w:rPr>
              <w:t>appreciation (depreciation) on investments in our Consolidated Statements of Operations</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6520" w:type="dxa"/>
            <w:vAlign w:val="bottom"/>
          </w:tcPr>
          <w:p>
            <w:pPr>
              <w:ind w:left="120"/>
              <w:spacing w:after="0"/>
              <w:rPr>
                <w:sz w:val="20"/>
                <w:szCs w:val="20"/>
                <w:color w:val="auto"/>
              </w:rPr>
            </w:pPr>
            <w:r>
              <w:rPr>
                <w:rFonts w:ascii="Arial" w:cs="Arial" w:eastAsia="Arial" w:hAnsi="Arial"/>
                <w:sz w:val="14"/>
                <w:szCs w:val="14"/>
                <w:color w:val="auto"/>
              </w:rPr>
              <w:t>attributable to our Level 3 assets still held at the reporting date.</w:t>
            </w:r>
          </w:p>
        </w:tc>
        <w:tc>
          <w:tcPr>
            <w:tcW w:w="360" w:type="dxa"/>
            <w:vAlign w:val="bottom"/>
            <w:gridSpan w:val="2"/>
          </w:tcPr>
          <w:p>
            <w:pPr>
              <w:jc w:val="right"/>
              <w:ind w:right="68"/>
              <w:spacing w:after="0"/>
              <w:rPr>
                <w:sz w:val="20"/>
                <w:szCs w:val="20"/>
                <w:color w:val="auto"/>
              </w:rPr>
            </w:pPr>
            <w:r>
              <w:rPr>
                <w:rFonts w:ascii="Arial" w:cs="Arial" w:eastAsia="Arial" w:hAnsi="Arial"/>
                <w:sz w:val="14"/>
                <w:szCs w:val="14"/>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4"/>
                <w:szCs w:val="14"/>
                <w:color w:val="auto"/>
              </w:rPr>
              <w:t>(10,488,442)</w:t>
            </w:r>
          </w:p>
        </w:tc>
        <w:tc>
          <w:tcPr>
            <w:tcW w:w="2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180,425</w:t>
            </w:r>
          </w:p>
        </w:tc>
        <w:tc>
          <w:tcPr>
            <w:tcW w:w="240" w:type="dxa"/>
            <w:vAlign w:val="bottom"/>
          </w:tcPr>
          <w:p>
            <w:pPr>
              <w:spacing w:after="0"/>
              <w:rPr>
                <w:sz w:val="14"/>
                <w:szCs w:val="14"/>
                <w:color w:val="auto"/>
              </w:rPr>
            </w:pPr>
          </w:p>
        </w:tc>
        <w:tc>
          <w:tcPr>
            <w:tcW w:w="420" w:type="dxa"/>
            <w:vAlign w:val="bottom"/>
          </w:tcPr>
          <w:p>
            <w:pPr>
              <w:jc w:val="right"/>
              <w:ind w:right="268"/>
              <w:spacing w:after="0"/>
              <w:rPr>
                <w:sz w:val="20"/>
                <w:szCs w:val="20"/>
                <w:color w:val="auto"/>
              </w:rPr>
            </w:pPr>
            <w:r>
              <w:rPr>
                <w:rFonts w:ascii="Arial" w:cs="Arial" w:eastAsia="Arial" w:hAnsi="Arial"/>
                <w:sz w:val="14"/>
                <w:szCs w:val="14"/>
                <w:color w:val="auto"/>
                <w:w w:val="76"/>
              </w:rPr>
              <w:t>$</w:t>
            </w:r>
          </w:p>
        </w:tc>
        <w:tc>
          <w:tcPr>
            <w:tcW w:w="1020" w:type="dxa"/>
            <w:vAlign w:val="bottom"/>
            <w:gridSpan w:val="2"/>
          </w:tcPr>
          <w:p>
            <w:pPr>
              <w:jc w:val="right"/>
              <w:ind w:right="60"/>
              <w:spacing w:after="0"/>
              <w:rPr>
                <w:sz w:val="20"/>
                <w:szCs w:val="20"/>
                <w:color w:val="auto"/>
              </w:rPr>
            </w:pPr>
            <w:r>
              <w:rPr>
                <w:rFonts w:ascii="Arial" w:cs="Arial" w:eastAsia="Arial" w:hAnsi="Arial"/>
                <w:sz w:val="14"/>
                <w:szCs w:val="14"/>
                <w:color w:val="auto"/>
              </w:rPr>
              <w:t>(10,308,017)</w:t>
            </w:r>
          </w:p>
        </w:tc>
        <w:tc>
          <w:tcPr>
            <w:tcW w:w="0" w:type="dxa"/>
            <w:vAlign w:val="bottom"/>
          </w:tcPr>
          <w:p>
            <w:pPr>
              <w:spacing w:after="0"/>
              <w:rPr>
                <w:sz w:val="1"/>
                <w:szCs w:val="1"/>
                <w:color w:val="auto"/>
              </w:rPr>
            </w:pPr>
          </w:p>
        </w:tc>
      </w:tr>
      <w:tr>
        <w:trPr>
          <w:trHeight w:val="20"/>
        </w:trPr>
        <w:tc>
          <w:tcPr>
            <w:tcW w:w="6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0" w:lineRule="exact"/>
        <w:rPr>
          <w:sz w:val="20"/>
          <w:szCs w:val="20"/>
          <w:color w:val="auto"/>
        </w:rPr>
      </w:pPr>
    </w:p>
    <w:p>
      <w:pPr>
        <w:ind w:left="440"/>
        <w:spacing w:after="0"/>
        <w:rPr>
          <w:sz w:val="20"/>
          <w:szCs w:val="20"/>
          <w:color w:val="auto"/>
        </w:rPr>
      </w:pPr>
      <w:r>
        <w:rPr>
          <w:rFonts w:ascii="Arial" w:cs="Arial" w:eastAsia="Arial" w:hAnsi="Arial"/>
          <w:sz w:val="14"/>
          <w:szCs w:val="14"/>
          <w:color w:val="auto"/>
        </w:rPr>
        <w:t>The table below shows a reconciliation of the beginning and ending balances for fair valued liabilities measured using significant unobservable inputs (Level 3):</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Long-Term Credit Facility</w:t>
            </w:r>
          </w:p>
        </w:tc>
        <w:tc>
          <w:tcPr>
            <w:tcW w:w="340" w:type="dxa"/>
            <w:vAlign w:val="bottom"/>
          </w:tcPr>
          <w:p>
            <w:pPr>
              <w:spacing w:after="0"/>
              <w:rPr>
                <w:sz w:val="14"/>
                <w:szCs w:val="14"/>
                <w:color w:val="auto"/>
              </w:rPr>
            </w:pPr>
          </w:p>
        </w:tc>
        <w:tc>
          <w:tcPr>
            <w:tcW w:w="3180" w:type="dxa"/>
            <w:vAlign w:val="bottom"/>
            <w:gridSpan w:val="5"/>
          </w:tcPr>
          <w:p>
            <w:pPr>
              <w:jc w:val="right"/>
              <w:ind w:right="740"/>
              <w:spacing w:after="0"/>
              <w:rPr>
                <w:sz w:val="20"/>
                <w:szCs w:val="20"/>
                <w:color w:val="auto"/>
              </w:rPr>
            </w:pPr>
            <w:r>
              <w:rPr>
                <w:rFonts w:ascii="Arial" w:cs="Arial" w:eastAsia="Arial" w:hAnsi="Arial"/>
                <w:sz w:val="14"/>
                <w:szCs w:val="14"/>
                <w:b w:val="1"/>
                <w:bCs w:val="1"/>
                <w:color w:val="auto"/>
              </w:rPr>
              <w:t>Three Months Ended December 31,</w:t>
            </w:r>
          </w:p>
        </w:tc>
        <w:tc>
          <w:tcPr>
            <w:tcW w:w="0" w:type="dxa"/>
            <w:vAlign w:val="bottom"/>
          </w:tcPr>
          <w:p>
            <w:pPr>
              <w:spacing w:after="0"/>
              <w:rPr>
                <w:sz w:val="1"/>
                <w:szCs w:val="1"/>
                <w:color w:val="auto"/>
              </w:rPr>
            </w:pPr>
          </w:p>
        </w:tc>
      </w:tr>
      <w:tr>
        <w:trPr>
          <w:trHeight w:val="156"/>
        </w:trPr>
        <w:tc>
          <w:tcPr>
            <w:tcW w:w="7720" w:type="dxa"/>
            <w:vAlign w:val="bottom"/>
            <w:gridSpan w:val="2"/>
            <w:vMerge w:val="continue"/>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1220" w:type="dxa"/>
            <w:vAlign w:val="bottom"/>
            <w:tcBorders>
              <w:top w:val="single" w:sz="8" w:color="auto"/>
            </w:tcBorders>
          </w:tcPr>
          <w:p>
            <w:pPr>
              <w:jc w:val="right"/>
              <w:ind w:right="568"/>
              <w:spacing w:after="0" w:line="155" w:lineRule="exact"/>
              <w:rPr>
                <w:sz w:val="20"/>
                <w:szCs w:val="20"/>
                <w:color w:val="auto"/>
              </w:rPr>
            </w:pPr>
            <w:r>
              <w:rPr>
                <w:rFonts w:ascii="Arial" w:cs="Arial" w:eastAsia="Arial" w:hAnsi="Arial"/>
                <w:sz w:val="14"/>
                <w:szCs w:val="14"/>
                <w:b w:val="1"/>
                <w:bCs w:val="1"/>
                <w:color w:val="auto"/>
              </w:rPr>
              <w:t>2019</w:t>
            </w:r>
          </w:p>
        </w:tc>
        <w:tc>
          <w:tcPr>
            <w:tcW w:w="280" w:type="dxa"/>
            <w:vAlign w:val="bottom"/>
            <w:tcBorders>
              <w:top w:val="single" w:sz="8" w:color="auto"/>
            </w:tcBorders>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tcPr>
          <w:p>
            <w:pPr>
              <w:jc w:val="right"/>
              <w:ind w:right="568"/>
              <w:spacing w:after="0" w:line="155" w:lineRule="exact"/>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7560" w:type="dxa"/>
            <w:vAlign w:val="bottom"/>
            <w:tcBorders>
              <w:top w:val="single" w:sz="8" w:color="auto"/>
            </w:tcBorders>
            <w:shd w:val="clear" w:color="auto" w:fill="CCECFF"/>
          </w:tcPr>
          <w:p>
            <w:pPr>
              <w:spacing w:after="0" w:line="155" w:lineRule="exact"/>
              <w:rPr>
                <w:sz w:val="20"/>
                <w:szCs w:val="20"/>
                <w:color w:val="auto"/>
              </w:rPr>
            </w:pPr>
            <w:r>
              <w:rPr>
                <w:rFonts w:ascii="Arial" w:cs="Arial" w:eastAsia="Arial" w:hAnsi="Arial"/>
                <w:sz w:val="14"/>
                <w:szCs w:val="14"/>
                <w:color w:val="auto"/>
              </w:rPr>
              <w:t>Beginning Balance (cost – $265,307,500 and $333,727,520, respectively)</w:t>
            </w:r>
          </w:p>
        </w:tc>
        <w:tc>
          <w:tcPr>
            <w:tcW w:w="160" w:type="dxa"/>
            <w:vAlign w:val="bottom"/>
            <w:tcBorders>
              <w:top w:val="single" w:sz="8" w:color="CCECFF"/>
            </w:tcBorders>
            <w:shd w:val="clear" w:color="auto" w:fill="CCECFF"/>
          </w:tcPr>
          <w:p>
            <w:pPr>
              <w:spacing w:after="0"/>
              <w:rPr>
                <w:sz w:val="13"/>
                <w:szCs w:val="13"/>
                <w:color w:val="auto"/>
              </w:rPr>
            </w:pPr>
          </w:p>
        </w:tc>
        <w:tc>
          <w:tcPr>
            <w:tcW w:w="340" w:type="dxa"/>
            <w:vAlign w:val="bottom"/>
            <w:tcBorders>
              <w:top w:val="single" w:sz="8" w:color="auto"/>
            </w:tcBorders>
            <w:shd w:val="clear" w:color="auto" w:fill="CCECFF"/>
          </w:tcPr>
          <w:p>
            <w:pPr>
              <w:jc w:val="right"/>
              <w:ind w:right="188"/>
              <w:spacing w:after="0" w:line="155" w:lineRule="exact"/>
              <w:rPr>
                <w:sz w:val="20"/>
                <w:szCs w:val="20"/>
                <w:color w:val="auto"/>
              </w:rPr>
            </w:pPr>
            <w:r>
              <w:rPr>
                <w:rFonts w:ascii="Arial" w:cs="Arial" w:eastAsia="Arial" w:hAnsi="Arial"/>
                <w:sz w:val="14"/>
                <w:szCs w:val="14"/>
                <w:color w:val="auto"/>
                <w:w w:val="76"/>
              </w:rPr>
              <w:t>$</w:t>
            </w:r>
          </w:p>
        </w:tc>
        <w:tc>
          <w:tcPr>
            <w:tcW w:w="122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263,988,583</w:t>
            </w:r>
          </w:p>
        </w:tc>
        <w:tc>
          <w:tcPr>
            <w:tcW w:w="280" w:type="dxa"/>
            <w:vAlign w:val="bottom"/>
            <w:tcBorders>
              <w:top w:val="single" w:sz="8" w:color="CCECFF"/>
            </w:tcBorders>
            <w:shd w:val="clear" w:color="auto" w:fill="CCECFF"/>
          </w:tcPr>
          <w:p>
            <w:pPr>
              <w:spacing w:after="0"/>
              <w:rPr>
                <w:sz w:val="13"/>
                <w:szCs w:val="13"/>
                <w:color w:val="auto"/>
              </w:rPr>
            </w:pPr>
          </w:p>
        </w:tc>
        <w:tc>
          <w:tcPr>
            <w:tcW w:w="360" w:type="dxa"/>
            <w:vAlign w:val="bottom"/>
            <w:tcBorders>
              <w:top w:val="single" w:sz="8" w:color="auto"/>
            </w:tcBorders>
            <w:shd w:val="clear" w:color="auto" w:fill="CCECFF"/>
          </w:tcPr>
          <w:p>
            <w:pPr>
              <w:jc w:val="right"/>
              <w:ind w:right="208"/>
              <w:spacing w:after="0" w:line="155" w:lineRule="exact"/>
              <w:rPr>
                <w:sz w:val="20"/>
                <w:szCs w:val="20"/>
                <w:color w:val="auto"/>
              </w:rPr>
            </w:pPr>
            <w:r>
              <w:rPr>
                <w:rFonts w:ascii="Arial" w:cs="Arial" w:eastAsia="Arial" w:hAnsi="Arial"/>
                <w:sz w:val="14"/>
                <w:szCs w:val="14"/>
                <w:color w:val="auto"/>
                <w:w w:val="76"/>
              </w:rPr>
              <w:t>$</w:t>
            </w:r>
          </w:p>
        </w:tc>
        <w:tc>
          <w:tcPr>
            <w:tcW w:w="120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332,128,815</w:t>
            </w:r>
          </w:p>
        </w:tc>
        <w:tc>
          <w:tcPr>
            <w:tcW w:w="120" w:type="dxa"/>
            <w:vAlign w:val="bottom"/>
            <w:tcBorders>
              <w:top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720" w:type="dxa"/>
            <w:vAlign w:val="bottom"/>
            <w:gridSpan w:val="2"/>
          </w:tcPr>
          <w:p>
            <w:pPr>
              <w:ind w:left="500"/>
              <w:spacing w:after="0"/>
              <w:rPr>
                <w:sz w:val="20"/>
                <w:szCs w:val="20"/>
                <w:color w:val="auto"/>
              </w:rPr>
            </w:pPr>
            <w:r>
              <w:rPr>
                <w:rFonts w:ascii="Arial" w:cs="Arial" w:eastAsia="Arial" w:hAnsi="Arial"/>
                <w:sz w:val="14"/>
                <w:szCs w:val="14"/>
                <w:color w:val="auto"/>
              </w:rPr>
              <w:t>Net change in unrealized depreciation included in earnings</w:t>
            </w:r>
          </w:p>
        </w:tc>
        <w:tc>
          <w:tcPr>
            <w:tcW w:w="34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51,927</w:t>
            </w: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4"/>
                <w:szCs w:val="14"/>
                <w:color w:val="auto"/>
              </w:rPr>
              <w:t>(3,441,137)</w:t>
            </w:r>
          </w:p>
        </w:tc>
        <w:tc>
          <w:tcPr>
            <w:tcW w:w="0" w:type="dxa"/>
            <w:vAlign w:val="bottom"/>
          </w:tcPr>
          <w:p>
            <w:pPr>
              <w:spacing w:after="0"/>
              <w:rPr>
                <w:sz w:val="1"/>
                <w:szCs w:val="1"/>
                <w:color w:val="auto"/>
              </w:rPr>
            </w:pPr>
          </w:p>
        </w:tc>
      </w:tr>
      <w:tr>
        <w:trPr>
          <w:trHeight w:val="162"/>
        </w:trPr>
        <w:tc>
          <w:tcPr>
            <w:tcW w:w="7720" w:type="dxa"/>
            <w:vAlign w:val="bottom"/>
            <w:gridSpan w:val="2"/>
            <w:shd w:val="clear" w:color="auto" w:fill="CCECFF"/>
          </w:tcPr>
          <w:p>
            <w:pPr>
              <w:ind w:left="500"/>
              <w:spacing w:after="0"/>
              <w:rPr>
                <w:sz w:val="20"/>
                <w:szCs w:val="20"/>
                <w:color w:val="auto"/>
              </w:rPr>
            </w:pPr>
            <w:r>
              <w:rPr>
                <w:rFonts w:ascii="Arial" w:cs="Arial" w:eastAsia="Arial" w:hAnsi="Arial"/>
                <w:sz w:val="14"/>
                <w:szCs w:val="14"/>
                <w:color w:val="auto"/>
              </w:rPr>
              <w:t>Borrowings</w:t>
            </w:r>
          </w:p>
        </w:tc>
        <w:tc>
          <w:tcPr>
            <w:tcW w:w="340" w:type="dxa"/>
            <w:vAlign w:val="bottom"/>
            <w:shd w:val="clear" w:color="auto" w:fill="CCECFF"/>
          </w:tcPr>
          <w:p>
            <w:pPr>
              <w:spacing w:after="0"/>
              <w:rPr>
                <w:sz w:val="14"/>
                <w:szCs w:val="14"/>
                <w:color w:val="auto"/>
              </w:rPr>
            </w:pPr>
          </w:p>
        </w:tc>
        <w:tc>
          <w:tcPr>
            <w:tcW w:w="12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86,000,000</w:t>
            </w:r>
          </w:p>
        </w:tc>
        <w:tc>
          <w:tcPr>
            <w:tcW w:w="280" w:type="dxa"/>
            <w:vAlign w:val="bottom"/>
            <w:shd w:val="clear" w:color="auto" w:fill="CCECFF"/>
          </w:tcPr>
          <w:p>
            <w:pPr>
              <w:spacing w:after="0"/>
              <w:rPr>
                <w:sz w:val="14"/>
                <w:szCs w:val="14"/>
                <w:color w:val="auto"/>
              </w:rPr>
            </w:pPr>
          </w:p>
        </w:tc>
        <w:tc>
          <w:tcPr>
            <w:tcW w:w="360" w:type="dxa"/>
            <w:vAlign w:val="bottom"/>
            <w:shd w:val="clear" w:color="auto" w:fill="CCECFF"/>
          </w:tcPr>
          <w:p>
            <w:pPr>
              <w:spacing w:after="0"/>
              <w:rPr>
                <w:sz w:val="14"/>
                <w:szCs w:val="14"/>
                <w:color w:val="auto"/>
              </w:rPr>
            </w:pPr>
          </w:p>
        </w:tc>
        <w:tc>
          <w:tcPr>
            <w:tcW w:w="12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104,500,000</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gridSpan w:val="2"/>
          </w:tcPr>
          <w:p>
            <w:pPr>
              <w:ind w:left="500"/>
              <w:spacing w:after="0"/>
              <w:rPr>
                <w:sz w:val="20"/>
                <w:szCs w:val="20"/>
                <w:color w:val="auto"/>
              </w:rPr>
            </w:pPr>
            <w:r>
              <w:rPr>
                <w:rFonts w:ascii="Arial" w:cs="Arial" w:eastAsia="Arial" w:hAnsi="Arial"/>
                <w:sz w:val="14"/>
                <w:szCs w:val="14"/>
                <w:color w:val="auto"/>
              </w:rPr>
              <w:t>Repayments</w:t>
            </w:r>
          </w:p>
        </w:tc>
        <w:tc>
          <w:tcPr>
            <w:tcW w:w="340" w:type="dxa"/>
            <w:vAlign w:val="bottom"/>
          </w:tcPr>
          <w:p>
            <w:pPr>
              <w:spacing w:after="0"/>
              <w:rPr>
                <w:sz w:val="14"/>
                <w:szCs w:val="14"/>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4"/>
                <w:szCs w:val="14"/>
                <w:color w:val="auto"/>
              </w:rPr>
              <w:t>(16,000,000)</w:t>
            </w:r>
          </w:p>
        </w:tc>
        <w:tc>
          <w:tcPr>
            <w:tcW w:w="360" w:type="dxa"/>
            <w:vAlign w:val="bottom"/>
          </w:tcPr>
          <w:p>
            <w:pPr>
              <w:spacing w:after="0"/>
              <w:rPr>
                <w:sz w:val="14"/>
                <w:szCs w:val="14"/>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4"/>
                <w:szCs w:val="14"/>
                <w:color w:val="auto"/>
              </w:rPr>
              <w:t>(87,320,020)</w:t>
            </w:r>
          </w:p>
        </w:tc>
        <w:tc>
          <w:tcPr>
            <w:tcW w:w="0" w:type="dxa"/>
            <w:vAlign w:val="bottom"/>
          </w:tcPr>
          <w:p>
            <w:pPr>
              <w:spacing w:after="0"/>
              <w:rPr>
                <w:sz w:val="1"/>
                <w:szCs w:val="1"/>
                <w:color w:val="auto"/>
              </w:rPr>
            </w:pPr>
          </w:p>
        </w:tc>
      </w:tr>
      <w:tr>
        <w:trPr>
          <w:trHeight w:val="162"/>
        </w:trPr>
        <w:tc>
          <w:tcPr>
            <w:tcW w:w="7720" w:type="dxa"/>
            <w:vAlign w:val="bottom"/>
            <w:gridSpan w:val="2"/>
            <w:shd w:val="clear" w:color="auto" w:fill="CCECFF"/>
          </w:tcPr>
          <w:p>
            <w:pPr>
              <w:ind w:left="500"/>
              <w:spacing w:after="0"/>
              <w:rPr>
                <w:sz w:val="20"/>
                <w:szCs w:val="20"/>
                <w:color w:val="auto"/>
              </w:rPr>
            </w:pPr>
            <w:r>
              <w:rPr>
                <w:rFonts w:ascii="Arial" w:cs="Arial" w:eastAsia="Arial" w:hAnsi="Arial"/>
                <w:sz w:val="14"/>
                <w:szCs w:val="14"/>
                <w:color w:val="auto"/>
              </w:rPr>
              <w:t>Transfers in and/or out of Level 3</w:t>
            </w:r>
          </w:p>
        </w:tc>
        <w:tc>
          <w:tcPr>
            <w:tcW w:w="340" w:type="dxa"/>
            <w:vAlign w:val="bottom"/>
            <w:shd w:val="clear" w:color="auto" w:fill="CCECFF"/>
          </w:tcPr>
          <w:p>
            <w:pPr>
              <w:spacing w:after="0"/>
              <w:rPr>
                <w:sz w:val="14"/>
                <w:szCs w:val="14"/>
                <w:color w:val="auto"/>
              </w:rPr>
            </w:pPr>
          </w:p>
        </w:tc>
        <w:tc>
          <w:tcPr>
            <w:tcW w:w="1500" w:type="dxa"/>
            <w:vAlign w:val="bottom"/>
            <w:gridSpan w:val="2"/>
            <w:shd w:val="clear" w:color="auto" w:fill="CCECFF"/>
          </w:tcPr>
          <w:p>
            <w:pPr>
              <w:jc w:val="right"/>
              <w:ind w:right="30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CFF"/>
          </w:tcPr>
          <w:p>
            <w:pPr>
              <w:spacing w:after="0"/>
              <w:rPr>
                <w:sz w:val="14"/>
                <w:szCs w:val="14"/>
                <w:color w:val="auto"/>
              </w:rPr>
            </w:pPr>
          </w:p>
        </w:tc>
        <w:tc>
          <w:tcPr>
            <w:tcW w:w="1320" w:type="dxa"/>
            <w:vAlign w:val="bottom"/>
            <w:gridSpan w:val="2"/>
            <w:shd w:val="clear" w:color="auto" w:fill="CCECFF"/>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6"/>
        </w:trPr>
        <w:tc>
          <w:tcPr>
            <w:tcW w:w="7720" w:type="dxa"/>
            <w:vAlign w:val="bottom"/>
            <w:gridSpan w:val="2"/>
          </w:tcPr>
          <w:p>
            <w:pPr>
              <w:spacing w:after="0" w:line="155" w:lineRule="exact"/>
              <w:rPr>
                <w:sz w:val="20"/>
                <w:szCs w:val="20"/>
                <w:color w:val="auto"/>
              </w:rPr>
            </w:pPr>
            <w:r>
              <w:rPr>
                <w:rFonts w:ascii="Arial" w:cs="Arial" w:eastAsia="Arial" w:hAnsi="Arial"/>
                <w:sz w:val="14"/>
                <w:szCs w:val="14"/>
                <w:color w:val="auto"/>
              </w:rPr>
              <w:t>Ending Balance (cost – $335,307,500 and $350,907,500, respectively)</w:t>
            </w:r>
          </w:p>
        </w:tc>
        <w:tc>
          <w:tcPr>
            <w:tcW w:w="340" w:type="dxa"/>
            <w:vAlign w:val="bottom"/>
            <w:tcBorders>
              <w:top w:val="single" w:sz="8" w:color="auto"/>
              <w:bottom w:val="single" w:sz="8" w:color="auto"/>
            </w:tcBorders>
          </w:tcPr>
          <w:p>
            <w:pPr>
              <w:jc w:val="right"/>
              <w:ind w:right="188"/>
              <w:spacing w:after="0" w:line="155" w:lineRule="exact"/>
              <w:rPr>
                <w:sz w:val="20"/>
                <w:szCs w:val="20"/>
                <w:color w:val="auto"/>
              </w:rPr>
            </w:pPr>
            <w:r>
              <w:rPr>
                <w:rFonts w:ascii="Arial" w:cs="Arial" w:eastAsia="Arial" w:hAnsi="Arial"/>
                <w:sz w:val="14"/>
                <w:szCs w:val="14"/>
                <w:color w:val="auto"/>
                <w:w w:val="76"/>
              </w:rPr>
              <w:t>$</w:t>
            </w:r>
          </w:p>
        </w:tc>
        <w:tc>
          <w:tcPr>
            <w:tcW w:w="12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334,040,510</w:t>
            </w:r>
          </w:p>
        </w:tc>
        <w:tc>
          <w:tcPr>
            <w:tcW w:w="280" w:type="dxa"/>
            <w:vAlign w:val="bottom"/>
          </w:tcPr>
          <w:p>
            <w:pPr>
              <w:spacing w:after="0"/>
              <w:rPr>
                <w:sz w:val="13"/>
                <w:szCs w:val="13"/>
                <w:color w:val="auto"/>
              </w:rPr>
            </w:pPr>
          </w:p>
        </w:tc>
        <w:tc>
          <w:tcPr>
            <w:tcW w:w="360" w:type="dxa"/>
            <w:vAlign w:val="bottom"/>
            <w:tcBorders>
              <w:top w:val="single" w:sz="8" w:color="auto"/>
              <w:bottom w:val="single" w:sz="8" w:color="auto"/>
            </w:tcBorders>
          </w:tcPr>
          <w:p>
            <w:pPr>
              <w:jc w:val="right"/>
              <w:ind w:right="208"/>
              <w:spacing w:after="0" w:line="155" w:lineRule="exact"/>
              <w:rPr>
                <w:sz w:val="20"/>
                <w:szCs w:val="20"/>
                <w:color w:val="auto"/>
              </w:rPr>
            </w:pPr>
            <w:r>
              <w:rPr>
                <w:rFonts w:ascii="Arial" w:cs="Arial" w:eastAsia="Arial" w:hAnsi="Arial"/>
                <w:sz w:val="14"/>
                <w:szCs w:val="14"/>
                <w:color w:val="auto"/>
                <w:w w:val="76"/>
              </w:rPr>
              <w:t>$</w:t>
            </w:r>
          </w:p>
        </w:tc>
        <w:tc>
          <w:tcPr>
            <w:tcW w:w="12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345,867,658</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0" w:lineRule="exact"/>
        <w:rPr>
          <w:sz w:val="20"/>
          <w:szCs w:val="20"/>
          <w:color w:val="auto"/>
        </w:rPr>
      </w:pPr>
    </w:p>
    <w:p>
      <w:pPr>
        <w:ind w:right="140" w:firstLine="438"/>
        <w:spacing w:after="0" w:line="253" w:lineRule="auto"/>
        <w:rPr>
          <w:sz w:val="20"/>
          <w:szCs w:val="20"/>
          <w:color w:val="auto"/>
        </w:rPr>
      </w:pPr>
      <w:r>
        <w:rPr>
          <w:rFonts w:ascii="Arial" w:cs="Arial" w:eastAsia="Arial" w:hAnsi="Arial"/>
          <w:sz w:val="14"/>
          <w:szCs w:val="14"/>
          <w:color w:val="auto"/>
        </w:rPr>
        <w:t>As of December 31, 2019, we had outstanding non-U.S. dollar borrowings on the Credit Facility. Net change in fair value from foreign currency translation on outstanding borrowings is listed below:</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560" w:type="dxa"/>
            <w:vAlign w:val="bottom"/>
          </w:tcPr>
          <w:p>
            <w:pPr>
              <w:spacing w:after="0"/>
              <w:rPr>
                <w:sz w:val="20"/>
                <w:szCs w:val="20"/>
                <w:color w:val="auto"/>
              </w:rPr>
            </w:pPr>
            <w:r>
              <w:rPr>
                <w:rFonts w:ascii="Arial" w:cs="Arial" w:eastAsia="Arial" w:hAnsi="Arial"/>
                <w:sz w:val="14"/>
                <w:szCs w:val="14"/>
                <w:b w:val="1"/>
                <w:bCs w:val="1"/>
                <w:color w:val="auto"/>
              </w:rPr>
              <w:t>Foreign Currency</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tcPr>
          <w:p>
            <w:pPr>
              <w:jc w:val="right"/>
              <w:ind w:right="68"/>
              <w:spacing w:after="0"/>
              <w:rPr>
                <w:sz w:val="20"/>
                <w:szCs w:val="20"/>
                <w:color w:val="auto"/>
              </w:rPr>
            </w:pPr>
            <w:r>
              <w:rPr>
                <w:rFonts w:ascii="Arial" w:cs="Arial" w:eastAsia="Arial" w:hAnsi="Arial"/>
                <w:sz w:val="14"/>
                <w:szCs w:val="14"/>
                <w:b w:val="1"/>
                <w:bCs w:val="1"/>
                <w:color w:val="auto"/>
                <w:w w:val="93"/>
              </w:rPr>
              <w:t>Amount Borrowed</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20" w:type="dxa"/>
            <w:vAlign w:val="bottom"/>
            <w:gridSpan w:val="2"/>
          </w:tcPr>
          <w:p>
            <w:pPr>
              <w:ind w:left="60"/>
              <w:spacing w:after="0"/>
              <w:rPr>
                <w:sz w:val="20"/>
                <w:szCs w:val="20"/>
                <w:color w:val="auto"/>
              </w:rPr>
            </w:pPr>
            <w:r>
              <w:rPr>
                <w:rFonts w:ascii="Arial" w:cs="Arial" w:eastAsia="Arial" w:hAnsi="Arial"/>
                <w:sz w:val="14"/>
                <w:szCs w:val="14"/>
                <w:b w:val="1"/>
                <w:bCs w:val="1"/>
                <w:color w:val="auto"/>
              </w:rPr>
              <w:t>Borrowing Cost</w:t>
            </w:r>
          </w:p>
        </w:tc>
        <w:tc>
          <w:tcPr>
            <w:tcW w:w="160" w:type="dxa"/>
            <w:vAlign w:val="bottom"/>
          </w:tcPr>
          <w:p>
            <w:pPr>
              <w:spacing w:after="0"/>
              <w:rPr>
                <w:sz w:val="14"/>
                <w:szCs w:val="14"/>
                <w:color w:val="auto"/>
              </w:rPr>
            </w:pPr>
          </w:p>
        </w:tc>
        <w:tc>
          <w:tcPr>
            <w:tcW w:w="1520" w:type="dxa"/>
            <w:vAlign w:val="bottom"/>
            <w:gridSpan w:val="2"/>
          </w:tcPr>
          <w:p>
            <w:pPr>
              <w:ind w:left="100"/>
              <w:spacing w:after="0"/>
              <w:rPr>
                <w:sz w:val="20"/>
                <w:szCs w:val="20"/>
                <w:color w:val="auto"/>
              </w:rPr>
            </w:pPr>
            <w:r>
              <w:rPr>
                <w:rFonts w:ascii="Arial" w:cs="Arial" w:eastAsia="Arial" w:hAnsi="Arial"/>
                <w:sz w:val="14"/>
                <w:szCs w:val="14"/>
                <w:b w:val="1"/>
                <w:bCs w:val="1"/>
                <w:color w:val="auto"/>
              </w:rPr>
              <w:t>Current Value</w:t>
            </w:r>
          </w:p>
        </w:tc>
        <w:tc>
          <w:tcPr>
            <w:tcW w:w="16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1"/>
              </w:rPr>
              <w:t>Reset Date</w:t>
            </w:r>
          </w:p>
        </w:tc>
        <w:tc>
          <w:tcPr>
            <w:tcW w:w="100" w:type="dxa"/>
            <w:vAlign w:val="bottom"/>
          </w:tcPr>
          <w:p>
            <w:pPr>
              <w:spacing w:after="0"/>
              <w:rPr>
                <w:sz w:val="14"/>
                <w:szCs w:val="14"/>
                <w:color w:val="auto"/>
              </w:rPr>
            </w:pPr>
          </w:p>
        </w:tc>
        <w:tc>
          <w:tcPr>
            <w:tcW w:w="1620" w:type="dxa"/>
            <w:vAlign w:val="bottom"/>
            <w:gridSpan w:val="2"/>
          </w:tcPr>
          <w:p>
            <w:pPr>
              <w:ind w:left="40"/>
              <w:spacing w:after="0"/>
              <w:rPr>
                <w:sz w:val="20"/>
                <w:szCs w:val="20"/>
                <w:color w:val="auto"/>
              </w:rPr>
            </w:pPr>
            <w:r>
              <w:rPr>
                <w:rFonts w:ascii="Arial" w:cs="Arial" w:eastAsia="Arial" w:hAnsi="Arial"/>
                <w:sz w:val="14"/>
                <w:szCs w:val="14"/>
                <w:b w:val="1"/>
                <w:bCs w:val="1"/>
                <w:color w:val="auto"/>
              </w:rPr>
              <w:t>Change in Fair Value</w:t>
            </w:r>
          </w:p>
        </w:tc>
      </w:tr>
      <w:tr>
        <w:trPr>
          <w:trHeight w:val="156"/>
        </w:trPr>
        <w:tc>
          <w:tcPr>
            <w:tcW w:w="2560" w:type="dxa"/>
            <w:vAlign w:val="bottom"/>
            <w:tcBorders>
              <w:top w:val="single" w:sz="8" w:color="auto"/>
            </w:tcBorders>
            <w:shd w:val="clear" w:color="auto" w:fill="CCECFF"/>
          </w:tcPr>
          <w:p>
            <w:pPr>
              <w:spacing w:after="0" w:line="155" w:lineRule="exact"/>
              <w:rPr>
                <w:sz w:val="20"/>
                <w:szCs w:val="20"/>
                <w:color w:val="auto"/>
              </w:rPr>
            </w:pPr>
            <w:r>
              <w:rPr>
                <w:rFonts w:ascii="Arial" w:cs="Arial" w:eastAsia="Arial" w:hAnsi="Arial"/>
                <w:sz w:val="14"/>
                <w:szCs w:val="14"/>
                <w:color w:val="auto"/>
              </w:rPr>
              <w:t>Canadian Dollar</w:t>
            </w:r>
          </w:p>
        </w:tc>
        <w:tc>
          <w:tcPr>
            <w:tcW w:w="280" w:type="dxa"/>
            <w:vAlign w:val="bottom"/>
            <w:tcBorders>
              <w:top w:val="single" w:sz="8" w:color="CCECFF"/>
            </w:tcBorders>
            <w:shd w:val="clear" w:color="auto" w:fill="CCECFF"/>
          </w:tcPr>
          <w:p>
            <w:pPr>
              <w:ind w:left="180"/>
              <w:spacing w:after="0" w:line="155" w:lineRule="exact"/>
              <w:rPr>
                <w:sz w:val="20"/>
                <w:szCs w:val="20"/>
                <w:color w:val="auto"/>
              </w:rPr>
            </w:pPr>
            <w:r>
              <w:rPr>
                <w:rFonts w:ascii="Arial" w:cs="Arial" w:eastAsia="Arial" w:hAnsi="Arial"/>
                <w:sz w:val="14"/>
                <w:szCs w:val="14"/>
                <w:color w:val="auto"/>
                <w:w w:val="78"/>
              </w:rPr>
              <w:t>C</w:t>
            </w:r>
          </w:p>
        </w:tc>
        <w:tc>
          <w:tcPr>
            <w:tcW w:w="10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w w:val="76"/>
              </w:rPr>
              <w:t>$</w:t>
            </w:r>
          </w:p>
        </w:tc>
        <w:tc>
          <w:tcPr>
            <w:tcW w:w="130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17,500,000</w:t>
            </w:r>
          </w:p>
        </w:tc>
        <w:tc>
          <w:tcPr>
            <w:tcW w:w="260" w:type="dxa"/>
            <w:vAlign w:val="bottom"/>
            <w:tcBorders>
              <w:top w:val="single" w:sz="8" w:color="CCECFF"/>
            </w:tcBorders>
            <w:shd w:val="clear" w:color="auto" w:fill="CCECFF"/>
          </w:tcPr>
          <w:p>
            <w:pPr>
              <w:spacing w:after="0"/>
              <w:rPr>
                <w:sz w:val="13"/>
                <w:szCs w:val="13"/>
                <w:color w:val="auto"/>
              </w:rPr>
            </w:pPr>
          </w:p>
        </w:tc>
        <w:tc>
          <w:tcPr>
            <w:tcW w:w="14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w w:val="76"/>
              </w:rPr>
              <w:t>$</w:t>
            </w:r>
          </w:p>
        </w:tc>
        <w:tc>
          <w:tcPr>
            <w:tcW w:w="126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12,407,501</w:t>
            </w:r>
          </w:p>
        </w:tc>
        <w:tc>
          <w:tcPr>
            <w:tcW w:w="260" w:type="dxa"/>
            <w:vAlign w:val="bottom"/>
            <w:tcBorders>
              <w:top w:val="single" w:sz="8" w:color="CCECFF"/>
            </w:tcBorders>
            <w:shd w:val="clear" w:color="auto" w:fill="CCECFF"/>
          </w:tcPr>
          <w:p>
            <w:pPr>
              <w:spacing w:after="0"/>
              <w:rPr>
                <w:sz w:val="13"/>
                <w:szCs w:val="13"/>
                <w:color w:val="auto"/>
              </w:rPr>
            </w:pPr>
          </w:p>
        </w:tc>
        <w:tc>
          <w:tcPr>
            <w:tcW w:w="160" w:type="dxa"/>
            <w:vAlign w:val="bottom"/>
            <w:tcBorders>
              <w:top w:val="single" w:sz="8" w:color="auto"/>
            </w:tcBorders>
            <w:shd w:val="clear" w:color="auto" w:fill="CCECFF"/>
          </w:tcPr>
          <w:p>
            <w:pPr>
              <w:jc w:val="right"/>
              <w:ind w:right="8"/>
              <w:spacing w:after="0" w:line="155" w:lineRule="exact"/>
              <w:rPr>
                <w:sz w:val="20"/>
                <w:szCs w:val="20"/>
                <w:color w:val="auto"/>
              </w:rPr>
            </w:pPr>
            <w:r>
              <w:rPr>
                <w:rFonts w:ascii="Arial" w:cs="Arial" w:eastAsia="Arial" w:hAnsi="Arial"/>
                <w:sz w:val="14"/>
                <w:szCs w:val="14"/>
                <w:color w:val="auto"/>
                <w:w w:val="76"/>
              </w:rPr>
              <w:t>$</w:t>
            </w:r>
          </w:p>
        </w:tc>
        <w:tc>
          <w:tcPr>
            <w:tcW w:w="1360" w:type="dxa"/>
            <w:vAlign w:val="bottom"/>
            <w:tcBorders>
              <w:top w:val="single" w:sz="8" w:color="auto"/>
            </w:tcBorders>
            <w:shd w:val="clear" w:color="auto" w:fill="CCECFF"/>
          </w:tcPr>
          <w:p>
            <w:pPr>
              <w:jc w:val="right"/>
              <w:ind w:right="48"/>
              <w:spacing w:after="0" w:line="155" w:lineRule="exact"/>
              <w:rPr>
                <w:sz w:val="20"/>
                <w:szCs w:val="20"/>
                <w:color w:val="auto"/>
              </w:rPr>
            </w:pPr>
            <w:r>
              <w:rPr>
                <w:rFonts w:ascii="Arial" w:cs="Arial" w:eastAsia="Arial" w:hAnsi="Arial"/>
                <w:sz w:val="14"/>
                <w:szCs w:val="14"/>
                <w:color w:val="auto"/>
              </w:rPr>
              <w:t>13,495,276</w:t>
            </w:r>
          </w:p>
        </w:tc>
        <w:tc>
          <w:tcPr>
            <w:tcW w:w="160" w:type="dxa"/>
            <w:vAlign w:val="bottom"/>
            <w:tcBorders>
              <w:top w:val="single" w:sz="8" w:color="CCECFF"/>
            </w:tcBorders>
            <w:shd w:val="clear" w:color="auto" w:fill="CCECFF"/>
          </w:tcPr>
          <w:p>
            <w:pPr>
              <w:spacing w:after="0"/>
              <w:rPr>
                <w:sz w:val="13"/>
                <w:szCs w:val="13"/>
                <w:color w:val="auto"/>
              </w:rPr>
            </w:pPr>
          </w:p>
        </w:tc>
        <w:tc>
          <w:tcPr>
            <w:tcW w:w="1500" w:type="dxa"/>
            <w:vAlign w:val="bottom"/>
            <w:tcBorders>
              <w:top w:val="single" w:sz="8" w:color="auto"/>
            </w:tcBorders>
            <w:shd w:val="clear" w:color="auto" w:fill="CCECFF"/>
          </w:tcPr>
          <w:p>
            <w:pPr>
              <w:jc w:val="center"/>
              <w:spacing w:after="0" w:line="155" w:lineRule="exact"/>
              <w:rPr>
                <w:sz w:val="20"/>
                <w:szCs w:val="20"/>
                <w:color w:val="auto"/>
              </w:rPr>
            </w:pPr>
            <w:r>
              <w:rPr>
                <w:rFonts w:ascii="Arial" w:cs="Arial" w:eastAsia="Arial" w:hAnsi="Arial"/>
                <w:sz w:val="14"/>
                <w:szCs w:val="14"/>
                <w:color w:val="auto"/>
                <w:w w:val="91"/>
              </w:rPr>
              <w:t>January 2, 2020</w:t>
            </w:r>
          </w:p>
        </w:tc>
        <w:tc>
          <w:tcPr>
            <w:tcW w:w="180" w:type="dxa"/>
            <w:vAlign w:val="bottom"/>
            <w:tcBorders>
              <w:top w:val="single" w:sz="8" w:color="CCECFF"/>
            </w:tcBorders>
            <w:shd w:val="clear" w:color="auto" w:fill="CCECFF"/>
          </w:tcPr>
          <w:p>
            <w:pPr>
              <w:spacing w:after="0"/>
              <w:rPr>
                <w:sz w:val="13"/>
                <w:szCs w:val="13"/>
                <w:color w:val="auto"/>
              </w:rPr>
            </w:pPr>
          </w:p>
        </w:tc>
        <w:tc>
          <w:tcPr>
            <w:tcW w:w="10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0"/>
                <w:szCs w:val="10"/>
                <w:color w:val="auto"/>
                <w:w w:val="71"/>
              </w:rPr>
              <w:t>$</w:t>
            </w:r>
          </w:p>
        </w:tc>
        <w:tc>
          <w:tcPr>
            <w:tcW w:w="150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1,087,775</w:t>
            </w:r>
          </w:p>
        </w:tc>
        <w:tc>
          <w:tcPr>
            <w:tcW w:w="120" w:type="dxa"/>
            <w:vAlign w:val="bottom"/>
            <w:tcBorders>
              <w:top w:val="single" w:sz="8" w:color="CCECFF"/>
            </w:tcBorders>
            <w:shd w:val="clear" w:color="auto" w:fill="CCECFF"/>
          </w:tcPr>
          <w:p>
            <w:pPr>
              <w:spacing w:after="0"/>
              <w:rPr>
                <w:sz w:val="13"/>
                <w:szCs w:val="13"/>
                <w:color w:val="auto"/>
              </w:rPr>
            </w:pPr>
          </w:p>
        </w:tc>
      </w:tr>
    </w:tbl>
    <w:p>
      <w:pPr>
        <w:spacing w:after="0" w:line="130" w:lineRule="exact"/>
        <w:rPr>
          <w:sz w:val="20"/>
          <w:szCs w:val="20"/>
          <w:color w:val="auto"/>
        </w:rPr>
      </w:pPr>
    </w:p>
    <w:p>
      <w:pPr>
        <w:ind w:right="120" w:firstLine="438"/>
        <w:spacing w:after="0" w:line="253" w:lineRule="auto"/>
        <w:rPr>
          <w:sz w:val="20"/>
          <w:szCs w:val="20"/>
          <w:color w:val="auto"/>
        </w:rPr>
      </w:pPr>
      <w:r>
        <w:rPr>
          <w:rFonts w:ascii="Arial" w:cs="Arial" w:eastAsia="Arial" w:hAnsi="Arial"/>
          <w:sz w:val="14"/>
          <w:szCs w:val="14"/>
          <w:color w:val="auto"/>
        </w:rPr>
        <w:t>As of September 30, 2019, we had outstanding non-U.S. dollar borrowings on the Credit Facility. Net change in fair value from foreign currency translation on outstanding borrowings is listed below:</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560" w:type="dxa"/>
            <w:vAlign w:val="bottom"/>
          </w:tcPr>
          <w:p>
            <w:pPr>
              <w:spacing w:after="0"/>
              <w:rPr>
                <w:sz w:val="20"/>
                <w:szCs w:val="20"/>
                <w:color w:val="auto"/>
              </w:rPr>
            </w:pPr>
            <w:r>
              <w:rPr>
                <w:rFonts w:ascii="Arial" w:cs="Arial" w:eastAsia="Arial" w:hAnsi="Arial"/>
                <w:sz w:val="14"/>
                <w:szCs w:val="14"/>
                <w:b w:val="1"/>
                <w:bCs w:val="1"/>
                <w:color w:val="auto"/>
              </w:rPr>
              <w:t>Foreign Currency</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tcPr>
          <w:p>
            <w:pPr>
              <w:jc w:val="right"/>
              <w:ind w:right="68"/>
              <w:spacing w:after="0"/>
              <w:rPr>
                <w:sz w:val="20"/>
                <w:szCs w:val="20"/>
                <w:color w:val="auto"/>
              </w:rPr>
            </w:pPr>
            <w:r>
              <w:rPr>
                <w:rFonts w:ascii="Arial" w:cs="Arial" w:eastAsia="Arial" w:hAnsi="Arial"/>
                <w:sz w:val="14"/>
                <w:szCs w:val="14"/>
                <w:b w:val="1"/>
                <w:bCs w:val="1"/>
                <w:color w:val="auto"/>
                <w:w w:val="93"/>
              </w:rPr>
              <w:t>Amount Borrowed</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20" w:type="dxa"/>
            <w:vAlign w:val="bottom"/>
            <w:gridSpan w:val="2"/>
          </w:tcPr>
          <w:p>
            <w:pPr>
              <w:ind w:left="60"/>
              <w:spacing w:after="0"/>
              <w:rPr>
                <w:sz w:val="20"/>
                <w:szCs w:val="20"/>
                <w:color w:val="auto"/>
              </w:rPr>
            </w:pPr>
            <w:r>
              <w:rPr>
                <w:rFonts w:ascii="Arial" w:cs="Arial" w:eastAsia="Arial" w:hAnsi="Arial"/>
                <w:sz w:val="14"/>
                <w:szCs w:val="14"/>
                <w:b w:val="1"/>
                <w:bCs w:val="1"/>
                <w:color w:val="auto"/>
              </w:rPr>
              <w:t>Borrowing Cost</w:t>
            </w:r>
          </w:p>
        </w:tc>
        <w:tc>
          <w:tcPr>
            <w:tcW w:w="160" w:type="dxa"/>
            <w:vAlign w:val="bottom"/>
          </w:tcPr>
          <w:p>
            <w:pPr>
              <w:spacing w:after="0"/>
              <w:rPr>
                <w:sz w:val="14"/>
                <w:szCs w:val="14"/>
                <w:color w:val="auto"/>
              </w:rPr>
            </w:pPr>
          </w:p>
        </w:tc>
        <w:tc>
          <w:tcPr>
            <w:tcW w:w="1520" w:type="dxa"/>
            <w:vAlign w:val="bottom"/>
            <w:gridSpan w:val="2"/>
          </w:tcPr>
          <w:p>
            <w:pPr>
              <w:ind w:left="100"/>
              <w:spacing w:after="0"/>
              <w:rPr>
                <w:sz w:val="20"/>
                <w:szCs w:val="20"/>
                <w:color w:val="auto"/>
              </w:rPr>
            </w:pPr>
            <w:r>
              <w:rPr>
                <w:rFonts w:ascii="Arial" w:cs="Arial" w:eastAsia="Arial" w:hAnsi="Arial"/>
                <w:sz w:val="14"/>
                <w:szCs w:val="14"/>
                <w:b w:val="1"/>
                <w:bCs w:val="1"/>
                <w:color w:val="auto"/>
              </w:rPr>
              <w:t>Current Value</w:t>
            </w:r>
          </w:p>
        </w:tc>
        <w:tc>
          <w:tcPr>
            <w:tcW w:w="16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1"/>
              </w:rPr>
              <w:t>Reset Date</w:t>
            </w:r>
          </w:p>
        </w:tc>
        <w:tc>
          <w:tcPr>
            <w:tcW w:w="100" w:type="dxa"/>
            <w:vAlign w:val="bottom"/>
          </w:tcPr>
          <w:p>
            <w:pPr>
              <w:spacing w:after="0"/>
              <w:rPr>
                <w:sz w:val="14"/>
                <w:szCs w:val="14"/>
                <w:color w:val="auto"/>
              </w:rPr>
            </w:pPr>
          </w:p>
        </w:tc>
        <w:tc>
          <w:tcPr>
            <w:tcW w:w="1620" w:type="dxa"/>
            <w:vAlign w:val="bottom"/>
            <w:gridSpan w:val="2"/>
          </w:tcPr>
          <w:p>
            <w:pPr>
              <w:ind w:left="40"/>
              <w:spacing w:after="0"/>
              <w:rPr>
                <w:sz w:val="20"/>
                <w:szCs w:val="20"/>
                <w:color w:val="auto"/>
              </w:rPr>
            </w:pPr>
            <w:r>
              <w:rPr>
                <w:rFonts w:ascii="Arial" w:cs="Arial" w:eastAsia="Arial" w:hAnsi="Arial"/>
                <w:sz w:val="14"/>
                <w:szCs w:val="14"/>
                <w:b w:val="1"/>
                <w:bCs w:val="1"/>
                <w:color w:val="auto"/>
              </w:rPr>
              <w:t>Change in Fair Value</w:t>
            </w:r>
          </w:p>
        </w:tc>
      </w:tr>
      <w:tr>
        <w:trPr>
          <w:trHeight w:val="155"/>
        </w:trPr>
        <w:tc>
          <w:tcPr>
            <w:tcW w:w="2560" w:type="dxa"/>
            <w:vAlign w:val="bottom"/>
            <w:tcBorders>
              <w:top w:val="single" w:sz="8" w:color="auto"/>
            </w:tcBorders>
            <w:shd w:val="clear" w:color="auto" w:fill="CCECFF"/>
          </w:tcPr>
          <w:p>
            <w:pPr>
              <w:spacing w:after="0" w:line="155" w:lineRule="exact"/>
              <w:rPr>
                <w:sz w:val="20"/>
                <w:szCs w:val="20"/>
                <w:color w:val="auto"/>
              </w:rPr>
            </w:pPr>
            <w:r>
              <w:rPr>
                <w:rFonts w:ascii="Arial" w:cs="Arial" w:eastAsia="Arial" w:hAnsi="Arial"/>
                <w:sz w:val="14"/>
                <w:szCs w:val="14"/>
                <w:color w:val="auto"/>
              </w:rPr>
              <w:t>Canadian Dollar</w:t>
            </w:r>
          </w:p>
        </w:tc>
        <w:tc>
          <w:tcPr>
            <w:tcW w:w="280" w:type="dxa"/>
            <w:vAlign w:val="bottom"/>
            <w:tcBorders>
              <w:top w:val="single" w:sz="8" w:color="CCECFF"/>
            </w:tcBorders>
            <w:shd w:val="clear" w:color="auto" w:fill="CCECFF"/>
          </w:tcPr>
          <w:p>
            <w:pPr>
              <w:ind w:left="180"/>
              <w:spacing w:after="0" w:line="155" w:lineRule="exact"/>
              <w:rPr>
                <w:sz w:val="20"/>
                <w:szCs w:val="20"/>
                <w:color w:val="auto"/>
              </w:rPr>
            </w:pPr>
            <w:r>
              <w:rPr>
                <w:rFonts w:ascii="Arial" w:cs="Arial" w:eastAsia="Arial" w:hAnsi="Arial"/>
                <w:sz w:val="14"/>
                <w:szCs w:val="14"/>
                <w:color w:val="auto"/>
                <w:w w:val="78"/>
              </w:rPr>
              <w:t>C</w:t>
            </w:r>
          </w:p>
        </w:tc>
        <w:tc>
          <w:tcPr>
            <w:tcW w:w="10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w w:val="76"/>
              </w:rPr>
              <w:t>$</w:t>
            </w:r>
          </w:p>
        </w:tc>
        <w:tc>
          <w:tcPr>
            <w:tcW w:w="130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17,500,000</w:t>
            </w:r>
          </w:p>
        </w:tc>
        <w:tc>
          <w:tcPr>
            <w:tcW w:w="260" w:type="dxa"/>
            <w:vAlign w:val="bottom"/>
            <w:tcBorders>
              <w:top w:val="single" w:sz="8" w:color="CCECFF"/>
            </w:tcBorders>
            <w:shd w:val="clear" w:color="auto" w:fill="CCECFF"/>
          </w:tcPr>
          <w:p>
            <w:pPr>
              <w:spacing w:after="0"/>
              <w:rPr>
                <w:sz w:val="13"/>
                <w:szCs w:val="13"/>
                <w:color w:val="auto"/>
              </w:rPr>
            </w:pPr>
          </w:p>
        </w:tc>
        <w:tc>
          <w:tcPr>
            <w:tcW w:w="14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w w:val="76"/>
              </w:rPr>
              <w:t>$</w:t>
            </w:r>
          </w:p>
        </w:tc>
        <w:tc>
          <w:tcPr>
            <w:tcW w:w="126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12,407,501</w:t>
            </w:r>
          </w:p>
        </w:tc>
        <w:tc>
          <w:tcPr>
            <w:tcW w:w="260" w:type="dxa"/>
            <w:vAlign w:val="bottom"/>
            <w:tcBorders>
              <w:top w:val="single" w:sz="8" w:color="CCECFF"/>
            </w:tcBorders>
            <w:shd w:val="clear" w:color="auto" w:fill="CCECFF"/>
          </w:tcPr>
          <w:p>
            <w:pPr>
              <w:spacing w:after="0"/>
              <w:rPr>
                <w:sz w:val="13"/>
                <w:szCs w:val="13"/>
                <w:color w:val="auto"/>
              </w:rPr>
            </w:pPr>
          </w:p>
        </w:tc>
        <w:tc>
          <w:tcPr>
            <w:tcW w:w="160" w:type="dxa"/>
            <w:vAlign w:val="bottom"/>
            <w:tcBorders>
              <w:top w:val="single" w:sz="8" w:color="auto"/>
            </w:tcBorders>
            <w:shd w:val="clear" w:color="auto" w:fill="CCECFF"/>
          </w:tcPr>
          <w:p>
            <w:pPr>
              <w:jc w:val="right"/>
              <w:ind w:right="8"/>
              <w:spacing w:after="0" w:line="155" w:lineRule="exact"/>
              <w:rPr>
                <w:sz w:val="20"/>
                <w:szCs w:val="20"/>
                <w:color w:val="auto"/>
              </w:rPr>
            </w:pPr>
            <w:r>
              <w:rPr>
                <w:rFonts w:ascii="Arial" w:cs="Arial" w:eastAsia="Arial" w:hAnsi="Arial"/>
                <w:sz w:val="14"/>
                <w:szCs w:val="14"/>
                <w:color w:val="auto"/>
                <w:w w:val="76"/>
              </w:rPr>
              <w:t>$</w:t>
            </w:r>
          </w:p>
        </w:tc>
        <w:tc>
          <w:tcPr>
            <w:tcW w:w="124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13,217,523</w:t>
            </w:r>
          </w:p>
        </w:tc>
        <w:tc>
          <w:tcPr>
            <w:tcW w:w="280" w:type="dxa"/>
            <w:vAlign w:val="bottom"/>
            <w:tcBorders>
              <w:top w:val="single" w:sz="8" w:color="CCECFF"/>
            </w:tcBorders>
            <w:shd w:val="clear" w:color="auto" w:fill="CCECFF"/>
          </w:tcPr>
          <w:p>
            <w:pPr>
              <w:spacing w:after="0"/>
              <w:rPr>
                <w:sz w:val="13"/>
                <w:szCs w:val="13"/>
                <w:color w:val="auto"/>
              </w:rPr>
            </w:pPr>
          </w:p>
        </w:tc>
        <w:tc>
          <w:tcPr>
            <w:tcW w:w="1500" w:type="dxa"/>
            <w:vAlign w:val="bottom"/>
            <w:tcBorders>
              <w:top w:val="single" w:sz="8" w:color="auto"/>
            </w:tcBorders>
            <w:shd w:val="clear" w:color="auto" w:fill="CCECFF"/>
          </w:tcPr>
          <w:p>
            <w:pPr>
              <w:jc w:val="center"/>
              <w:spacing w:after="0" w:line="155" w:lineRule="exact"/>
              <w:rPr>
                <w:sz w:val="20"/>
                <w:szCs w:val="20"/>
                <w:color w:val="auto"/>
              </w:rPr>
            </w:pPr>
            <w:r>
              <w:rPr>
                <w:rFonts w:ascii="Arial" w:cs="Arial" w:eastAsia="Arial" w:hAnsi="Arial"/>
                <w:sz w:val="14"/>
                <w:szCs w:val="14"/>
                <w:color w:val="auto"/>
                <w:w w:val="93"/>
              </w:rPr>
              <w:t>October 1, 2019</w:t>
            </w:r>
          </w:p>
        </w:tc>
        <w:tc>
          <w:tcPr>
            <w:tcW w:w="180" w:type="dxa"/>
            <w:vAlign w:val="bottom"/>
            <w:tcBorders>
              <w:top w:val="single" w:sz="8" w:color="CCECFF"/>
            </w:tcBorders>
            <w:shd w:val="clear" w:color="auto" w:fill="CCECFF"/>
          </w:tcPr>
          <w:p>
            <w:pPr>
              <w:spacing w:after="0"/>
              <w:rPr>
                <w:sz w:val="13"/>
                <w:szCs w:val="13"/>
                <w:color w:val="auto"/>
              </w:rPr>
            </w:pPr>
          </w:p>
        </w:tc>
        <w:tc>
          <w:tcPr>
            <w:tcW w:w="10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0"/>
                <w:szCs w:val="10"/>
                <w:color w:val="auto"/>
                <w:w w:val="71"/>
              </w:rPr>
              <w:t>$</w:t>
            </w:r>
          </w:p>
        </w:tc>
        <w:tc>
          <w:tcPr>
            <w:tcW w:w="150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810,022</w:t>
            </w:r>
          </w:p>
        </w:tc>
        <w:tc>
          <w:tcPr>
            <w:tcW w:w="120" w:type="dxa"/>
            <w:vAlign w:val="bottom"/>
            <w:tcBorders>
              <w:top w:val="single" w:sz="8" w:color="CCECFF"/>
            </w:tcBorders>
            <w:shd w:val="clear" w:color="auto" w:fill="CCECFF"/>
          </w:tcPr>
          <w:p>
            <w:pPr>
              <w:spacing w:after="0"/>
              <w:rPr>
                <w:sz w:val="13"/>
                <w:szCs w:val="13"/>
                <w:color w:val="auto"/>
              </w:rPr>
            </w:pPr>
          </w:p>
        </w:tc>
      </w:tr>
    </w:tbl>
    <w:p>
      <w:pPr>
        <w:spacing w:after="0" w:line="130" w:lineRule="exact"/>
        <w:rPr>
          <w:sz w:val="20"/>
          <w:szCs w:val="20"/>
          <w:color w:val="auto"/>
        </w:rPr>
      </w:pPr>
    </w:p>
    <w:p>
      <w:pPr>
        <w:ind w:right="40" w:firstLine="438"/>
        <w:spacing w:after="0" w:line="226" w:lineRule="auto"/>
        <w:rPr>
          <w:sz w:val="20"/>
          <w:szCs w:val="20"/>
          <w:color w:val="auto"/>
        </w:rPr>
      </w:pPr>
      <w:r>
        <w:rPr>
          <w:rFonts w:ascii="Arial" w:cs="Arial" w:eastAsia="Arial" w:hAnsi="Arial"/>
          <w:sz w:val="14"/>
          <w:szCs w:val="14"/>
          <w:color w:val="auto"/>
        </w:rPr>
        <w:t>The carrying value of our consolidated financial liabilities approximates fair value. We have adopted the principles under ASC Subtopic 825-10, Financial Instruments, or ASC 825-10, which provides companies with an option to report selected financial assets and liabilities at fair value, and made an irrevocable election to apply ASC 825-10 to the Credit Facility and the 2023 Notes. We elected to use the fair value option for the Credit Facility and the 2023 Notes to align the measurement attributes of both our assets and liabilities while mitigating volatility in earnings from using different measurement attributes. Due to that election and in accordance with GAAP, we incurred expenses of zero and $4.5 million, respectively, relating to amendment costs on the Credit Facility during the three months ended December 31, 2019 and 2018. ASC 825-10 establishes presentation and disclosure requirements designed to facilitate comparisons between companies that choose different measurement attributes for similar types of assets and liabilities and to more easily understand the effect on earnings of a company’s choice to use fair value. ASC 825-10 also requires entities to display the fair value of the selected assets and liabilities on the face of the Consolidated Statements of Assets and Liabilities and changes in fair value of the Credit Facility and the 2023 Notes are reported in our Consolidated Statements of Operations. We elected not to apply ASC 825-10 to any other financial assets or liabilities, including our 2031 Asset-Backed Debt.</w:t>
      </w:r>
    </w:p>
    <w:p>
      <w:pPr>
        <w:spacing w:after="0" w:line="121" w:lineRule="exact"/>
        <w:rPr>
          <w:sz w:val="20"/>
          <w:szCs w:val="20"/>
          <w:color w:val="auto"/>
        </w:rPr>
      </w:pPr>
    </w:p>
    <w:p>
      <w:pPr>
        <w:ind w:right="40" w:firstLine="438"/>
        <w:spacing w:after="0" w:line="233" w:lineRule="auto"/>
        <w:rPr>
          <w:sz w:val="20"/>
          <w:szCs w:val="20"/>
          <w:color w:val="auto"/>
        </w:rPr>
      </w:pPr>
      <w:r>
        <w:rPr>
          <w:rFonts w:ascii="Arial" w:cs="Arial" w:eastAsia="Arial" w:hAnsi="Arial"/>
          <w:sz w:val="14"/>
          <w:szCs w:val="14"/>
          <w:color w:val="auto"/>
        </w:rPr>
        <w:t>For the three months ended December 31, 2019 and 2018, the Credit Facility and the 2023 Notes had a net change in unrealized depreciation of million $1.4 million and $5.5 million, respectively. As of December 31, 2019 and September 30, 2019, the net unrealized depreciation on the Credit Facility and the 2023 Notes totaled million $6.0 and $4.7 million, respectively. We use a nationally recognized independent valuation service to measure the fair value of the Credit Facility in a manner consistent with the valuation process that the board of directors uses to value our investments. Our 2023 Notes trade on the TASE and we use the closing price on the exchange to determine the fair value.</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149465"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6" w:name="page27"/>
    <w:bookmarkEnd w:id="26"/>
    <w:p>
      <w:pPr>
        <w:jc w:val="center"/>
        <w:spacing w:after="0"/>
        <w:rPr>
          <w:sz w:val="20"/>
          <w:szCs w:val="20"/>
          <w:color w:val="auto"/>
        </w:rPr>
      </w:pPr>
      <w:r>
        <w:rPr>
          <w:rFonts w:ascii="Arial" w:cs="Arial" w:eastAsia="Arial" w:hAnsi="Arial"/>
          <w:sz w:val="14"/>
          <w:szCs w:val="14"/>
          <w:b w:val="1"/>
          <w:bCs w:val="1"/>
          <w:color w:val="auto"/>
        </w:rPr>
        <w:t>PENNANTPARK FLOATING RATE CAPITAL LTD. AND SUBSIDIARIES</w:t>
      </w:r>
    </w:p>
    <w:p>
      <w:pPr>
        <w:jc w:val="center"/>
        <w:spacing w:after="0" w:line="225" w:lineRule="auto"/>
        <w:rPr>
          <w:sz w:val="20"/>
          <w:szCs w:val="20"/>
          <w:color w:val="auto"/>
        </w:rPr>
      </w:pPr>
      <w:r>
        <w:rPr>
          <w:rFonts w:ascii="Arial" w:cs="Arial" w:eastAsia="Arial" w:hAnsi="Arial"/>
          <w:sz w:val="14"/>
          <w:szCs w:val="14"/>
          <w:b w:val="1"/>
          <w:bCs w:val="1"/>
          <w:color w:val="auto"/>
        </w:rPr>
        <w:t>NOTES TO CONSOLIDATED FINANCIAL STATEMENTS-(Continued)</w:t>
      </w:r>
    </w:p>
    <w:p>
      <w:pPr>
        <w:jc w:val="center"/>
        <w:spacing w:after="0" w:line="221" w:lineRule="auto"/>
        <w:rPr>
          <w:sz w:val="20"/>
          <w:szCs w:val="20"/>
          <w:color w:val="auto"/>
        </w:rPr>
      </w:pPr>
      <w:r>
        <w:rPr>
          <w:rFonts w:ascii="Arial" w:cs="Arial" w:eastAsia="Arial" w:hAnsi="Arial"/>
          <w:sz w:val="14"/>
          <w:szCs w:val="14"/>
          <w:b w:val="1"/>
          <w:bCs w:val="1"/>
          <w:color w:val="auto"/>
        </w:rPr>
        <w:t>DECEMBER 31, 2019</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12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6. TRANSACTIONS WITH AFFILIATED COMPANIES</w:t>
      </w:r>
    </w:p>
    <w:p>
      <w:pPr>
        <w:spacing w:after="0" w:line="140" w:lineRule="exact"/>
        <w:rPr>
          <w:sz w:val="20"/>
          <w:szCs w:val="20"/>
          <w:color w:val="auto"/>
        </w:rPr>
      </w:pPr>
    </w:p>
    <w:p>
      <w:pPr>
        <w:ind w:right="420" w:firstLine="438"/>
        <w:spacing w:after="0" w:line="238" w:lineRule="auto"/>
        <w:rPr>
          <w:sz w:val="20"/>
          <w:szCs w:val="20"/>
          <w:color w:val="auto"/>
        </w:rPr>
      </w:pPr>
      <w:r>
        <w:rPr>
          <w:rFonts w:ascii="Arial" w:cs="Arial" w:eastAsia="Arial" w:hAnsi="Arial"/>
          <w:sz w:val="14"/>
          <w:szCs w:val="14"/>
          <w:color w:val="auto"/>
        </w:rPr>
        <w:t>An affiliated portfolio company is a company in which we have ownership of 5% or more of its voting securities. A portfolio company is generally presumed to be a non-controlled affiliate when we own at least 5% but 25% or less of its voting securities and a controlled affiliate when we own more than 25% of its voting securities. Transactions related to our funded investments with both controlled and non-controlled affiliates for the three months ended December 31, 2019 were as follows: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3"/>
            <w:vMerge w:val="restart"/>
          </w:tcPr>
          <w:p>
            <w:pPr>
              <w:jc w:val="center"/>
              <w:ind w:right="220"/>
              <w:spacing w:after="0"/>
              <w:rPr>
                <w:sz w:val="20"/>
                <w:szCs w:val="20"/>
                <w:color w:val="auto"/>
              </w:rPr>
            </w:pPr>
            <w:r>
              <w:rPr>
                <w:rFonts w:ascii="Arial" w:cs="Arial" w:eastAsia="Arial" w:hAnsi="Arial"/>
                <w:sz w:val="14"/>
                <w:szCs w:val="14"/>
                <w:b w:val="1"/>
                <w:bCs w:val="1"/>
                <w:color w:val="auto"/>
                <w:w w:val="97"/>
              </w:rPr>
              <w:t>Fair value at</w:t>
            </w:r>
          </w:p>
        </w:tc>
        <w:tc>
          <w:tcPr>
            <w:tcW w:w="100" w:type="dxa"/>
            <w:vAlign w:val="bottom"/>
          </w:tcPr>
          <w:p>
            <w:pPr>
              <w:spacing w:after="0"/>
              <w:rPr>
                <w:sz w:val="14"/>
                <w:szCs w:val="14"/>
                <w:color w:val="auto"/>
              </w:rPr>
            </w:pPr>
          </w:p>
        </w:tc>
        <w:tc>
          <w:tcPr>
            <w:tcW w:w="840" w:type="dxa"/>
            <w:vAlign w:val="bottom"/>
            <w:vMerge w:val="restart"/>
          </w:tcPr>
          <w:p>
            <w:pPr>
              <w:jc w:val="center"/>
              <w:ind w:right="28"/>
              <w:spacing w:after="0"/>
              <w:rPr>
                <w:sz w:val="20"/>
                <w:szCs w:val="20"/>
                <w:color w:val="auto"/>
              </w:rPr>
            </w:pPr>
            <w:r>
              <w:rPr>
                <w:rFonts w:ascii="Arial" w:cs="Arial" w:eastAsia="Arial" w:hAnsi="Arial"/>
                <w:sz w:val="14"/>
                <w:szCs w:val="14"/>
                <w:b w:val="1"/>
                <w:bCs w:val="1"/>
                <w:color w:val="auto"/>
                <w:w w:val="87"/>
              </w:rPr>
              <w:t>Purchases</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9"/>
              </w:rPr>
              <w:t>Sale of /</w:t>
            </w:r>
          </w:p>
        </w:tc>
        <w:tc>
          <w:tcPr>
            <w:tcW w:w="106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3"/>
              </w:rPr>
              <w:t>Net Change in</w:t>
            </w:r>
          </w:p>
        </w:tc>
        <w:tc>
          <w:tcPr>
            <w:tcW w:w="100" w:type="dxa"/>
            <w:vAlign w:val="bottom"/>
          </w:tcPr>
          <w:p>
            <w:pPr>
              <w:spacing w:after="0"/>
              <w:rPr>
                <w:sz w:val="14"/>
                <w:szCs w:val="14"/>
                <w:color w:val="auto"/>
              </w:rPr>
            </w:pPr>
          </w:p>
        </w:tc>
        <w:tc>
          <w:tcPr>
            <w:tcW w:w="1140" w:type="dxa"/>
            <w:vAlign w:val="bottom"/>
            <w:gridSpan w:val="3"/>
            <w:vMerge w:val="restart"/>
          </w:tcPr>
          <w:p>
            <w:pPr>
              <w:jc w:val="center"/>
              <w:ind w:right="240"/>
              <w:spacing w:after="0"/>
              <w:rPr>
                <w:sz w:val="20"/>
                <w:szCs w:val="20"/>
                <w:color w:val="auto"/>
              </w:rPr>
            </w:pPr>
            <w:r>
              <w:rPr>
                <w:rFonts w:ascii="Arial" w:cs="Arial" w:eastAsia="Arial" w:hAnsi="Arial"/>
                <w:sz w:val="14"/>
                <w:szCs w:val="14"/>
                <w:b w:val="1"/>
                <w:bCs w:val="1"/>
                <w:color w:val="auto"/>
                <w:w w:val="95"/>
              </w:rPr>
              <w:t>Fair value at</w:t>
            </w: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8"/>
              </w:rPr>
              <w:t>Net</w:t>
            </w:r>
          </w:p>
        </w:tc>
        <w:tc>
          <w:tcPr>
            <w:tcW w:w="0" w:type="dxa"/>
            <w:vAlign w:val="bottom"/>
          </w:tcPr>
          <w:p>
            <w:pPr>
              <w:spacing w:after="0"/>
              <w:rPr>
                <w:sz w:val="1"/>
                <w:szCs w:val="1"/>
                <w:color w:val="auto"/>
              </w:rPr>
            </w:pPr>
          </w:p>
        </w:tc>
      </w:tr>
      <w:tr>
        <w:trPr>
          <w:trHeight w:val="148"/>
        </w:trPr>
        <w:tc>
          <w:tcPr>
            <w:tcW w:w="2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Distributions</w:t>
            </w:r>
          </w:p>
        </w:tc>
        <w:tc>
          <w:tcPr>
            <w:tcW w:w="100" w:type="dxa"/>
            <w:vAlign w:val="bottom"/>
          </w:tcPr>
          <w:p>
            <w:pPr>
              <w:spacing w:after="0"/>
              <w:rPr>
                <w:sz w:val="12"/>
                <w:szCs w:val="12"/>
                <w:color w:val="auto"/>
              </w:rPr>
            </w:pPr>
          </w:p>
        </w:tc>
        <w:tc>
          <w:tcPr>
            <w:tcW w:w="9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5"/>
              </w:rPr>
              <w:t>Unrealized</w:t>
            </w:r>
          </w:p>
        </w:tc>
        <w:tc>
          <w:tcPr>
            <w:tcW w:w="100" w:type="dxa"/>
            <w:vAlign w:val="bottom"/>
          </w:tcPr>
          <w:p>
            <w:pPr>
              <w:spacing w:after="0"/>
              <w:rPr>
                <w:sz w:val="12"/>
                <w:szCs w:val="12"/>
                <w:color w:val="auto"/>
              </w:rPr>
            </w:pPr>
          </w:p>
        </w:tc>
        <w:tc>
          <w:tcPr>
            <w:tcW w:w="114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Interest</w:t>
            </w:r>
          </w:p>
        </w:tc>
        <w:tc>
          <w:tcPr>
            <w:tcW w:w="120" w:type="dxa"/>
            <w:vAlign w:val="bottom"/>
          </w:tcPr>
          <w:p>
            <w:pPr>
              <w:spacing w:after="0"/>
              <w:rPr>
                <w:sz w:val="12"/>
                <w:szCs w:val="12"/>
                <w:color w:val="auto"/>
              </w:rPr>
            </w:pPr>
          </w:p>
        </w:tc>
        <w:tc>
          <w:tcPr>
            <w:tcW w:w="104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4"/>
              </w:rPr>
              <w:t>Dividend</w:t>
            </w:r>
          </w:p>
        </w:tc>
        <w:tc>
          <w:tcPr>
            <w:tcW w:w="140" w:type="dxa"/>
            <w:vAlign w:val="bottom"/>
          </w:tcPr>
          <w:p>
            <w:pPr>
              <w:spacing w:after="0"/>
              <w:rPr>
                <w:sz w:val="12"/>
                <w:szCs w:val="12"/>
                <w:color w:val="auto"/>
              </w:rPr>
            </w:pPr>
          </w:p>
        </w:tc>
        <w:tc>
          <w:tcPr>
            <w:tcW w:w="9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Realized</w:t>
            </w:r>
          </w:p>
        </w:tc>
        <w:tc>
          <w:tcPr>
            <w:tcW w:w="0" w:type="dxa"/>
            <w:vAlign w:val="bottom"/>
          </w:tcPr>
          <w:p>
            <w:pPr>
              <w:spacing w:after="0"/>
              <w:rPr>
                <w:sz w:val="1"/>
                <w:szCs w:val="1"/>
                <w:color w:val="auto"/>
              </w:rPr>
            </w:pPr>
          </w:p>
        </w:tc>
      </w:tr>
      <w:tr>
        <w:trPr>
          <w:trHeight w:val="149"/>
        </w:trPr>
        <w:tc>
          <w:tcPr>
            <w:tcW w:w="2000" w:type="dxa"/>
            <w:vAlign w:val="bottom"/>
            <w:vMerge w:val="restart"/>
          </w:tcPr>
          <w:p>
            <w:pPr>
              <w:spacing w:after="0"/>
              <w:rPr>
                <w:sz w:val="20"/>
                <w:szCs w:val="20"/>
                <w:color w:val="auto"/>
              </w:rPr>
            </w:pPr>
            <w:r>
              <w:rPr>
                <w:rFonts w:ascii="Arial" w:cs="Arial" w:eastAsia="Arial" w:hAnsi="Arial"/>
                <w:sz w:val="14"/>
                <w:szCs w:val="14"/>
                <w:b w:val="1"/>
                <w:bCs w:val="1"/>
                <w:color w:val="auto"/>
              </w:rPr>
              <w:t>Name of Investment</w:t>
            </w:r>
          </w:p>
        </w:tc>
        <w:tc>
          <w:tcPr>
            <w:tcW w:w="100" w:type="dxa"/>
            <w:vAlign w:val="bottom"/>
          </w:tcPr>
          <w:p>
            <w:pPr>
              <w:spacing w:after="0"/>
              <w:rPr>
                <w:sz w:val="12"/>
                <w:szCs w:val="12"/>
                <w:color w:val="auto"/>
              </w:rPr>
            </w:pPr>
          </w:p>
        </w:tc>
        <w:tc>
          <w:tcPr>
            <w:tcW w:w="114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91"/>
              </w:rPr>
              <w:t>September 30,</w:t>
            </w:r>
          </w:p>
        </w:tc>
        <w:tc>
          <w:tcPr>
            <w:tcW w:w="9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of / Advances</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6"/>
              </w:rPr>
              <w:t>from</w:t>
            </w:r>
          </w:p>
        </w:tc>
        <w:tc>
          <w:tcPr>
            <w:tcW w:w="106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93"/>
              </w:rPr>
              <w:t>Appreciation</w:t>
            </w:r>
          </w:p>
        </w:tc>
        <w:tc>
          <w:tcPr>
            <w:tcW w:w="100" w:type="dxa"/>
            <w:vAlign w:val="bottom"/>
          </w:tcPr>
          <w:p>
            <w:pPr>
              <w:spacing w:after="0"/>
              <w:rPr>
                <w:sz w:val="12"/>
                <w:szCs w:val="12"/>
                <w:color w:val="auto"/>
              </w:rPr>
            </w:pPr>
          </w:p>
        </w:tc>
        <w:tc>
          <w:tcPr>
            <w:tcW w:w="114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December 31,</w:t>
            </w:r>
          </w:p>
        </w:tc>
        <w:tc>
          <w:tcPr>
            <w:tcW w:w="14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Gains</w:t>
            </w:r>
          </w:p>
        </w:tc>
        <w:tc>
          <w:tcPr>
            <w:tcW w:w="0" w:type="dxa"/>
            <w:vAlign w:val="bottom"/>
          </w:tcPr>
          <w:p>
            <w:pPr>
              <w:spacing w:after="0"/>
              <w:rPr>
                <w:sz w:val="1"/>
                <w:szCs w:val="1"/>
                <w:color w:val="auto"/>
              </w:rPr>
            </w:pPr>
          </w:p>
        </w:tc>
      </w:tr>
      <w:tr>
        <w:trPr>
          <w:trHeight w:val="171"/>
        </w:trPr>
        <w:tc>
          <w:tcPr>
            <w:tcW w:w="20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jc w:val="center"/>
              <w:ind w:right="88"/>
              <w:spacing w:after="0"/>
              <w:rPr>
                <w:sz w:val="20"/>
                <w:szCs w:val="20"/>
                <w:color w:val="auto"/>
              </w:rPr>
            </w:pPr>
            <w:r>
              <w:rPr>
                <w:rFonts w:ascii="Arial" w:cs="Arial" w:eastAsia="Arial" w:hAnsi="Arial"/>
                <w:sz w:val="14"/>
                <w:szCs w:val="14"/>
                <w:b w:val="1"/>
                <w:bCs w:val="1"/>
                <w:color w:val="auto"/>
                <w:w w:val="89"/>
              </w:rPr>
              <w:t>2019</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center"/>
              <w:ind w:right="48"/>
              <w:spacing w:after="0"/>
              <w:rPr>
                <w:sz w:val="20"/>
                <w:szCs w:val="20"/>
                <w:color w:val="auto"/>
              </w:rPr>
            </w:pPr>
            <w:r>
              <w:rPr>
                <w:rFonts w:ascii="Arial" w:cs="Arial" w:eastAsia="Arial" w:hAnsi="Arial"/>
                <w:sz w:val="14"/>
                <w:szCs w:val="14"/>
                <w:b w:val="1"/>
                <w:bCs w:val="1"/>
                <w:color w:val="auto"/>
                <w:w w:val="94"/>
              </w:rPr>
              <w:t>to Affiliates</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Affiliates</w:t>
            </w:r>
          </w:p>
        </w:tc>
        <w:tc>
          <w:tcPr>
            <w:tcW w:w="1060" w:type="dxa"/>
            <w:vAlign w:val="bottom"/>
            <w:gridSpan w:val="3"/>
          </w:tcPr>
          <w:p>
            <w:pPr>
              <w:ind w:left="20"/>
              <w:spacing w:after="0"/>
              <w:rPr>
                <w:sz w:val="20"/>
                <w:szCs w:val="20"/>
                <w:color w:val="auto"/>
              </w:rPr>
            </w:pPr>
            <w:r>
              <w:rPr>
                <w:rFonts w:ascii="Arial" w:cs="Arial" w:eastAsia="Arial" w:hAnsi="Arial"/>
                <w:sz w:val="14"/>
                <w:szCs w:val="14"/>
                <w:b w:val="1"/>
                <w:bCs w:val="1"/>
                <w:color w:val="auto"/>
              </w:rPr>
              <w:t>(Depreciation)</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center"/>
              <w:ind w:right="68"/>
              <w:spacing w:after="0"/>
              <w:rPr>
                <w:sz w:val="20"/>
                <w:szCs w:val="20"/>
                <w:color w:val="auto"/>
              </w:rPr>
            </w:pPr>
            <w:r>
              <w:rPr>
                <w:rFonts w:ascii="Arial" w:cs="Arial" w:eastAsia="Arial" w:hAnsi="Arial"/>
                <w:sz w:val="14"/>
                <w:szCs w:val="14"/>
                <w:b w:val="1"/>
                <w:bCs w:val="1"/>
                <w:color w:val="auto"/>
                <w:w w:val="96"/>
              </w:rPr>
              <w:t>2019</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tcPr>
          <w:p>
            <w:pPr>
              <w:ind w:left="100"/>
              <w:spacing w:after="0"/>
              <w:rPr>
                <w:sz w:val="20"/>
                <w:szCs w:val="20"/>
                <w:color w:val="auto"/>
              </w:rPr>
            </w:pPr>
            <w:r>
              <w:rPr>
                <w:rFonts w:ascii="Arial" w:cs="Arial" w:eastAsia="Arial" w:hAnsi="Arial"/>
                <w:sz w:val="14"/>
                <w:szCs w:val="14"/>
                <w:b w:val="1"/>
                <w:bCs w:val="1"/>
                <w:color w:val="auto"/>
              </w:rPr>
              <w:t>Income</w:t>
            </w:r>
          </w:p>
        </w:tc>
        <w:tc>
          <w:tcPr>
            <w:tcW w:w="120" w:type="dxa"/>
            <w:vAlign w:val="bottom"/>
          </w:tcPr>
          <w:p>
            <w:pPr>
              <w:spacing w:after="0"/>
              <w:rPr>
                <w:sz w:val="14"/>
                <w:szCs w:val="14"/>
                <w:color w:val="auto"/>
              </w:rPr>
            </w:pPr>
          </w:p>
        </w:tc>
        <w:tc>
          <w:tcPr>
            <w:tcW w:w="10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Income</w:t>
            </w:r>
          </w:p>
        </w:tc>
        <w:tc>
          <w:tcPr>
            <w:tcW w:w="140" w:type="dxa"/>
            <w:vAlign w:val="bottom"/>
          </w:tcPr>
          <w:p>
            <w:pPr>
              <w:spacing w:after="0"/>
              <w:rPr>
                <w:sz w:val="14"/>
                <w:szCs w:val="14"/>
                <w:color w:val="auto"/>
              </w:rPr>
            </w:pPr>
          </w:p>
        </w:tc>
        <w:tc>
          <w:tcPr>
            <w:tcW w:w="9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3"/>
              </w:rPr>
              <w:t>(Losses)</w:t>
            </w:r>
          </w:p>
        </w:tc>
        <w:tc>
          <w:tcPr>
            <w:tcW w:w="0" w:type="dxa"/>
            <w:vAlign w:val="bottom"/>
          </w:tcPr>
          <w:p>
            <w:pPr>
              <w:spacing w:after="0"/>
              <w:rPr>
                <w:sz w:val="1"/>
                <w:szCs w:val="1"/>
                <w:color w:val="auto"/>
              </w:rPr>
            </w:pPr>
          </w:p>
        </w:tc>
      </w:tr>
      <w:tr>
        <w:trPr>
          <w:trHeight w:val="155"/>
        </w:trPr>
        <w:tc>
          <w:tcPr>
            <w:tcW w:w="2000" w:type="dxa"/>
            <w:vAlign w:val="bottom"/>
            <w:tcBorders>
              <w:top w:val="single" w:sz="8" w:color="auto"/>
            </w:tcBorders>
            <w:shd w:val="clear" w:color="auto" w:fill="CCECFF"/>
          </w:tcPr>
          <w:p>
            <w:pPr>
              <w:spacing w:after="0" w:line="155" w:lineRule="exact"/>
              <w:rPr>
                <w:sz w:val="20"/>
                <w:szCs w:val="20"/>
                <w:color w:val="auto"/>
              </w:rPr>
            </w:pPr>
            <w:r>
              <w:rPr>
                <w:rFonts w:ascii="Arial" w:cs="Arial" w:eastAsia="Arial" w:hAnsi="Arial"/>
                <w:sz w:val="14"/>
                <w:szCs w:val="14"/>
                <w:b w:val="1"/>
                <w:bCs w:val="1"/>
                <w:color w:val="auto"/>
              </w:rPr>
              <w:t>Non-Controlled Affiliates</w:t>
            </w:r>
          </w:p>
        </w:tc>
        <w:tc>
          <w:tcPr>
            <w:tcW w:w="100" w:type="dxa"/>
            <w:vAlign w:val="bottom"/>
            <w:tcBorders>
              <w:top w:val="single" w:sz="8" w:color="CCECFF"/>
            </w:tcBorders>
            <w:shd w:val="clear" w:color="auto" w:fill="CCECFF"/>
          </w:tcPr>
          <w:p>
            <w:pPr>
              <w:spacing w:after="0"/>
              <w:rPr>
                <w:sz w:val="13"/>
                <w:szCs w:val="13"/>
                <w:color w:val="auto"/>
              </w:rPr>
            </w:pPr>
          </w:p>
        </w:tc>
        <w:tc>
          <w:tcPr>
            <w:tcW w:w="140" w:type="dxa"/>
            <w:vAlign w:val="bottom"/>
            <w:tcBorders>
              <w:top w:val="single" w:sz="8" w:color="auto"/>
            </w:tcBorders>
            <w:shd w:val="clear" w:color="auto" w:fill="CCECFF"/>
          </w:tcPr>
          <w:p>
            <w:pPr>
              <w:spacing w:after="0"/>
              <w:rPr>
                <w:sz w:val="13"/>
                <w:szCs w:val="13"/>
                <w:color w:val="auto"/>
              </w:rPr>
            </w:pPr>
          </w:p>
        </w:tc>
        <w:tc>
          <w:tcPr>
            <w:tcW w:w="800" w:type="dxa"/>
            <w:vAlign w:val="bottom"/>
            <w:tcBorders>
              <w:top w:val="single" w:sz="8" w:color="auto"/>
            </w:tcBorders>
            <w:shd w:val="clear" w:color="auto" w:fill="CCECFF"/>
          </w:tcPr>
          <w:p>
            <w:pPr>
              <w:spacing w:after="0"/>
              <w:rPr>
                <w:sz w:val="13"/>
                <w:szCs w:val="13"/>
                <w:color w:val="auto"/>
              </w:rPr>
            </w:pPr>
          </w:p>
        </w:tc>
        <w:tc>
          <w:tcPr>
            <w:tcW w:w="200" w:type="dxa"/>
            <w:vAlign w:val="bottom"/>
            <w:tcBorders>
              <w:top w:val="single" w:sz="8" w:color="CCECFF"/>
            </w:tcBorders>
            <w:shd w:val="clear" w:color="auto" w:fill="CCECFF"/>
          </w:tcPr>
          <w:p>
            <w:pPr>
              <w:spacing w:after="0"/>
              <w:rPr>
                <w:sz w:val="13"/>
                <w:szCs w:val="13"/>
                <w:color w:val="auto"/>
              </w:rPr>
            </w:pPr>
          </w:p>
        </w:tc>
        <w:tc>
          <w:tcPr>
            <w:tcW w:w="100" w:type="dxa"/>
            <w:vAlign w:val="bottom"/>
            <w:tcBorders>
              <w:top w:val="single" w:sz="8" w:color="auto"/>
            </w:tcBorders>
            <w:shd w:val="clear" w:color="auto" w:fill="CCECFF"/>
          </w:tcPr>
          <w:p>
            <w:pPr>
              <w:spacing w:after="0"/>
              <w:rPr>
                <w:sz w:val="13"/>
                <w:szCs w:val="13"/>
                <w:color w:val="auto"/>
              </w:rPr>
            </w:pPr>
          </w:p>
        </w:tc>
        <w:tc>
          <w:tcPr>
            <w:tcW w:w="840" w:type="dxa"/>
            <w:vAlign w:val="bottom"/>
            <w:tcBorders>
              <w:top w:val="single" w:sz="8" w:color="auto"/>
            </w:tcBorders>
            <w:shd w:val="clear" w:color="auto" w:fill="CCECFF"/>
          </w:tcPr>
          <w:p>
            <w:pPr>
              <w:spacing w:after="0"/>
              <w:rPr>
                <w:sz w:val="13"/>
                <w:szCs w:val="13"/>
                <w:color w:val="auto"/>
              </w:rPr>
            </w:pPr>
          </w:p>
        </w:tc>
        <w:tc>
          <w:tcPr>
            <w:tcW w:w="220" w:type="dxa"/>
            <w:vAlign w:val="bottom"/>
            <w:tcBorders>
              <w:top w:val="single" w:sz="8" w:color="CCECFF"/>
            </w:tcBorders>
            <w:shd w:val="clear" w:color="auto" w:fill="CCECFF"/>
          </w:tcPr>
          <w:p>
            <w:pPr>
              <w:spacing w:after="0"/>
              <w:rPr>
                <w:sz w:val="13"/>
                <w:szCs w:val="13"/>
                <w:color w:val="auto"/>
              </w:rPr>
            </w:pPr>
          </w:p>
        </w:tc>
        <w:tc>
          <w:tcPr>
            <w:tcW w:w="120" w:type="dxa"/>
            <w:vAlign w:val="bottom"/>
            <w:tcBorders>
              <w:top w:val="single" w:sz="8" w:color="auto"/>
            </w:tcBorders>
            <w:shd w:val="clear" w:color="auto" w:fill="CCECFF"/>
          </w:tcPr>
          <w:p>
            <w:pPr>
              <w:spacing w:after="0"/>
              <w:rPr>
                <w:sz w:val="13"/>
                <w:szCs w:val="13"/>
                <w:color w:val="auto"/>
              </w:rPr>
            </w:pPr>
          </w:p>
        </w:tc>
        <w:tc>
          <w:tcPr>
            <w:tcW w:w="800" w:type="dxa"/>
            <w:vAlign w:val="bottom"/>
            <w:tcBorders>
              <w:top w:val="single" w:sz="8" w:color="auto"/>
            </w:tcBorders>
            <w:shd w:val="clear" w:color="auto" w:fill="CCECFF"/>
          </w:tcPr>
          <w:p>
            <w:pPr>
              <w:spacing w:after="0"/>
              <w:rPr>
                <w:sz w:val="13"/>
                <w:szCs w:val="13"/>
                <w:color w:val="auto"/>
              </w:rPr>
            </w:pPr>
          </w:p>
        </w:tc>
        <w:tc>
          <w:tcPr>
            <w:tcW w:w="220" w:type="dxa"/>
            <w:vAlign w:val="bottom"/>
            <w:tcBorders>
              <w:top w:val="single" w:sz="8" w:color="CCECFF"/>
            </w:tcBorders>
            <w:shd w:val="clear" w:color="auto" w:fill="CCECFF"/>
          </w:tcPr>
          <w:p>
            <w:pPr>
              <w:spacing w:after="0"/>
              <w:rPr>
                <w:sz w:val="13"/>
                <w:szCs w:val="13"/>
                <w:color w:val="auto"/>
              </w:rPr>
            </w:pPr>
          </w:p>
        </w:tc>
        <w:tc>
          <w:tcPr>
            <w:tcW w:w="100" w:type="dxa"/>
            <w:vAlign w:val="bottom"/>
            <w:tcBorders>
              <w:top w:val="single" w:sz="8" w:color="auto"/>
            </w:tcBorders>
            <w:shd w:val="clear" w:color="auto" w:fill="CCECFF"/>
          </w:tcPr>
          <w:p>
            <w:pPr>
              <w:spacing w:after="0"/>
              <w:rPr>
                <w:sz w:val="13"/>
                <w:szCs w:val="13"/>
                <w:color w:val="auto"/>
              </w:rPr>
            </w:pPr>
          </w:p>
        </w:tc>
        <w:tc>
          <w:tcPr>
            <w:tcW w:w="840" w:type="dxa"/>
            <w:vAlign w:val="bottom"/>
            <w:tcBorders>
              <w:top w:val="single" w:sz="8" w:color="auto"/>
            </w:tcBorders>
            <w:shd w:val="clear" w:color="auto" w:fill="CCECFF"/>
          </w:tcPr>
          <w:p>
            <w:pPr>
              <w:spacing w:after="0"/>
              <w:rPr>
                <w:sz w:val="13"/>
                <w:szCs w:val="13"/>
                <w:color w:val="auto"/>
              </w:rPr>
            </w:pPr>
          </w:p>
        </w:tc>
        <w:tc>
          <w:tcPr>
            <w:tcW w:w="120" w:type="dxa"/>
            <w:vAlign w:val="bottom"/>
            <w:tcBorders>
              <w:top w:val="single" w:sz="8" w:color="CCECFF"/>
            </w:tcBorders>
            <w:shd w:val="clear" w:color="auto" w:fill="CCECFF"/>
          </w:tcPr>
          <w:p>
            <w:pPr>
              <w:spacing w:after="0"/>
              <w:rPr>
                <w:sz w:val="13"/>
                <w:szCs w:val="13"/>
                <w:color w:val="auto"/>
              </w:rPr>
            </w:pPr>
          </w:p>
        </w:tc>
        <w:tc>
          <w:tcPr>
            <w:tcW w:w="100" w:type="dxa"/>
            <w:vAlign w:val="bottom"/>
            <w:tcBorders>
              <w:top w:val="single" w:sz="8" w:color="CCECFF"/>
            </w:tcBorders>
            <w:shd w:val="clear" w:color="auto" w:fill="CCECFF"/>
          </w:tcPr>
          <w:p>
            <w:pPr>
              <w:spacing w:after="0"/>
              <w:rPr>
                <w:sz w:val="13"/>
                <w:szCs w:val="13"/>
                <w:color w:val="auto"/>
              </w:rPr>
            </w:pPr>
          </w:p>
        </w:tc>
        <w:tc>
          <w:tcPr>
            <w:tcW w:w="120" w:type="dxa"/>
            <w:vAlign w:val="bottom"/>
            <w:tcBorders>
              <w:top w:val="single" w:sz="8" w:color="auto"/>
            </w:tcBorders>
            <w:shd w:val="clear" w:color="auto" w:fill="CCECFF"/>
          </w:tcPr>
          <w:p>
            <w:pPr>
              <w:spacing w:after="0"/>
              <w:rPr>
                <w:sz w:val="13"/>
                <w:szCs w:val="13"/>
                <w:color w:val="auto"/>
              </w:rPr>
            </w:pPr>
          </w:p>
        </w:tc>
        <w:tc>
          <w:tcPr>
            <w:tcW w:w="800" w:type="dxa"/>
            <w:vAlign w:val="bottom"/>
            <w:tcBorders>
              <w:top w:val="single" w:sz="8" w:color="auto"/>
            </w:tcBorders>
            <w:shd w:val="clear" w:color="auto" w:fill="CCECFF"/>
          </w:tcPr>
          <w:p>
            <w:pPr>
              <w:spacing w:after="0"/>
              <w:rPr>
                <w:sz w:val="13"/>
                <w:szCs w:val="13"/>
                <w:color w:val="auto"/>
              </w:rPr>
            </w:pPr>
          </w:p>
        </w:tc>
        <w:tc>
          <w:tcPr>
            <w:tcW w:w="220" w:type="dxa"/>
            <w:vAlign w:val="bottom"/>
            <w:tcBorders>
              <w:top w:val="single" w:sz="8" w:color="CCECFF"/>
            </w:tcBorders>
            <w:shd w:val="clear" w:color="auto" w:fill="CCECFF"/>
          </w:tcPr>
          <w:p>
            <w:pPr>
              <w:spacing w:after="0"/>
              <w:rPr>
                <w:sz w:val="13"/>
                <w:szCs w:val="13"/>
                <w:color w:val="auto"/>
              </w:rPr>
            </w:pPr>
          </w:p>
        </w:tc>
        <w:tc>
          <w:tcPr>
            <w:tcW w:w="140" w:type="dxa"/>
            <w:vAlign w:val="bottom"/>
            <w:tcBorders>
              <w:top w:val="single" w:sz="8" w:color="auto"/>
            </w:tcBorders>
            <w:shd w:val="clear" w:color="auto" w:fill="CCECFF"/>
          </w:tcPr>
          <w:p>
            <w:pPr>
              <w:spacing w:after="0"/>
              <w:rPr>
                <w:sz w:val="13"/>
                <w:szCs w:val="13"/>
                <w:color w:val="auto"/>
              </w:rPr>
            </w:pPr>
          </w:p>
        </w:tc>
        <w:tc>
          <w:tcPr>
            <w:tcW w:w="800" w:type="dxa"/>
            <w:vAlign w:val="bottom"/>
            <w:tcBorders>
              <w:top w:val="single" w:sz="8" w:color="auto"/>
            </w:tcBorders>
            <w:shd w:val="clear" w:color="auto" w:fill="CCECFF"/>
          </w:tcPr>
          <w:p>
            <w:pPr>
              <w:spacing w:after="0"/>
              <w:rPr>
                <w:sz w:val="13"/>
                <w:szCs w:val="13"/>
                <w:color w:val="auto"/>
              </w:rPr>
            </w:pPr>
          </w:p>
        </w:tc>
        <w:tc>
          <w:tcPr>
            <w:tcW w:w="220" w:type="dxa"/>
            <w:vAlign w:val="bottom"/>
            <w:tcBorders>
              <w:top w:val="single" w:sz="8" w:color="CCECFF"/>
            </w:tcBorders>
            <w:shd w:val="clear" w:color="auto" w:fill="CCECFF"/>
          </w:tcPr>
          <w:p>
            <w:pPr>
              <w:spacing w:after="0"/>
              <w:rPr>
                <w:sz w:val="13"/>
                <w:szCs w:val="13"/>
                <w:color w:val="auto"/>
              </w:rPr>
            </w:pPr>
          </w:p>
        </w:tc>
        <w:tc>
          <w:tcPr>
            <w:tcW w:w="120" w:type="dxa"/>
            <w:vAlign w:val="bottom"/>
            <w:tcBorders>
              <w:top w:val="single" w:sz="8" w:color="auto"/>
            </w:tcBorders>
            <w:shd w:val="clear" w:color="auto" w:fill="CCECFF"/>
          </w:tcPr>
          <w:p>
            <w:pPr>
              <w:spacing w:after="0"/>
              <w:rPr>
                <w:sz w:val="13"/>
                <w:szCs w:val="13"/>
                <w:color w:val="auto"/>
              </w:rPr>
            </w:pPr>
          </w:p>
        </w:tc>
        <w:tc>
          <w:tcPr>
            <w:tcW w:w="820" w:type="dxa"/>
            <w:vAlign w:val="bottom"/>
            <w:tcBorders>
              <w:top w:val="single" w:sz="8" w:color="auto"/>
            </w:tcBorders>
            <w:shd w:val="clear" w:color="auto" w:fill="CCECFF"/>
          </w:tcPr>
          <w:p>
            <w:pPr>
              <w:spacing w:after="0"/>
              <w:rPr>
                <w:sz w:val="13"/>
                <w:szCs w:val="13"/>
                <w:color w:val="auto"/>
              </w:rPr>
            </w:pPr>
          </w:p>
        </w:tc>
        <w:tc>
          <w:tcPr>
            <w:tcW w:w="220" w:type="dxa"/>
            <w:vAlign w:val="bottom"/>
            <w:tcBorders>
              <w:top w:val="single" w:sz="8" w:color="CCECFF"/>
            </w:tcBorders>
            <w:shd w:val="clear" w:color="auto" w:fill="CCECFF"/>
          </w:tcPr>
          <w:p>
            <w:pPr>
              <w:spacing w:after="0"/>
              <w:rPr>
                <w:sz w:val="13"/>
                <w:szCs w:val="13"/>
                <w:color w:val="auto"/>
              </w:rPr>
            </w:pPr>
          </w:p>
        </w:tc>
        <w:tc>
          <w:tcPr>
            <w:tcW w:w="140" w:type="dxa"/>
            <w:vAlign w:val="bottom"/>
            <w:tcBorders>
              <w:top w:val="single" w:sz="8" w:color="auto"/>
            </w:tcBorders>
            <w:shd w:val="clear" w:color="auto" w:fill="CCECFF"/>
          </w:tcPr>
          <w:p>
            <w:pPr>
              <w:spacing w:after="0"/>
              <w:rPr>
                <w:sz w:val="13"/>
                <w:szCs w:val="13"/>
                <w:color w:val="auto"/>
              </w:rPr>
            </w:pPr>
          </w:p>
        </w:tc>
        <w:tc>
          <w:tcPr>
            <w:tcW w:w="840" w:type="dxa"/>
            <w:vAlign w:val="bottom"/>
            <w:tcBorders>
              <w:top w:val="single" w:sz="8" w:color="auto"/>
            </w:tcBorders>
            <w:shd w:val="clear" w:color="auto" w:fill="CCECFF"/>
          </w:tcPr>
          <w:p>
            <w:pPr>
              <w:spacing w:after="0"/>
              <w:rPr>
                <w:sz w:val="13"/>
                <w:szCs w:val="13"/>
                <w:color w:val="auto"/>
              </w:rPr>
            </w:pPr>
          </w:p>
        </w:tc>
        <w:tc>
          <w:tcPr>
            <w:tcW w:w="100" w:type="dxa"/>
            <w:vAlign w:val="bottom"/>
            <w:tcBorders>
              <w:top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2000" w:type="dxa"/>
            <w:vAlign w:val="bottom"/>
          </w:tcPr>
          <w:p>
            <w:pPr>
              <w:spacing w:after="0" w:line="143" w:lineRule="exact"/>
              <w:rPr>
                <w:sz w:val="20"/>
                <w:szCs w:val="20"/>
                <w:color w:val="auto"/>
              </w:rPr>
            </w:pPr>
            <w:r>
              <w:rPr>
                <w:rFonts w:ascii="Arial" w:cs="Arial" w:eastAsia="Arial" w:hAnsi="Arial"/>
                <w:sz w:val="14"/>
                <w:szCs w:val="14"/>
                <w:color w:val="auto"/>
              </w:rPr>
              <w:t>Country Fresh Holding</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00" w:type="dxa"/>
            <w:vAlign w:val="bottom"/>
          </w:tcPr>
          <w:p>
            <w:pPr>
              <w:ind w:left="120"/>
              <w:spacing w:after="0"/>
              <w:rPr>
                <w:sz w:val="20"/>
                <w:szCs w:val="20"/>
                <w:color w:val="auto"/>
              </w:rPr>
            </w:pPr>
            <w:r>
              <w:rPr>
                <w:rFonts w:ascii="Arial" w:cs="Arial" w:eastAsia="Arial" w:hAnsi="Arial"/>
                <w:sz w:val="14"/>
                <w:szCs w:val="14"/>
                <w:color w:val="auto"/>
              </w:rPr>
              <w:t>Company Inc.</w:t>
            </w:r>
          </w:p>
        </w:tc>
        <w:tc>
          <w:tcPr>
            <w:tcW w:w="2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14,491,626</w:t>
            </w:r>
          </w:p>
        </w:tc>
        <w:tc>
          <w:tcPr>
            <w:tcW w:w="2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1,244,931</w:t>
            </w:r>
          </w:p>
        </w:tc>
        <w:tc>
          <w:tcPr>
            <w:tcW w:w="3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20" w:type="dxa"/>
            <w:vAlign w:val="bottom"/>
            <w:gridSpan w:val="2"/>
          </w:tcPr>
          <w:p>
            <w:pPr>
              <w:ind w:left="6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80"/>
              <w:spacing w:after="0"/>
              <w:rPr>
                <w:sz w:val="20"/>
                <w:szCs w:val="20"/>
                <w:color w:val="auto"/>
              </w:rPr>
            </w:pPr>
            <w:r>
              <w:rPr>
                <w:rFonts w:ascii="Arial" w:cs="Arial" w:eastAsia="Arial" w:hAnsi="Arial"/>
                <w:sz w:val="14"/>
                <w:szCs w:val="14"/>
                <w:color w:val="auto"/>
              </w:rPr>
              <w:t>(2,501,672)</w:t>
            </w: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13,234,885</w:t>
            </w:r>
          </w:p>
        </w:tc>
        <w:tc>
          <w:tcPr>
            <w:tcW w:w="22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202,776</w:t>
            </w:r>
          </w:p>
        </w:tc>
        <w:tc>
          <w:tcPr>
            <w:tcW w:w="2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gridSpan w:val="2"/>
          </w:tcPr>
          <w:p>
            <w:pPr>
              <w:ind w:left="6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000" w:type="dxa"/>
            <w:vAlign w:val="bottom"/>
            <w:shd w:val="clear" w:color="auto" w:fill="CCECFF"/>
          </w:tcPr>
          <w:p>
            <w:pPr>
              <w:spacing w:after="0"/>
              <w:rPr>
                <w:sz w:val="20"/>
                <w:szCs w:val="20"/>
                <w:color w:val="auto"/>
              </w:rPr>
            </w:pPr>
            <w:r>
              <w:rPr>
                <w:rFonts w:ascii="Arial" w:cs="Arial" w:eastAsia="Arial" w:hAnsi="Arial"/>
                <w:sz w:val="14"/>
                <w:szCs w:val="14"/>
                <w:color w:val="auto"/>
                <w:w w:val="97"/>
              </w:rPr>
              <w:t>Quick Weight Loss Centers, LLC</w:t>
            </w:r>
          </w:p>
        </w:tc>
        <w:tc>
          <w:tcPr>
            <w:tcW w:w="100" w:type="dxa"/>
            <w:vAlign w:val="bottom"/>
            <w:shd w:val="clear" w:color="auto" w:fill="CCECFF"/>
          </w:tcPr>
          <w:p>
            <w:pPr>
              <w:spacing w:after="0"/>
              <w:rPr>
                <w:sz w:val="14"/>
                <w:szCs w:val="14"/>
                <w:color w:val="auto"/>
              </w:rPr>
            </w:pPr>
          </w:p>
        </w:tc>
        <w:tc>
          <w:tcPr>
            <w:tcW w:w="140" w:type="dxa"/>
            <w:vAlign w:val="bottom"/>
            <w:shd w:val="clear" w:color="auto" w:fill="CCECFF"/>
          </w:tcPr>
          <w:p>
            <w:pPr>
              <w:spacing w:after="0"/>
              <w:rPr>
                <w:sz w:val="14"/>
                <w:szCs w:val="14"/>
                <w:color w:val="auto"/>
              </w:rPr>
            </w:pPr>
          </w:p>
        </w:tc>
        <w:tc>
          <w:tcPr>
            <w:tcW w:w="8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5,938,939</w:t>
            </w:r>
          </w:p>
        </w:tc>
        <w:tc>
          <w:tcPr>
            <w:tcW w:w="20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8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22,554</w:t>
            </w:r>
          </w:p>
        </w:tc>
        <w:tc>
          <w:tcPr>
            <w:tcW w:w="22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1020" w:type="dxa"/>
            <w:vAlign w:val="bottom"/>
            <w:gridSpan w:val="2"/>
            <w:shd w:val="clear" w:color="auto" w:fill="CCECFF"/>
          </w:tcPr>
          <w:p>
            <w:pPr>
              <w:ind w:left="6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CFF"/>
          </w:tcPr>
          <w:p>
            <w:pPr>
              <w:spacing w:after="0"/>
              <w:rPr>
                <w:sz w:val="14"/>
                <w:szCs w:val="14"/>
                <w:color w:val="auto"/>
              </w:rPr>
            </w:pPr>
          </w:p>
        </w:tc>
        <w:tc>
          <w:tcPr>
            <w:tcW w:w="960" w:type="dxa"/>
            <w:vAlign w:val="bottom"/>
            <w:gridSpan w:val="2"/>
            <w:shd w:val="clear" w:color="auto" w:fill="CCECFF"/>
          </w:tcPr>
          <w:p>
            <w:pPr>
              <w:jc w:val="right"/>
              <w:ind w:right="80"/>
              <w:spacing w:after="0"/>
              <w:rPr>
                <w:sz w:val="20"/>
                <w:szCs w:val="20"/>
                <w:color w:val="auto"/>
              </w:rPr>
            </w:pPr>
            <w:r>
              <w:rPr>
                <w:rFonts w:ascii="Arial" w:cs="Arial" w:eastAsia="Arial" w:hAnsi="Arial"/>
                <w:sz w:val="14"/>
                <w:szCs w:val="14"/>
                <w:color w:val="auto"/>
              </w:rPr>
              <w:t>(3,156,551)</w:t>
            </w:r>
          </w:p>
        </w:tc>
        <w:tc>
          <w:tcPr>
            <w:tcW w:w="10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8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2,804,942</w:t>
            </w:r>
          </w:p>
        </w:tc>
        <w:tc>
          <w:tcPr>
            <w:tcW w:w="220" w:type="dxa"/>
            <w:vAlign w:val="bottom"/>
            <w:shd w:val="clear" w:color="auto" w:fill="CCECFF"/>
          </w:tcPr>
          <w:p>
            <w:pPr>
              <w:spacing w:after="0"/>
              <w:rPr>
                <w:sz w:val="14"/>
                <w:szCs w:val="14"/>
                <w:color w:val="auto"/>
              </w:rPr>
            </w:pPr>
          </w:p>
        </w:tc>
        <w:tc>
          <w:tcPr>
            <w:tcW w:w="140" w:type="dxa"/>
            <w:vAlign w:val="bottom"/>
            <w:shd w:val="clear" w:color="auto" w:fill="CCECFF"/>
          </w:tcPr>
          <w:p>
            <w:pPr>
              <w:spacing w:after="0"/>
              <w:rPr>
                <w:sz w:val="14"/>
                <w:szCs w:val="14"/>
                <w:color w:val="auto"/>
              </w:rPr>
            </w:pPr>
          </w:p>
        </w:tc>
        <w:tc>
          <w:tcPr>
            <w:tcW w:w="8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22,577</w:t>
            </w:r>
          </w:p>
        </w:tc>
        <w:tc>
          <w:tcPr>
            <w:tcW w:w="22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1040" w:type="dxa"/>
            <w:vAlign w:val="bottom"/>
            <w:gridSpan w:val="2"/>
            <w:shd w:val="clear" w:color="auto" w:fill="CCEC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CFF"/>
          </w:tcPr>
          <w:p>
            <w:pPr>
              <w:spacing w:after="0"/>
              <w:rPr>
                <w:sz w:val="14"/>
                <w:szCs w:val="14"/>
                <w:color w:val="auto"/>
              </w:rPr>
            </w:pPr>
          </w:p>
        </w:tc>
        <w:tc>
          <w:tcPr>
            <w:tcW w:w="940" w:type="dxa"/>
            <w:vAlign w:val="bottom"/>
            <w:gridSpan w:val="2"/>
            <w:shd w:val="clear" w:color="auto" w:fill="CCECFF"/>
          </w:tcPr>
          <w:p>
            <w:pPr>
              <w:ind w:left="6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7"/>
        </w:trPr>
        <w:tc>
          <w:tcPr>
            <w:tcW w:w="2000" w:type="dxa"/>
            <w:vAlign w:val="bottom"/>
          </w:tcPr>
          <w:p>
            <w:pPr>
              <w:spacing w:after="0" w:line="137" w:lineRule="exact"/>
              <w:rPr>
                <w:sz w:val="20"/>
                <w:szCs w:val="20"/>
                <w:color w:val="auto"/>
              </w:rPr>
            </w:pPr>
            <w:r>
              <w:rPr>
                <w:rFonts w:ascii="Arial" w:cs="Arial" w:eastAsia="Arial" w:hAnsi="Arial"/>
                <w:sz w:val="14"/>
                <w:szCs w:val="14"/>
                <w:color w:val="auto"/>
              </w:rPr>
              <w:t>Total Non-Controlled</w:t>
            </w:r>
          </w:p>
        </w:tc>
        <w:tc>
          <w:tcPr>
            <w:tcW w:w="10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7"/>
        </w:trPr>
        <w:tc>
          <w:tcPr>
            <w:tcW w:w="2000" w:type="dxa"/>
            <w:vAlign w:val="bottom"/>
          </w:tcPr>
          <w:p>
            <w:pPr>
              <w:ind w:left="120"/>
              <w:spacing w:after="0"/>
              <w:rPr>
                <w:sz w:val="20"/>
                <w:szCs w:val="20"/>
                <w:color w:val="auto"/>
              </w:rPr>
            </w:pPr>
            <w:r>
              <w:rPr>
                <w:rFonts w:ascii="Arial" w:cs="Arial" w:eastAsia="Arial" w:hAnsi="Arial"/>
                <w:sz w:val="14"/>
                <w:szCs w:val="14"/>
                <w:color w:val="auto"/>
              </w:rPr>
              <w:t>Affiliates</w:t>
            </w:r>
          </w:p>
        </w:tc>
        <w:tc>
          <w:tcPr>
            <w:tcW w:w="2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20,430,565</w:t>
            </w:r>
          </w:p>
        </w:tc>
        <w:tc>
          <w:tcPr>
            <w:tcW w:w="2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1,267,485</w:t>
            </w:r>
          </w:p>
        </w:tc>
        <w:tc>
          <w:tcPr>
            <w:tcW w:w="3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20" w:type="dxa"/>
            <w:vAlign w:val="bottom"/>
            <w:gridSpan w:val="2"/>
          </w:tcPr>
          <w:p>
            <w:pPr>
              <w:ind w:left="6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80"/>
              <w:spacing w:after="0"/>
              <w:rPr>
                <w:sz w:val="20"/>
                <w:szCs w:val="20"/>
                <w:color w:val="auto"/>
              </w:rPr>
            </w:pPr>
            <w:r>
              <w:rPr>
                <w:rFonts w:ascii="Arial" w:cs="Arial" w:eastAsia="Arial" w:hAnsi="Arial"/>
                <w:sz w:val="14"/>
                <w:szCs w:val="14"/>
                <w:color w:val="auto"/>
              </w:rPr>
              <w:t>(5,658,223)</w:t>
            </w: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16,039,827</w:t>
            </w:r>
          </w:p>
        </w:tc>
        <w:tc>
          <w:tcPr>
            <w:tcW w:w="2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225,353</w:t>
            </w:r>
          </w:p>
        </w:tc>
        <w:tc>
          <w:tcPr>
            <w:tcW w:w="2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gridSpan w:val="2"/>
          </w:tcPr>
          <w:p>
            <w:pPr>
              <w:ind w:left="6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3"/>
        </w:trPr>
        <w:tc>
          <w:tcPr>
            <w:tcW w:w="2000" w:type="dxa"/>
            <w:vAlign w:val="bottom"/>
            <w:tcBorders>
              <w:top w:val="single" w:sz="8" w:color="CCECFF"/>
            </w:tcBorders>
            <w:shd w:val="clear" w:color="auto" w:fill="CCECFF"/>
          </w:tcPr>
          <w:p>
            <w:pPr>
              <w:spacing w:after="0"/>
              <w:rPr>
                <w:sz w:val="12"/>
                <w:szCs w:val="12"/>
                <w:color w:val="auto"/>
              </w:rPr>
            </w:pPr>
          </w:p>
        </w:tc>
        <w:tc>
          <w:tcPr>
            <w:tcW w:w="100" w:type="dxa"/>
            <w:vAlign w:val="bottom"/>
            <w:tcBorders>
              <w:top w:val="single" w:sz="8" w:color="CCECFF"/>
            </w:tcBorders>
            <w:shd w:val="clear" w:color="auto" w:fill="CCECFF"/>
          </w:tcPr>
          <w:p>
            <w:pPr>
              <w:spacing w:after="0"/>
              <w:rPr>
                <w:sz w:val="12"/>
                <w:szCs w:val="12"/>
                <w:color w:val="auto"/>
              </w:rPr>
            </w:pPr>
          </w:p>
        </w:tc>
        <w:tc>
          <w:tcPr>
            <w:tcW w:w="140" w:type="dxa"/>
            <w:vAlign w:val="bottom"/>
            <w:tcBorders>
              <w:top w:val="single" w:sz="8" w:color="auto"/>
            </w:tcBorders>
            <w:shd w:val="clear" w:color="auto" w:fill="CCECFF"/>
          </w:tcPr>
          <w:p>
            <w:pPr>
              <w:spacing w:after="0"/>
              <w:rPr>
                <w:sz w:val="12"/>
                <w:szCs w:val="12"/>
                <w:color w:val="auto"/>
              </w:rPr>
            </w:pPr>
          </w:p>
        </w:tc>
        <w:tc>
          <w:tcPr>
            <w:tcW w:w="800" w:type="dxa"/>
            <w:vAlign w:val="bottom"/>
            <w:tcBorders>
              <w:top w:val="single" w:sz="8" w:color="auto"/>
            </w:tcBorders>
            <w:shd w:val="clear" w:color="auto" w:fill="CCECFF"/>
          </w:tcPr>
          <w:p>
            <w:pPr>
              <w:spacing w:after="0"/>
              <w:rPr>
                <w:sz w:val="12"/>
                <w:szCs w:val="12"/>
                <w:color w:val="auto"/>
              </w:rPr>
            </w:pPr>
          </w:p>
        </w:tc>
        <w:tc>
          <w:tcPr>
            <w:tcW w:w="200" w:type="dxa"/>
            <w:vAlign w:val="bottom"/>
            <w:tcBorders>
              <w:top w:val="single" w:sz="8" w:color="CCECFF"/>
            </w:tcBorders>
            <w:shd w:val="clear" w:color="auto" w:fill="CCECFF"/>
          </w:tcPr>
          <w:p>
            <w:pPr>
              <w:spacing w:after="0"/>
              <w:rPr>
                <w:sz w:val="12"/>
                <w:szCs w:val="12"/>
                <w:color w:val="auto"/>
              </w:rPr>
            </w:pPr>
          </w:p>
        </w:tc>
        <w:tc>
          <w:tcPr>
            <w:tcW w:w="100" w:type="dxa"/>
            <w:vAlign w:val="bottom"/>
            <w:tcBorders>
              <w:top w:val="single" w:sz="8" w:color="auto"/>
            </w:tcBorders>
            <w:shd w:val="clear" w:color="auto" w:fill="CCECFF"/>
          </w:tcPr>
          <w:p>
            <w:pPr>
              <w:spacing w:after="0"/>
              <w:rPr>
                <w:sz w:val="12"/>
                <w:szCs w:val="12"/>
                <w:color w:val="auto"/>
              </w:rPr>
            </w:pPr>
          </w:p>
        </w:tc>
        <w:tc>
          <w:tcPr>
            <w:tcW w:w="840" w:type="dxa"/>
            <w:vAlign w:val="bottom"/>
            <w:tcBorders>
              <w:top w:val="single" w:sz="8" w:color="auto"/>
            </w:tcBorders>
            <w:shd w:val="clear" w:color="auto" w:fill="CCECFF"/>
          </w:tcPr>
          <w:p>
            <w:pPr>
              <w:spacing w:after="0"/>
              <w:rPr>
                <w:sz w:val="12"/>
                <w:szCs w:val="12"/>
                <w:color w:val="auto"/>
              </w:rPr>
            </w:pPr>
          </w:p>
        </w:tc>
        <w:tc>
          <w:tcPr>
            <w:tcW w:w="220" w:type="dxa"/>
            <w:vAlign w:val="bottom"/>
            <w:tcBorders>
              <w:top w:val="single" w:sz="8" w:color="CCECFF"/>
            </w:tcBorders>
            <w:shd w:val="clear" w:color="auto" w:fill="CCECFF"/>
          </w:tcPr>
          <w:p>
            <w:pPr>
              <w:spacing w:after="0"/>
              <w:rPr>
                <w:sz w:val="12"/>
                <w:szCs w:val="12"/>
                <w:color w:val="auto"/>
              </w:rPr>
            </w:pPr>
          </w:p>
        </w:tc>
        <w:tc>
          <w:tcPr>
            <w:tcW w:w="120" w:type="dxa"/>
            <w:vAlign w:val="bottom"/>
            <w:tcBorders>
              <w:top w:val="single" w:sz="8" w:color="auto"/>
            </w:tcBorders>
            <w:shd w:val="clear" w:color="auto" w:fill="CCECFF"/>
          </w:tcPr>
          <w:p>
            <w:pPr>
              <w:spacing w:after="0"/>
              <w:rPr>
                <w:sz w:val="12"/>
                <w:szCs w:val="12"/>
                <w:color w:val="auto"/>
              </w:rPr>
            </w:pPr>
          </w:p>
        </w:tc>
        <w:tc>
          <w:tcPr>
            <w:tcW w:w="800" w:type="dxa"/>
            <w:vAlign w:val="bottom"/>
            <w:tcBorders>
              <w:top w:val="single" w:sz="8" w:color="auto"/>
            </w:tcBorders>
            <w:shd w:val="clear" w:color="auto" w:fill="CCECFF"/>
          </w:tcPr>
          <w:p>
            <w:pPr>
              <w:spacing w:after="0"/>
              <w:rPr>
                <w:sz w:val="12"/>
                <w:szCs w:val="12"/>
                <w:color w:val="auto"/>
              </w:rPr>
            </w:pPr>
          </w:p>
        </w:tc>
        <w:tc>
          <w:tcPr>
            <w:tcW w:w="220" w:type="dxa"/>
            <w:vAlign w:val="bottom"/>
            <w:tcBorders>
              <w:top w:val="single" w:sz="8" w:color="CCECFF"/>
            </w:tcBorders>
            <w:shd w:val="clear" w:color="auto" w:fill="CCECFF"/>
          </w:tcPr>
          <w:p>
            <w:pPr>
              <w:spacing w:after="0"/>
              <w:rPr>
                <w:sz w:val="12"/>
                <w:szCs w:val="12"/>
                <w:color w:val="auto"/>
              </w:rPr>
            </w:pPr>
          </w:p>
        </w:tc>
        <w:tc>
          <w:tcPr>
            <w:tcW w:w="100" w:type="dxa"/>
            <w:vAlign w:val="bottom"/>
            <w:tcBorders>
              <w:top w:val="single" w:sz="8" w:color="auto"/>
            </w:tcBorders>
            <w:shd w:val="clear" w:color="auto" w:fill="CCECFF"/>
          </w:tcPr>
          <w:p>
            <w:pPr>
              <w:spacing w:after="0"/>
              <w:rPr>
                <w:sz w:val="12"/>
                <w:szCs w:val="12"/>
                <w:color w:val="auto"/>
              </w:rPr>
            </w:pPr>
          </w:p>
        </w:tc>
        <w:tc>
          <w:tcPr>
            <w:tcW w:w="840" w:type="dxa"/>
            <w:vAlign w:val="bottom"/>
            <w:tcBorders>
              <w:top w:val="single" w:sz="8" w:color="auto"/>
            </w:tcBorders>
            <w:shd w:val="clear" w:color="auto" w:fill="CCECFF"/>
          </w:tcPr>
          <w:p>
            <w:pPr>
              <w:spacing w:after="0"/>
              <w:rPr>
                <w:sz w:val="12"/>
                <w:szCs w:val="12"/>
                <w:color w:val="auto"/>
              </w:rPr>
            </w:pPr>
          </w:p>
        </w:tc>
        <w:tc>
          <w:tcPr>
            <w:tcW w:w="120" w:type="dxa"/>
            <w:vAlign w:val="bottom"/>
            <w:tcBorders>
              <w:top w:val="single" w:sz="8" w:color="CCECFF"/>
            </w:tcBorders>
            <w:shd w:val="clear" w:color="auto" w:fill="CCECFF"/>
          </w:tcPr>
          <w:p>
            <w:pPr>
              <w:spacing w:after="0"/>
              <w:rPr>
                <w:sz w:val="12"/>
                <w:szCs w:val="12"/>
                <w:color w:val="auto"/>
              </w:rPr>
            </w:pPr>
          </w:p>
        </w:tc>
        <w:tc>
          <w:tcPr>
            <w:tcW w:w="100" w:type="dxa"/>
            <w:vAlign w:val="bottom"/>
            <w:tcBorders>
              <w:top w:val="single" w:sz="8" w:color="CCECFF"/>
            </w:tcBorders>
            <w:shd w:val="clear" w:color="auto" w:fill="CCECFF"/>
          </w:tcPr>
          <w:p>
            <w:pPr>
              <w:spacing w:after="0"/>
              <w:rPr>
                <w:sz w:val="12"/>
                <w:szCs w:val="12"/>
                <w:color w:val="auto"/>
              </w:rPr>
            </w:pPr>
          </w:p>
        </w:tc>
        <w:tc>
          <w:tcPr>
            <w:tcW w:w="120" w:type="dxa"/>
            <w:vAlign w:val="bottom"/>
            <w:tcBorders>
              <w:top w:val="single" w:sz="8" w:color="auto"/>
            </w:tcBorders>
            <w:shd w:val="clear" w:color="auto" w:fill="CCECFF"/>
          </w:tcPr>
          <w:p>
            <w:pPr>
              <w:spacing w:after="0"/>
              <w:rPr>
                <w:sz w:val="12"/>
                <w:szCs w:val="12"/>
                <w:color w:val="auto"/>
              </w:rPr>
            </w:pPr>
          </w:p>
        </w:tc>
        <w:tc>
          <w:tcPr>
            <w:tcW w:w="800" w:type="dxa"/>
            <w:vAlign w:val="bottom"/>
            <w:tcBorders>
              <w:top w:val="single" w:sz="8" w:color="auto"/>
            </w:tcBorders>
            <w:shd w:val="clear" w:color="auto" w:fill="CCECFF"/>
          </w:tcPr>
          <w:p>
            <w:pPr>
              <w:spacing w:after="0"/>
              <w:rPr>
                <w:sz w:val="12"/>
                <w:szCs w:val="12"/>
                <w:color w:val="auto"/>
              </w:rPr>
            </w:pPr>
          </w:p>
        </w:tc>
        <w:tc>
          <w:tcPr>
            <w:tcW w:w="220" w:type="dxa"/>
            <w:vAlign w:val="bottom"/>
            <w:tcBorders>
              <w:top w:val="single" w:sz="8" w:color="CCECFF"/>
            </w:tcBorders>
            <w:shd w:val="clear" w:color="auto" w:fill="CCECFF"/>
          </w:tcPr>
          <w:p>
            <w:pPr>
              <w:spacing w:after="0"/>
              <w:rPr>
                <w:sz w:val="12"/>
                <w:szCs w:val="12"/>
                <w:color w:val="auto"/>
              </w:rPr>
            </w:pPr>
          </w:p>
        </w:tc>
        <w:tc>
          <w:tcPr>
            <w:tcW w:w="140" w:type="dxa"/>
            <w:vAlign w:val="bottom"/>
            <w:tcBorders>
              <w:top w:val="single" w:sz="8" w:color="auto"/>
            </w:tcBorders>
            <w:shd w:val="clear" w:color="auto" w:fill="CCECFF"/>
          </w:tcPr>
          <w:p>
            <w:pPr>
              <w:spacing w:after="0"/>
              <w:rPr>
                <w:sz w:val="12"/>
                <w:szCs w:val="12"/>
                <w:color w:val="auto"/>
              </w:rPr>
            </w:pPr>
          </w:p>
        </w:tc>
        <w:tc>
          <w:tcPr>
            <w:tcW w:w="800" w:type="dxa"/>
            <w:vAlign w:val="bottom"/>
            <w:tcBorders>
              <w:top w:val="single" w:sz="8" w:color="auto"/>
            </w:tcBorders>
            <w:shd w:val="clear" w:color="auto" w:fill="CCECFF"/>
          </w:tcPr>
          <w:p>
            <w:pPr>
              <w:spacing w:after="0"/>
              <w:rPr>
                <w:sz w:val="12"/>
                <w:szCs w:val="12"/>
                <w:color w:val="auto"/>
              </w:rPr>
            </w:pPr>
          </w:p>
        </w:tc>
        <w:tc>
          <w:tcPr>
            <w:tcW w:w="220" w:type="dxa"/>
            <w:vAlign w:val="bottom"/>
            <w:tcBorders>
              <w:top w:val="single" w:sz="8" w:color="CCECFF"/>
            </w:tcBorders>
            <w:shd w:val="clear" w:color="auto" w:fill="CCECFF"/>
          </w:tcPr>
          <w:p>
            <w:pPr>
              <w:spacing w:after="0"/>
              <w:rPr>
                <w:sz w:val="12"/>
                <w:szCs w:val="12"/>
                <w:color w:val="auto"/>
              </w:rPr>
            </w:pPr>
          </w:p>
        </w:tc>
        <w:tc>
          <w:tcPr>
            <w:tcW w:w="120" w:type="dxa"/>
            <w:vAlign w:val="bottom"/>
            <w:tcBorders>
              <w:top w:val="single" w:sz="8" w:color="auto"/>
            </w:tcBorders>
            <w:shd w:val="clear" w:color="auto" w:fill="CCECFF"/>
          </w:tcPr>
          <w:p>
            <w:pPr>
              <w:spacing w:after="0"/>
              <w:rPr>
                <w:sz w:val="12"/>
                <w:szCs w:val="12"/>
                <w:color w:val="auto"/>
              </w:rPr>
            </w:pPr>
          </w:p>
        </w:tc>
        <w:tc>
          <w:tcPr>
            <w:tcW w:w="820" w:type="dxa"/>
            <w:vAlign w:val="bottom"/>
            <w:tcBorders>
              <w:top w:val="single" w:sz="8" w:color="auto"/>
            </w:tcBorders>
            <w:shd w:val="clear" w:color="auto" w:fill="CCECFF"/>
          </w:tcPr>
          <w:p>
            <w:pPr>
              <w:spacing w:after="0"/>
              <w:rPr>
                <w:sz w:val="12"/>
                <w:szCs w:val="12"/>
                <w:color w:val="auto"/>
              </w:rPr>
            </w:pPr>
          </w:p>
        </w:tc>
        <w:tc>
          <w:tcPr>
            <w:tcW w:w="220" w:type="dxa"/>
            <w:vAlign w:val="bottom"/>
            <w:tcBorders>
              <w:top w:val="single" w:sz="8" w:color="CCECFF"/>
            </w:tcBorders>
            <w:shd w:val="clear" w:color="auto" w:fill="CCECFF"/>
          </w:tcPr>
          <w:p>
            <w:pPr>
              <w:spacing w:after="0"/>
              <w:rPr>
                <w:sz w:val="12"/>
                <w:szCs w:val="12"/>
                <w:color w:val="auto"/>
              </w:rPr>
            </w:pPr>
          </w:p>
        </w:tc>
        <w:tc>
          <w:tcPr>
            <w:tcW w:w="140" w:type="dxa"/>
            <w:vAlign w:val="bottom"/>
            <w:tcBorders>
              <w:top w:val="single" w:sz="8" w:color="auto"/>
            </w:tcBorders>
            <w:shd w:val="clear" w:color="auto" w:fill="CCECFF"/>
          </w:tcPr>
          <w:p>
            <w:pPr>
              <w:spacing w:after="0"/>
              <w:rPr>
                <w:sz w:val="12"/>
                <w:szCs w:val="12"/>
                <w:color w:val="auto"/>
              </w:rPr>
            </w:pPr>
          </w:p>
        </w:tc>
        <w:tc>
          <w:tcPr>
            <w:tcW w:w="840" w:type="dxa"/>
            <w:vAlign w:val="bottom"/>
            <w:tcBorders>
              <w:top w:val="single" w:sz="8" w:color="auto"/>
            </w:tcBorders>
            <w:shd w:val="clear" w:color="auto" w:fill="CCECFF"/>
          </w:tcPr>
          <w:p>
            <w:pPr>
              <w:spacing w:after="0"/>
              <w:rPr>
                <w:sz w:val="12"/>
                <w:szCs w:val="12"/>
                <w:color w:val="auto"/>
              </w:rPr>
            </w:pPr>
          </w:p>
        </w:tc>
        <w:tc>
          <w:tcPr>
            <w:tcW w:w="100" w:type="dxa"/>
            <w:vAlign w:val="bottom"/>
            <w:tcBorders>
              <w:top w:val="single" w:sz="8" w:color="CCECFF"/>
            </w:tcBorders>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00" w:type="dxa"/>
            <w:vAlign w:val="bottom"/>
          </w:tcPr>
          <w:p>
            <w:pPr>
              <w:spacing w:after="0"/>
              <w:rPr>
                <w:sz w:val="20"/>
                <w:szCs w:val="20"/>
                <w:color w:val="auto"/>
              </w:rPr>
            </w:pPr>
            <w:r>
              <w:rPr>
                <w:rFonts w:ascii="Arial" w:cs="Arial" w:eastAsia="Arial" w:hAnsi="Arial"/>
                <w:sz w:val="14"/>
                <w:szCs w:val="14"/>
                <w:b w:val="1"/>
                <w:bCs w:val="1"/>
                <w:color w:val="auto"/>
              </w:rPr>
              <w:t>Controlled Affiliates</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00" w:type="dxa"/>
            <w:vAlign w:val="bottom"/>
            <w:shd w:val="clear" w:color="auto" w:fill="CCECFF"/>
          </w:tcPr>
          <w:p>
            <w:pPr>
              <w:spacing w:after="0"/>
              <w:rPr>
                <w:sz w:val="20"/>
                <w:szCs w:val="20"/>
                <w:color w:val="auto"/>
              </w:rPr>
            </w:pPr>
            <w:r>
              <w:rPr>
                <w:rFonts w:ascii="Arial" w:cs="Arial" w:eastAsia="Arial" w:hAnsi="Arial"/>
                <w:sz w:val="14"/>
                <w:szCs w:val="14"/>
                <w:color w:val="auto"/>
              </w:rPr>
              <w:t>PennantPark Senior Secured</w:t>
            </w:r>
          </w:p>
        </w:tc>
        <w:tc>
          <w:tcPr>
            <w:tcW w:w="100" w:type="dxa"/>
            <w:vAlign w:val="bottom"/>
            <w:shd w:val="clear" w:color="auto" w:fill="CCECFF"/>
          </w:tcPr>
          <w:p>
            <w:pPr>
              <w:spacing w:after="0"/>
              <w:rPr>
                <w:sz w:val="14"/>
                <w:szCs w:val="14"/>
                <w:color w:val="auto"/>
              </w:rPr>
            </w:pPr>
          </w:p>
        </w:tc>
        <w:tc>
          <w:tcPr>
            <w:tcW w:w="140" w:type="dxa"/>
            <w:vAlign w:val="bottom"/>
            <w:shd w:val="clear" w:color="auto" w:fill="CCECFF"/>
          </w:tcPr>
          <w:p>
            <w:pPr>
              <w:spacing w:after="0"/>
              <w:rPr>
                <w:sz w:val="14"/>
                <w:szCs w:val="14"/>
                <w:color w:val="auto"/>
              </w:rPr>
            </w:pPr>
          </w:p>
        </w:tc>
        <w:tc>
          <w:tcPr>
            <w:tcW w:w="800" w:type="dxa"/>
            <w:vAlign w:val="bottom"/>
            <w:shd w:val="clear" w:color="auto" w:fill="CCECFF"/>
          </w:tcPr>
          <w:p>
            <w:pPr>
              <w:spacing w:after="0"/>
              <w:rPr>
                <w:sz w:val="14"/>
                <w:szCs w:val="14"/>
                <w:color w:val="auto"/>
              </w:rPr>
            </w:pPr>
          </w:p>
        </w:tc>
        <w:tc>
          <w:tcPr>
            <w:tcW w:w="20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84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80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84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80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140" w:type="dxa"/>
            <w:vAlign w:val="bottom"/>
            <w:shd w:val="clear" w:color="auto" w:fill="CCECFF"/>
          </w:tcPr>
          <w:p>
            <w:pPr>
              <w:spacing w:after="0"/>
              <w:rPr>
                <w:sz w:val="14"/>
                <w:szCs w:val="14"/>
                <w:color w:val="auto"/>
              </w:rPr>
            </w:pPr>
          </w:p>
        </w:tc>
        <w:tc>
          <w:tcPr>
            <w:tcW w:w="80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82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140" w:type="dxa"/>
            <w:vAlign w:val="bottom"/>
            <w:shd w:val="clear" w:color="auto" w:fill="CCECFF"/>
          </w:tcPr>
          <w:p>
            <w:pPr>
              <w:spacing w:after="0"/>
              <w:rPr>
                <w:sz w:val="14"/>
                <w:szCs w:val="14"/>
                <w:color w:val="auto"/>
              </w:rPr>
            </w:pPr>
          </w:p>
        </w:tc>
        <w:tc>
          <w:tcPr>
            <w:tcW w:w="84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00" w:type="dxa"/>
            <w:vAlign w:val="bottom"/>
            <w:shd w:val="clear" w:color="auto" w:fill="CCECFF"/>
          </w:tcPr>
          <w:p>
            <w:pPr>
              <w:ind w:left="140"/>
              <w:spacing w:after="0"/>
              <w:rPr>
                <w:sz w:val="20"/>
                <w:szCs w:val="20"/>
                <w:color w:val="auto"/>
              </w:rPr>
            </w:pPr>
            <w:r>
              <w:rPr>
                <w:rFonts w:ascii="Arial" w:cs="Arial" w:eastAsia="Arial" w:hAnsi="Arial"/>
                <w:sz w:val="14"/>
                <w:szCs w:val="14"/>
                <w:color w:val="auto"/>
              </w:rPr>
              <w:t>Loan Fund I LLC *</w:t>
            </w:r>
          </w:p>
        </w:tc>
        <w:tc>
          <w:tcPr>
            <w:tcW w:w="240" w:type="dxa"/>
            <w:vAlign w:val="bottom"/>
            <w:gridSpan w:val="2"/>
            <w:shd w:val="clear" w:color="auto" w:fill="CCECFF"/>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CFF"/>
          </w:tcPr>
          <w:p>
            <w:pPr>
              <w:jc w:val="right"/>
              <w:spacing w:after="0"/>
              <w:rPr>
                <w:sz w:val="20"/>
                <w:szCs w:val="20"/>
                <w:color w:val="auto"/>
              </w:rPr>
            </w:pPr>
            <w:r>
              <w:rPr>
                <w:rFonts w:ascii="Arial" w:cs="Arial" w:eastAsia="Arial" w:hAnsi="Arial"/>
                <w:sz w:val="14"/>
                <w:szCs w:val="14"/>
                <w:color w:val="auto"/>
                <w:w w:val="97"/>
              </w:rPr>
              <w:t>172,163,080</w:t>
            </w:r>
          </w:p>
        </w:tc>
        <w:tc>
          <w:tcPr>
            <w:tcW w:w="200" w:type="dxa"/>
            <w:vAlign w:val="bottom"/>
            <w:shd w:val="clear" w:color="auto" w:fill="CCECFF"/>
          </w:tcPr>
          <w:p>
            <w:pPr>
              <w:spacing w:after="0"/>
              <w:rPr>
                <w:sz w:val="14"/>
                <w:szCs w:val="14"/>
                <w:color w:val="auto"/>
              </w:rPr>
            </w:pPr>
          </w:p>
        </w:tc>
        <w:tc>
          <w:tcPr>
            <w:tcW w:w="100" w:type="dxa"/>
            <w:vAlign w:val="bottom"/>
            <w:shd w:val="clear" w:color="auto" w:fill="CCECFF"/>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w:t>
            </w:r>
          </w:p>
        </w:tc>
        <w:tc>
          <w:tcPr>
            <w:tcW w:w="340" w:type="dxa"/>
            <w:vAlign w:val="bottom"/>
            <w:gridSpan w:val="2"/>
            <w:shd w:val="clear" w:color="auto" w:fill="CCECFF"/>
          </w:tcPr>
          <w:p>
            <w:pPr>
              <w:jc w:val="right"/>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CFF"/>
          </w:tcPr>
          <w:p>
            <w:pPr>
              <w:ind w:left="6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CFF"/>
          </w:tcPr>
          <w:p>
            <w:pPr>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CECFF"/>
          </w:tcPr>
          <w:p>
            <w:pPr>
              <w:jc w:val="right"/>
              <w:ind w:right="80"/>
              <w:spacing w:after="0"/>
              <w:rPr>
                <w:sz w:val="20"/>
                <w:szCs w:val="20"/>
                <w:color w:val="auto"/>
              </w:rPr>
            </w:pPr>
            <w:r>
              <w:rPr>
                <w:rFonts w:ascii="Arial" w:cs="Arial" w:eastAsia="Arial" w:hAnsi="Arial"/>
                <w:sz w:val="14"/>
                <w:szCs w:val="14"/>
                <w:color w:val="auto"/>
              </w:rPr>
              <w:t>(241,482)</w:t>
            </w:r>
          </w:p>
        </w:tc>
        <w:tc>
          <w:tcPr>
            <w:tcW w:w="220" w:type="dxa"/>
            <w:vAlign w:val="bottom"/>
            <w:gridSpan w:val="2"/>
            <w:shd w:val="clear" w:color="auto" w:fill="CCECFF"/>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CFF"/>
          </w:tcPr>
          <w:p>
            <w:pPr>
              <w:jc w:val="right"/>
              <w:spacing w:after="0"/>
              <w:rPr>
                <w:sz w:val="20"/>
                <w:szCs w:val="20"/>
                <w:color w:val="auto"/>
              </w:rPr>
            </w:pPr>
            <w:r>
              <w:rPr>
                <w:rFonts w:ascii="Arial" w:cs="Arial" w:eastAsia="Arial" w:hAnsi="Arial"/>
                <w:sz w:val="14"/>
                <w:szCs w:val="14"/>
                <w:color w:val="auto"/>
                <w:w w:val="97"/>
              </w:rPr>
              <w:t>171,921,598</w:t>
            </w:r>
          </w:p>
        </w:tc>
        <w:tc>
          <w:tcPr>
            <w:tcW w:w="220" w:type="dxa"/>
            <w:vAlign w:val="bottom"/>
            <w:shd w:val="clear" w:color="auto" w:fill="CCECFF"/>
          </w:tcPr>
          <w:p>
            <w:pPr>
              <w:spacing w:after="0"/>
              <w:rPr>
                <w:sz w:val="14"/>
                <w:szCs w:val="14"/>
                <w:color w:val="auto"/>
              </w:rPr>
            </w:pPr>
          </w:p>
        </w:tc>
        <w:tc>
          <w:tcPr>
            <w:tcW w:w="140" w:type="dxa"/>
            <w:vAlign w:val="bottom"/>
            <w:shd w:val="clear" w:color="auto" w:fill="CCECFF"/>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3,155,324</w:t>
            </w:r>
          </w:p>
        </w:tc>
        <w:tc>
          <w:tcPr>
            <w:tcW w:w="220" w:type="dxa"/>
            <w:vAlign w:val="bottom"/>
            <w:shd w:val="clear" w:color="auto" w:fill="CCECFF"/>
          </w:tcPr>
          <w:p>
            <w:pPr>
              <w:spacing w:after="0"/>
              <w:rPr>
                <w:sz w:val="14"/>
                <w:szCs w:val="14"/>
                <w:color w:val="auto"/>
              </w:rPr>
            </w:pPr>
          </w:p>
        </w:tc>
        <w:tc>
          <w:tcPr>
            <w:tcW w:w="120" w:type="dxa"/>
            <w:vAlign w:val="bottom"/>
            <w:shd w:val="clear" w:color="auto" w:fill="CCECFF"/>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1,575,000</w:t>
            </w:r>
          </w:p>
        </w:tc>
        <w:tc>
          <w:tcPr>
            <w:tcW w:w="220" w:type="dxa"/>
            <w:vAlign w:val="bottom"/>
            <w:shd w:val="clear" w:color="auto" w:fill="CCECFF"/>
          </w:tcPr>
          <w:p>
            <w:pPr>
              <w:spacing w:after="0"/>
              <w:rPr>
                <w:sz w:val="14"/>
                <w:szCs w:val="14"/>
                <w:color w:val="auto"/>
              </w:rPr>
            </w:pPr>
          </w:p>
        </w:tc>
        <w:tc>
          <w:tcPr>
            <w:tcW w:w="140" w:type="dxa"/>
            <w:vAlign w:val="bottom"/>
            <w:shd w:val="clear" w:color="auto" w:fill="CCECFF"/>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gridSpan w:val="2"/>
            <w:shd w:val="clear" w:color="auto" w:fill="CCECFF"/>
          </w:tcPr>
          <w:p>
            <w:pPr>
              <w:ind w:left="6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6"/>
        </w:trPr>
        <w:tc>
          <w:tcPr>
            <w:tcW w:w="2000" w:type="dxa"/>
            <w:vAlign w:val="bottom"/>
            <w:tcBorders>
              <w:bottom w:val="single" w:sz="8" w:color="CCECFF"/>
            </w:tcBorders>
          </w:tcPr>
          <w:p>
            <w:pPr>
              <w:spacing w:after="0" w:line="155" w:lineRule="exact"/>
              <w:rPr>
                <w:sz w:val="20"/>
                <w:szCs w:val="20"/>
                <w:color w:val="auto"/>
              </w:rPr>
            </w:pPr>
            <w:r>
              <w:rPr>
                <w:rFonts w:ascii="Arial" w:cs="Arial" w:eastAsia="Arial" w:hAnsi="Arial"/>
                <w:sz w:val="14"/>
                <w:szCs w:val="14"/>
                <w:color w:val="auto"/>
              </w:rPr>
              <w:t>Total Controlled Affiliates</w:t>
            </w:r>
          </w:p>
        </w:tc>
        <w:tc>
          <w:tcPr>
            <w:tcW w:w="100" w:type="dxa"/>
            <w:vAlign w:val="bottom"/>
            <w:tcBorders>
              <w:bottom w:val="single" w:sz="8" w:color="CCECFF"/>
            </w:tcBorders>
          </w:tcPr>
          <w:p>
            <w:pPr>
              <w:spacing w:after="0"/>
              <w:rPr>
                <w:sz w:val="17"/>
                <w:szCs w:val="17"/>
                <w:color w:val="auto"/>
              </w:rPr>
            </w:pPr>
          </w:p>
        </w:tc>
        <w:tc>
          <w:tcPr>
            <w:tcW w:w="1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7"/>
              </w:rPr>
              <w:t>172,163,080</w:t>
            </w:r>
          </w:p>
        </w:tc>
        <w:tc>
          <w:tcPr>
            <w:tcW w:w="200" w:type="dxa"/>
            <w:vAlign w:val="bottom"/>
            <w:tcBorders>
              <w:bottom w:val="single" w:sz="8" w:color="CCECFF"/>
            </w:tcBorders>
          </w:tcPr>
          <w:p>
            <w:pPr>
              <w:spacing w:after="0"/>
              <w:rPr>
                <w:sz w:val="17"/>
                <w:szCs w:val="17"/>
                <w:color w:val="auto"/>
              </w:rPr>
            </w:pPr>
          </w:p>
        </w:tc>
        <w:tc>
          <w:tcPr>
            <w:tcW w:w="1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220" w:type="dxa"/>
            <w:vAlign w:val="bottom"/>
            <w:tcBorders>
              <w:bottom w:val="single" w:sz="8" w:color="CCECFF"/>
            </w:tcBorders>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bottom w:val="single" w:sz="8" w:color="auto"/>
            </w:tcBorders>
          </w:tcPr>
          <w:p>
            <w:pPr>
              <w:ind w:left="640"/>
              <w:spacing w:after="0" w:line="155" w:lineRule="exact"/>
              <w:rPr>
                <w:sz w:val="20"/>
                <w:szCs w:val="20"/>
                <w:color w:val="auto"/>
              </w:rPr>
            </w:pPr>
            <w:r>
              <w:rPr>
                <w:rFonts w:ascii="Arial" w:cs="Arial" w:eastAsia="Arial" w:hAnsi="Arial"/>
                <w:sz w:val="14"/>
                <w:szCs w:val="14"/>
                <w:color w:val="auto"/>
                <w:w w:val="99"/>
              </w:rPr>
              <w:t>—</w:t>
            </w:r>
          </w:p>
        </w:tc>
        <w:tc>
          <w:tcPr>
            <w:tcW w:w="220" w:type="dxa"/>
            <w:vAlign w:val="bottom"/>
            <w:tcBorders>
              <w:bottom w:val="single" w:sz="8" w:color="CCECFF"/>
            </w:tcBorders>
          </w:tcPr>
          <w:p>
            <w:pPr>
              <w:spacing w:after="0"/>
              <w:rPr>
                <w:sz w:val="17"/>
                <w:szCs w:val="17"/>
                <w:color w:val="auto"/>
              </w:rPr>
            </w:pPr>
          </w:p>
        </w:tc>
        <w:tc>
          <w:tcPr>
            <w:tcW w:w="10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8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(241,482)</w:t>
            </w:r>
          </w:p>
        </w:tc>
        <w:tc>
          <w:tcPr>
            <w:tcW w:w="120" w:type="dxa"/>
            <w:vAlign w:val="bottom"/>
            <w:tcBorders>
              <w:bottom w:val="single" w:sz="8" w:color="CCECFF"/>
            </w:tcBorders>
          </w:tcPr>
          <w:p>
            <w:pPr>
              <w:spacing w:after="0"/>
              <w:rPr>
                <w:sz w:val="17"/>
                <w:szCs w:val="17"/>
                <w:color w:val="auto"/>
              </w:rPr>
            </w:pPr>
          </w:p>
        </w:tc>
        <w:tc>
          <w:tcPr>
            <w:tcW w:w="100" w:type="dxa"/>
            <w:vAlign w:val="bottom"/>
            <w:tcBorders>
              <w:bottom w:val="single" w:sz="8" w:color="CCECFF"/>
            </w:tcBorders>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7"/>
              </w:rPr>
              <w:t>171,921,598</w:t>
            </w:r>
          </w:p>
        </w:tc>
        <w:tc>
          <w:tcPr>
            <w:tcW w:w="220" w:type="dxa"/>
            <w:vAlign w:val="bottom"/>
            <w:tcBorders>
              <w:bottom w:val="single" w:sz="8" w:color="CCECFF"/>
            </w:tcBorders>
          </w:tcPr>
          <w:p>
            <w:pPr>
              <w:spacing w:after="0"/>
              <w:rPr>
                <w:sz w:val="17"/>
                <w:szCs w:val="17"/>
                <w:color w:val="auto"/>
              </w:rPr>
            </w:pPr>
          </w:p>
        </w:tc>
        <w:tc>
          <w:tcPr>
            <w:tcW w:w="1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3,155,324</w:t>
            </w:r>
          </w:p>
        </w:tc>
        <w:tc>
          <w:tcPr>
            <w:tcW w:w="220" w:type="dxa"/>
            <w:vAlign w:val="bottom"/>
            <w:tcBorders>
              <w:bottom w:val="single" w:sz="8" w:color="CCECFF"/>
            </w:tcBorders>
          </w:tcPr>
          <w:p>
            <w:pPr>
              <w:spacing w:after="0"/>
              <w:rPr>
                <w:sz w:val="17"/>
                <w:szCs w:val="17"/>
                <w:color w:val="auto"/>
              </w:rPr>
            </w:pPr>
          </w:p>
        </w:tc>
        <w:tc>
          <w:tcPr>
            <w:tcW w:w="1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1,575,000</w:t>
            </w:r>
          </w:p>
        </w:tc>
        <w:tc>
          <w:tcPr>
            <w:tcW w:w="220" w:type="dxa"/>
            <w:vAlign w:val="bottom"/>
            <w:tcBorders>
              <w:bottom w:val="single" w:sz="8" w:color="CCECFF"/>
            </w:tcBorders>
          </w:tcPr>
          <w:p>
            <w:pPr>
              <w:spacing w:after="0"/>
              <w:rPr>
                <w:sz w:val="17"/>
                <w:szCs w:val="17"/>
                <w:color w:val="auto"/>
              </w:rPr>
            </w:pPr>
          </w:p>
        </w:tc>
        <w:tc>
          <w:tcPr>
            <w:tcW w:w="1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bottom w:val="single" w:sz="8" w:color="auto"/>
            </w:tcBorders>
          </w:tcPr>
          <w:p>
            <w:pPr>
              <w:ind w:left="680"/>
              <w:spacing w:after="0" w:line="155" w:lineRule="exact"/>
              <w:rPr>
                <w:sz w:val="20"/>
                <w:szCs w:val="20"/>
                <w:color w:val="auto"/>
              </w:rPr>
            </w:pPr>
            <w:r>
              <w:rPr>
                <w:rFonts w:ascii="Arial" w:cs="Arial" w:eastAsia="Arial" w:hAnsi="Arial"/>
                <w:sz w:val="14"/>
                <w:szCs w:val="14"/>
                <w:color w:val="auto"/>
                <w:w w:val="99"/>
              </w:rPr>
              <w:t>—</w:t>
            </w:r>
          </w:p>
        </w:tc>
        <w:tc>
          <w:tcPr>
            <w:tcW w:w="100" w:type="dxa"/>
            <w:vAlign w:val="bottom"/>
            <w:tcBorders>
              <w:bottom w:val="single" w:sz="8" w:color="CCECFF"/>
            </w:tcBorders>
          </w:tcPr>
          <w:p>
            <w:pPr>
              <w:spacing w:after="0"/>
              <w:rPr>
                <w:sz w:val="17"/>
                <w:szCs w:val="17"/>
                <w:color w:val="auto"/>
              </w:rPr>
            </w:pPr>
          </w:p>
        </w:tc>
        <w:tc>
          <w:tcPr>
            <w:tcW w:w="0" w:type="dxa"/>
            <w:vAlign w:val="bottom"/>
          </w:tcPr>
          <w:p>
            <w:pPr>
              <w:spacing w:after="0"/>
              <w:rPr>
                <w:sz w:val="1"/>
                <w:szCs w:val="1"/>
                <w:color w:val="auto"/>
              </w:rPr>
            </w:pPr>
          </w:p>
        </w:tc>
      </w:tr>
      <w:tr>
        <w:trPr>
          <w:trHeight w:val="120"/>
        </w:trPr>
        <w:tc>
          <w:tcPr>
            <w:tcW w:w="2000" w:type="dxa"/>
            <w:vAlign w:val="bottom"/>
            <w:shd w:val="clear" w:color="auto" w:fill="CCECFF"/>
          </w:tcPr>
          <w:p>
            <w:pPr>
              <w:spacing w:after="0" w:line="120" w:lineRule="exact"/>
              <w:rPr>
                <w:sz w:val="20"/>
                <w:szCs w:val="20"/>
                <w:color w:val="auto"/>
              </w:rPr>
            </w:pPr>
            <w:r>
              <w:rPr>
                <w:rFonts w:ascii="Arial" w:cs="Arial" w:eastAsia="Arial" w:hAnsi="Arial"/>
                <w:sz w:val="13"/>
                <w:szCs w:val="13"/>
                <w:b w:val="1"/>
                <w:bCs w:val="1"/>
                <w:color w:val="auto"/>
              </w:rPr>
              <w:t>Total Controlled and Non-</w:t>
            </w:r>
          </w:p>
        </w:tc>
        <w:tc>
          <w:tcPr>
            <w:tcW w:w="100" w:type="dxa"/>
            <w:vAlign w:val="bottom"/>
            <w:shd w:val="clear" w:color="auto" w:fill="CCECFF"/>
          </w:tcPr>
          <w:p>
            <w:pPr>
              <w:spacing w:after="0"/>
              <w:rPr>
                <w:sz w:val="10"/>
                <w:szCs w:val="10"/>
                <w:color w:val="auto"/>
              </w:rPr>
            </w:pPr>
          </w:p>
        </w:tc>
        <w:tc>
          <w:tcPr>
            <w:tcW w:w="140" w:type="dxa"/>
            <w:vAlign w:val="bottom"/>
            <w:shd w:val="clear" w:color="auto" w:fill="CCECFF"/>
          </w:tcPr>
          <w:p>
            <w:pPr>
              <w:spacing w:after="0"/>
              <w:rPr>
                <w:sz w:val="10"/>
                <w:szCs w:val="10"/>
                <w:color w:val="auto"/>
              </w:rPr>
            </w:pPr>
          </w:p>
        </w:tc>
        <w:tc>
          <w:tcPr>
            <w:tcW w:w="800" w:type="dxa"/>
            <w:vAlign w:val="bottom"/>
            <w:shd w:val="clear" w:color="auto" w:fill="CCECFF"/>
          </w:tcPr>
          <w:p>
            <w:pPr>
              <w:spacing w:after="0"/>
              <w:rPr>
                <w:sz w:val="10"/>
                <w:szCs w:val="10"/>
                <w:color w:val="auto"/>
              </w:rPr>
            </w:pPr>
          </w:p>
        </w:tc>
        <w:tc>
          <w:tcPr>
            <w:tcW w:w="20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840" w:type="dxa"/>
            <w:vAlign w:val="bottom"/>
            <w:shd w:val="clear" w:color="auto" w:fill="CCECFF"/>
          </w:tcPr>
          <w:p>
            <w:pPr>
              <w:spacing w:after="0"/>
              <w:rPr>
                <w:sz w:val="10"/>
                <w:szCs w:val="10"/>
                <w:color w:val="auto"/>
              </w:rPr>
            </w:pPr>
          </w:p>
        </w:tc>
        <w:tc>
          <w:tcPr>
            <w:tcW w:w="22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800" w:type="dxa"/>
            <w:vAlign w:val="bottom"/>
            <w:shd w:val="clear" w:color="auto" w:fill="CCECFF"/>
          </w:tcPr>
          <w:p>
            <w:pPr>
              <w:spacing w:after="0"/>
              <w:rPr>
                <w:sz w:val="10"/>
                <w:szCs w:val="10"/>
                <w:color w:val="auto"/>
              </w:rPr>
            </w:pPr>
          </w:p>
        </w:tc>
        <w:tc>
          <w:tcPr>
            <w:tcW w:w="22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84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800" w:type="dxa"/>
            <w:vAlign w:val="bottom"/>
            <w:shd w:val="clear" w:color="auto" w:fill="CCECFF"/>
          </w:tcPr>
          <w:p>
            <w:pPr>
              <w:spacing w:after="0"/>
              <w:rPr>
                <w:sz w:val="10"/>
                <w:szCs w:val="10"/>
                <w:color w:val="auto"/>
              </w:rPr>
            </w:pPr>
          </w:p>
        </w:tc>
        <w:tc>
          <w:tcPr>
            <w:tcW w:w="220" w:type="dxa"/>
            <w:vAlign w:val="bottom"/>
            <w:shd w:val="clear" w:color="auto" w:fill="CCECFF"/>
          </w:tcPr>
          <w:p>
            <w:pPr>
              <w:spacing w:after="0"/>
              <w:rPr>
                <w:sz w:val="10"/>
                <w:szCs w:val="10"/>
                <w:color w:val="auto"/>
              </w:rPr>
            </w:pPr>
          </w:p>
        </w:tc>
        <w:tc>
          <w:tcPr>
            <w:tcW w:w="140" w:type="dxa"/>
            <w:vAlign w:val="bottom"/>
            <w:shd w:val="clear" w:color="auto" w:fill="CCECFF"/>
          </w:tcPr>
          <w:p>
            <w:pPr>
              <w:spacing w:after="0"/>
              <w:rPr>
                <w:sz w:val="10"/>
                <w:szCs w:val="10"/>
                <w:color w:val="auto"/>
              </w:rPr>
            </w:pPr>
          </w:p>
        </w:tc>
        <w:tc>
          <w:tcPr>
            <w:tcW w:w="800" w:type="dxa"/>
            <w:vAlign w:val="bottom"/>
            <w:shd w:val="clear" w:color="auto" w:fill="CCECFF"/>
          </w:tcPr>
          <w:p>
            <w:pPr>
              <w:spacing w:after="0"/>
              <w:rPr>
                <w:sz w:val="10"/>
                <w:szCs w:val="10"/>
                <w:color w:val="auto"/>
              </w:rPr>
            </w:pPr>
          </w:p>
        </w:tc>
        <w:tc>
          <w:tcPr>
            <w:tcW w:w="22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820" w:type="dxa"/>
            <w:vAlign w:val="bottom"/>
            <w:shd w:val="clear" w:color="auto" w:fill="CCECFF"/>
          </w:tcPr>
          <w:p>
            <w:pPr>
              <w:spacing w:after="0"/>
              <w:rPr>
                <w:sz w:val="10"/>
                <w:szCs w:val="10"/>
                <w:color w:val="auto"/>
              </w:rPr>
            </w:pPr>
          </w:p>
        </w:tc>
        <w:tc>
          <w:tcPr>
            <w:tcW w:w="220" w:type="dxa"/>
            <w:vAlign w:val="bottom"/>
            <w:shd w:val="clear" w:color="auto" w:fill="CCECFF"/>
          </w:tcPr>
          <w:p>
            <w:pPr>
              <w:spacing w:after="0"/>
              <w:rPr>
                <w:sz w:val="10"/>
                <w:szCs w:val="10"/>
                <w:color w:val="auto"/>
              </w:rPr>
            </w:pPr>
          </w:p>
        </w:tc>
        <w:tc>
          <w:tcPr>
            <w:tcW w:w="140" w:type="dxa"/>
            <w:vAlign w:val="bottom"/>
            <w:shd w:val="clear" w:color="auto" w:fill="CCECFF"/>
          </w:tcPr>
          <w:p>
            <w:pPr>
              <w:spacing w:after="0"/>
              <w:rPr>
                <w:sz w:val="10"/>
                <w:szCs w:val="10"/>
                <w:color w:val="auto"/>
              </w:rPr>
            </w:pPr>
          </w:p>
        </w:tc>
        <w:tc>
          <w:tcPr>
            <w:tcW w:w="84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00" w:type="dxa"/>
            <w:vAlign w:val="bottom"/>
            <w:shd w:val="clear" w:color="auto" w:fill="CCECFF"/>
          </w:tcPr>
          <w:p>
            <w:pPr>
              <w:spacing w:after="0"/>
              <w:rPr>
                <w:sz w:val="20"/>
                <w:szCs w:val="20"/>
                <w:color w:val="auto"/>
              </w:rPr>
            </w:pPr>
            <w:r>
              <w:rPr>
                <w:rFonts w:ascii="Arial" w:cs="Arial" w:eastAsia="Arial" w:hAnsi="Arial"/>
                <w:sz w:val="14"/>
                <w:szCs w:val="14"/>
                <w:b w:val="1"/>
                <w:bCs w:val="1"/>
                <w:color w:val="auto"/>
              </w:rPr>
              <w:t>Controlled Affiliates</w:t>
            </w:r>
          </w:p>
        </w:tc>
        <w:tc>
          <w:tcPr>
            <w:tcW w:w="240" w:type="dxa"/>
            <w:vAlign w:val="bottom"/>
            <w:gridSpan w:val="2"/>
            <w:shd w:val="clear" w:color="auto" w:fill="CCECFF"/>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CFF"/>
          </w:tcPr>
          <w:p>
            <w:pPr>
              <w:jc w:val="right"/>
              <w:spacing w:after="0"/>
              <w:rPr>
                <w:sz w:val="20"/>
                <w:szCs w:val="20"/>
                <w:color w:val="auto"/>
              </w:rPr>
            </w:pPr>
            <w:r>
              <w:rPr>
                <w:rFonts w:ascii="Arial" w:cs="Arial" w:eastAsia="Arial" w:hAnsi="Arial"/>
                <w:sz w:val="14"/>
                <w:szCs w:val="14"/>
                <w:color w:val="auto"/>
                <w:w w:val="97"/>
              </w:rPr>
              <w:t>192,593,645</w:t>
            </w:r>
          </w:p>
        </w:tc>
        <w:tc>
          <w:tcPr>
            <w:tcW w:w="200" w:type="dxa"/>
            <w:vAlign w:val="bottom"/>
            <w:shd w:val="clear" w:color="auto" w:fill="CCECFF"/>
          </w:tcPr>
          <w:p>
            <w:pPr>
              <w:spacing w:after="0"/>
              <w:rPr>
                <w:sz w:val="14"/>
                <w:szCs w:val="14"/>
                <w:color w:val="auto"/>
              </w:rPr>
            </w:pPr>
          </w:p>
        </w:tc>
        <w:tc>
          <w:tcPr>
            <w:tcW w:w="100" w:type="dxa"/>
            <w:vAlign w:val="bottom"/>
            <w:shd w:val="clear" w:color="auto" w:fill="CCECFF"/>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1,267,485</w:t>
            </w:r>
          </w:p>
        </w:tc>
        <w:tc>
          <w:tcPr>
            <w:tcW w:w="340" w:type="dxa"/>
            <w:vAlign w:val="bottom"/>
            <w:gridSpan w:val="2"/>
            <w:shd w:val="clear" w:color="auto" w:fill="CCECFF"/>
          </w:tcPr>
          <w:p>
            <w:pPr>
              <w:jc w:val="right"/>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CFF"/>
          </w:tcPr>
          <w:p>
            <w:pPr>
              <w:ind w:left="6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CFF"/>
          </w:tcPr>
          <w:p>
            <w:pPr>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CECFF"/>
          </w:tcPr>
          <w:p>
            <w:pPr>
              <w:jc w:val="right"/>
              <w:ind w:right="80"/>
              <w:spacing w:after="0"/>
              <w:rPr>
                <w:sz w:val="20"/>
                <w:szCs w:val="20"/>
                <w:color w:val="auto"/>
              </w:rPr>
            </w:pPr>
            <w:r>
              <w:rPr>
                <w:rFonts w:ascii="Arial" w:cs="Arial" w:eastAsia="Arial" w:hAnsi="Arial"/>
                <w:sz w:val="14"/>
                <w:szCs w:val="14"/>
                <w:color w:val="auto"/>
              </w:rPr>
              <w:t>(5,899,705)</w:t>
            </w:r>
          </w:p>
        </w:tc>
        <w:tc>
          <w:tcPr>
            <w:tcW w:w="220" w:type="dxa"/>
            <w:vAlign w:val="bottom"/>
            <w:gridSpan w:val="2"/>
            <w:shd w:val="clear" w:color="auto" w:fill="CCECFF"/>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CFF"/>
          </w:tcPr>
          <w:p>
            <w:pPr>
              <w:jc w:val="right"/>
              <w:spacing w:after="0"/>
              <w:rPr>
                <w:sz w:val="20"/>
                <w:szCs w:val="20"/>
                <w:color w:val="auto"/>
              </w:rPr>
            </w:pPr>
            <w:r>
              <w:rPr>
                <w:rFonts w:ascii="Arial" w:cs="Arial" w:eastAsia="Arial" w:hAnsi="Arial"/>
                <w:sz w:val="14"/>
                <w:szCs w:val="14"/>
                <w:color w:val="auto"/>
                <w:w w:val="97"/>
              </w:rPr>
              <w:t>187,961,425</w:t>
            </w:r>
          </w:p>
        </w:tc>
        <w:tc>
          <w:tcPr>
            <w:tcW w:w="220" w:type="dxa"/>
            <w:vAlign w:val="bottom"/>
            <w:shd w:val="clear" w:color="auto" w:fill="CCECFF"/>
          </w:tcPr>
          <w:p>
            <w:pPr>
              <w:spacing w:after="0"/>
              <w:rPr>
                <w:sz w:val="14"/>
                <w:szCs w:val="14"/>
                <w:color w:val="auto"/>
              </w:rPr>
            </w:pPr>
          </w:p>
        </w:tc>
        <w:tc>
          <w:tcPr>
            <w:tcW w:w="140" w:type="dxa"/>
            <w:vAlign w:val="bottom"/>
            <w:shd w:val="clear" w:color="auto" w:fill="CCECFF"/>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3,380,677</w:t>
            </w:r>
          </w:p>
        </w:tc>
        <w:tc>
          <w:tcPr>
            <w:tcW w:w="220" w:type="dxa"/>
            <w:vAlign w:val="bottom"/>
            <w:shd w:val="clear" w:color="auto" w:fill="CCECFF"/>
          </w:tcPr>
          <w:p>
            <w:pPr>
              <w:spacing w:after="0"/>
              <w:rPr>
                <w:sz w:val="14"/>
                <w:szCs w:val="14"/>
                <w:color w:val="auto"/>
              </w:rPr>
            </w:pPr>
          </w:p>
        </w:tc>
        <w:tc>
          <w:tcPr>
            <w:tcW w:w="120" w:type="dxa"/>
            <w:vAlign w:val="bottom"/>
            <w:shd w:val="clear" w:color="auto" w:fill="CCECFF"/>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1,575,000</w:t>
            </w:r>
          </w:p>
        </w:tc>
        <w:tc>
          <w:tcPr>
            <w:tcW w:w="220" w:type="dxa"/>
            <w:vAlign w:val="bottom"/>
            <w:shd w:val="clear" w:color="auto" w:fill="CCECFF"/>
          </w:tcPr>
          <w:p>
            <w:pPr>
              <w:spacing w:after="0"/>
              <w:rPr>
                <w:sz w:val="14"/>
                <w:szCs w:val="14"/>
                <w:color w:val="auto"/>
              </w:rPr>
            </w:pPr>
          </w:p>
        </w:tc>
        <w:tc>
          <w:tcPr>
            <w:tcW w:w="140" w:type="dxa"/>
            <w:vAlign w:val="bottom"/>
            <w:shd w:val="clear" w:color="auto" w:fill="CCECFF"/>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gridSpan w:val="2"/>
            <w:shd w:val="clear" w:color="auto" w:fill="CCECFF"/>
          </w:tcPr>
          <w:p>
            <w:pPr>
              <w:ind w:left="6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2000" w:type="dxa"/>
            <w:vAlign w:val="bottom"/>
            <w:tcBorders>
              <w:top w:val="single" w:sz="8" w:color="CCECFF"/>
            </w:tcBorders>
          </w:tcPr>
          <w:p>
            <w:pPr>
              <w:spacing w:after="0" w:line="20" w:lineRule="exact"/>
              <w:rPr>
                <w:sz w:val="1"/>
                <w:szCs w:val="1"/>
                <w:color w:val="auto"/>
              </w:rPr>
            </w:pPr>
          </w:p>
        </w:tc>
        <w:tc>
          <w:tcPr>
            <w:tcW w:w="100" w:type="dxa"/>
            <w:vAlign w:val="bottom"/>
            <w:tcBorders>
              <w:top w:val="single" w:sz="8" w:color="CCEC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C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C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C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CFF"/>
            </w:tcBorders>
          </w:tcPr>
          <w:p>
            <w:pPr>
              <w:spacing w:after="0" w:line="20" w:lineRule="exact"/>
              <w:rPr>
                <w:sz w:val="1"/>
                <w:szCs w:val="1"/>
                <w:color w:val="auto"/>
              </w:rPr>
            </w:pPr>
          </w:p>
        </w:tc>
        <w:tc>
          <w:tcPr>
            <w:tcW w:w="100" w:type="dxa"/>
            <w:vAlign w:val="bottom"/>
            <w:tcBorders>
              <w:top w:val="single" w:sz="8" w:color="CCEC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C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C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C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C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185991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859915" cy="8255"/>
                    </a:xfrm>
                    <a:prstGeom prst="rect">
                      <a:avLst/>
                    </a:prstGeom>
                    <a:noFill/>
                  </pic:spPr>
                </pic:pic>
              </a:graphicData>
            </a:graphic>
          </wp:anchor>
        </w:drawing>
      </w:r>
    </w:p>
    <w:p>
      <w:pPr>
        <w:spacing w:after="0" w:line="150" w:lineRule="exact"/>
        <w:rPr>
          <w:sz w:val="20"/>
          <w:szCs w:val="20"/>
          <w:color w:val="auto"/>
        </w:rPr>
      </w:pPr>
    </w:p>
    <w:p>
      <w:pPr>
        <w:ind w:left="380" w:right="20" w:hanging="372"/>
        <w:spacing w:after="0" w:line="233" w:lineRule="auto"/>
        <w:tabs>
          <w:tab w:leader="none" w:pos="380" w:val="left"/>
        </w:tabs>
        <w:numPr>
          <w:ilvl w:val="0"/>
          <w:numId w:val="14"/>
        </w:numPr>
        <w:rPr>
          <w:rFonts w:ascii="Arial" w:cs="Arial" w:eastAsia="Arial" w:hAnsi="Arial"/>
          <w:sz w:val="12"/>
          <w:szCs w:val="12"/>
          <w:color w:val="auto"/>
        </w:rPr>
      </w:pPr>
      <w:r>
        <w:rPr>
          <w:rFonts w:ascii="Arial" w:cs="Arial" w:eastAsia="Arial" w:hAnsi="Arial"/>
          <w:sz w:val="14"/>
          <w:szCs w:val="14"/>
          <w:color w:val="auto"/>
        </w:rPr>
        <w:t>We and Kemper are the members of PSSL, a joint venture formed as a Delaware limited liability company that is not consolidated by us for financial reporting purposes. The members of PSSL make investments in the PSSL in the form of first lien secured debt and equity interests, and all portfolio and other material decision regarding PSSL must be submitted to PSSL’s board of directors or investment committee, both of which are comprised of two members appointed by each of us and Kemper. Because management of PSSL is shared equally between us and Kemper, we do not believe we control PSSL for purposes of the 1940 Act or otherwise.</w:t>
      </w:r>
    </w:p>
    <w:p>
      <w:pPr>
        <w:spacing w:after="0" w:line="11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7. CHANGE IN NET ASSETS FROM OPERATIONS PER COMMON SHARE</w:t>
      </w:r>
    </w:p>
    <w:p>
      <w:pPr>
        <w:spacing w:after="0" w:line="140" w:lineRule="exact"/>
        <w:rPr>
          <w:sz w:val="20"/>
          <w:szCs w:val="20"/>
          <w:color w:val="auto"/>
        </w:rPr>
      </w:pPr>
    </w:p>
    <w:p>
      <w:pPr>
        <w:ind w:left="440"/>
        <w:spacing w:after="0"/>
        <w:rPr>
          <w:sz w:val="20"/>
          <w:szCs w:val="20"/>
          <w:color w:val="auto"/>
        </w:rPr>
      </w:pPr>
      <w:r>
        <w:rPr>
          <w:rFonts w:ascii="Arial" w:cs="Arial" w:eastAsia="Arial" w:hAnsi="Arial"/>
          <w:sz w:val="14"/>
          <w:szCs w:val="14"/>
          <w:color w:val="auto"/>
        </w:rPr>
        <w:t>The following information sets forth the computation of basic and diluted per share net increase in net assets resulting from operations:</w:t>
      </w:r>
    </w:p>
    <w:p>
      <w:pPr>
        <w:spacing w:after="0" w:line="213" w:lineRule="exact"/>
        <w:rPr>
          <w:sz w:val="20"/>
          <w:szCs w:val="20"/>
          <w:color w:val="auto"/>
        </w:rPr>
      </w:pPr>
    </w:p>
    <w:p>
      <w:pPr>
        <w:ind w:left="8180"/>
        <w:spacing w:after="0"/>
        <w:rPr>
          <w:sz w:val="20"/>
          <w:szCs w:val="20"/>
          <w:color w:val="auto"/>
        </w:rPr>
      </w:pPr>
      <w:r>
        <w:rPr>
          <w:rFonts w:ascii="Arial" w:cs="Arial" w:eastAsia="Arial" w:hAnsi="Arial"/>
          <w:sz w:val="14"/>
          <w:szCs w:val="14"/>
          <w:b w:val="1"/>
          <w:bCs w:val="1"/>
          <w:color w:val="auto"/>
        </w:rPr>
        <w:t>Three Months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4711065</wp:posOffset>
            </wp:positionH>
            <wp:positionV relativeFrom="paragraph">
              <wp:posOffset>6350</wp:posOffset>
            </wp:positionV>
            <wp:extent cx="235712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357120" cy="8255"/>
                    </a:xfrm>
                    <a:prstGeom prst="rect">
                      <a:avLst/>
                    </a:prstGeom>
                    <a:noFill/>
                  </pic:spPr>
                </pic:pic>
              </a:graphicData>
            </a:graphic>
          </wp:anchor>
        </w:drawing>
      </w:r>
    </w:p>
    <w:p>
      <w:pPr>
        <w:spacing w:after="0" w:line="5" w:lineRule="exact"/>
        <w:rPr>
          <w:sz w:val="20"/>
          <w:szCs w:val="20"/>
          <w:color w:val="auto"/>
        </w:rPr>
      </w:pPr>
    </w:p>
    <w:p>
      <w:pPr>
        <w:ind w:left="8120"/>
        <w:spacing w:after="0"/>
        <w:tabs>
          <w:tab w:leader="none" w:pos="10100" w:val="left"/>
        </w:tabs>
        <w:rPr>
          <w:sz w:val="20"/>
          <w:szCs w:val="20"/>
          <w:color w:val="auto"/>
        </w:rPr>
      </w:pPr>
      <w:r>
        <w:rPr>
          <w:rFonts w:ascii="Arial" w:cs="Arial" w:eastAsia="Arial" w:hAnsi="Arial"/>
          <w:sz w:val="14"/>
          <w:szCs w:val="14"/>
          <w:b w:val="1"/>
          <w:bCs w:val="1"/>
          <w:color w:val="auto"/>
        </w:rPr>
        <w:t>2019</w:t>
      </w:r>
      <w:r>
        <w:rPr>
          <w:sz w:val="20"/>
          <w:szCs w:val="20"/>
          <w:color w:val="auto"/>
        </w:rPr>
        <w:tab/>
      </w:r>
      <w:r>
        <w:rPr>
          <w:rFonts w:ascii="Arial" w:cs="Arial" w:eastAsia="Arial" w:hAnsi="Arial"/>
          <w:sz w:val="14"/>
          <w:szCs w:val="14"/>
          <w:b w:val="1"/>
          <w:bCs w:val="1"/>
          <w:color w:val="auto"/>
        </w:rPr>
        <w:t>2018</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0"/>
        </w:trPr>
        <w:tc>
          <w:tcPr>
            <w:tcW w:w="5960" w:type="dxa"/>
            <w:vAlign w:val="bottom"/>
            <w:shd w:val="clear" w:color="auto" w:fill="CCECFF"/>
          </w:tcPr>
          <w:p>
            <w:pPr>
              <w:spacing w:after="0" w:line="20" w:lineRule="exact"/>
              <w:rPr>
                <w:sz w:val="1"/>
                <w:szCs w:val="1"/>
                <w:color w:val="auto"/>
              </w:rPr>
            </w:pPr>
          </w:p>
        </w:tc>
        <w:tc>
          <w:tcPr>
            <w:tcW w:w="1460" w:type="dxa"/>
            <w:vAlign w:val="bottom"/>
            <w:shd w:val="clear" w:color="auto" w:fill="CCEC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300" w:type="dxa"/>
            <w:vAlign w:val="bottom"/>
            <w:shd w:val="clear" w:color="auto" w:fill="CCEC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CECFF"/>
          </w:tcPr>
          <w:p>
            <w:pPr>
              <w:spacing w:after="0" w:line="20" w:lineRule="exact"/>
              <w:rPr>
                <w:sz w:val="1"/>
                <w:szCs w:val="1"/>
                <w:color w:val="auto"/>
              </w:rPr>
            </w:pPr>
          </w:p>
        </w:tc>
      </w:tr>
      <w:tr>
        <w:trPr>
          <w:trHeight w:val="135"/>
        </w:trPr>
        <w:tc>
          <w:tcPr>
            <w:tcW w:w="5960" w:type="dxa"/>
            <w:vAlign w:val="bottom"/>
            <w:shd w:val="clear" w:color="auto" w:fill="CCECFF"/>
          </w:tcPr>
          <w:p>
            <w:pPr>
              <w:spacing w:after="0" w:line="135" w:lineRule="exact"/>
              <w:rPr>
                <w:sz w:val="20"/>
                <w:szCs w:val="20"/>
                <w:color w:val="auto"/>
              </w:rPr>
            </w:pPr>
            <w:r>
              <w:rPr>
                <w:rFonts w:ascii="Arial" w:cs="Arial" w:eastAsia="Arial" w:hAnsi="Arial"/>
                <w:sz w:val="14"/>
                <w:szCs w:val="14"/>
                <w:color w:val="auto"/>
              </w:rPr>
              <w:t>Numerator for net increase in net assets resulting from operations</w:t>
            </w:r>
          </w:p>
        </w:tc>
        <w:tc>
          <w:tcPr>
            <w:tcW w:w="2020" w:type="dxa"/>
            <w:vAlign w:val="bottom"/>
            <w:gridSpan w:val="2"/>
            <w:shd w:val="clear" w:color="auto" w:fill="CCECFF"/>
          </w:tcPr>
          <w:p>
            <w:pPr>
              <w:jc w:val="right"/>
              <w:ind w:right="480"/>
              <w:spacing w:after="0" w:line="135" w:lineRule="exact"/>
              <w:rPr>
                <w:sz w:val="20"/>
                <w:szCs w:val="20"/>
                <w:color w:val="auto"/>
              </w:rPr>
            </w:pPr>
            <w:r>
              <w:rPr>
                <w:rFonts w:ascii="Arial" w:cs="Arial" w:eastAsia="Arial" w:hAnsi="Arial"/>
                <w:sz w:val="14"/>
                <w:szCs w:val="14"/>
                <w:color w:val="auto"/>
              </w:rPr>
              <w:t>$</w:t>
            </w:r>
          </w:p>
        </w:tc>
        <w:tc>
          <w:tcPr>
            <w:tcW w:w="1140" w:type="dxa"/>
            <w:vAlign w:val="bottom"/>
            <w:shd w:val="clear" w:color="auto" w:fill="CCECFF"/>
          </w:tcPr>
          <w:p>
            <w:pPr>
              <w:jc w:val="right"/>
              <w:spacing w:after="0" w:line="135" w:lineRule="exact"/>
              <w:rPr>
                <w:sz w:val="20"/>
                <w:szCs w:val="20"/>
                <w:color w:val="auto"/>
              </w:rPr>
            </w:pPr>
            <w:r>
              <w:rPr>
                <w:rFonts w:ascii="Arial" w:cs="Arial" w:eastAsia="Arial" w:hAnsi="Arial"/>
                <w:sz w:val="14"/>
                <w:szCs w:val="14"/>
                <w:color w:val="auto"/>
              </w:rPr>
              <w:t>9,972,894</w:t>
            </w:r>
          </w:p>
        </w:tc>
        <w:tc>
          <w:tcPr>
            <w:tcW w:w="860" w:type="dxa"/>
            <w:vAlign w:val="bottom"/>
            <w:gridSpan w:val="2"/>
            <w:shd w:val="clear" w:color="auto" w:fill="CCECFF"/>
          </w:tcPr>
          <w:p>
            <w:pPr>
              <w:jc w:val="right"/>
              <w:ind w:right="500"/>
              <w:spacing w:after="0" w:line="135" w:lineRule="exact"/>
              <w:rPr>
                <w:sz w:val="20"/>
                <w:szCs w:val="20"/>
                <w:color w:val="auto"/>
              </w:rPr>
            </w:pPr>
            <w:r>
              <w:rPr>
                <w:rFonts w:ascii="Arial" w:cs="Arial" w:eastAsia="Arial" w:hAnsi="Arial"/>
                <w:sz w:val="14"/>
                <w:szCs w:val="14"/>
                <w:color w:val="auto"/>
              </w:rPr>
              <w:t>$</w:t>
            </w:r>
          </w:p>
        </w:tc>
        <w:tc>
          <w:tcPr>
            <w:tcW w:w="1160" w:type="dxa"/>
            <w:vAlign w:val="bottom"/>
            <w:shd w:val="clear" w:color="auto" w:fill="CCECFF"/>
          </w:tcPr>
          <w:p>
            <w:pPr>
              <w:jc w:val="right"/>
              <w:spacing w:after="0" w:line="135" w:lineRule="exact"/>
              <w:rPr>
                <w:sz w:val="20"/>
                <w:szCs w:val="20"/>
                <w:color w:val="auto"/>
              </w:rPr>
            </w:pPr>
            <w:r>
              <w:rPr>
                <w:rFonts w:ascii="Arial" w:cs="Arial" w:eastAsia="Arial" w:hAnsi="Arial"/>
                <w:sz w:val="14"/>
                <w:szCs w:val="14"/>
                <w:color w:val="auto"/>
              </w:rPr>
              <w:t>4,995,195</w:t>
            </w:r>
          </w:p>
        </w:tc>
        <w:tc>
          <w:tcPr>
            <w:tcW w:w="100" w:type="dxa"/>
            <w:vAlign w:val="bottom"/>
            <w:shd w:val="clear" w:color="auto" w:fill="CCECFF"/>
          </w:tcPr>
          <w:p>
            <w:pPr>
              <w:spacing w:after="0"/>
              <w:rPr>
                <w:sz w:val="11"/>
                <w:szCs w:val="11"/>
                <w:color w:val="auto"/>
              </w:rPr>
            </w:pPr>
          </w:p>
        </w:tc>
      </w:tr>
      <w:tr>
        <w:trPr>
          <w:trHeight w:val="162"/>
        </w:trPr>
        <w:tc>
          <w:tcPr>
            <w:tcW w:w="5960" w:type="dxa"/>
            <w:vAlign w:val="bottom"/>
          </w:tcPr>
          <w:p>
            <w:pPr>
              <w:spacing w:after="0"/>
              <w:rPr>
                <w:sz w:val="20"/>
                <w:szCs w:val="20"/>
                <w:color w:val="auto"/>
              </w:rPr>
            </w:pPr>
            <w:r>
              <w:rPr>
                <w:rFonts w:ascii="Arial" w:cs="Arial" w:eastAsia="Arial" w:hAnsi="Arial"/>
                <w:sz w:val="14"/>
                <w:szCs w:val="14"/>
                <w:color w:val="auto"/>
              </w:rPr>
              <w:t>Denominator for basic and diluted weighted average shares</w:t>
            </w:r>
          </w:p>
        </w:tc>
        <w:tc>
          <w:tcPr>
            <w:tcW w:w="14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38,772,074</w:t>
            </w: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38,772,074</w:t>
            </w:r>
          </w:p>
        </w:tc>
        <w:tc>
          <w:tcPr>
            <w:tcW w:w="100" w:type="dxa"/>
            <w:vAlign w:val="bottom"/>
          </w:tcPr>
          <w:p>
            <w:pPr>
              <w:spacing w:after="0"/>
              <w:rPr>
                <w:sz w:val="14"/>
                <w:szCs w:val="14"/>
                <w:color w:val="auto"/>
              </w:rPr>
            </w:pPr>
          </w:p>
        </w:tc>
      </w:tr>
      <w:tr>
        <w:trPr>
          <w:trHeight w:val="162"/>
        </w:trPr>
        <w:tc>
          <w:tcPr>
            <w:tcW w:w="5960" w:type="dxa"/>
            <w:vAlign w:val="bottom"/>
            <w:shd w:val="clear" w:color="auto" w:fill="CCECFF"/>
          </w:tcPr>
          <w:p>
            <w:pPr>
              <w:spacing w:after="0"/>
              <w:rPr>
                <w:sz w:val="20"/>
                <w:szCs w:val="20"/>
                <w:color w:val="auto"/>
              </w:rPr>
            </w:pPr>
            <w:r>
              <w:rPr>
                <w:rFonts w:ascii="Arial" w:cs="Arial" w:eastAsia="Arial" w:hAnsi="Arial"/>
                <w:sz w:val="14"/>
                <w:szCs w:val="14"/>
                <w:color w:val="auto"/>
              </w:rPr>
              <w:t>Basic and diluted net increase in net assets per share resulting from operations</w:t>
            </w:r>
          </w:p>
        </w:tc>
        <w:tc>
          <w:tcPr>
            <w:tcW w:w="2020" w:type="dxa"/>
            <w:vAlign w:val="bottom"/>
            <w:gridSpan w:val="2"/>
            <w:shd w:val="clear" w:color="auto" w:fill="CCECFF"/>
          </w:tcPr>
          <w:p>
            <w:pPr>
              <w:jc w:val="right"/>
              <w:ind w:right="480"/>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0.26</w:t>
            </w:r>
          </w:p>
        </w:tc>
        <w:tc>
          <w:tcPr>
            <w:tcW w:w="860" w:type="dxa"/>
            <w:vAlign w:val="bottom"/>
            <w:gridSpan w:val="2"/>
            <w:shd w:val="clear" w:color="auto" w:fill="CCECFF"/>
          </w:tcPr>
          <w:p>
            <w:pPr>
              <w:jc w:val="right"/>
              <w:ind w:right="500"/>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0.13</w:t>
            </w:r>
          </w:p>
        </w:tc>
        <w:tc>
          <w:tcPr>
            <w:tcW w:w="100" w:type="dxa"/>
            <w:vAlign w:val="bottom"/>
            <w:shd w:val="clear" w:color="auto" w:fill="CCECFF"/>
          </w:tcPr>
          <w:p>
            <w:pPr>
              <w:spacing w:after="0"/>
              <w:rPr>
                <w:sz w:val="14"/>
                <w:szCs w:val="14"/>
                <w:color w:val="auto"/>
              </w:rPr>
            </w:pPr>
          </w:p>
        </w:tc>
      </w:tr>
    </w:tbl>
    <w:p>
      <w:pPr>
        <w:spacing w:after="0" w:line="12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8. CASH AND CASH EQUIVALENTS</w:t>
      </w:r>
    </w:p>
    <w:p>
      <w:pPr>
        <w:spacing w:after="0" w:line="140" w:lineRule="exact"/>
        <w:rPr>
          <w:sz w:val="20"/>
          <w:szCs w:val="20"/>
          <w:color w:val="auto"/>
        </w:rPr>
      </w:pPr>
    </w:p>
    <w:p>
      <w:pPr>
        <w:ind w:right="100" w:firstLine="438"/>
        <w:spacing w:after="0" w:line="245" w:lineRule="auto"/>
        <w:rPr>
          <w:sz w:val="20"/>
          <w:szCs w:val="20"/>
          <w:color w:val="auto"/>
        </w:rPr>
      </w:pPr>
      <w:r>
        <w:rPr>
          <w:rFonts w:ascii="Arial" w:cs="Arial" w:eastAsia="Arial" w:hAnsi="Arial"/>
          <w:sz w:val="13"/>
          <w:szCs w:val="13"/>
          <w:color w:val="auto"/>
        </w:rPr>
        <w:t>Cash equivalents represent cash in money market funds pending investment in longer-term portfolio holdings. Our portfolio may consist of temporary investments in U.S. Treasury Bills (of varying maturities), repurchase agreements, money market funds or repurchase agreement-like treasury securities. These temporary investments with original maturities of 90 days or less are deemed cash equivalents and are included in the Consolidated Schedule of Investments. At the end of each fiscal quarter, we may take proactive steps to preserve investment flexibility for the next quarter by investing in cash equivalents, which is dependent upon the composition of our total assets at quarter-end. We may accomplish this in several ways, including purchasing U.S. Treasury Bills and closing out positions on a net cash basis after quarter-end, temporarily drawing down on the Credit Facility, or utilizing repurchase agreements or other balance sheet transactions as are deemed appropriate for this purpose. These amounts are excluded from average adjusted gross assets for purposes of computing the Investment Adviser’s management fee. U.S. Treasury Bills with maturities greater than 60 days from the time of purchase are valued consistent with our valuation policy. As of December 31, 2019 and September 30, 2019, cash and cash equivalents consisted of money market funds in the amounts of $56.3million and $63.3 million at fair value, respectively.</w:t>
      </w: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149465"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7" w:name="page28"/>
    <w:bookmarkEnd w:id="27"/>
    <w:p>
      <w:pPr>
        <w:jc w:val="center"/>
        <w:spacing w:after="0"/>
        <w:rPr>
          <w:sz w:val="20"/>
          <w:szCs w:val="20"/>
          <w:color w:val="auto"/>
        </w:rPr>
      </w:pPr>
      <w:r>
        <w:rPr>
          <w:rFonts w:ascii="Arial" w:cs="Arial" w:eastAsia="Arial" w:hAnsi="Arial"/>
          <w:sz w:val="14"/>
          <w:szCs w:val="14"/>
          <w:b w:val="1"/>
          <w:bCs w:val="1"/>
          <w:color w:val="auto"/>
        </w:rPr>
        <w:t>PENNANTPARK FLOATING RATE CAPITAL LTD. AND SUBSIDIARIES</w:t>
      </w:r>
    </w:p>
    <w:p>
      <w:pPr>
        <w:jc w:val="center"/>
        <w:spacing w:after="0" w:line="225" w:lineRule="auto"/>
        <w:rPr>
          <w:sz w:val="20"/>
          <w:szCs w:val="20"/>
          <w:color w:val="auto"/>
        </w:rPr>
      </w:pPr>
      <w:r>
        <w:rPr>
          <w:rFonts w:ascii="Arial" w:cs="Arial" w:eastAsia="Arial" w:hAnsi="Arial"/>
          <w:sz w:val="14"/>
          <w:szCs w:val="14"/>
          <w:b w:val="1"/>
          <w:bCs w:val="1"/>
          <w:color w:val="auto"/>
        </w:rPr>
        <w:t>NOTES TO CONSOLIDATED FINANCIAL STATEMENTS-(Continued)</w:t>
      </w:r>
    </w:p>
    <w:p>
      <w:pPr>
        <w:jc w:val="center"/>
        <w:spacing w:after="0" w:line="221" w:lineRule="auto"/>
        <w:rPr>
          <w:sz w:val="20"/>
          <w:szCs w:val="20"/>
          <w:color w:val="auto"/>
        </w:rPr>
      </w:pPr>
      <w:r>
        <w:rPr>
          <w:rFonts w:ascii="Arial" w:cs="Arial" w:eastAsia="Arial" w:hAnsi="Arial"/>
          <w:sz w:val="14"/>
          <w:szCs w:val="14"/>
          <w:b w:val="1"/>
          <w:bCs w:val="1"/>
          <w:color w:val="auto"/>
        </w:rPr>
        <w:t>DECEMBER 31, 2019</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700" w:type="dxa"/>
            <w:vAlign w:val="bottom"/>
          </w:tcPr>
          <w:p>
            <w:pPr>
              <w:spacing w:after="0"/>
              <w:rPr>
                <w:sz w:val="20"/>
                <w:szCs w:val="20"/>
                <w:color w:val="auto"/>
              </w:rPr>
            </w:pPr>
            <w:r>
              <w:rPr>
                <w:rFonts w:ascii="Arial" w:cs="Arial" w:eastAsia="Arial" w:hAnsi="Arial"/>
                <w:sz w:val="14"/>
                <w:szCs w:val="14"/>
                <w:b w:val="1"/>
                <w:bCs w:val="1"/>
                <w:color w:val="auto"/>
              </w:rPr>
              <w:t>9. FINANCIAL HIGHLIGHTS</w:t>
            </w:r>
          </w:p>
        </w:tc>
        <w:tc>
          <w:tcPr>
            <w:tcW w:w="3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97"/>
        </w:trPr>
        <w:tc>
          <w:tcPr>
            <w:tcW w:w="7700" w:type="dxa"/>
            <w:vAlign w:val="bottom"/>
          </w:tcPr>
          <w:p>
            <w:pPr>
              <w:ind w:left="440"/>
              <w:spacing w:after="0"/>
              <w:rPr>
                <w:sz w:val="20"/>
                <w:szCs w:val="20"/>
                <w:color w:val="auto"/>
              </w:rPr>
            </w:pPr>
            <w:r>
              <w:rPr>
                <w:rFonts w:ascii="Arial" w:cs="Arial" w:eastAsia="Arial" w:hAnsi="Arial"/>
                <w:sz w:val="14"/>
                <w:szCs w:val="14"/>
                <w:color w:val="auto"/>
              </w:rPr>
              <w:t>Below are the financial highlights:</w:t>
            </w: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3"/>
        </w:trPr>
        <w:tc>
          <w:tcPr>
            <w:tcW w:w="7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0" w:type="dxa"/>
            <w:vAlign w:val="bottom"/>
            <w:gridSpan w:val="6"/>
          </w:tcPr>
          <w:p>
            <w:pPr>
              <w:jc w:val="right"/>
              <w:ind w:right="760"/>
              <w:spacing w:after="0"/>
              <w:rPr>
                <w:sz w:val="20"/>
                <w:szCs w:val="20"/>
                <w:color w:val="auto"/>
              </w:rPr>
            </w:pPr>
            <w:r>
              <w:rPr>
                <w:rFonts w:ascii="Arial" w:cs="Arial" w:eastAsia="Arial" w:hAnsi="Arial"/>
                <w:sz w:val="14"/>
                <w:szCs w:val="14"/>
                <w:b w:val="1"/>
                <w:bCs w:val="1"/>
                <w:color w:val="auto"/>
              </w:rPr>
              <w:t>Three Months Ended December 31,</w:t>
            </w:r>
          </w:p>
        </w:tc>
        <w:tc>
          <w:tcPr>
            <w:tcW w:w="0" w:type="dxa"/>
            <w:vAlign w:val="bottom"/>
          </w:tcPr>
          <w:p>
            <w:pPr>
              <w:spacing w:after="0"/>
              <w:rPr>
                <w:sz w:val="1"/>
                <w:szCs w:val="1"/>
                <w:color w:val="auto"/>
              </w:rPr>
            </w:pPr>
          </w:p>
        </w:tc>
      </w:tr>
      <w:tr>
        <w:trPr>
          <w:trHeight w:val="156"/>
        </w:trPr>
        <w:tc>
          <w:tcPr>
            <w:tcW w:w="7700" w:type="dxa"/>
            <w:vAlign w:val="bottom"/>
            <w:tcBorders>
              <w:bottom w:val="single" w:sz="8" w:color="CCECFF"/>
            </w:tcBorders>
          </w:tcPr>
          <w:p>
            <w:pPr>
              <w:spacing w:after="0"/>
              <w:rPr>
                <w:sz w:val="13"/>
                <w:szCs w:val="13"/>
                <w:color w:val="auto"/>
              </w:rPr>
            </w:pPr>
          </w:p>
        </w:tc>
        <w:tc>
          <w:tcPr>
            <w:tcW w:w="340" w:type="dxa"/>
            <w:vAlign w:val="bottom"/>
            <w:tcBorders>
              <w:top w:val="single" w:sz="8" w:color="auto"/>
              <w:bottom w:val="single" w:sz="8" w:color="auto"/>
            </w:tcBorders>
          </w:tcPr>
          <w:p>
            <w:pPr>
              <w:spacing w:after="0"/>
              <w:rPr>
                <w:sz w:val="13"/>
                <w:szCs w:val="13"/>
                <w:color w:val="auto"/>
              </w:rPr>
            </w:pPr>
          </w:p>
        </w:tc>
        <w:tc>
          <w:tcPr>
            <w:tcW w:w="1220" w:type="dxa"/>
            <w:vAlign w:val="bottom"/>
            <w:tcBorders>
              <w:top w:val="single" w:sz="8" w:color="auto"/>
              <w:bottom w:val="single" w:sz="8" w:color="auto"/>
            </w:tcBorders>
          </w:tcPr>
          <w:p>
            <w:pPr>
              <w:jc w:val="right"/>
              <w:ind w:right="568"/>
              <w:spacing w:after="0" w:line="155" w:lineRule="exact"/>
              <w:rPr>
                <w:sz w:val="20"/>
                <w:szCs w:val="20"/>
                <w:color w:val="auto"/>
              </w:rPr>
            </w:pPr>
            <w:r>
              <w:rPr>
                <w:rFonts w:ascii="Arial" w:cs="Arial" w:eastAsia="Arial" w:hAnsi="Arial"/>
                <w:sz w:val="14"/>
                <w:szCs w:val="14"/>
                <w:b w:val="1"/>
                <w:bCs w:val="1"/>
                <w:color w:val="auto"/>
              </w:rPr>
              <w:t>2019</w:t>
            </w:r>
          </w:p>
        </w:tc>
        <w:tc>
          <w:tcPr>
            <w:tcW w:w="200" w:type="dxa"/>
            <w:vAlign w:val="bottom"/>
            <w:tcBorders>
              <w:top w:val="single" w:sz="8" w:color="auto"/>
              <w:bottom w:val="single" w:sz="8" w:color="CCECFF"/>
            </w:tcBorders>
          </w:tcPr>
          <w:p>
            <w:pPr>
              <w:spacing w:after="0"/>
              <w:rPr>
                <w:sz w:val="13"/>
                <w:szCs w:val="13"/>
                <w:color w:val="auto"/>
              </w:rPr>
            </w:pPr>
          </w:p>
        </w:tc>
        <w:tc>
          <w:tcPr>
            <w:tcW w:w="100" w:type="dxa"/>
            <w:vAlign w:val="bottom"/>
            <w:tcBorders>
              <w:top w:val="single" w:sz="8" w:color="auto"/>
              <w:bottom w:val="single" w:sz="8" w:color="CCECFF"/>
            </w:tcBorders>
          </w:tcPr>
          <w:p>
            <w:pPr>
              <w:spacing w:after="0"/>
              <w:rPr>
                <w:sz w:val="13"/>
                <w:szCs w:val="13"/>
                <w:color w:val="auto"/>
              </w:rPr>
            </w:pPr>
          </w:p>
        </w:tc>
        <w:tc>
          <w:tcPr>
            <w:tcW w:w="340" w:type="dxa"/>
            <w:vAlign w:val="bottom"/>
            <w:tcBorders>
              <w:top w:val="single" w:sz="8" w:color="auto"/>
              <w:bottom w:val="single" w:sz="8" w:color="auto"/>
            </w:tcBorders>
          </w:tcPr>
          <w:p>
            <w:pPr>
              <w:spacing w:after="0"/>
              <w:rPr>
                <w:sz w:val="13"/>
                <w:szCs w:val="13"/>
                <w:color w:val="auto"/>
              </w:rPr>
            </w:pPr>
          </w:p>
        </w:tc>
        <w:tc>
          <w:tcPr>
            <w:tcW w:w="1200" w:type="dxa"/>
            <w:vAlign w:val="bottom"/>
            <w:tcBorders>
              <w:top w:val="single" w:sz="8" w:color="auto"/>
              <w:bottom w:val="single" w:sz="8" w:color="auto"/>
            </w:tcBorders>
          </w:tcPr>
          <w:p>
            <w:pPr>
              <w:jc w:val="right"/>
              <w:ind w:right="568"/>
              <w:spacing w:after="0" w:line="155" w:lineRule="exact"/>
              <w:rPr>
                <w:sz w:val="20"/>
                <w:szCs w:val="20"/>
                <w:color w:val="auto"/>
              </w:rPr>
            </w:pPr>
            <w:r>
              <w:rPr>
                <w:rFonts w:ascii="Arial" w:cs="Arial" w:eastAsia="Arial" w:hAnsi="Arial"/>
                <w:sz w:val="14"/>
                <w:szCs w:val="14"/>
                <w:b w:val="1"/>
                <w:bCs w:val="1"/>
                <w:color w:val="auto"/>
              </w:rPr>
              <w:t>2018</w:t>
            </w:r>
          </w:p>
        </w:tc>
        <w:tc>
          <w:tcPr>
            <w:tcW w:w="140" w:type="dxa"/>
            <w:vAlign w:val="bottom"/>
            <w:tcBorders>
              <w:bottom w:val="single" w:sz="8" w:color="CCECFF"/>
            </w:tcBorders>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7700" w:type="dxa"/>
            <w:vAlign w:val="bottom"/>
            <w:shd w:val="clear" w:color="auto" w:fill="CCECFF"/>
          </w:tcPr>
          <w:p>
            <w:pPr>
              <w:spacing w:after="0" w:line="155" w:lineRule="exact"/>
              <w:rPr>
                <w:sz w:val="20"/>
                <w:szCs w:val="20"/>
                <w:color w:val="auto"/>
              </w:rPr>
            </w:pPr>
            <w:r>
              <w:rPr>
                <w:rFonts w:ascii="Arial" w:cs="Arial" w:eastAsia="Arial" w:hAnsi="Arial"/>
                <w:sz w:val="14"/>
                <w:szCs w:val="14"/>
                <w:b w:val="1"/>
                <w:bCs w:val="1"/>
                <w:color w:val="auto"/>
              </w:rPr>
              <w:t>Per Share Data:</w:t>
            </w:r>
          </w:p>
        </w:tc>
        <w:tc>
          <w:tcPr>
            <w:tcW w:w="340" w:type="dxa"/>
            <w:vAlign w:val="bottom"/>
            <w:shd w:val="clear" w:color="auto" w:fill="CCECFF"/>
          </w:tcPr>
          <w:p>
            <w:pPr>
              <w:spacing w:after="0"/>
              <w:rPr>
                <w:sz w:val="13"/>
                <w:szCs w:val="13"/>
                <w:color w:val="auto"/>
              </w:rPr>
            </w:pPr>
          </w:p>
        </w:tc>
        <w:tc>
          <w:tcPr>
            <w:tcW w:w="1220" w:type="dxa"/>
            <w:vAlign w:val="bottom"/>
            <w:shd w:val="clear" w:color="auto" w:fill="CCECFF"/>
          </w:tcPr>
          <w:p>
            <w:pPr>
              <w:spacing w:after="0"/>
              <w:rPr>
                <w:sz w:val="13"/>
                <w:szCs w:val="13"/>
                <w:color w:val="auto"/>
              </w:rPr>
            </w:pPr>
          </w:p>
        </w:tc>
        <w:tc>
          <w:tcPr>
            <w:tcW w:w="20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340" w:type="dxa"/>
            <w:vAlign w:val="bottom"/>
            <w:shd w:val="clear" w:color="auto" w:fill="CCECFF"/>
          </w:tcPr>
          <w:p>
            <w:pPr>
              <w:spacing w:after="0"/>
              <w:rPr>
                <w:sz w:val="13"/>
                <w:szCs w:val="13"/>
                <w:color w:val="auto"/>
              </w:rPr>
            </w:pPr>
          </w:p>
        </w:tc>
        <w:tc>
          <w:tcPr>
            <w:tcW w:w="1200" w:type="dxa"/>
            <w:vAlign w:val="bottom"/>
            <w:shd w:val="clear" w:color="auto" w:fill="CCECFF"/>
          </w:tcPr>
          <w:p>
            <w:pPr>
              <w:spacing w:after="0"/>
              <w:rPr>
                <w:sz w:val="13"/>
                <w:szCs w:val="13"/>
                <w:color w:val="auto"/>
              </w:rPr>
            </w:pPr>
          </w:p>
        </w:tc>
        <w:tc>
          <w:tcPr>
            <w:tcW w:w="14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700" w:type="dxa"/>
            <w:vAlign w:val="bottom"/>
          </w:tcPr>
          <w:p>
            <w:pPr>
              <w:spacing w:after="0"/>
              <w:rPr>
                <w:sz w:val="20"/>
                <w:szCs w:val="20"/>
                <w:color w:val="auto"/>
              </w:rPr>
            </w:pPr>
            <w:r>
              <w:rPr>
                <w:rFonts w:ascii="Arial" w:cs="Arial" w:eastAsia="Arial" w:hAnsi="Arial"/>
                <w:sz w:val="14"/>
                <w:szCs w:val="14"/>
                <w:color w:val="auto"/>
              </w:rPr>
              <w:t>Net asset value, beginning of period</w:t>
            </w:r>
          </w:p>
        </w:tc>
        <w:tc>
          <w:tcPr>
            <w:tcW w:w="340" w:type="dxa"/>
            <w:vAlign w:val="bottom"/>
          </w:tcPr>
          <w:p>
            <w:pPr>
              <w:jc w:val="right"/>
              <w:ind w:right="188"/>
              <w:spacing w:after="0"/>
              <w:rPr>
                <w:sz w:val="20"/>
                <w:szCs w:val="20"/>
                <w:color w:val="auto"/>
              </w:rPr>
            </w:pPr>
            <w:r>
              <w:rPr>
                <w:rFonts w:ascii="Arial" w:cs="Arial" w:eastAsia="Arial" w:hAnsi="Arial"/>
                <w:sz w:val="14"/>
                <w:szCs w:val="14"/>
                <w:color w:val="auto"/>
                <w:w w:val="76"/>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12.97</w:t>
            </w:r>
          </w:p>
        </w:tc>
        <w:tc>
          <w:tcPr>
            <w:tcW w:w="200" w:type="dxa"/>
            <w:vAlign w:val="bottom"/>
          </w:tcPr>
          <w:p>
            <w:pPr>
              <w:spacing w:after="0"/>
              <w:rPr>
                <w:sz w:val="14"/>
                <w:szCs w:val="14"/>
                <w:color w:val="auto"/>
              </w:rPr>
            </w:pPr>
          </w:p>
        </w:tc>
        <w:tc>
          <w:tcPr>
            <w:tcW w:w="440" w:type="dxa"/>
            <w:vAlign w:val="bottom"/>
            <w:gridSpan w:val="2"/>
          </w:tcPr>
          <w:p>
            <w:pPr>
              <w:jc w:val="right"/>
              <w:ind w:right="229"/>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13.82</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00" w:type="dxa"/>
            <w:vAlign w:val="bottom"/>
            <w:shd w:val="clear" w:color="auto" w:fill="CCECFF"/>
          </w:tcPr>
          <w:p>
            <w:pPr>
              <w:spacing w:after="0"/>
              <w:rPr>
                <w:sz w:val="20"/>
                <w:szCs w:val="20"/>
                <w:color w:val="auto"/>
              </w:rPr>
            </w:pPr>
            <w:r>
              <w:rPr>
                <w:rFonts w:ascii="Arial" w:cs="Arial" w:eastAsia="Arial" w:hAnsi="Arial"/>
                <w:sz w:val="14"/>
                <w:szCs w:val="14"/>
                <w:color w:val="auto"/>
              </w:rPr>
              <w:t xml:space="preserve">Net investment income </w:t>
            </w:r>
            <w:r>
              <w:rPr>
                <w:rFonts w:ascii="Arial" w:cs="Arial" w:eastAsia="Arial" w:hAnsi="Arial"/>
                <w:sz w:val="12"/>
                <w:szCs w:val="12"/>
                <w:color w:val="auto"/>
              </w:rPr>
              <w:t>(1)</w:t>
            </w:r>
          </w:p>
        </w:tc>
        <w:tc>
          <w:tcPr>
            <w:tcW w:w="340" w:type="dxa"/>
            <w:vAlign w:val="bottom"/>
            <w:shd w:val="clear" w:color="auto" w:fill="CCECFF"/>
          </w:tcPr>
          <w:p>
            <w:pPr>
              <w:spacing w:after="0"/>
              <w:rPr>
                <w:sz w:val="14"/>
                <w:szCs w:val="14"/>
                <w:color w:val="auto"/>
              </w:rPr>
            </w:pPr>
          </w:p>
        </w:tc>
        <w:tc>
          <w:tcPr>
            <w:tcW w:w="12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0.29</w:t>
            </w:r>
          </w:p>
        </w:tc>
        <w:tc>
          <w:tcPr>
            <w:tcW w:w="20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340" w:type="dxa"/>
            <w:vAlign w:val="bottom"/>
            <w:shd w:val="clear" w:color="auto" w:fill="CCECFF"/>
          </w:tcPr>
          <w:p>
            <w:pPr>
              <w:spacing w:after="0"/>
              <w:rPr>
                <w:sz w:val="14"/>
                <w:szCs w:val="14"/>
                <w:color w:val="auto"/>
              </w:rPr>
            </w:pPr>
          </w:p>
        </w:tc>
        <w:tc>
          <w:tcPr>
            <w:tcW w:w="12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0.28</w:t>
            </w:r>
          </w:p>
        </w:tc>
        <w:tc>
          <w:tcPr>
            <w:tcW w:w="14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00" w:type="dxa"/>
            <w:vAlign w:val="bottom"/>
          </w:tcPr>
          <w:p>
            <w:pPr>
              <w:spacing w:after="0"/>
              <w:rPr>
                <w:sz w:val="20"/>
                <w:szCs w:val="20"/>
                <w:color w:val="auto"/>
              </w:rPr>
            </w:pPr>
            <w:r>
              <w:rPr>
                <w:rFonts w:ascii="Arial" w:cs="Arial" w:eastAsia="Arial" w:hAnsi="Arial"/>
                <w:sz w:val="14"/>
                <w:szCs w:val="14"/>
                <w:color w:val="auto"/>
              </w:rPr>
              <w:t xml:space="preserve">Net change in realized and unrealized loss </w:t>
            </w:r>
            <w:r>
              <w:rPr>
                <w:rFonts w:ascii="Arial" w:cs="Arial" w:eastAsia="Arial" w:hAnsi="Arial"/>
                <w:sz w:val="12"/>
                <w:szCs w:val="12"/>
                <w:color w:val="auto"/>
              </w:rPr>
              <w:t>(1)</w:t>
            </w:r>
          </w:p>
        </w:tc>
        <w:tc>
          <w:tcPr>
            <w:tcW w:w="340" w:type="dxa"/>
            <w:vAlign w:val="bottom"/>
          </w:tcPr>
          <w:p>
            <w:pPr>
              <w:spacing w:after="0"/>
              <w:rPr>
                <w:sz w:val="14"/>
                <w:szCs w:val="14"/>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4"/>
                <w:szCs w:val="14"/>
                <w:color w:val="auto"/>
              </w:rPr>
              <w:t>(0.03)</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40" w:type="dxa"/>
            <w:vAlign w:val="bottom"/>
            <w:gridSpan w:val="2"/>
          </w:tcPr>
          <w:p>
            <w:pPr>
              <w:jc w:val="right"/>
              <w:ind w:right="80"/>
              <w:spacing w:after="0"/>
              <w:rPr>
                <w:sz w:val="20"/>
                <w:szCs w:val="20"/>
                <w:color w:val="auto"/>
              </w:rPr>
            </w:pPr>
            <w:r>
              <w:rPr>
                <w:rFonts w:ascii="Arial" w:cs="Arial" w:eastAsia="Arial" w:hAnsi="Arial"/>
                <w:sz w:val="14"/>
                <w:szCs w:val="14"/>
                <w:color w:val="auto"/>
              </w:rPr>
              <w:t>(0.15)</w:t>
            </w:r>
          </w:p>
        </w:tc>
        <w:tc>
          <w:tcPr>
            <w:tcW w:w="0" w:type="dxa"/>
            <w:vAlign w:val="bottom"/>
          </w:tcPr>
          <w:p>
            <w:pPr>
              <w:spacing w:after="0"/>
              <w:rPr>
                <w:sz w:val="1"/>
                <w:szCs w:val="1"/>
                <w:color w:val="auto"/>
              </w:rPr>
            </w:pPr>
          </w:p>
        </w:tc>
      </w:tr>
      <w:tr>
        <w:trPr>
          <w:trHeight w:val="156"/>
        </w:trPr>
        <w:tc>
          <w:tcPr>
            <w:tcW w:w="7700" w:type="dxa"/>
            <w:vAlign w:val="bottom"/>
            <w:tcBorders>
              <w:top w:val="single" w:sz="8" w:color="CCECFF"/>
            </w:tcBorders>
            <w:shd w:val="clear" w:color="auto" w:fill="CCECFF"/>
          </w:tcPr>
          <w:p>
            <w:pPr>
              <w:spacing w:after="0" w:line="155" w:lineRule="exact"/>
              <w:rPr>
                <w:sz w:val="20"/>
                <w:szCs w:val="20"/>
                <w:color w:val="auto"/>
              </w:rPr>
            </w:pPr>
            <w:r>
              <w:rPr>
                <w:rFonts w:ascii="Arial" w:cs="Arial" w:eastAsia="Arial" w:hAnsi="Arial"/>
                <w:sz w:val="14"/>
                <w:szCs w:val="14"/>
                <w:color w:val="auto"/>
              </w:rPr>
              <w:t xml:space="preserve">Net increase in net assets resulting from operations </w:t>
            </w:r>
            <w:r>
              <w:rPr>
                <w:rFonts w:ascii="Arial" w:cs="Arial" w:eastAsia="Arial" w:hAnsi="Arial"/>
                <w:sz w:val="12"/>
                <w:szCs w:val="12"/>
                <w:color w:val="auto"/>
              </w:rPr>
              <w:t>(1)</w:t>
            </w:r>
          </w:p>
        </w:tc>
        <w:tc>
          <w:tcPr>
            <w:tcW w:w="340" w:type="dxa"/>
            <w:vAlign w:val="bottom"/>
            <w:tcBorders>
              <w:top w:val="single" w:sz="8" w:color="auto"/>
            </w:tcBorders>
            <w:shd w:val="clear" w:color="auto" w:fill="CCECFF"/>
          </w:tcPr>
          <w:p>
            <w:pPr>
              <w:spacing w:after="0"/>
              <w:rPr>
                <w:sz w:val="13"/>
                <w:szCs w:val="13"/>
                <w:color w:val="auto"/>
              </w:rPr>
            </w:pPr>
          </w:p>
        </w:tc>
        <w:tc>
          <w:tcPr>
            <w:tcW w:w="122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0.26</w:t>
            </w:r>
          </w:p>
        </w:tc>
        <w:tc>
          <w:tcPr>
            <w:tcW w:w="200" w:type="dxa"/>
            <w:vAlign w:val="bottom"/>
            <w:tcBorders>
              <w:top w:val="single" w:sz="8" w:color="CCECFF"/>
            </w:tcBorders>
            <w:shd w:val="clear" w:color="auto" w:fill="CCECFF"/>
          </w:tcPr>
          <w:p>
            <w:pPr>
              <w:spacing w:after="0"/>
              <w:rPr>
                <w:sz w:val="13"/>
                <w:szCs w:val="13"/>
                <w:color w:val="auto"/>
              </w:rPr>
            </w:pPr>
          </w:p>
        </w:tc>
        <w:tc>
          <w:tcPr>
            <w:tcW w:w="100" w:type="dxa"/>
            <w:vAlign w:val="bottom"/>
            <w:tcBorders>
              <w:top w:val="single" w:sz="8" w:color="CCECFF"/>
            </w:tcBorders>
            <w:shd w:val="clear" w:color="auto" w:fill="CCECFF"/>
          </w:tcPr>
          <w:p>
            <w:pPr>
              <w:spacing w:after="0"/>
              <w:rPr>
                <w:sz w:val="13"/>
                <w:szCs w:val="13"/>
                <w:color w:val="auto"/>
              </w:rPr>
            </w:pPr>
          </w:p>
        </w:tc>
        <w:tc>
          <w:tcPr>
            <w:tcW w:w="340" w:type="dxa"/>
            <w:vAlign w:val="bottom"/>
            <w:tcBorders>
              <w:top w:val="single" w:sz="8" w:color="auto"/>
            </w:tcBorders>
            <w:shd w:val="clear" w:color="auto" w:fill="CCECFF"/>
          </w:tcPr>
          <w:p>
            <w:pPr>
              <w:spacing w:after="0"/>
              <w:rPr>
                <w:sz w:val="13"/>
                <w:szCs w:val="13"/>
                <w:color w:val="auto"/>
              </w:rPr>
            </w:pPr>
          </w:p>
        </w:tc>
        <w:tc>
          <w:tcPr>
            <w:tcW w:w="120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0.13</w:t>
            </w:r>
          </w:p>
        </w:tc>
        <w:tc>
          <w:tcPr>
            <w:tcW w:w="140" w:type="dxa"/>
            <w:vAlign w:val="bottom"/>
            <w:tcBorders>
              <w:top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700" w:type="dxa"/>
            <w:vAlign w:val="bottom"/>
          </w:tcPr>
          <w:p>
            <w:pPr>
              <w:spacing w:after="0"/>
              <w:rPr>
                <w:sz w:val="20"/>
                <w:szCs w:val="20"/>
                <w:color w:val="auto"/>
              </w:rPr>
            </w:pPr>
            <w:r>
              <w:rPr>
                <w:rFonts w:ascii="Arial" w:cs="Arial" w:eastAsia="Arial" w:hAnsi="Arial"/>
                <w:sz w:val="14"/>
                <w:szCs w:val="14"/>
                <w:color w:val="auto"/>
              </w:rPr>
              <w:t xml:space="preserve">Distributions to stockholders </w:t>
            </w:r>
            <w:r>
              <w:rPr>
                <w:rFonts w:ascii="Arial" w:cs="Arial" w:eastAsia="Arial" w:hAnsi="Arial"/>
                <w:sz w:val="12"/>
                <w:szCs w:val="12"/>
                <w:color w:val="auto"/>
              </w:rPr>
              <w:t>(1), (2)</w:t>
            </w:r>
          </w:p>
        </w:tc>
        <w:tc>
          <w:tcPr>
            <w:tcW w:w="340" w:type="dxa"/>
            <w:vAlign w:val="bottom"/>
          </w:tcPr>
          <w:p>
            <w:pPr>
              <w:spacing w:after="0"/>
              <w:rPr>
                <w:sz w:val="14"/>
                <w:szCs w:val="14"/>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4"/>
                <w:szCs w:val="14"/>
                <w:color w:val="auto"/>
              </w:rPr>
              <w:t>(0.29)</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40" w:type="dxa"/>
            <w:vAlign w:val="bottom"/>
            <w:gridSpan w:val="2"/>
          </w:tcPr>
          <w:p>
            <w:pPr>
              <w:jc w:val="right"/>
              <w:ind w:right="80"/>
              <w:spacing w:after="0"/>
              <w:rPr>
                <w:sz w:val="20"/>
                <w:szCs w:val="20"/>
                <w:color w:val="auto"/>
              </w:rPr>
            </w:pPr>
            <w:r>
              <w:rPr>
                <w:rFonts w:ascii="Arial" w:cs="Arial" w:eastAsia="Arial" w:hAnsi="Arial"/>
                <w:sz w:val="14"/>
                <w:szCs w:val="14"/>
                <w:color w:val="auto"/>
              </w:rPr>
              <w:t>(0.29)</w:t>
            </w:r>
          </w:p>
        </w:tc>
        <w:tc>
          <w:tcPr>
            <w:tcW w:w="0" w:type="dxa"/>
            <w:vAlign w:val="bottom"/>
          </w:tcPr>
          <w:p>
            <w:pPr>
              <w:spacing w:after="0"/>
              <w:rPr>
                <w:sz w:val="1"/>
                <w:szCs w:val="1"/>
                <w:color w:val="auto"/>
              </w:rPr>
            </w:pPr>
          </w:p>
        </w:tc>
      </w:tr>
      <w:tr>
        <w:trPr>
          <w:trHeight w:val="156"/>
        </w:trPr>
        <w:tc>
          <w:tcPr>
            <w:tcW w:w="7700" w:type="dxa"/>
            <w:vAlign w:val="bottom"/>
            <w:tcBorders>
              <w:top w:val="single" w:sz="8" w:color="CCECFF"/>
              <w:bottom w:val="single" w:sz="8" w:color="CCECFF"/>
            </w:tcBorders>
            <w:shd w:val="clear" w:color="auto" w:fill="CCECFF"/>
          </w:tcPr>
          <w:p>
            <w:pPr>
              <w:spacing w:after="0" w:line="155" w:lineRule="exact"/>
              <w:rPr>
                <w:sz w:val="20"/>
                <w:szCs w:val="20"/>
                <w:color w:val="auto"/>
              </w:rPr>
            </w:pPr>
            <w:r>
              <w:rPr>
                <w:rFonts w:ascii="Arial" w:cs="Arial" w:eastAsia="Arial" w:hAnsi="Arial"/>
                <w:sz w:val="14"/>
                <w:szCs w:val="14"/>
                <w:color w:val="auto"/>
              </w:rPr>
              <w:t>Net asset value, end of period</w:t>
            </w:r>
          </w:p>
        </w:tc>
        <w:tc>
          <w:tcPr>
            <w:tcW w:w="340" w:type="dxa"/>
            <w:vAlign w:val="bottom"/>
            <w:tcBorders>
              <w:top w:val="single" w:sz="8" w:color="auto"/>
              <w:bottom w:val="single" w:sz="8" w:color="auto"/>
            </w:tcBorders>
            <w:shd w:val="clear" w:color="auto" w:fill="CCECFF"/>
          </w:tcPr>
          <w:p>
            <w:pPr>
              <w:jc w:val="right"/>
              <w:ind w:right="188"/>
              <w:spacing w:after="0" w:line="155" w:lineRule="exact"/>
              <w:rPr>
                <w:sz w:val="20"/>
                <w:szCs w:val="20"/>
                <w:color w:val="auto"/>
              </w:rPr>
            </w:pPr>
            <w:r>
              <w:rPr>
                <w:rFonts w:ascii="Arial" w:cs="Arial" w:eastAsia="Arial" w:hAnsi="Arial"/>
                <w:sz w:val="14"/>
                <w:szCs w:val="14"/>
                <w:color w:val="auto"/>
                <w:w w:val="76"/>
              </w:rPr>
              <w:t>$</w:t>
            </w:r>
          </w:p>
        </w:tc>
        <w:tc>
          <w:tcPr>
            <w:tcW w:w="122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12.95</w:t>
            </w:r>
          </w:p>
        </w:tc>
        <w:tc>
          <w:tcPr>
            <w:tcW w:w="200" w:type="dxa"/>
            <w:vAlign w:val="bottom"/>
            <w:tcBorders>
              <w:top w:val="single" w:sz="8" w:color="CCECFF"/>
              <w:bottom w:val="single" w:sz="8" w:color="CCECFF"/>
            </w:tcBorders>
            <w:shd w:val="clear" w:color="auto" w:fill="CCECFF"/>
          </w:tcPr>
          <w:p>
            <w:pPr>
              <w:spacing w:after="0"/>
              <w:rPr>
                <w:sz w:val="13"/>
                <w:szCs w:val="13"/>
                <w:color w:val="auto"/>
              </w:rPr>
            </w:pPr>
          </w:p>
        </w:tc>
        <w:tc>
          <w:tcPr>
            <w:tcW w:w="100" w:type="dxa"/>
            <w:vAlign w:val="bottom"/>
            <w:tcBorders>
              <w:top w:val="single" w:sz="8" w:color="CCECFF"/>
              <w:bottom w:val="single" w:sz="8" w:color="CCECFF"/>
            </w:tcBorders>
            <w:shd w:val="clear" w:color="auto" w:fill="CCECFF"/>
          </w:tcPr>
          <w:p>
            <w:pPr>
              <w:spacing w:after="0"/>
              <w:rPr>
                <w:sz w:val="13"/>
                <w:szCs w:val="13"/>
                <w:color w:val="auto"/>
              </w:rPr>
            </w:pPr>
          </w:p>
        </w:tc>
        <w:tc>
          <w:tcPr>
            <w:tcW w:w="340" w:type="dxa"/>
            <w:vAlign w:val="bottom"/>
            <w:tcBorders>
              <w:top w:val="single" w:sz="8" w:color="auto"/>
              <w:bottom w:val="single" w:sz="8" w:color="auto"/>
            </w:tcBorders>
            <w:shd w:val="clear" w:color="auto" w:fill="CCECFF"/>
          </w:tcPr>
          <w:p>
            <w:pPr>
              <w:jc w:val="right"/>
              <w:ind w:right="229"/>
              <w:spacing w:after="0"/>
              <w:rPr>
                <w:sz w:val="20"/>
                <w:szCs w:val="20"/>
                <w:color w:val="auto"/>
              </w:rPr>
            </w:pPr>
            <w:r>
              <w:rPr>
                <w:rFonts w:ascii="Arial" w:cs="Arial" w:eastAsia="Arial" w:hAnsi="Arial"/>
                <w:sz w:val="10"/>
                <w:szCs w:val="10"/>
                <w:color w:val="auto"/>
                <w:w w:val="71"/>
              </w:rPr>
              <w:t>$</w:t>
            </w:r>
          </w:p>
        </w:tc>
        <w:tc>
          <w:tcPr>
            <w:tcW w:w="120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13.66</w:t>
            </w:r>
          </w:p>
        </w:tc>
        <w:tc>
          <w:tcPr>
            <w:tcW w:w="140" w:type="dxa"/>
            <w:vAlign w:val="bottom"/>
            <w:tcBorders>
              <w:top w:val="single" w:sz="8" w:color="CCECFF"/>
              <w:bottom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700" w:type="dxa"/>
            <w:vAlign w:val="bottom"/>
            <w:vMerge w:val="restart"/>
          </w:tcPr>
          <w:p>
            <w:pPr>
              <w:spacing w:after="0"/>
              <w:rPr>
                <w:sz w:val="20"/>
                <w:szCs w:val="20"/>
                <w:color w:val="auto"/>
              </w:rPr>
            </w:pPr>
            <w:r>
              <w:rPr>
                <w:rFonts w:ascii="Arial" w:cs="Arial" w:eastAsia="Arial" w:hAnsi="Arial"/>
                <w:sz w:val="14"/>
                <w:szCs w:val="14"/>
                <w:color w:val="auto"/>
              </w:rPr>
              <w:t>Per share market value, end of period</w:t>
            </w:r>
          </w:p>
        </w:tc>
        <w:tc>
          <w:tcPr>
            <w:tcW w:w="3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700" w:type="dxa"/>
            <w:vAlign w:val="bottom"/>
            <w:tcBorders>
              <w:bottom w:val="single" w:sz="8" w:color="CCECFF"/>
            </w:tcBorders>
            <w:vMerge w:val="continue"/>
          </w:tcPr>
          <w:p>
            <w:pPr>
              <w:spacing w:after="0"/>
              <w:rPr>
                <w:sz w:val="15"/>
                <w:szCs w:val="15"/>
                <w:color w:val="auto"/>
              </w:rPr>
            </w:pPr>
          </w:p>
        </w:tc>
        <w:tc>
          <w:tcPr>
            <w:tcW w:w="340" w:type="dxa"/>
            <w:vAlign w:val="bottom"/>
            <w:tcBorders>
              <w:top w:val="single" w:sz="8" w:color="auto"/>
              <w:bottom w:val="single" w:sz="8" w:color="auto"/>
            </w:tcBorders>
          </w:tcPr>
          <w:p>
            <w:pPr>
              <w:jc w:val="right"/>
              <w:ind w:right="188"/>
              <w:spacing w:after="0" w:line="143" w:lineRule="exact"/>
              <w:rPr>
                <w:sz w:val="20"/>
                <w:szCs w:val="20"/>
                <w:color w:val="auto"/>
              </w:rPr>
            </w:pPr>
            <w:r>
              <w:rPr>
                <w:rFonts w:ascii="Arial" w:cs="Arial" w:eastAsia="Arial" w:hAnsi="Arial"/>
                <w:sz w:val="14"/>
                <w:szCs w:val="14"/>
                <w:color w:val="auto"/>
                <w:w w:val="76"/>
              </w:rPr>
              <w:t>$</w:t>
            </w:r>
          </w:p>
        </w:tc>
        <w:tc>
          <w:tcPr>
            <w:tcW w:w="122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12.18</w:t>
            </w:r>
          </w:p>
        </w:tc>
        <w:tc>
          <w:tcPr>
            <w:tcW w:w="200" w:type="dxa"/>
            <w:vAlign w:val="bottom"/>
            <w:tcBorders>
              <w:bottom w:val="single" w:sz="8" w:color="CCECFF"/>
            </w:tcBorders>
          </w:tcPr>
          <w:p>
            <w:pPr>
              <w:spacing w:after="0"/>
              <w:rPr>
                <w:sz w:val="15"/>
                <w:szCs w:val="15"/>
                <w:color w:val="auto"/>
              </w:rPr>
            </w:pPr>
          </w:p>
        </w:tc>
        <w:tc>
          <w:tcPr>
            <w:tcW w:w="100" w:type="dxa"/>
            <w:vAlign w:val="bottom"/>
            <w:tcBorders>
              <w:bottom w:val="single" w:sz="8" w:color="CCECFF"/>
            </w:tcBorders>
          </w:tcPr>
          <w:p>
            <w:pPr>
              <w:spacing w:after="0"/>
              <w:rPr>
                <w:sz w:val="15"/>
                <w:szCs w:val="15"/>
                <w:color w:val="auto"/>
              </w:rPr>
            </w:pPr>
          </w:p>
        </w:tc>
        <w:tc>
          <w:tcPr>
            <w:tcW w:w="340" w:type="dxa"/>
            <w:vAlign w:val="bottom"/>
            <w:tcBorders>
              <w:top w:val="single" w:sz="8" w:color="auto"/>
              <w:bottom w:val="single" w:sz="8" w:color="auto"/>
            </w:tcBorders>
          </w:tcPr>
          <w:p>
            <w:pPr>
              <w:jc w:val="right"/>
              <w:ind w:right="229"/>
              <w:spacing w:after="0"/>
              <w:rPr>
                <w:sz w:val="20"/>
                <w:szCs w:val="20"/>
                <w:color w:val="auto"/>
              </w:rPr>
            </w:pPr>
            <w:r>
              <w:rPr>
                <w:rFonts w:ascii="Arial" w:cs="Arial" w:eastAsia="Arial" w:hAnsi="Arial"/>
                <w:sz w:val="10"/>
                <w:szCs w:val="10"/>
                <w:color w:val="auto"/>
                <w:w w:val="71"/>
              </w:rPr>
              <w:t>$</w:t>
            </w:r>
          </w:p>
        </w:tc>
        <w:tc>
          <w:tcPr>
            <w:tcW w:w="120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11.57</w:t>
            </w:r>
          </w:p>
        </w:tc>
        <w:tc>
          <w:tcPr>
            <w:tcW w:w="140" w:type="dxa"/>
            <w:vAlign w:val="bottom"/>
            <w:tcBorders>
              <w:bottom w:val="single" w:sz="8" w:color="CCECFF"/>
            </w:tcBorders>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7700" w:type="dxa"/>
            <w:vAlign w:val="bottom"/>
            <w:shd w:val="clear" w:color="auto" w:fill="CCECFF"/>
          </w:tcPr>
          <w:p>
            <w:pPr>
              <w:spacing w:after="0" w:line="143" w:lineRule="exact"/>
              <w:rPr>
                <w:sz w:val="20"/>
                <w:szCs w:val="20"/>
                <w:color w:val="auto"/>
              </w:rPr>
            </w:pPr>
            <w:r>
              <w:rPr>
                <w:rFonts w:ascii="Arial" w:cs="Arial" w:eastAsia="Arial" w:hAnsi="Arial"/>
                <w:sz w:val="14"/>
                <w:szCs w:val="14"/>
                <w:color w:val="auto"/>
              </w:rPr>
              <w:t xml:space="preserve">Total return* </w:t>
            </w:r>
            <w:r>
              <w:rPr>
                <w:rFonts w:ascii="Arial" w:cs="Arial" w:eastAsia="Arial" w:hAnsi="Arial"/>
                <w:sz w:val="12"/>
                <w:szCs w:val="12"/>
                <w:color w:val="auto"/>
              </w:rPr>
              <w:t>(3)</w:t>
            </w:r>
          </w:p>
        </w:tc>
        <w:tc>
          <w:tcPr>
            <w:tcW w:w="340" w:type="dxa"/>
            <w:vAlign w:val="bottom"/>
            <w:shd w:val="clear" w:color="auto" w:fill="CCECFF"/>
          </w:tcPr>
          <w:p>
            <w:pPr>
              <w:spacing w:after="0"/>
              <w:rPr>
                <w:sz w:val="12"/>
                <w:szCs w:val="12"/>
                <w:color w:val="auto"/>
              </w:rPr>
            </w:pPr>
          </w:p>
        </w:tc>
        <w:tc>
          <w:tcPr>
            <w:tcW w:w="1420" w:type="dxa"/>
            <w:vAlign w:val="bottom"/>
            <w:gridSpan w:val="2"/>
            <w:shd w:val="clear" w:color="auto" w:fill="CCECFF"/>
          </w:tcPr>
          <w:p>
            <w:pPr>
              <w:jc w:val="right"/>
              <w:ind w:right="80"/>
              <w:spacing w:after="0" w:line="143" w:lineRule="exact"/>
              <w:rPr>
                <w:sz w:val="20"/>
                <w:szCs w:val="20"/>
                <w:color w:val="auto"/>
              </w:rPr>
            </w:pPr>
            <w:r>
              <w:rPr>
                <w:rFonts w:ascii="Arial" w:cs="Arial" w:eastAsia="Arial" w:hAnsi="Arial"/>
                <w:sz w:val="14"/>
                <w:szCs w:val="14"/>
                <w:color w:val="auto"/>
              </w:rPr>
              <w:t>7.56%</w:t>
            </w:r>
          </w:p>
        </w:tc>
        <w:tc>
          <w:tcPr>
            <w:tcW w:w="100" w:type="dxa"/>
            <w:vAlign w:val="bottom"/>
            <w:shd w:val="clear" w:color="auto" w:fill="CCECFF"/>
          </w:tcPr>
          <w:p>
            <w:pPr>
              <w:spacing w:after="0"/>
              <w:rPr>
                <w:sz w:val="12"/>
                <w:szCs w:val="12"/>
                <w:color w:val="auto"/>
              </w:rPr>
            </w:pPr>
          </w:p>
        </w:tc>
        <w:tc>
          <w:tcPr>
            <w:tcW w:w="340" w:type="dxa"/>
            <w:vAlign w:val="bottom"/>
            <w:shd w:val="clear" w:color="auto" w:fill="CCECFF"/>
          </w:tcPr>
          <w:p>
            <w:pPr>
              <w:spacing w:after="0"/>
              <w:rPr>
                <w:sz w:val="12"/>
                <w:szCs w:val="12"/>
                <w:color w:val="auto"/>
              </w:rPr>
            </w:pPr>
          </w:p>
        </w:tc>
        <w:tc>
          <w:tcPr>
            <w:tcW w:w="1340" w:type="dxa"/>
            <w:vAlign w:val="bottom"/>
            <w:gridSpan w:val="2"/>
            <w:shd w:val="clear" w:color="auto" w:fill="CCECFF"/>
          </w:tcPr>
          <w:p>
            <w:pPr>
              <w:jc w:val="right"/>
              <w:ind w:right="20"/>
              <w:spacing w:after="0" w:line="143" w:lineRule="exact"/>
              <w:rPr>
                <w:sz w:val="20"/>
                <w:szCs w:val="20"/>
                <w:color w:val="auto"/>
              </w:rPr>
            </w:pPr>
            <w:r>
              <w:rPr>
                <w:rFonts w:ascii="Arial" w:cs="Arial" w:eastAsia="Arial" w:hAnsi="Arial"/>
                <w:sz w:val="14"/>
                <w:szCs w:val="14"/>
                <w:color w:val="auto"/>
              </w:rPr>
              <w:t>13.06%</w:t>
            </w:r>
          </w:p>
        </w:tc>
        <w:tc>
          <w:tcPr>
            <w:tcW w:w="0" w:type="dxa"/>
            <w:vAlign w:val="bottom"/>
          </w:tcPr>
          <w:p>
            <w:pPr>
              <w:spacing w:after="0"/>
              <w:rPr>
                <w:sz w:val="1"/>
                <w:szCs w:val="1"/>
                <w:color w:val="auto"/>
              </w:rPr>
            </w:pPr>
          </w:p>
        </w:tc>
      </w:tr>
      <w:tr>
        <w:trPr>
          <w:trHeight w:val="202"/>
        </w:trPr>
        <w:tc>
          <w:tcPr>
            <w:tcW w:w="7700" w:type="dxa"/>
            <w:vAlign w:val="bottom"/>
            <w:tcBorders>
              <w:bottom w:val="single" w:sz="8" w:color="CCECFF"/>
            </w:tcBorders>
          </w:tcPr>
          <w:p>
            <w:pPr>
              <w:spacing w:after="0"/>
              <w:rPr>
                <w:sz w:val="20"/>
                <w:szCs w:val="20"/>
                <w:color w:val="auto"/>
              </w:rPr>
            </w:pPr>
            <w:r>
              <w:rPr>
                <w:rFonts w:ascii="Arial" w:cs="Arial" w:eastAsia="Arial" w:hAnsi="Arial"/>
                <w:sz w:val="14"/>
                <w:szCs w:val="14"/>
                <w:color w:val="auto"/>
              </w:rPr>
              <w:t>Shares outstanding at end of period</w:t>
            </w:r>
          </w:p>
        </w:tc>
        <w:tc>
          <w:tcPr>
            <w:tcW w:w="3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38,772,074</w:t>
            </w:r>
          </w:p>
        </w:tc>
        <w:tc>
          <w:tcPr>
            <w:tcW w:w="200" w:type="dxa"/>
            <w:vAlign w:val="bottom"/>
            <w:tcBorders>
              <w:bottom w:val="single" w:sz="8" w:color="CCECFF"/>
            </w:tcBorders>
          </w:tcPr>
          <w:p>
            <w:pPr>
              <w:spacing w:after="0"/>
              <w:rPr>
                <w:sz w:val="17"/>
                <w:szCs w:val="17"/>
                <w:color w:val="auto"/>
              </w:rPr>
            </w:pPr>
          </w:p>
        </w:tc>
        <w:tc>
          <w:tcPr>
            <w:tcW w:w="100" w:type="dxa"/>
            <w:vAlign w:val="bottom"/>
            <w:tcBorders>
              <w:bottom w:val="single" w:sz="8" w:color="CCEC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38,772,074</w:t>
            </w:r>
          </w:p>
        </w:tc>
        <w:tc>
          <w:tcPr>
            <w:tcW w:w="140" w:type="dxa"/>
            <w:vAlign w:val="bottom"/>
            <w:tcBorders>
              <w:bottom w:val="single" w:sz="8" w:color="CCECFF"/>
            </w:tcBorders>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7700" w:type="dxa"/>
            <w:vAlign w:val="bottom"/>
            <w:shd w:val="clear" w:color="auto" w:fill="CCECFF"/>
          </w:tcPr>
          <w:p>
            <w:pPr>
              <w:spacing w:after="0" w:line="143" w:lineRule="exact"/>
              <w:rPr>
                <w:sz w:val="20"/>
                <w:szCs w:val="20"/>
                <w:color w:val="auto"/>
              </w:rPr>
            </w:pPr>
            <w:r>
              <w:rPr>
                <w:rFonts w:ascii="Arial" w:cs="Arial" w:eastAsia="Arial" w:hAnsi="Arial"/>
                <w:sz w:val="14"/>
                <w:szCs w:val="14"/>
                <w:b w:val="1"/>
                <w:bCs w:val="1"/>
                <w:color w:val="auto"/>
              </w:rPr>
              <w:t>Ratios** / Supplemental Data:</w:t>
            </w:r>
          </w:p>
        </w:tc>
        <w:tc>
          <w:tcPr>
            <w:tcW w:w="340" w:type="dxa"/>
            <w:vAlign w:val="bottom"/>
            <w:shd w:val="clear" w:color="auto" w:fill="CCECFF"/>
          </w:tcPr>
          <w:p>
            <w:pPr>
              <w:spacing w:after="0"/>
              <w:rPr>
                <w:sz w:val="12"/>
                <w:szCs w:val="12"/>
                <w:color w:val="auto"/>
              </w:rPr>
            </w:pPr>
          </w:p>
        </w:tc>
        <w:tc>
          <w:tcPr>
            <w:tcW w:w="1220" w:type="dxa"/>
            <w:vAlign w:val="bottom"/>
            <w:shd w:val="clear" w:color="auto" w:fill="CCECFF"/>
          </w:tcPr>
          <w:p>
            <w:pPr>
              <w:spacing w:after="0"/>
              <w:rPr>
                <w:sz w:val="12"/>
                <w:szCs w:val="12"/>
                <w:color w:val="auto"/>
              </w:rPr>
            </w:pPr>
          </w:p>
        </w:tc>
        <w:tc>
          <w:tcPr>
            <w:tcW w:w="2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340" w:type="dxa"/>
            <w:vAlign w:val="bottom"/>
            <w:shd w:val="clear" w:color="auto" w:fill="CCECFF"/>
          </w:tcPr>
          <w:p>
            <w:pPr>
              <w:spacing w:after="0"/>
              <w:rPr>
                <w:sz w:val="12"/>
                <w:szCs w:val="12"/>
                <w:color w:val="auto"/>
              </w:rPr>
            </w:pPr>
          </w:p>
        </w:tc>
        <w:tc>
          <w:tcPr>
            <w:tcW w:w="120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7700" w:type="dxa"/>
            <w:vAlign w:val="bottom"/>
          </w:tcPr>
          <w:p>
            <w:pPr>
              <w:spacing w:after="0"/>
              <w:rPr>
                <w:sz w:val="20"/>
                <w:szCs w:val="20"/>
                <w:color w:val="auto"/>
              </w:rPr>
            </w:pPr>
            <w:r>
              <w:rPr>
                <w:rFonts w:ascii="Arial" w:cs="Arial" w:eastAsia="Arial" w:hAnsi="Arial"/>
                <w:sz w:val="14"/>
                <w:szCs w:val="14"/>
                <w:color w:val="auto"/>
              </w:rPr>
              <w:t xml:space="preserve">Ratio of operating expenses to average net assets </w:t>
            </w:r>
            <w:r>
              <w:rPr>
                <w:rFonts w:ascii="Arial" w:cs="Arial" w:eastAsia="Arial" w:hAnsi="Arial"/>
                <w:sz w:val="12"/>
                <w:szCs w:val="12"/>
                <w:color w:val="auto"/>
              </w:rPr>
              <w:t>(4)</w:t>
            </w:r>
          </w:p>
        </w:tc>
        <w:tc>
          <w:tcPr>
            <w:tcW w:w="340" w:type="dxa"/>
            <w:vAlign w:val="bottom"/>
          </w:tcPr>
          <w:p>
            <w:pPr>
              <w:spacing w:after="0"/>
              <w:rPr>
                <w:sz w:val="14"/>
                <w:szCs w:val="14"/>
                <w:color w:val="auto"/>
              </w:rPr>
            </w:pPr>
          </w:p>
        </w:tc>
        <w:tc>
          <w:tcPr>
            <w:tcW w:w="1420" w:type="dxa"/>
            <w:vAlign w:val="bottom"/>
            <w:gridSpan w:val="2"/>
          </w:tcPr>
          <w:p>
            <w:pPr>
              <w:jc w:val="right"/>
              <w:ind w:right="80"/>
              <w:spacing w:after="0"/>
              <w:rPr>
                <w:sz w:val="20"/>
                <w:szCs w:val="20"/>
                <w:color w:val="auto"/>
              </w:rPr>
            </w:pPr>
            <w:r>
              <w:rPr>
                <w:rFonts w:ascii="Arial" w:cs="Arial" w:eastAsia="Arial" w:hAnsi="Arial"/>
                <w:sz w:val="14"/>
                <w:szCs w:val="14"/>
                <w:color w:val="auto"/>
              </w:rPr>
              <w:t>4.96%</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4"/>
                <w:szCs w:val="14"/>
                <w:color w:val="auto"/>
              </w:rPr>
              <w:t>1.82%</w:t>
            </w:r>
          </w:p>
        </w:tc>
        <w:tc>
          <w:tcPr>
            <w:tcW w:w="0" w:type="dxa"/>
            <w:vAlign w:val="bottom"/>
          </w:tcPr>
          <w:p>
            <w:pPr>
              <w:spacing w:after="0"/>
              <w:rPr>
                <w:sz w:val="1"/>
                <w:szCs w:val="1"/>
                <w:color w:val="auto"/>
              </w:rPr>
            </w:pPr>
          </w:p>
        </w:tc>
      </w:tr>
      <w:tr>
        <w:trPr>
          <w:trHeight w:val="162"/>
        </w:trPr>
        <w:tc>
          <w:tcPr>
            <w:tcW w:w="7700" w:type="dxa"/>
            <w:vAlign w:val="bottom"/>
            <w:shd w:val="clear" w:color="auto" w:fill="CCECFF"/>
          </w:tcPr>
          <w:p>
            <w:pPr>
              <w:spacing w:after="0"/>
              <w:rPr>
                <w:sz w:val="20"/>
                <w:szCs w:val="20"/>
                <w:color w:val="auto"/>
              </w:rPr>
            </w:pPr>
            <w:r>
              <w:rPr>
                <w:rFonts w:ascii="Arial" w:cs="Arial" w:eastAsia="Arial" w:hAnsi="Arial"/>
                <w:sz w:val="14"/>
                <w:szCs w:val="14"/>
                <w:color w:val="auto"/>
              </w:rPr>
              <w:t xml:space="preserve">Ratio of debt related expenses to average net assets </w:t>
            </w:r>
            <w:r>
              <w:rPr>
                <w:rFonts w:ascii="Arial" w:cs="Arial" w:eastAsia="Arial" w:hAnsi="Arial"/>
                <w:sz w:val="12"/>
                <w:szCs w:val="12"/>
                <w:color w:val="auto"/>
              </w:rPr>
              <w:t>(5)</w:t>
            </w:r>
          </w:p>
        </w:tc>
        <w:tc>
          <w:tcPr>
            <w:tcW w:w="340" w:type="dxa"/>
            <w:vAlign w:val="bottom"/>
            <w:shd w:val="clear" w:color="auto" w:fill="CCECFF"/>
          </w:tcPr>
          <w:p>
            <w:pPr>
              <w:spacing w:after="0"/>
              <w:rPr>
                <w:sz w:val="14"/>
                <w:szCs w:val="14"/>
                <w:color w:val="auto"/>
              </w:rPr>
            </w:pPr>
          </w:p>
        </w:tc>
        <w:tc>
          <w:tcPr>
            <w:tcW w:w="1420" w:type="dxa"/>
            <w:vAlign w:val="bottom"/>
            <w:gridSpan w:val="2"/>
            <w:shd w:val="clear" w:color="auto" w:fill="CCECFF"/>
          </w:tcPr>
          <w:p>
            <w:pPr>
              <w:jc w:val="right"/>
              <w:ind w:right="80"/>
              <w:spacing w:after="0"/>
              <w:rPr>
                <w:sz w:val="20"/>
                <w:szCs w:val="20"/>
                <w:color w:val="auto"/>
              </w:rPr>
            </w:pPr>
            <w:r>
              <w:rPr>
                <w:rFonts w:ascii="Arial" w:cs="Arial" w:eastAsia="Arial" w:hAnsi="Arial"/>
                <w:sz w:val="14"/>
                <w:szCs w:val="14"/>
                <w:color w:val="auto"/>
              </w:rPr>
              <w:t>5.83%</w:t>
            </w:r>
          </w:p>
        </w:tc>
        <w:tc>
          <w:tcPr>
            <w:tcW w:w="100" w:type="dxa"/>
            <w:vAlign w:val="bottom"/>
            <w:shd w:val="clear" w:color="auto" w:fill="CCECFF"/>
          </w:tcPr>
          <w:p>
            <w:pPr>
              <w:spacing w:after="0"/>
              <w:rPr>
                <w:sz w:val="14"/>
                <w:szCs w:val="14"/>
                <w:color w:val="auto"/>
              </w:rPr>
            </w:pPr>
          </w:p>
        </w:tc>
        <w:tc>
          <w:tcPr>
            <w:tcW w:w="340" w:type="dxa"/>
            <w:vAlign w:val="bottom"/>
            <w:shd w:val="clear" w:color="auto" w:fill="CCECFF"/>
          </w:tcPr>
          <w:p>
            <w:pPr>
              <w:spacing w:after="0"/>
              <w:rPr>
                <w:sz w:val="14"/>
                <w:szCs w:val="14"/>
                <w:color w:val="auto"/>
              </w:rPr>
            </w:pPr>
          </w:p>
        </w:tc>
        <w:tc>
          <w:tcPr>
            <w:tcW w:w="1340" w:type="dxa"/>
            <w:vAlign w:val="bottom"/>
            <w:gridSpan w:val="2"/>
            <w:shd w:val="clear" w:color="auto" w:fill="CCECFF"/>
          </w:tcPr>
          <w:p>
            <w:pPr>
              <w:jc w:val="right"/>
              <w:ind w:right="20"/>
              <w:spacing w:after="0"/>
              <w:rPr>
                <w:sz w:val="20"/>
                <w:szCs w:val="20"/>
                <w:color w:val="auto"/>
              </w:rPr>
            </w:pPr>
            <w:r>
              <w:rPr>
                <w:rFonts w:ascii="Arial" w:cs="Arial" w:eastAsia="Arial" w:hAnsi="Arial"/>
                <w:sz w:val="14"/>
                <w:szCs w:val="14"/>
                <w:color w:val="auto"/>
              </w:rPr>
              <w:t>4.84%</w:t>
            </w:r>
          </w:p>
        </w:tc>
        <w:tc>
          <w:tcPr>
            <w:tcW w:w="0" w:type="dxa"/>
            <w:vAlign w:val="bottom"/>
          </w:tcPr>
          <w:p>
            <w:pPr>
              <w:spacing w:after="0"/>
              <w:rPr>
                <w:sz w:val="1"/>
                <w:szCs w:val="1"/>
                <w:color w:val="auto"/>
              </w:rPr>
            </w:pPr>
          </w:p>
        </w:tc>
      </w:tr>
      <w:tr>
        <w:trPr>
          <w:trHeight w:val="20"/>
        </w:trPr>
        <w:tc>
          <w:tcPr>
            <w:tcW w:w="7700" w:type="dxa"/>
            <w:vAlign w:val="bottom"/>
            <w:vMerge w:val="restart"/>
          </w:tcPr>
          <w:p>
            <w:pPr>
              <w:spacing w:after="0"/>
              <w:rPr>
                <w:sz w:val="20"/>
                <w:szCs w:val="20"/>
                <w:color w:val="auto"/>
              </w:rPr>
            </w:pPr>
            <w:r>
              <w:rPr>
                <w:rFonts w:ascii="Arial" w:cs="Arial" w:eastAsia="Arial" w:hAnsi="Arial"/>
                <w:sz w:val="14"/>
                <w:szCs w:val="14"/>
                <w:color w:val="auto"/>
              </w:rPr>
              <w:t xml:space="preserve">Ratio of total expenses to average net assets </w:t>
            </w:r>
            <w:r>
              <w:rPr>
                <w:rFonts w:ascii="Arial" w:cs="Arial" w:eastAsia="Arial" w:hAnsi="Arial"/>
                <w:sz w:val="12"/>
                <w:szCs w:val="12"/>
                <w:color w:val="auto"/>
              </w:rPr>
              <w:t>(5)</w:t>
            </w:r>
          </w:p>
        </w:tc>
        <w:tc>
          <w:tcPr>
            <w:tcW w:w="3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700" w:type="dxa"/>
            <w:vAlign w:val="bottom"/>
            <w:vMerge w:val="continue"/>
          </w:tcPr>
          <w:p>
            <w:pPr>
              <w:spacing w:after="0"/>
              <w:rPr>
                <w:sz w:val="13"/>
                <w:szCs w:val="13"/>
                <w:color w:val="auto"/>
              </w:rPr>
            </w:pPr>
          </w:p>
        </w:tc>
        <w:tc>
          <w:tcPr>
            <w:tcW w:w="340" w:type="dxa"/>
            <w:vAlign w:val="bottom"/>
          </w:tcPr>
          <w:p>
            <w:pPr>
              <w:spacing w:after="0"/>
              <w:rPr>
                <w:sz w:val="13"/>
                <w:szCs w:val="13"/>
                <w:color w:val="auto"/>
              </w:rPr>
            </w:pPr>
          </w:p>
        </w:tc>
        <w:tc>
          <w:tcPr>
            <w:tcW w:w="142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rPr>
              <w:t>10.79%</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340" w:type="dxa"/>
            <w:vAlign w:val="bottom"/>
            <w:gridSpan w:val="2"/>
          </w:tcPr>
          <w:p>
            <w:pPr>
              <w:jc w:val="right"/>
              <w:ind w:right="20"/>
              <w:spacing w:after="0" w:line="155" w:lineRule="exact"/>
              <w:rPr>
                <w:sz w:val="20"/>
                <w:szCs w:val="20"/>
                <w:color w:val="auto"/>
              </w:rPr>
            </w:pPr>
            <w:r>
              <w:rPr>
                <w:rFonts w:ascii="Arial" w:cs="Arial" w:eastAsia="Arial" w:hAnsi="Arial"/>
                <w:sz w:val="14"/>
                <w:szCs w:val="14"/>
                <w:color w:val="auto"/>
              </w:rPr>
              <w:t>6.66%</w:t>
            </w:r>
          </w:p>
        </w:tc>
        <w:tc>
          <w:tcPr>
            <w:tcW w:w="0" w:type="dxa"/>
            <w:vAlign w:val="bottom"/>
          </w:tcPr>
          <w:p>
            <w:pPr>
              <w:spacing w:after="0"/>
              <w:rPr>
                <w:sz w:val="1"/>
                <w:szCs w:val="1"/>
                <w:color w:val="auto"/>
              </w:rPr>
            </w:pPr>
          </w:p>
        </w:tc>
      </w:tr>
      <w:tr>
        <w:trPr>
          <w:trHeight w:val="162"/>
        </w:trPr>
        <w:tc>
          <w:tcPr>
            <w:tcW w:w="7700" w:type="dxa"/>
            <w:vAlign w:val="bottom"/>
            <w:shd w:val="clear" w:color="auto" w:fill="CCECFF"/>
          </w:tcPr>
          <w:p>
            <w:pPr>
              <w:spacing w:after="0"/>
              <w:rPr>
                <w:sz w:val="20"/>
                <w:szCs w:val="20"/>
                <w:color w:val="auto"/>
              </w:rPr>
            </w:pPr>
            <w:r>
              <w:rPr>
                <w:rFonts w:ascii="Arial" w:cs="Arial" w:eastAsia="Arial" w:hAnsi="Arial"/>
                <w:sz w:val="14"/>
                <w:szCs w:val="14"/>
                <w:color w:val="auto"/>
              </w:rPr>
              <w:t xml:space="preserve">Ratio of net investment income to average net assets </w:t>
            </w:r>
            <w:r>
              <w:rPr>
                <w:rFonts w:ascii="Arial" w:cs="Arial" w:eastAsia="Arial" w:hAnsi="Arial"/>
                <w:sz w:val="12"/>
                <w:szCs w:val="12"/>
                <w:color w:val="auto"/>
              </w:rPr>
              <w:t>(5)</w:t>
            </w:r>
          </w:p>
        </w:tc>
        <w:tc>
          <w:tcPr>
            <w:tcW w:w="340" w:type="dxa"/>
            <w:vAlign w:val="bottom"/>
            <w:shd w:val="clear" w:color="auto" w:fill="CCECFF"/>
          </w:tcPr>
          <w:p>
            <w:pPr>
              <w:spacing w:after="0"/>
              <w:rPr>
                <w:sz w:val="14"/>
                <w:szCs w:val="14"/>
                <w:color w:val="auto"/>
              </w:rPr>
            </w:pPr>
          </w:p>
        </w:tc>
        <w:tc>
          <w:tcPr>
            <w:tcW w:w="1420" w:type="dxa"/>
            <w:vAlign w:val="bottom"/>
            <w:gridSpan w:val="2"/>
            <w:shd w:val="clear" w:color="auto" w:fill="CCECFF"/>
          </w:tcPr>
          <w:p>
            <w:pPr>
              <w:jc w:val="right"/>
              <w:ind w:right="80"/>
              <w:spacing w:after="0"/>
              <w:rPr>
                <w:sz w:val="20"/>
                <w:szCs w:val="20"/>
                <w:color w:val="auto"/>
              </w:rPr>
            </w:pPr>
            <w:r>
              <w:rPr>
                <w:rFonts w:ascii="Arial" w:cs="Arial" w:eastAsia="Arial" w:hAnsi="Arial"/>
                <w:sz w:val="14"/>
                <w:szCs w:val="14"/>
                <w:color w:val="auto"/>
              </w:rPr>
              <w:t>8.88%</w:t>
            </w:r>
          </w:p>
        </w:tc>
        <w:tc>
          <w:tcPr>
            <w:tcW w:w="100" w:type="dxa"/>
            <w:vAlign w:val="bottom"/>
            <w:shd w:val="clear" w:color="auto" w:fill="CCECFF"/>
          </w:tcPr>
          <w:p>
            <w:pPr>
              <w:spacing w:after="0"/>
              <w:rPr>
                <w:sz w:val="14"/>
                <w:szCs w:val="14"/>
                <w:color w:val="auto"/>
              </w:rPr>
            </w:pPr>
          </w:p>
        </w:tc>
        <w:tc>
          <w:tcPr>
            <w:tcW w:w="340" w:type="dxa"/>
            <w:vAlign w:val="bottom"/>
            <w:shd w:val="clear" w:color="auto" w:fill="CCECFF"/>
          </w:tcPr>
          <w:p>
            <w:pPr>
              <w:spacing w:after="0"/>
              <w:rPr>
                <w:sz w:val="14"/>
                <w:szCs w:val="14"/>
                <w:color w:val="auto"/>
              </w:rPr>
            </w:pPr>
          </w:p>
        </w:tc>
        <w:tc>
          <w:tcPr>
            <w:tcW w:w="1340" w:type="dxa"/>
            <w:vAlign w:val="bottom"/>
            <w:gridSpan w:val="2"/>
            <w:shd w:val="clear" w:color="auto" w:fill="CCECFF"/>
          </w:tcPr>
          <w:p>
            <w:pPr>
              <w:jc w:val="right"/>
              <w:ind w:right="20"/>
              <w:spacing w:after="0"/>
              <w:rPr>
                <w:sz w:val="20"/>
                <w:szCs w:val="20"/>
                <w:color w:val="auto"/>
              </w:rPr>
            </w:pPr>
            <w:r>
              <w:rPr>
                <w:rFonts w:ascii="Arial" w:cs="Arial" w:eastAsia="Arial" w:hAnsi="Arial"/>
                <w:sz w:val="14"/>
                <w:szCs w:val="14"/>
                <w:color w:val="auto"/>
              </w:rPr>
              <w:t>10.78%</w:t>
            </w:r>
          </w:p>
        </w:tc>
        <w:tc>
          <w:tcPr>
            <w:tcW w:w="0" w:type="dxa"/>
            <w:vAlign w:val="bottom"/>
          </w:tcPr>
          <w:p>
            <w:pPr>
              <w:spacing w:after="0"/>
              <w:rPr>
                <w:sz w:val="1"/>
                <w:szCs w:val="1"/>
                <w:color w:val="auto"/>
              </w:rPr>
            </w:pPr>
          </w:p>
        </w:tc>
      </w:tr>
      <w:tr>
        <w:trPr>
          <w:trHeight w:val="162"/>
        </w:trPr>
        <w:tc>
          <w:tcPr>
            <w:tcW w:w="7700" w:type="dxa"/>
            <w:vAlign w:val="bottom"/>
          </w:tcPr>
          <w:p>
            <w:pPr>
              <w:spacing w:after="0"/>
              <w:rPr>
                <w:sz w:val="20"/>
                <w:szCs w:val="20"/>
                <w:color w:val="auto"/>
              </w:rPr>
            </w:pPr>
            <w:r>
              <w:rPr>
                <w:rFonts w:ascii="Arial" w:cs="Arial" w:eastAsia="Arial" w:hAnsi="Arial"/>
                <w:sz w:val="14"/>
                <w:szCs w:val="14"/>
                <w:color w:val="auto"/>
              </w:rPr>
              <w:t>Net assets at end of period</w:t>
            </w:r>
          </w:p>
        </w:tc>
        <w:tc>
          <w:tcPr>
            <w:tcW w:w="340" w:type="dxa"/>
            <w:vAlign w:val="bottom"/>
          </w:tcPr>
          <w:p>
            <w:pPr>
              <w:jc w:val="right"/>
              <w:ind w:right="188"/>
              <w:spacing w:after="0"/>
              <w:rPr>
                <w:sz w:val="20"/>
                <w:szCs w:val="20"/>
                <w:color w:val="auto"/>
              </w:rPr>
            </w:pPr>
            <w:r>
              <w:rPr>
                <w:rFonts w:ascii="Arial" w:cs="Arial" w:eastAsia="Arial" w:hAnsi="Arial"/>
                <w:sz w:val="14"/>
                <w:szCs w:val="14"/>
                <w:color w:val="auto"/>
                <w:w w:val="76"/>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501,980,364</w:t>
            </w:r>
          </w:p>
        </w:tc>
        <w:tc>
          <w:tcPr>
            <w:tcW w:w="200" w:type="dxa"/>
            <w:vAlign w:val="bottom"/>
          </w:tcPr>
          <w:p>
            <w:pPr>
              <w:spacing w:after="0"/>
              <w:rPr>
                <w:sz w:val="14"/>
                <w:szCs w:val="14"/>
                <w:color w:val="auto"/>
              </w:rPr>
            </w:pPr>
          </w:p>
        </w:tc>
        <w:tc>
          <w:tcPr>
            <w:tcW w:w="440" w:type="dxa"/>
            <w:vAlign w:val="bottom"/>
            <w:gridSpan w:val="2"/>
          </w:tcPr>
          <w:p>
            <w:pPr>
              <w:jc w:val="right"/>
              <w:ind w:right="229"/>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529,786,722</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7700" w:type="dxa"/>
            <w:vAlign w:val="bottom"/>
            <w:tcBorders>
              <w:top w:val="single" w:sz="8" w:color="CCECFF"/>
            </w:tcBorders>
            <w:shd w:val="clear" w:color="auto" w:fill="CCECFF"/>
          </w:tcPr>
          <w:p>
            <w:pPr>
              <w:spacing w:after="0" w:line="155" w:lineRule="exact"/>
              <w:rPr>
                <w:sz w:val="20"/>
                <w:szCs w:val="20"/>
                <w:color w:val="auto"/>
              </w:rPr>
            </w:pPr>
            <w:r>
              <w:rPr>
                <w:rFonts w:ascii="Arial" w:cs="Arial" w:eastAsia="Arial" w:hAnsi="Arial"/>
                <w:sz w:val="14"/>
                <w:szCs w:val="14"/>
                <w:color w:val="auto"/>
              </w:rPr>
              <w:t>Weighted average debt outstanding</w:t>
            </w:r>
          </w:p>
        </w:tc>
        <w:tc>
          <w:tcPr>
            <w:tcW w:w="340" w:type="dxa"/>
            <w:vAlign w:val="bottom"/>
            <w:tcBorders>
              <w:top w:val="single" w:sz="8" w:color="auto"/>
              <w:bottom w:val="single" w:sz="8" w:color="auto"/>
            </w:tcBorders>
            <w:shd w:val="clear" w:color="auto" w:fill="CCECFF"/>
          </w:tcPr>
          <w:p>
            <w:pPr>
              <w:jc w:val="right"/>
              <w:ind w:right="188"/>
              <w:spacing w:after="0" w:line="155" w:lineRule="exact"/>
              <w:rPr>
                <w:sz w:val="20"/>
                <w:szCs w:val="20"/>
                <w:color w:val="auto"/>
              </w:rPr>
            </w:pPr>
            <w:r>
              <w:rPr>
                <w:rFonts w:ascii="Arial" w:cs="Arial" w:eastAsia="Arial" w:hAnsi="Arial"/>
                <w:sz w:val="14"/>
                <w:szCs w:val="14"/>
                <w:color w:val="auto"/>
                <w:w w:val="76"/>
              </w:rPr>
              <w:t>$</w:t>
            </w:r>
          </w:p>
        </w:tc>
        <w:tc>
          <w:tcPr>
            <w:tcW w:w="122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647,164,200</w:t>
            </w:r>
          </w:p>
        </w:tc>
        <w:tc>
          <w:tcPr>
            <w:tcW w:w="200" w:type="dxa"/>
            <w:vAlign w:val="bottom"/>
            <w:tcBorders>
              <w:top w:val="single" w:sz="8" w:color="CCECFF"/>
            </w:tcBorders>
            <w:shd w:val="clear" w:color="auto" w:fill="CCECFF"/>
          </w:tcPr>
          <w:p>
            <w:pPr>
              <w:spacing w:after="0"/>
              <w:rPr>
                <w:sz w:val="13"/>
                <w:szCs w:val="13"/>
                <w:color w:val="auto"/>
              </w:rPr>
            </w:pPr>
          </w:p>
        </w:tc>
        <w:tc>
          <w:tcPr>
            <w:tcW w:w="100" w:type="dxa"/>
            <w:vAlign w:val="bottom"/>
            <w:tcBorders>
              <w:top w:val="single" w:sz="8" w:color="CCECFF"/>
            </w:tcBorders>
            <w:shd w:val="clear" w:color="auto" w:fill="CCECFF"/>
          </w:tcPr>
          <w:p>
            <w:pPr>
              <w:spacing w:after="0"/>
              <w:rPr>
                <w:sz w:val="13"/>
                <w:szCs w:val="13"/>
                <w:color w:val="auto"/>
              </w:rPr>
            </w:pPr>
          </w:p>
        </w:tc>
        <w:tc>
          <w:tcPr>
            <w:tcW w:w="340" w:type="dxa"/>
            <w:vAlign w:val="bottom"/>
            <w:tcBorders>
              <w:top w:val="single" w:sz="8" w:color="auto"/>
              <w:bottom w:val="single" w:sz="8" w:color="auto"/>
            </w:tcBorders>
            <w:shd w:val="clear" w:color="auto" w:fill="CCECFF"/>
          </w:tcPr>
          <w:p>
            <w:pPr>
              <w:jc w:val="right"/>
              <w:ind w:right="229"/>
              <w:spacing w:after="0"/>
              <w:rPr>
                <w:sz w:val="20"/>
                <w:szCs w:val="20"/>
                <w:color w:val="auto"/>
              </w:rPr>
            </w:pPr>
            <w:r>
              <w:rPr>
                <w:rFonts w:ascii="Arial" w:cs="Arial" w:eastAsia="Arial" w:hAnsi="Arial"/>
                <w:sz w:val="10"/>
                <w:szCs w:val="10"/>
                <w:color w:val="auto"/>
                <w:w w:val="71"/>
              </w:rPr>
              <w:t>$</w:t>
            </w:r>
          </w:p>
        </w:tc>
        <w:tc>
          <w:tcPr>
            <w:tcW w:w="120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486,048,277</w:t>
            </w:r>
          </w:p>
        </w:tc>
        <w:tc>
          <w:tcPr>
            <w:tcW w:w="140" w:type="dxa"/>
            <w:vAlign w:val="bottom"/>
            <w:tcBorders>
              <w:top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7700" w:type="dxa"/>
            <w:vAlign w:val="bottom"/>
          </w:tcPr>
          <w:p>
            <w:pPr>
              <w:spacing w:after="0" w:line="155" w:lineRule="exact"/>
              <w:rPr>
                <w:sz w:val="20"/>
                <w:szCs w:val="20"/>
                <w:color w:val="auto"/>
              </w:rPr>
            </w:pPr>
            <w:r>
              <w:rPr>
                <w:rFonts w:ascii="Arial" w:cs="Arial" w:eastAsia="Arial" w:hAnsi="Arial"/>
                <w:sz w:val="14"/>
                <w:szCs w:val="14"/>
                <w:color w:val="auto"/>
              </w:rPr>
              <w:t xml:space="preserve">Weighted average debt per share </w:t>
            </w:r>
            <w:r>
              <w:rPr>
                <w:rFonts w:ascii="Arial" w:cs="Arial" w:eastAsia="Arial" w:hAnsi="Arial"/>
                <w:sz w:val="12"/>
                <w:szCs w:val="12"/>
                <w:color w:val="auto"/>
              </w:rPr>
              <w:t>(1)</w:t>
            </w:r>
          </w:p>
        </w:tc>
        <w:tc>
          <w:tcPr>
            <w:tcW w:w="340" w:type="dxa"/>
            <w:vAlign w:val="bottom"/>
          </w:tcPr>
          <w:p>
            <w:pPr>
              <w:jc w:val="right"/>
              <w:ind w:right="188"/>
              <w:spacing w:after="0" w:line="155" w:lineRule="exact"/>
              <w:rPr>
                <w:sz w:val="20"/>
                <w:szCs w:val="20"/>
                <w:color w:val="auto"/>
              </w:rPr>
            </w:pPr>
            <w:r>
              <w:rPr>
                <w:rFonts w:ascii="Arial" w:cs="Arial" w:eastAsia="Arial" w:hAnsi="Arial"/>
                <w:sz w:val="14"/>
                <w:szCs w:val="14"/>
                <w:color w:val="auto"/>
                <w:w w:val="76"/>
              </w:rPr>
              <w:t>$</w:t>
            </w:r>
          </w:p>
        </w:tc>
        <w:tc>
          <w:tcPr>
            <w:tcW w:w="1220" w:type="dxa"/>
            <w:vAlign w:val="bottom"/>
          </w:tcPr>
          <w:p>
            <w:pPr>
              <w:jc w:val="right"/>
              <w:spacing w:after="0" w:line="155" w:lineRule="exact"/>
              <w:rPr>
                <w:sz w:val="20"/>
                <w:szCs w:val="20"/>
                <w:color w:val="auto"/>
              </w:rPr>
            </w:pPr>
            <w:r>
              <w:rPr>
                <w:rFonts w:ascii="Arial" w:cs="Arial" w:eastAsia="Arial" w:hAnsi="Arial"/>
                <w:sz w:val="14"/>
                <w:szCs w:val="14"/>
                <w:color w:val="auto"/>
              </w:rPr>
              <w:t>16.69</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jc w:val="right"/>
              <w:ind w:right="229"/>
              <w:spacing w:after="0"/>
              <w:rPr>
                <w:sz w:val="20"/>
                <w:szCs w:val="20"/>
                <w:color w:val="auto"/>
              </w:rPr>
            </w:pPr>
            <w:r>
              <w:rPr>
                <w:rFonts w:ascii="Arial" w:cs="Arial" w:eastAsia="Arial" w:hAnsi="Arial"/>
                <w:sz w:val="10"/>
                <w:szCs w:val="10"/>
                <w:color w:val="auto"/>
                <w:w w:val="71"/>
              </w:rPr>
              <w:t>$</w:t>
            </w:r>
          </w:p>
        </w:tc>
        <w:tc>
          <w:tcPr>
            <w:tcW w:w="1200" w:type="dxa"/>
            <w:vAlign w:val="bottom"/>
          </w:tcPr>
          <w:p>
            <w:pPr>
              <w:jc w:val="right"/>
              <w:spacing w:after="0" w:line="155" w:lineRule="exact"/>
              <w:rPr>
                <w:sz w:val="20"/>
                <w:szCs w:val="20"/>
                <w:color w:val="auto"/>
              </w:rPr>
            </w:pPr>
            <w:r>
              <w:rPr>
                <w:rFonts w:ascii="Arial" w:cs="Arial" w:eastAsia="Arial" w:hAnsi="Arial"/>
                <w:sz w:val="14"/>
                <w:szCs w:val="14"/>
                <w:color w:val="auto"/>
              </w:rPr>
              <w:t>12.54</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700" w:type="dxa"/>
            <w:vAlign w:val="bottom"/>
            <w:shd w:val="clear" w:color="auto" w:fill="CCECFF"/>
          </w:tcPr>
          <w:p>
            <w:pPr>
              <w:spacing w:after="0"/>
              <w:rPr>
                <w:sz w:val="20"/>
                <w:szCs w:val="20"/>
                <w:color w:val="auto"/>
              </w:rPr>
            </w:pPr>
            <w:r>
              <w:rPr>
                <w:rFonts w:ascii="Arial" w:cs="Arial" w:eastAsia="Arial" w:hAnsi="Arial"/>
                <w:sz w:val="14"/>
                <w:szCs w:val="14"/>
                <w:color w:val="auto"/>
              </w:rPr>
              <w:t xml:space="preserve">Asset coverage per unit </w:t>
            </w:r>
            <w:r>
              <w:rPr>
                <w:rFonts w:ascii="Arial" w:cs="Arial" w:eastAsia="Arial" w:hAnsi="Arial"/>
                <w:sz w:val="12"/>
                <w:szCs w:val="12"/>
                <w:color w:val="auto"/>
              </w:rPr>
              <w:t>(6)</w:t>
            </w:r>
          </w:p>
        </w:tc>
        <w:tc>
          <w:tcPr>
            <w:tcW w:w="340" w:type="dxa"/>
            <w:vAlign w:val="bottom"/>
            <w:shd w:val="clear" w:color="auto" w:fill="CCECFF"/>
          </w:tcPr>
          <w:p>
            <w:pPr>
              <w:jc w:val="right"/>
              <w:ind w:right="188"/>
              <w:spacing w:after="0"/>
              <w:rPr>
                <w:sz w:val="20"/>
                <w:szCs w:val="20"/>
                <w:color w:val="auto"/>
              </w:rPr>
            </w:pPr>
            <w:r>
              <w:rPr>
                <w:rFonts w:ascii="Arial" w:cs="Arial" w:eastAsia="Arial" w:hAnsi="Arial"/>
                <w:sz w:val="14"/>
                <w:szCs w:val="14"/>
                <w:color w:val="auto"/>
                <w:w w:val="76"/>
              </w:rPr>
              <w:t>$</w:t>
            </w:r>
          </w:p>
        </w:tc>
        <w:tc>
          <w:tcPr>
            <w:tcW w:w="12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1,704</w:t>
            </w:r>
          </w:p>
        </w:tc>
        <w:tc>
          <w:tcPr>
            <w:tcW w:w="200" w:type="dxa"/>
            <w:vAlign w:val="bottom"/>
            <w:shd w:val="clear" w:color="auto" w:fill="CCECFF"/>
          </w:tcPr>
          <w:p>
            <w:pPr>
              <w:spacing w:after="0"/>
              <w:rPr>
                <w:sz w:val="14"/>
                <w:szCs w:val="14"/>
                <w:color w:val="auto"/>
              </w:rPr>
            </w:pPr>
          </w:p>
        </w:tc>
        <w:tc>
          <w:tcPr>
            <w:tcW w:w="440" w:type="dxa"/>
            <w:vAlign w:val="bottom"/>
            <w:gridSpan w:val="2"/>
            <w:shd w:val="clear" w:color="auto" w:fill="CCECFF"/>
          </w:tcPr>
          <w:p>
            <w:pPr>
              <w:jc w:val="right"/>
              <w:ind w:right="229"/>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2,103</w:t>
            </w:r>
          </w:p>
        </w:tc>
        <w:tc>
          <w:tcPr>
            <w:tcW w:w="14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7700" w:type="dxa"/>
            <w:vAlign w:val="bottom"/>
          </w:tcPr>
          <w:p>
            <w:pPr>
              <w:spacing w:after="0"/>
              <w:rPr>
                <w:sz w:val="20"/>
                <w:szCs w:val="20"/>
                <w:color w:val="auto"/>
              </w:rPr>
            </w:pPr>
            <w:r>
              <w:rPr>
                <w:rFonts w:ascii="Arial" w:cs="Arial" w:eastAsia="Arial" w:hAnsi="Arial"/>
                <w:sz w:val="14"/>
                <w:szCs w:val="14"/>
                <w:color w:val="auto"/>
              </w:rPr>
              <w:t>Portfolio turnover ratio</w:t>
            </w:r>
          </w:p>
        </w:tc>
        <w:tc>
          <w:tcPr>
            <w:tcW w:w="340" w:type="dxa"/>
            <w:vAlign w:val="bottom"/>
          </w:tcPr>
          <w:p>
            <w:pPr>
              <w:spacing w:after="0"/>
              <w:rPr>
                <w:sz w:val="15"/>
                <w:szCs w:val="15"/>
                <w:color w:val="auto"/>
              </w:rPr>
            </w:pPr>
          </w:p>
        </w:tc>
        <w:tc>
          <w:tcPr>
            <w:tcW w:w="1420" w:type="dxa"/>
            <w:vAlign w:val="bottom"/>
            <w:gridSpan w:val="2"/>
          </w:tcPr>
          <w:p>
            <w:pPr>
              <w:jc w:val="right"/>
              <w:ind w:right="80"/>
              <w:spacing w:after="0"/>
              <w:rPr>
                <w:sz w:val="20"/>
                <w:szCs w:val="20"/>
                <w:color w:val="auto"/>
              </w:rPr>
            </w:pPr>
            <w:r>
              <w:rPr>
                <w:rFonts w:ascii="Arial" w:cs="Arial" w:eastAsia="Arial" w:hAnsi="Arial"/>
                <w:sz w:val="14"/>
                <w:szCs w:val="14"/>
                <w:color w:val="auto"/>
              </w:rPr>
              <w:t>51.44%</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4"/>
                <w:szCs w:val="14"/>
                <w:color w:val="auto"/>
              </w:rPr>
              <w:t>74.40%</w:t>
            </w:r>
          </w:p>
        </w:tc>
        <w:tc>
          <w:tcPr>
            <w:tcW w:w="0" w:type="dxa"/>
            <w:vAlign w:val="bottom"/>
          </w:tcPr>
          <w:p>
            <w:pPr>
              <w:spacing w:after="0"/>
              <w:rPr>
                <w:sz w:val="1"/>
                <w:szCs w:val="1"/>
                <w:color w:val="auto"/>
              </w:rPr>
            </w:pPr>
          </w:p>
        </w:tc>
      </w:tr>
    </w:tbl>
    <w:p>
      <w:pPr>
        <w:spacing w:after="0" w:line="110" w:lineRule="exact"/>
        <w:rPr>
          <w:sz w:val="20"/>
          <w:szCs w:val="20"/>
          <w:color w:val="auto"/>
        </w:rPr>
      </w:pPr>
    </w:p>
    <w:p>
      <w:pPr>
        <w:ind w:right="8240" w:firstLine="8"/>
        <w:spacing w:after="0" w:line="248" w:lineRule="auto"/>
        <w:tabs>
          <w:tab w:leader="none" w:pos="364" w:val="left"/>
        </w:tabs>
        <w:numPr>
          <w:ilvl w:val="0"/>
          <w:numId w:val="15"/>
        </w:numPr>
        <w:rPr>
          <w:rFonts w:ascii="Arial" w:cs="Arial" w:eastAsia="Arial" w:hAnsi="Arial"/>
          <w:sz w:val="13"/>
          <w:szCs w:val="13"/>
          <w:color w:val="auto"/>
        </w:rPr>
      </w:pPr>
      <w:r>
        <w:rPr>
          <w:rFonts w:ascii="Arial" w:cs="Arial" w:eastAsia="Arial" w:hAnsi="Arial"/>
          <w:sz w:val="13"/>
          <w:szCs w:val="13"/>
          <w:color w:val="auto"/>
        </w:rPr>
        <w:t>Not annualized for periods less than one year. ** Annualized for periods less than one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-192405</wp:posOffset>
            </wp:positionV>
            <wp:extent cx="185991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859915" cy="8255"/>
                    </a:xfrm>
                    <a:prstGeom prst="rect">
                      <a:avLst/>
                    </a:prstGeom>
                    <a:noFill/>
                  </pic:spPr>
                </pic:pic>
              </a:graphicData>
            </a:graphic>
          </wp:anchor>
        </w:drawing>
      </w:r>
    </w:p>
    <w:p>
      <w:pPr>
        <w:ind w:left="380" w:hanging="372"/>
        <w:spacing w:after="0" w:line="221" w:lineRule="auto"/>
        <w:tabs>
          <w:tab w:leader="none" w:pos="380" w:val="left"/>
        </w:tabs>
        <w:numPr>
          <w:ilvl w:val="0"/>
          <w:numId w:val="16"/>
        </w:numPr>
        <w:rPr>
          <w:rFonts w:ascii="Arial" w:cs="Arial" w:eastAsia="Arial" w:hAnsi="Arial"/>
          <w:sz w:val="12"/>
          <w:szCs w:val="12"/>
          <w:color w:val="auto"/>
        </w:rPr>
      </w:pPr>
      <w:r>
        <w:rPr>
          <w:rFonts w:ascii="Arial" w:cs="Arial" w:eastAsia="Arial" w:hAnsi="Arial"/>
          <w:sz w:val="14"/>
          <w:szCs w:val="14"/>
          <w:color w:val="auto"/>
        </w:rPr>
        <w:t>Based on the weighted average shares outstanding for the respective periods.</w:t>
      </w:r>
    </w:p>
    <w:p>
      <w:pPr>
        <w:ind w:left="380" w:right="340" w:hanging="372"/>
        <w:spacing w:after="0" w:line="221" w:lineRule="auto"/>
        <w:tabs>
          <w:tab w:leader="none" w:pos="380" w:val="left"/>
        </w:tabs>
        <w:numPr>
          <w:ilvl w:val="0"/>
          <w:numId w:val="16"/>
        </w:numPr>
        <w:rPr>
          <w:rFonts w:ascii="Arial" w:cs="Arial" w:eastAsia="Arial" w:hAnsi="Arial"/>
          <w:sz w:val="12"/>
          <w:szCs w:val="12"/>
          <w:color w:val="auto"/>
        </w:rPr>
      </w:pPr>
      <w:r>
        <w:rPr>
          <w:rFonts w:ascii="Arial" w:cs="Arial" w:eastAsia="Arial" w:hAnsi="Arial"/>
          <w:sz w:val="14"/>
          <w:szCs w:val="14"/>
          <w:color w:val="auto"/>
        </w:rPr>
        <w:t>The tax status of distributions is calculated in accordance with income tax regulations, which may differ from amounts determined under GAAP, and reported on Form 1099-DIV each calendar year.</w:t>
      </w:r>
    </w:p>
    <w:p>
      <w:pPr>
        <w:ind w:left="380" w:hanging="372"/>
        <w:spacing w:after="0" w:line="221" w:lineRule="auto"/>
        <w:tabs>
          <w:tab w:leader="none" w:pos="380" w:val="left"/>
        </w:tabs>
        <w:numPr>
          <w:ilvl w:val="0"/>
          <w:numId w:val="16"/>
        </w:numPr>
        <w:rPr>
          <w:rFonts w:ascii="Arial" w:cs="Arial" w:eastAsia="Arial" w:hAnsi="Arial"/>
          <w:sz w:val="12"/>
          <w:szCs w:val="12"/>
          <w:color w:val="auto"/>
        </w:rPr>
      </w:pPr>
      <w:r>
        <w:rPr>
          <w:rFonts w:ascii="Arial" w:cs="Arial" w:eastAsia="Arial" w:hAnsi="Arial"/>
          <w:sz w:val="14"/>
          <w:szCs w:val="14"/>
          <w:color w:val="auto"/>
        </w:rPr>
        <w:t>Based on the change in market price per share during the periods and assumes distributions, if any, are reinvested.</w:t>
      </w:r>
    </w:p>
    <w:p>
      <w:pPr>
        <w:ind w:left="380" w:hanging="372"/>
        <w:spacing w:after="0" w:line="221" w:lineRule="auto"/>
        <w:tabs>
          <w:tab w:leader="none" w:pos="380" w:val="left"/>
        </w:tabs>
        <w:numPr>
          <w:ilvl w:val="0"/>
          <w:numId w:val="16"/>
        </w:numPr>
        <w:rPr>
          <w:rFonts w:ascii="Arial" w:cs="Arial" w:eastAsia="Arial" w:hAnsi="Arial"/>
          <w:sz w:val="12"/>
          <w:szCs w:val="12"/>
          <w:color w:val="auto"/>
        </w:rPr>
      </w:pPr>
      <w:r>
        <w:rPr>
          <w:rFonts w:ascii="Arial" w:cs="Arial" w:eastAsia="Arial" w:hAnsi="Arial"/>
          <w:sz w:val="14"/>
          <w:szCs w:val="14"/>
          <w:color w:val="auto"/>
        </w:rPr>
        <w:t>Excludes debt related costs.</w:t>
      </w:r>
    </w:p>
    <w:p>
      <w:pPr>
        <w:ind w:left="380" w:hanging="372"/>
        <w:spacing w:after="0" w:line="221" w:lineRule="auto"/>
        <w:tabs>
          <w:tab w:leader="none" w:pos="380" w:val="left"/>
        </w:tabs>
        <w:numPr>
          <w:ilvl w:val="0"/>
          <w:numId w:val="16"/>
        </w:numPr>
        <w:rPr>
          <w:rFonts w:ascii="Arial" w:cs="Arial" w:eastAsia="Arial" w:hAnsi="Arial"/>
          <w:sz w:val="12"/>
          <w:szCs w:val="12"/>
          <w:color w:val="auto"/>
        </w:rPr>
      </w:pPr>
      <w:r>
        <w:rPr>
          <w:rFonts w:ascii="Arial" w:cs="Arial" w:eastAsia="Arial" w:hAnsi="Arial"/>
          <w:sz w:val="14"/>
          <w:szCs w:val="14"/>
          <w:color w:val="auto"/>
        </w:rPr>
        <w:t>Includes interest and expenses on debt (annualized) as well as Credit Facility amendment and debt issuance costs, if any, (not annualized).</w:t>
      </w:r>
    </w:p>
    <w:p>
      <w:pPr>
        <w:ind w:left="380" w:right="80" w:hanging="372"/>
        <w:spacing w:after="0" w:line="232" w:lineRule="auto"/>
        <w:tabs>
          <w:tab w:leader="none" w:pos="380" w:val="left"/>
        </w:tabs>
        <w:numPr>
          <w:ilvl w:val="0"/>
          <w:numId w:val="16"/>
        </w:numPr>
        <w:rPr>
          <w:rFonts w:ascii="Arial" w:cs="Arial" w:eastAsia="Arial" w:hAnsi="Arial"/>
          <w:sz w:val="12"/>
          <w:szCs w:val="12"/>
          <w:color w:val="auto"/>
        </w:rPr>
      </w:pPr>
      <w:r>
        <w:rPr>
          <w:rFonts w:ascii="Arial" w:cs="Arial" w:eastAsia="Arial" w:hAnsi="Arial"/>
          <w:sz w:val="14"/>
          <w:szCs w:val="14"/>
          <w:color w:val="auto"/>
        </w:rPr>
        <w:t>The asset coverage ratio for a class of senior securities representing indebtedness is calculated on our consolidated total assets, less all liabilities and indebtedness not represented by senior securities, divided by the senior securities representing indebtedness at par (changed from fair value). This asset coverage ratio is multiplied by $1,000 to determine the asset coverage per unit.</w:t>
      </w:r>
    </w:p>
    <w:p>
      <w:pPr>
        <w:spacing w:after="0" w:line="11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10. DEBT</w:t>
      </w:r>
    </w:p>
    <w:p>
      <w:pPr>
        <w:spacing w:after="0" w:line="140" w:lineRule="exact"/>
        <w:rPr>
          <w:sz w:val="20"/>
          <w:szCs w:val="20"/>
          <w:color w:val="auto"/>
        </w:rPr>
      </w:pPr>
    </w:p>
    <w:p>
      <w:pPr>
        <w:ind w:right="180" w:firstLine="438"/>
        <w:spacing w:after="0" w:line="238" w:lineRule="auto"/>
        <w:rPr>
          <w:sz w:val="20"/>
          <w:szCs w:val="20"/>
          <w:color w:val="auto"/>
        </w:rPr>
      </w:pPr>
      <w:r>
        <w:rPr>
          <w:rFonts w:ascii="Arial" w:cs="Arial" w:eastAsia="Arial" w:hAnsi="Arial"/>
          <w:sz w:val="14"/>
          <w:szCs w:val="14"/>
          <w:color w:val="auto"/>
        </w:rPr>
        <w:t>The annualized weighted average cost of debt for the three months ended December 31, 2019 and 2018, inclusive of the fee on the undrawn commitment on the Credit Facility, amendment costs and debt issuance costs, was 4.5% and 5.3%, respectively. As of December 31, 2019, in accordance with the 1940 Act, with certain limited exceptions, we are only allowed to borrow amounts such that we are in compliance with a 150% asset coverage ratio requirement after such borrowing.</w:t>
      </w:r>
    </w:p>
    <w:p>
      <w:pPr>
        <w:spacing w:after="0" w:line="115" w:lineRule="exact"/>
        <w:rPr>
          <w:sz w:val="20"/>
          <w:szCs w:val="20"/>
          <w:color w:val="auto"/>
        </w:rPr>
      </w:pPr>
    </w:p>
    <w:p>
      <w:pPr>
        <w:ind w:right="120" w:firstLine="438"/>
        <w:spacing w:after="0" w:line="255" w:lineRule="auto"/>
        <w:rPr>
          <w:sz w:val="20"/>
          <w:szCs w:val="20"/>
          <w:color w:val="auto"/>
        </w:rPr>
      </w:pPr>
      <w:r>
        <w:rPr>
          <w:rFonts w:ascii="Arial" w:cs="Arial" w:eastAsia="Arial" w:hAnsi="Arial"/>
          <w:sz w:val="13"/>
          <w:szCs w:val="13"/>
          <w:color w:val="auto"/>
        </w:rPr>
        <w:t>On April 5, 2018, our board of directors approved the application of the modified asset coverage requirements set forth in Section 61(a)(2) of the 1940 Act, as amended by the Consolidated Appropriations Act of 2018 (which includes the SBCAA). As a result, the asset coverage requirement applicable to us for senior securities was reduced from 200% (i.e., $1 of debt outstanding for each $1 of equity) to 150% (i.e., $2 of debt outstanding for each $1 of equity), effective as of April 5, 2019, subject to compliance with certain disclosure requirements. As of December 31, 2019 and September 30, 2019, our asset coverage ratio, as computed in accordance with the 1940 Act, was 170% and 179%, respectively.</w:t>
      </w:r>
    </w:p>
    <w:p>
      <w:pPr>
        <w:spacing w:after="0" w:line="10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Credit Facility</w:t>
      </w:r>
    </w:p>
    <w:p>
      <w:pPr>
        <w:spacing w:after="0" w:line="136" w:lineRule="exact"/>
        <w:rPr>
          <w:sz w:val="20"/>
          <w:szCs w:val="20"/>
          <w:color w:val="auto"/>
        </w:rPr>
      </w:pPr>
    </w:p>
    <w:p>
      <w:pPr>
        <w:ind w:right="40" w:firstLine="438"/>
        <w:spacing w:after="0" w:line="251" w:lineRule="auto"/>
        <w:rPr>
          <w:sz w:val="20"/>
          <w:szCs w:val="20"/>
          <w:color w:val="auto"/>
        </w:rPr>
      </w:pPr>
      <w:r>
        <w:rPr>
          <w:rFonts w:ascii="Arial" w:cs="Arial" w:eastAsia="Arial" w:hAnsi="Arial"/>
          <w:sz w:val="13"/>
          <w:szCs w:val="13"/>
          <w:color w:val="auto"/>
        </w:rPr>
        <w:t>Funding I’s multi-currency Credit Facility with affiliates of Truist Bank (formerly SunTrust Bank), or the Lenders, was $520 million as of December 31, 2019, subject to satisfaction of certain conditions and regulatory restrictions that the 1940 Act imposes on us as a BDC, has an interest rate spread above LIBOR of 200 basis points, a maturity date of October 2023 and a revolving period that ends in October 2021. As of December 31, 2019 and September 30, 2019, Funding I borrowed $335.3 million and $265.3 million under the Credit Facility, respectively. The Credit Facility had a weighted average interest rate of 3.7% and 4.1%, exclusive of the fee on undrawn commitments as of December 31, 2019 and September 30, 2019, respectively. As of December 31, 2019 and September 30, 2019, we had $184.7 million and $254.7 million of unused borrowing capacity under the Credit Facility, respectively, subject to the regulatory restrictions.</w:t>
      </w:r>
    </w:p>
    <w:p>
      <w:pPr>
        <w:spacing w:after="0" w:line="109" w:lineRule="exact"/>
        <w:rPr>
          <w:sz w:val="20"/>
          <w:szCs w:val="20"/>
          <w:color w:val="auto"/>
        </w:rPr>
      </w:pPr>
    </w:p>
    <w:p>
      <w:pPr>
        <w:ind w:right="80" w:firstLine="438"/>
        <w:spacing w:after="0" w:line="264" w:lineRule="auto"/>
        <w:rPr>
          <w:sz w:val="20"/>
          <w:szCs w:val="20"/>
          <w:color w:val="auto"/>
        </w:rPr>
      </w:pPr>
      <w:r>
        <w:rPr>
          <w:rFonts w:ascii="Arial" w:cs="Arial" w:eastAsia="Arial" w:hAnsi="Arial"/>
          <w:sz w:val="13"/>
          <w:szCs w:val="13"/>
          <w:color w:val="auto"/>
        </w:rPr>
        <w:t>During the revolving period, the Credit Facility bears interest at LIBOR plus 200 basis points and, after the revolving period, the rate sets to LIBOR plus 425 basis points for the remaining two years, maturing in October 2023. The Credit Facility is secured by all of the assets of Funding I. Both PennantPark Floating Rate Capital Ltd. and Funding I have made customary representations and warranties and are required to comply with various covenants, reporting requirements and other customary requirements for similar credit facilities.</w:t>
      </w:r>
    </w:p>
    <w:p>
      <w:pPr>
        <w:spacing w:after="0" w:line="101" w:lineRule="exact"/>
        <w:rPr>
          <w:sz w:val="20"/>
          <w:szCs w:val="20"/>
          <w:color w:val="auto"/>
        </w:rPr>
      </w:pPr>
    </w:p>
    <w:p>
      <w:pPr>
        <w:ind w:right="40" w:firstLine="438"/>
        <w:spacing w:after="0" w:line="233" w:lineRule="auto"/>
        <w:rPr>
          <w:sz w:val="20"/>
          <w:szCs w:val="20"/>
          <w:color w:val="auto"/>
        </w:rPr>
      </w:pPr>
      <w:r>
        <w:rPr>
          <w:rFonts w:ascii="Arial" w:cs="Arial" w:eastAsia="Arial" w:hAnsi="Arial"/>
          <w:sz w:val="14"/>
          <w:szCs w:val="14"/>
          <w:color w:val="auto"/>
        </w:rPr>
        <w:t>The Credit Facility contains covenants, including, but not limited to, restrictions of loan size, industry requirements, average life of loans, geographic and individual portfolio concentrations, minimum portfolio yield and loan payment frequency. Additionally, the Credit Facility requires the maintenance of a minimum equity investment in Funding I and income ratio as well as restrictions on certain payments and issuance of debt. The Credit Facility compliance reporting is prepared on a basis of accounting other than GAAP. As of December 31, 2019, we were in compliance with the covenants relating to the Credit Facility.</w:t>
      </w:r>
    </w:p>
    <w:p>
      <w:pPr>
        <w:spacing w:after="0" w:line="117" w:lineRule="exact"/>
        <w:rPr>
          <w:sz w:val="20"/>
          <w:szCs w:val="20"/>
          <w:color w:val="auto"/>
        </w:rPr>
      </w:pPr>
    </w:p>
    <w:p>
      <w:pPr>
        <w:ind w:right="360" w:firstLine="438"/>
        <w:spacing w:after="0" w:line="253" w:lineRule="auto"/>
        <w:rPr>
          <w:sz w:val="20"/>
          <w:szCs w:val="20"/>
          <w:color w:val="auto"/>
        </w:rPr>
      </w:pPr>
      <w:r>
        <w:rPr>
          <w:rFonts w:ascii="Arial" w:cs="Arial" w:eastAsia="Arial" w:hAnsi="Arial"/>
          <w:sz w:val="14"/>
          <w:szCs w:val="14"/>
          <w:color w:val="auto"/>
        </w:rPr>
        <w:t>We own 100% of the equity interest in Funding I and treat the indebtedness of Funding I as our leverage. Our Investment Adviser serves as collateral manager to Funding I under the Credit Facility.</w:t>
      </w: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149465"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8" w:name="page29"/>
    <w:bookmarkEnd w:id="28"/>
    <w:p>
      <w:pPr>
        <w:jc w:val="center"/>
        <w:ind w:right="-19"/>
        <w:spacing w:after="0"/>
        <w:rPr>
          <w:sz w:val="20"/>
          <w:szCs w:val="20"/>
          <w:color w:val="auto"/>
        </w:rPr>
      </w:pPr>
      <w:r>
        <w:rPr>
          <w:rFonts w:ascii="Arial" w:cs="Arial" w:eastAsia="Arial" w:hAnsi="Arial"/>
          <w:sz w:val="14"/>
          <w:szCs w:val="14"/>
          <w:b w:val="1"/>
          <w:bCs w:val="1"/>
          <w:color w:val="auto"/>
        </w:rPr>
        <w:t>PENNANTPARK FLOATING RATE CAPITAL LTD. AND SUBSIDIARIES</w:t>
      </w:r>
    </w:p>
    <w:p>
      <w:pPr>
        <w:jc w:val="center"/>
        <w:ind w:right="-19"/>
        <w:spacing w:after="0" w:line="225" w:lineRule="auto"/>
        <w:rPr>
          <w:sz w:val="20"/>
          <w:szCs w:val="20"/>
          <w:color w:val="auto"/>
        </w:rPr>
      </w:pPr>
      <w:r>
        <w:rPr>
          <w:rFonts w:ascii="Arial" w:cs="Arial" w:eastAsia="Arial" w:hAnsi="Arial"/>
          <w:sz w:val="14"/>
          <w:szCs w:val="14"/>
          <w:b w:val="1"/>
          <w:bCs w:val="1"/>
          <w:color w:val="auto"/>
        </w:rPr>
        <w:t>NOTES TO CONSOLIDATED FINANCIAL STATEMENTS-(Continued)</w:t>
      </w:r>
    </w:p>
    <w:p>
      <w:pPr>
        <w:jc w:val="center"/>
        <w:ind w:right="-19"/>
        <w:spacing w:after="0" w:line="221" w:lineRule="auto"/>
        <w:rPr>
          <w:sz w:val="20"/>
          <w:szCs w:val="20"/>
          <w:color w:val="auto"/>
        </w:rPr>
      </w:pPr>
      <w:r>
        <w:rPr>
          <w:rFonts w:ascii="Arial" w:cs="Arial" w:eastAsia="Arial" w:hAnsi="Arial"/>
          <w:sz w:val="14"/>
          <w:szCs w:val="14"/>
          <w:b w:val="1"/>
          <w:bCs w:val="1"/>
          <w:color w:val="auto"/>
        </w:rPr>
        <w:t>DECEMBER 31, 2019</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(Unaudited)</w:t>
      </w:r>
    </w:p>
    <w:p>
      <w:pPr>
        <w:spacing w:after="0" w:line="273" w:lineRule="exact"/>
        <w:rPr>
          <w:sz w:val="20"/>
          <w:szCs w:val="20"/>
          <w:color w:val="auto"/>
        </w:rPr>
      </w:pPr>
    </w:p>
    <w:p>
      <w:pPr>
        <w:ind w:right="140" w:firstLine="438"/>
        <w:spacing w:after="0" w:line="233" w:lineRule="auto"/>
        <w:rPr>
          <w:sz w:val="20"/>
          <w:szCs w:val="20"/>
          <w:color w:val="auto"/>
        </w:rPr>
      </w:pPr>
      <w:r>
        <w:rPr>
          <w:rFonts w:ascii="Arial" w:cs="Arial" w:eastAsia="Arial" w:hAnsi="Arial"/>
          <w:sz w:val="14"/>
          <w:szCs w:val="14"/>
          <w:color w:val="auto"/>
        </w:rPr>
        <w:t>Our interest in Funding I (other than the management fee) is subordinate in priority of payment to every other obligation of Funding I and is subject to certain payment restrictions set forth in the Credit Facility. We may receive cash distributions on our equity interests in Funding I only after it has made (1) all required cash interest and, if applicable, principal payments to the Lenders, (2) required administrative expenses and (3) claims of other unsecured creditors of Funding I. The Investment Adviser has irrevocably directed that the management fee owed with respect to such services is to be paid to the Company so long as the Investment Adviser remains the collateral manager.</w:t>
      </w:r>
    </w:p>
    <w:p>
      <w:pPr>
        <w:spacing w:after="0" w:line="11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2023 Notes</w:t>
      </w:r>
    </w:p>
    <w:p>
      <w:pPr>
        <w:spacing w:after="0" w:line="136" w:lineRule="exact"/>
        <w:rPr>
          <w:sz w:val="20"/>
          <w:szCs w:val="20"/>
          <w:color w:val="auto"/>
        </w:rPr>
      </w:pPr>
    </w:p>
    <w:p>
      <w:pPr>
        <w:ind w:left="440"/>
        <w:spacing w:after="0"/>
        <w:rPr>
          <w:sz w:val="20"/>
          <w:szCs w:val="20"/>
          <w:color w:val="auto"/>
        </w:rPr>
      </w:pPr>
      <w:r>
        <w:rPr>
          <w:rFonts w:ascii="Arial" w:cs="Arial" w:eastAsia="Arial" w:hAnsi="Arial"/>
          <w:sz w:val="14"/>
          <w:szCs w:val="14"/>
          <w:color w:val="auto"/>
        </w:rPr>
        <w:t>In November 2017, we issued $138.6 million of our 2023 Notes pursuant to a deed of trust between the Company and Mishmeret Trust Company, Ltd., as trustee.</w:t>
      </w:r>
    </w:p>
    <w:p>
      <w:pPr>
        <w:spacing w:after="0" w:line="136" w:lineRule="exact"/>
        <w:rPr>
          <w:sz w:val="20"/>
          <w:szCs w:val="20"/>
          <w:color w:val="auto"/>
        </w:rPr>
      </w:pPr>
    </w:p>
    <w:p>
      <w:pPr>
        <w:jc w:val="both"/>
        <w:ind w:right="260" w:firstLine="438"/>
        <w:spacing w:after="0" w:line="264" w:lineRule="auto"/>
        <w:rPr>
          <w:sz w:val="20"/>
          <w:szCs w:val="20"/>
          <w:color w:val="auto"/>
        </w:rPr>
      </w:pPr>
      <w:r>
        <w:rPr>
          <w:rFonts w:ascii="Arial" w:cs="Arial" w:eastAsia="Arial" w:hAnsi="Arial"/>
          <w:sz w:val="13"/>
          <w:szCs w:val="13"/>
          <w:color w:val="auto"/>
        </w:rPr>
        <w:t>The 2023 Notes pay interest at a rate of 3.8% per year. Interest on the 2023 Notes is payable semi-annually in arrears on June 15 and December 15 of each year, commencing June 15, 2018. The principal on the 2023 Notes is payable in four annual installments as follows: 15% of the original principal amount on December 15, 2020, 15% of the original principal amount on December 15, 2021, 15% of the original principal amount on December 15, 2022 and 55% of the original principal amount on December 15, 2023.</w:t>
      </w:r>
    </w:p>
    <w:p>
      <w:pPr>
        <w:spacing w:after="0" w:line="101" w:lineRule="exact"/>
        <w:rPr>
          <w:sz w:val="20"/>
          <w:szCs w:val="20"/>
          <w:color w:val="auto"/>
        </w:rPr>
      </w:pPr>
    </w:p>
    <w:p>
      <w:pPr>
        <w:ind w:right="120" w:firstLine="438"/>
        <w:spacing w:after="0" w:line="233" w:lineRule="auto"/>
        <w:rPr>
          <w:sz w:val="20"/>
          <w:szCs w:val="20"/>
          <w:color w:val="auto"/>
        </w:rPr>
      </w:pPr>
      <w:r>
        <w:rPr>
          <w:rFonts w:ascii="Arial" w:cs="Arial" w:eastAsia="Arial" w:hAnsi="Arial"/>
          <w:sz w:val="14"/>
          <w:szCs w:val="14"/>
          <w:color w:val="auto"/>
        </w:rPr>
        <w:t>The 2023 Notes are general, unsecured obligations, rank equal in right of payment with all of our existing and future senior unsecured indebtedness and are generally redeemable at our option. The deed of trust governing the 2023 Notes includes certain customary covenants, including minimum equity requirements, and events of default. Please refer to the deed of trust filed as Exhibit (d)(8) to our post-effective amendment filed on December 13, 2017 for further information. The 2023 Notes are rated ilA+ by S&amp;P Global Ratings Maalot Ltd. and are listed on the TASE. In connection with this offering, we have dual listed our common stock on the TASE.</w:t>
      </w:r>
    </w:p>
    <w:p>
      <w:pPr>
        <w:spacing w:after="0" w:line="117" w:lineRule="exact"/>
        <w:rPr>
          <w:sz w:val="20"/>
          <w:szCs w:val="20"/>
          <w:color w:val="auto"/>
        </w:rPr>
      </w:pPr>
    </w:p>
    <w:p>
      <w:pPr>
        <w:ind w:right="240" w:firstLine="438"/>
        <w:spacing w:after="0" w:line="253" w:lineRule="auto"/>
        <w:rPr>
          <w:sz w:val="20"/>
          <w:szCs w:val="20"/>
          <w:color w:val="auto"/>
        </w:rPr>
      </w:pPr>
      <w:r>
        <w:rPr>
          <w:rFonts w:ascii="Arial" w:cs="Arial" w:eastAsia="Arial" w:hAnsi="Arial"/>
          <w:sz w:val="14"/>
          <w:szCs w:val="14"/>
          <w:color w:val="auto"/>
        </w:rPr>
        <w:t>The 2023 Notes have not been and will not be registered under the Securities Act of 1933, as amended, or the Securities Act, and may not be offered or sold in the United States absent registration under the Securities Act or in transactions exempt from, or not subject to, such registration requirements.</w:t>
      </w:r>
    </w:p>
    <w:p>
      <w:pPr>
        <w:spacing w:after="0" w:line="10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2031 Asset-Backed Debt</w:t>
      </w:r>
    </w:p>
    <w:p>
      <w:pPr>
        <w:spacing w:after="0" w:line="136" w:lineRule="exact"/>
        <w:rPr>
          <w:sz w:val="20"/>
          <w:szCs w:val="20"/>
          <w:color w:val="auto"/>
        </w:rPr>
      </w:pPr>
    </w:p>
    <w:p>
      <w:pPr>
        <w:ind w:right="100" w:firstLine="438"/>
        <w:spacing w:after="0" w:line="152" w:lineRule="exact"/>
        <w:rPr>
          <w:sz w:val="20"/>
          <w:szCs w:val="20"/>
          <w:color w:val="auto"/>
        </w:rPr>
      </w:pPr>
      <w:r>
        <w:rPr>
          <w:rFonts w:ascii="Arial" w:cs="Arial" w:eastAsia="Arial" w:hAnsi="Arial"/>
          <w:sz w:val="13"/>
          <w:szCs w:val="13"/>
          <w:color w:val="auto"/>
        </w:rPr>
        <w:t>In September 2019, the Company completed the 301.4 million term debt securitization. Term debt securitizations, also known as CLOs, are a form of secured financing incurred by the Company, which is consolidated by the Company and subject to the Company’s asset coverage requirements. The 2031 Asset-Backed Debt was issued by the Securitization Issuer. The 2031 Asset-Backed Debt is secured by the middle market loans, participation interests in middle market loans and other assets of the Securitization Issuer. The Debt Securitization was executed through (A) a private placement of: (i) $78.5 million Class A-1 Senior Secured Floating Rate Loans maturing 2031, which bear interest at the three-month LIBOR plus 1.80%, (ii) $15.0 million Class A-2 Senior Secured Fixed Rate Notes due 2031, which bear interest at 3.66%, (iii) $14.0 million Class B-1 Senior Secured Floating Rate Notes due 2031, which bear interest at the three-month LIBOR plus 2.90%, (iv) $16.0 million Class B-2 Senior Secured Fixed Rate Notes due 2031, which bear interest at 4.266%, (v) $19.0 million Class C</w:t>
      </w:r>
      <w:r>
        <w:rPr>
          <w:rFonts w:ascii="MS PGothic" w:cs="MS PGothic" w:eastAsia="MS PGothic" w:hAnsi="MS PGothic"/>
          <w:sz w:val="13"/>
          <w:szCs w:val="13"/>
          <w:color w:val="auto"/>
        </w:rPr>
        <w:t>‑</w:t>
      </w:r>
      <w:r>
        <w:rPr>
          <w:rFonts w:ascii="Arial" w:cs="Arial" w:eastAsia="Arial" w:hAnsi="Arial"/>
          <w:sz w:val="13"/>
          <w:szCs w:val="13"/>
          <w:color w:val="auto"/>
        </w:rPr>
        <w:t>1 Secured Deferrable Floating Rate Notes due 2031, which bear interest at the three-month LIBOR plus 4.00%, (vi) $8.0 million Class C-2 Secured Deferrable Fixed Rate Notes due 2031, which bear interest at 5.379%, and (vii) $18.0 million Class D Secured Deferrable Floating Rate Notes due 2031, which bear interest at the three-month LIBOR plus 4.75% and (B) the borrowing of $77.5 million Class A</w:t>
      </w:r>
      <w:r>
        <w:rPr>
          <w:rFonts w:ascii="MS PGothic" w:cs="MS PGothic" w:eastAsia="MS PGothic" w:hAnsi="MS PGothic"/>
          <w:sz w:val="13"/>
          <w:szCs w:val="13"/>
          <w:color w:val="auto"/>
        </w:rPr>
        <w:t>‑</w:t>
      </w:r>
      <w:r>
        <w:rPr>
          <w:rFonts w:ascii="Arial" w:cs="Arial" w:eastAsia="Arial" w:hAnsi="Arial"/>
          <w:sz w:val="13"/>
          <w:szCs w:val="13"/>
          <w:color w:val="auto"/>
        </w:rPr>
        <w:t>1 Senior Secured Floating Rate Notes due 2031, which bear interest at the three-month LIBOR plus 1.80%, under a credit agreement by and among the Securitization Issuers, as borrowers, various financial institutions, as lenders, and U.S. Bank National Association, as collateral agent and as loan agent. The annualized interest on the 2031 Asset-Backed Debt will be paid, to the extent of funds available. The reinvestment period of the Debt Securitization ends on October 15, 2023 and the 2031 Asset-Backed Debt is scheduled to mature on October 15, 2031.</w:t>
      </w:r>
    </w:p>
    <w:p>
      <w:pPr>
        <w:spacing w:after="0" w:line="117" w:lineRule="exact"/>
        <w:rPr>
          <w:sz w:val="20"/>
          <w:szCs w:val="20"/>
          <w:color w:val="auto"/>
        </w:rPr>
      </w:pPr>
    </w:p>
    <w:p>
      <w:pPr>
        <w:ind w:firstLine="438"/>
        <w:spacing w:after="0" w:line="233" w:lineRule="auto"/>
        <w:rPr>
          <w:sz w:val="20"/>
          <w:szCs w:val="20"/>
          <w:color w:val="auto"/>
        </w:rPr>
      </w:pPr>
      <w:r>
        <w:rPr>
          <w:rFonts w:ascii="Arial" w:cs="Arial" w:eastAsia="Arial" w:hAnsi="Arial"/>
          <w:sz w:val="14"/>
          <w:szCs w:val="14"/>
          <w:color w:val="auto"/>
        </w:rPr>
        <w:t>On the closing date of the Debt Securitization, in consideration of our transfer to the Securitization Issuer of the initial closing date loan portfolio, which included loans distributed to us by certain of our wholly owned subsidiaries, the Securitization Issuer transferred to us 100% of the Preferred Shares of the Securitization Issuer, 100% of the Class D Secured Deferrable Floating Rate Notes issued by the Securitization Issuer, and a portion of the net cash proceeds received from the sale of the 2031 Asset-Backed Debt. The Preferred Shares of the Securitization Issuer do not bear interest and had a stated value of approximately $55.4 million at the closing of the Debt Securitization.</w:t>
      </w:r>
    </w:p>
    <w:p>
      <w:pPr>
        <w:spacing w:after="0" w:line="117" w:lineRule="exact"/>
        <w:rPr>
          <w:sz w:val="20"/>
          <w:szCs w:val="20"/>
          <w:color w:val="auto"/>
        </w:rPr>
      </w:pPr>
    </w:p>
    <w:p>
      <w:pPr>
        <w:ind w:right="100" w:firstLine="438"/>
        <w:spacing w:after="0" w:line="233" w:lineRule="auto"/>
        <w:rPr>
          <w:sz w:val="20"/>
          <w:szCs w:val="20"/>
          <w:color w:val="auto"/>
        </w:rPr>
      </w:pPr>
      <w:r>
        <w:rPr>
          <w:rFonts w:ascii="Arial" w:cs="Arial" w:eastAsia="Arial" w:hAnsi="Arial"/>
          <w:sz w:val="14"/>
          <w:szCs w:val="14"/>
          <w:color w:val="auto"/>
        </w:rPr>
        <w:t>The 2031 Asset-Backed Debt is included in the Consolidated Statement of Assets and Liabilities as debt of the Company and the Class D Secured Deferrable Floating Rate Notes and the Preferred Shares of the Securitization Issuer were eliminated in consolidation. As of December 31, 2019 and September 30, 2019, the Company had $228.0 million of 2031 Asset-Backed Debt outstanding, respectively, with a weighted average interest rate of 4.1% and 4.2%. As of December 31, 2019 and September 30, 2019, the unamortized fees on the 2031 Asset-Backed Debt were $3.6 million and $3.7, respectively.</w:t>
      </w:r>
    </w:p>
    <w:p>
      <w:pPr>
        <w:spacing w:after="0" w:line="117" w:lineRule="exact"/>
        <w:rPr>
          <w:sz w:val="20"/>
          <w:szCs w:val="20"/>
          <w:color w:val="auto"/>
        </w:rPr>
      </w:pPr>
    </w:p>
    <w:p>
      <w:pPr>
        <w:ind w:right="400" w:firstLine="438"/>
        <w:spacing w:after="0" w:line="253" w:lineRule="auto"/>
        <w:rPr>
          <w:sz w:val="20"/>
          <w:szCs w:val="20"/>
          <w:color w:val="auto"/>
        </w:rPr>
      </w:pPr>
      <w:r>
        <w:rPr>
          <w:rFonts w:ascii="Arial" w:cs="Arial" w:eastAsia="Arial" w:hAnsi="Arial"/>
          <w:sz w:val="14"/>
          <w:szCs w:val="14"/>
          <w:color w:val="auto"/>
        </w:rPr>
        <w:t>Our Investment Adviser serves as collateral manager to the Securitization Issuer pursuant to the Collateral Management Agreement. For so long as our Investment Adviser serves as collateral manager, it will elect to irrevocably waive any collateral management fee to which it may be entitled under the Collateral Management Agreement.</w:t>
      </w:r>
    </w:p>
    <w:p>
      <w:pPr>
        <w:spacing w:after="0" w:line="10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11. COMMITMENTS AND CONTINGENCIES</w:t>
      </w:r>
    </w:p>
    <w:p>
      <w:pPr>
        <w:spacing w:after="0" w:line="140" w:lineRule="exact"/>
        <w:rPr>
          <w:sz w:val="20"/>
          <w:szCs w:val="20"/>
          <w:color w:val="auto"/>
        </w:rPr>
      </w:pPr>
    </w:p>
    <w:p>
      <w:pPr>
        <w:ind w:left="440"/>
        <w:spacing w:after="0"/>
        <w:rPr>
          <w:sz w:val="20"/>
          <w:szCs w:val="20"/>
          <w:color w:val="auto"/>
        </w:rPr>
      </w:pPr>
      <w:r>
        <w:rPr>
          <w:rFonts w:ascii="Arial" w:cs="Arial" w:eastAsia="Arial" w:hAnsi="Arial"/>
          <w:sz w:val="13"/>
          <w:szCs w:val="13"/>
          <w:color w:val="auto"/>
        </w:rPr>
        <w:t>From time to time, we, the Investment Adviser or the Administrator may be a party to legal proceedings, including proceedings relating to the enforcement of our rights under contracts</w:t>
      </w:r>
    </w:p>
    <w:p>
      <w:pPr>
        <w:spacing w:after="0" w:line="10" w:lineRule="exact"/>
        <w:rPr>
          <w:sz w:val="20"/>
          <w:szCs w:val="20"/>
          <w:color w:val="auto"/>
        </w:rPr>
      </w:pPr>
    </w:p>
    <w:p>
      <w:pPr>
        <w:spacing w:after="0"/>
        <w:rPr>
          <w:sz w:val="20"/>
          <w:szCs w:val="20"/>
          <w:color w:val="auto"/>
        </w:rPr>
      </w:pPr>
      <w:r>
        <w:rPr>
          <w:rFonts w:ascii="Arial" w:cs="Arial" w:eastAsia="Arial" w:hAnsi="Arial"/>
          <w:sz w:val="13"/>
          <w:szCs w:val="13"/>
          <w:color w:val="auto"/>
        </w:rPr>
        <w:t>with our portfolio companies. While the outcome of these legal proceedings cannot be predicted with certainty, we do not expect that these proceedings will have a material effect upon our</w:t>
      </w:r>
    </w:p>
    <w:p>
      <w:pPr>
        <w:spacing w:after="0" w:line="221" w:lineRule="auto"/>
        <w:rPr>
          <w:sz w:val="20"/>
          <w:szCs w:val="20"/>
          <w:color w:val="auto"/>
        </w:rPr>
      </w:pPr>
      <w:r>
        <w:rPr>
          <w:rFonts w:ascii="Arial" w:cs="Arial" w:eastAsia="Arial" w:hAnsi="Arial"/>
          <w:sz w:val="14"/>
          <w:szCs w:val="14"/>
          <w:color w:val="auto"/>
        </w:rPr>
        <w:t>financial condition or results of operations. Unfunded debt and equity investments, if any, are disclosed in the Consolidated Schedules of Investments. As of December 31, 2019 and</w:t>
      </w:r>
    </w:p>
    <w:p>
      <w:pPr>
        <w:spacing w:after="0"/>
        <w:rPr>
          <w:sz w:val="20"/>
          <w:szCs w:val="20"/>
          <w:color w:val="auto"/>
        </w:rPr>
      </w:pPr>
      <w:r>
        <w:rPr>
          <w:rFonts w:ascii="Arial" w:cs="Arial" w:eastAsia="Arial" w:hAnsi="Arial"/>
          <w:sz w:val="13"/>
          <w:szCs w:val="13"/>
          <w:color w:val="auto"/>
        </w:rPr>
        <w:t>September 30, 2019, we had $85.1 million and $101.1 million, respectively, in commitments to fund investments. Additionally, as described in Note 4, the Company had unfunded commitments</w:t>
      </w:r>
    </w:p>
    <w:p>
      <w:pPr>
        <w:spacing w:after="0"/>
        <w:rPr>
          <w:sz w:val="20"/>
          <w:szCs w:val="20"/>
          <w:color w:val="auto"/>
        </w:rPr>
      </w:pPr>
      <w:r>
        <w:rPr>
          <w:rFonts w:ascii="Arial" w:cs="Arial" w:eastAsia="Arial" w:hAnsi="Arial"/>
          <w:sz w:val="13"/>
          <w:szCs w:val="13"/>
          <w:color w:val="auto"/>
        </w:rPr>
        <w:t>of up to $26.7 million and $9.2 million to PSSL as of December 31, 2019 and September 30, 2019, respectively, that may be contributed primarily for the purpose of funding new investments</w:t>
      </w:r>
    </w:p>
    <w:p>
      <w:pPr>
        <w:spacing w:after="0"/>
        <w:rPr>
          <w:sz w:val="20"/>
          <w:szCs w:val="20"/>
          <w:color w:val="auto"/>
        </w:rPr>
      </w:pPr>
      <w:r>
        <w:rPr>
          <w:rFonts w:ascii="Arial" w:cs="Arial" w:eastAsia="Arial" w:hAnsi="Arial"/>
          <w:sz w:val="14"/>
          <w:szCs w:val="14"/>
          <w:color w:val="auto"/>
        </w:rPr>
        <w:t>approved by the PSSL board of directors or investment committee.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149465"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9" w:name="page30"/>
    <w:bookmarkEnd w:id="29"/>
    <w:p>
      <w:pPr>
        <w:ind w:left="3820"/>
        <w:spacing w:after="0"/>
        <w:rPr>
          <w:sz w:val="20"/>
          <w:szCs w:val="20"/>
          <w:color w:val="auto"/>
        </w:rPr>
      </w:pPr>
      <w:r>
        <w:rPr>
          <w:rFonts w:ascii="Arial" w:cs="Arial" w:eastAsia="Arial" w:hAnsi="Arial"/>
          <w:sz w:val="14"/>
          <w:szCs w:val="14"/>
          <w:b w:val="1"/>
          <w:bCs w:val="1"/>
          <w:color w:val="auto"/>
        </w:rPr>
        <w:t>Report of Independent Registered Public Accounting Firm</w:t>
      </w:r>
    </w:p>
    <w:p>
      <w:pPr>
        <w:spacing w:after="0" w:line="140" w:lineRule="exact"/>
        <w:rPr>
          <w:sz w:val="20"/>
          <w:szCs w:val="20"/>
          <w:color w:val="auto"/>
        </w:rPr>
      </w:pPr>
    </w:p>
    <w:p>
      <w:pPr>
        <w:spacing w:after="0"/>
        <w:rPr>
          <w:sz w:val="20"/>
          <w:szCs w:val="20"/>
          <w:color w:val="auto"/>
        </w:rPr>
      </w:pPr>
      <w:r>
        <w:rPr>
          <w:rFonts w:ascii="Arial" w:cs="Arial" w:eastAsia="Arial" w:hAnsi="Arial"/>
          <w:sz w:val="14"/>
          <w:szCs w:val="14"/>
          <w:color w:val="auto"/>
        </w:rPr>
        <w:t>To the Stockholders and Board of Directors of PennantPark Floating Rate Capital Ltd. and its Subsidiaries</w:t>
      </w:r>
    </w:p>
    <w:p>
      <w:pPr>
        <w:spacing w:after="0" w:line="13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Results of Review of Interim Financial Statements</w:t>
      </w:r>
    </w:p>
    <w:p>
      <w:pPr>
        <w:spacing w:after="0" w:line="140" w:lineRule="exact"/>
        <w:rPr>
          <w:sz w:val="20"/>
          <w:szCs w:val="20"/>
          <w:color w:val="auto"/>
        </w:rPr>
      </w:pPr>
    </w:p>
    <w:p>
      <w:pPr>
        <w:ind w:right="220" w:firstLine="438"/>
        <w:spacing w:after="0" w:line="231" w:lineRule="auto"/>
        <w:rPr>
          <w:sz w:val="20"/>
          <w:szCs w:val="20"/>
          <w:color w:val="auto"/>
        </w:rPr>
      </w:pPr>
      <w:r>
        <w:rPr>
          <w:rFonts w:ascii="Arial" w:cs="Arial" w:eastAsia="Arial" w:hAnsi="Arial"/>
          <w:sz w:val="14"/>
          <w:szCs w:val="14"/>
          <w:color w:val="auto"/>
        </w:rPr>
        <w:t>We have reviewed the accompanying consolidated statement of assets and liabilities of PennantPark Floating Rate Capital Ltd. and its Subsidiaries (collectively referred to as the “Company”), including the consolidated schedule of investments, as of December 31, 2019, and the related consolidated statements of operations, changes in net assets, and cash flows for the three-month periods ended December 31, 2019 and 2018, and the related notes to the consolidated financial statements (collectively, the interim financial information or financial statements). Based on our reviews, we are not aware of any material modifications that should be made to the accompanying interim financial information for them to be in conformity with accounting principles generally accepted in the United States of America.</w:t>
      </w:r>
    </w:p>
    <w:p>
      <w:pPr>
        <w:spacing w:after="0" w:line="116" w:lineRule="exact"/>
        <w:rPr>
          <w:sz w:val="20"/>
          <w:szCs w:val="20"/>
          <w:color w:val="auto"/>
        </w:rPr>
      </w:pPr>
    </w:p>
    <w:p>
      <w:pPr>
        <w:ind w:right="200" w:firstLine="438"/>
        <w:spacing w:after="0" w:line="231" w:lineRule="auto"/>
        <w:rPr>
          <w:sz w:val="20"/>
          <w:szCs w:val="20"/>
          <w:color w:val="auto"/>
        </w:rPr>
      </w:pPr>
      <w:r>
        <w:rPr>
          <w:rFonts w:ascii="Arial" w:cs="Arial" w:eastAsia="Arial" w:hAnsi="Arial"/>
          <w:sz w:val="14"/>
          <w:szCs w:val="14"/>
          <w:color w:val="auto"/>
        </w:rPr>
        <w:t>We have previously audited, in accordance with the standards of the Public Company Accounting Oversight Board (United States) (PCAOB), the consolidated statement of assets and liabilities of the Company, including the consolidated schedule of investments, as of September 30, 2019, and the related consolidated statements of operations, changes in net assets, and cash flows for the year then ended (not presented herein); and in our report dated November 20, 2019, we expressed an unqualified opinion on those financial statements. In our opinion, the information set forth in the accompanying consolidated statement of assets and liabilities as of September 30, 2019, is fairly stated, in all material respects, in relation to the balance sheet from which it has been derived.</w:t>
      </w:r>
    </w:p>
    <w:p>
      <w:pPr>
        <w:spacing w:after="0" w:line="11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Basis for Review Results</w:t>
      </w:r>
    </w:p>
    <w:p>
      <w:pPr>
        <w:spacing w:after="0" w:line="140" w:lineRule="exact"/>
        <w:rPr>
          <w:sz w:val="20"/>
          <w:szCs w:val="20"/>
          <w:color w:val="auto"/>
        </w:rPr>
      </w:pPr>
    </w:p>
    <w:p>
      <w:pPr>
        <w:ind w:firstLine="438"/>
        <w:spacing w:after="0" w:line="231" w:lineRule="auto"/>
        <w:rPr>
          <w:sz w:val="20"/>
          <w:szCs w:val="20"/>
          <w:color w:val="auto"/>
        </w:rPr>
      </w:pPr>
      <w:r>
        <w:rPr>
          <w:rFonts w:ascii="Arial" w:cs="Arial" w:eastAsia="Arial" w:hAnsi="Arial"/>
          <w:sz w:val="14"/>
          <w:szCs w:val="14"/>
          <w:color w:val="auto"/>
        </w:rPr>
        <w:t>These interim financial statements are the responsibility of the Company’s management. We conducted our reviews in accordance with the standards of the PCAOB. A review of interim financial information consists principally of applying analytical procedures and making inquiries of persons responsible for financial and accounting matters. It is substantially less in scope than an audit conducted in accordance with the standards of the PCAOB, the objective of which is the expression of an opinion regarding the financial statements taken as a whole. Accordingly, we do not express such an opinion. We are a public accounting firm registered with the PCAOB and are required to be independent with respect to the Company in accordance with U.S. federal securities laws and the applicable rules and regulations of the Securities and Exchange Commission and the PCAOB.</w:t>
      </w:r>
    </w:p>
    <w:p>
      <w:pPr>
        <w:spacing w:after="0" w:line="116" w:lineRule="exact"/>
        <w:rPr>
          <w:sz w:val="20"/>
          <w:szCs w:val="20"/>
          <w:color w:val="auto"/>
        </w:rPr>
      </w:pPr>
    </w:p>
    <w:p>
      <w:pPr>
        <w:spacing w:after="0"/>
        <w:rPr>
          <w:sz w:val="20"/>
          <w:szCs w:val="20"/>
          <w:color w:val="auto"/>
        </w:rPr>
      </w:pPr>
      <w:r>
        <w:rPr>
          <w:rFonts w:ascii="Arial" w:cs="Arial" w:eastAsia="Arial" w:hAnsi="Arial"/>
          <w:sz w:val="14"/>
          <w:szCs w:val="14"/>
          <w:color w:val="auto"/>
        </w:rPr>
        <w:t>/s/ RSM US LLP</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color w:val="auto"/>
        </w:rPr>
        <w:t>New York, New York</w:t>
      </w:r>
    </w:p>
    <w:p>
      <w:pPr>
        <w:spacing w:after="0"/>
        <w:rPr>
          <w:sz w:val="20"/>
          <w:szCs w:val="20"/>
          <w:color w:val="auto"/>
        </w:rPr>
      </w:pPr>
      <w:r>
        <w:rPr>
          <w:rFonts w:ascii="Arial" w:cs="Arial" w:eastAsia="Arial" w:hAnsi="Arial"/>
          <w:sz w:val="14"/>
          <w:szCs w:val="14"/>
          <w:color w:val="auto"/>
        </w:rPr>
        <w:t>February 5, 2020</w:t>
      </w:r>
    </w:p>
    <w:p>
      <w:pPr>
        <w:spacing w:after="0" w:line="327"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265" w:right="359" w:bottom="1440" w:gutter="0" w:footer="0" w:header="0"/>
        </w:sectPr>
      </w:pPr>
    </w:p>
    <w:bookmarkStart w:id="30" w:name="page31"/>
    <w:bookmarkEnd w:id="30"/>
    <w:p>
      <w:pPr>
        <w:spacing w:after="0"/>
        <w:tabs>
          <w:tab w:leader="none" w:pos="740" w:val="left"/>
        </w:tabs>
        <w:rPr>
          <w:sz w:val="20"/>
          <w:szCs w:val="20"/>
          <w:color w:val="auto"/>
        </w:rPr>
      </w:pPr>
      <w:r>
        <w:rPr>
          <w:rFonts w:ascii="Arial" w:cs="Arial" w:eastAsia="Arial" w:hAnsi="Arial"/>
          <w:sz w:val="14"/>
          <w:szCs w:val="14"/>
          <w:b w:val="1"/>
          <w:bCs w:val="1"/>
          <w:color w:val="auto"/>
        </w:rPr>
        <w:t>Item 2.</w:t>
      </w:r>
      <w:r>
        <w:rPr>
          <w:sz w:val="20"/>
          <w:szCs w:val="20"/>
          <w:color w:val="auto"/>
        </w:rPr>
        <w:tab/>
      </w:r>
      <w:r>
        <w:rPr>
          <w:rFonts w:ascii="Arial" w:cs="Arial" w:eastAsia="Arial" w:hAnsi="Arial"/>
          <w:sz w:val="14"/>
          <w:szCs w:val="14"/>
          <w:b w:val="1"/>
          <w:bCs w:val="1"/>
          <w:color w:val="auto"/>
        </w:rPr>
        <w:t>MANAGEMENT’S DISCUSSION AND ANALYSIS OF FINANCIAL CONDITION AND RESULTS OF OPERATIONS</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FORWARD-LOOKING STATEMENTS</w:t>
      </w:r>
    </w:p>
    <w:p>
      <w:pPr>
        <w:spacing w:after="0" w:line="140" w:lineRule="exact"/>
        <w:rPr>
          <w:sz w:val="20"/>
          <w:szCs w:val="20"/>
          <w:color w:val="auto"/>
        </w:rPr>
      </w:pPr>
    </w:p>
    <w:p>
      <w:pPr>
        <w:ind w:right="80" w:firstLine="438"/>
        <w:spacing w:after="0" w:line="233" w:lineRule="auto"/>
        <w:rPr>
          <w:sz w:val="20"/>
          <w:szCs w:val="20"/>
          <w:color w:val="auto"/>
        </w:rPr>
      </w:pPr>
      <w:r>
        <w:rPr>
          <w:rFonts w:ascii="Arial" w:cs="Arial" w:eastAsia="Arial" w:hAnsi="Arial"/>
          <w:sz w:val="14"/>
          <w:szCs w:val="14"/>
          <w:color w:val="auto"/>
        </w:rPr>
        <w:t>This Report, including Management’s Discussion and Analysis of Financial Condition and Results of Operations, contains statements that constitute forward-looking statements, which relate to us and our consolidated subsidiaries regarding future events or our future performance or future financial condition. These forward-looking statements are not historical facts, but rather are based on current expectations, estimates and projections about our Company, our industry, our beliefs and our assumptions. The forward-looking statements contained in this Report involve risks and uncertainties, including statements as to:</w:t>
      </w:r>
    </w:p>
    <w:p>
      <w:pPr>
        <w:spacing w:after="0" w:line="117" w:lineRule="exact"/>
        <w:rPr>
          <w:sz w:val="20"/>
          <w:szCs w:val="20"/>
          <w:color w:val="auto"/>
        </w:rPr>
      </w:pPr>
    </w:p>
    <w:p>
      <w:pPr>
        <w:ind w:left="800" w:hanging="360"/>
        <w:spacing w:after="0"/>
        <w:tabs>
          <w:tab w:leader="none" w:pos="800" w:val="left"/>
        </w:tabs>
        <w:numPr>
          <w:ilvl w:val="0"/>
          <w:numId w:val="17"/>
        </w:numPr>
        <w:rPr>
          <w:rFonts w:ascii="Arial" w:cs="Arial" w:eastAsia="Arial" w:hAnsi="Arial"/>
          <w:sz w:val="14"/>
          <w:szCs w:val="14"/>
          <w:color w:val="auto"/>
        </w:rPr>
      </w:pPr>
      <w:r>
        <w:rPr>
          <w:rFonts w:ascii="Arial" w:cs="Arial" w:eastAsia="Arial" w:hAnsi="Arial"/>
          <w:sz w:val="14"/>
          <w:szCs w:val="14"/>
          <w:color w:val="auto"/>
        </w:rPr>
        <w:t>our future operating results;</w:t>
      </w:r>
    </w:p>
    <w:p>
      <w:pPr>
        <w:spacing w:after="0" w:line="136" w:lineRule="exact"/>
        <w:rPr>
          <w:rFonts w:ascii="Arial" w:cs="Arial" w:eastAsia="Arial" w:hAnsi="Arial"/>
          <w:sz w:val="14"/>
          <w:szCs w:val="14"/>
          <w:color w:val="auto"/>
        </w:rPr>
      </w:pPr>
    </w:p>
    <w:p>
      <w:pPr>
        <w:ind w:left="800" w:hanging="360"/>
        <w:spacing w:after="0"/>
        <w:tabs>
          <w:tab w:leader="none" w:pos="800" w:val="left"/>
        </w:tabs>
        <w:numPr>
          <w:ilvl w:val="0"/>
          <w:numId w:val="17"/>
        </w:numPr>
        <w:rPr>
          <w:rFonts w:ascii="Arial" w:cs="Arial" w:eastAsia="Arial" w:hAnsi="Arial"/>
          <w:sz w:val="14"/>
          <w:szCs w:val="14"/>
          <w:color w:val="auto"/>
        </w:rPr>
      </w:pPr>
      <w:r>
        <w:rPr>
          <w:rFonts w:ascii="Arial" w:cs="Arial" w:eastAsia="Arial" w:hAnsi="Arial"/>
          <w:sz w:val="14"/>
          <w:szCs w:val="14"/>
          <w:color w:val="auto"/>
        </w:rPr>
        <w:t>our business prospects and the prospects of our prospective portfolio companies;</w:t>
      </w:r>
    </w:p>
    <w:p>
      <w:pPr>
        <w:spacing w:after="0" w:line="136" w:lineRule="exact"/>
        <w:rPr>
          <w:rFonts w:ascii="Arial" w:cs="Arial" w:eastAsia="Arial" w:hAnsi="Arial"/>
          <w:sz w:val="14"/>
          <w:szCs w:val="14"/>
          <w:color w:val="auto"/>
        </w:rPr>
      </w:pPr>
    </w:p>
    <w:p>
      <w:pPr>
        <w:ind w:left="800" w:hanging="360"/>
        <w:spacing w:after="0"/>
        <w:tabs>
          <w:tab w:leader="none" w:pos="800" w:val="left"/>
        </w:tabs>
        <w:numPr>
          <w:ilvl w:val="0"/>
          <w:numId w:val="17"/>
        </w:numPr>
        <w:rPr>
          <w:rFonts w:ascii="Arial" w:cs="Arial" w:eastAsia="Arial" w:hAnsi="Arial"/>
          <w:sz w:val="14"/>
          <w:szCs w:val="14"/>
          <w:color w:val="auto"/>
        </w:rPr>
      </w:pPr>
      <w:r>
        <w:rPr>
          <w:rFonts w:ascii="Arial" w:cs="Arial" w:eastAsia="Arial" w:hAnsi="Arial"/>
          <w:sz w:val="14"/>
          <w:szCs w:val="14"/>
          <w:color w:val="auto"/>
        </w:rPr>
        <w:t>the dependence of our future success on the general economy and its impact on the industries in which we invest;</w:t>
      </w:r>
    </w:p>
    <w:p>
      <w:pPr>
        <w:spacing w:after="0" w:line="136" w:lineRule="exact"/>
        <w:rPr>
          <w:rFonts w:ascii="Arial" w:cs="Arial" w:eastAsia="Arial" w:hAnsi="Arial"/>
          <w:sz w:val="14"/>
          <w:szCs w:val="14"/>
          <w:color w:val="auto"/>
        </w:rPr>
      </w:pPr>
    </w:p>
    <w:p>
      <w:pPr>
        <w:ind w:left="800" w:hanging="360"/>
        <w:spacing w:after="0"/>
        <w:tabs>
          <w:tab w:leader="none" w:pos="800" w:val="left"/>
        </w:tabs>
        <w:numPr>
          <w:ilvl w:val="0"/>
          <w:numId w:val="17"/>
        </w:numPr>
        <w:rPr>
          <w:rFonts w:ascii="Arial" w:cs="Arial" w:eastAsia="Arial" w:hAnsi="Arial"/>
          <w:sz w:val="14"/>
          <w:szCs w:val="14"/>
          <w:color w:val="auto"/>
        </w:rPr>
      </w:pPr>
      <w:r>
        <w:rPr>
          <w:rFonts w:ascii="Arial" w:cs="Arial" w:eastAsia="Arial" w:hAnsi="Arial"/>
          <w:sz w:val="14"/>
          <w:szCs w:val="14"/>
          <w:color w:val="auto"/>
        </w:rPr>
        <w:t>the impact of a protracted decline in the liquidity of credit markets on our business;</w:t>
      </w:r>
    </w:p>
    <w:p>
      <w:pPr>
        <w:spacing w:after="0" w:line="136" w:lineRule="exact"/>
        <w:rPr>
          <w:rFonts w:ascii="Arial" w:cs="Arial" w:eastAsia="Arial" w:hAnsi="Arial"/>
          <w:sz w:val="14"/>
          <w:szCs w:val="14"/>
          <w:color w:val="auto"/>
        </w:rPr>
      </w:pPr>
    </w:p>
    <w:p>
      <w:pPr>
        <w:ind w:left="800" w:hanging="360"/>
        <w:spacing w:after="0"/>
        <w:tabs>
          <w:tab w:leader="none" w:pos="800" w:val="left"/>
        </w:tabs>
        <w:numPr>
          <w:ilvl w:val="0"/>
          <w:numId w:val="17"/>
        </w:numPr>
        <w:rPr>
          <w:rFonts w:ascii="Arial" w:cs="Arial" w:eastAsia="Arial" w:hAnsi="Arial"/>
          <w:sz w:val="14"/>
          <w:szCs w:val="14"/>
          <w:color w:val="auto"/>
        </w:rPr>
      </w:pPr>
      <w:r>
        <w:rPr>
          <w:rFonts w:ascii="Arial" w:cs="Arial" w:eastAsia="Arial" w:hAnsi="Arial"/>
          <w:sz w:val="14"/>
          <w:szCs w:val="14"/>
          <w:color w:val="auto"/>
        </w:rPr>
        <w:t>the impact of investments that we expect to make;</w:t>
      </w:r>
    </w:p>
    <w:p>
      <w:pPr>
        <w:spacing w:after="0" w:line="136" w:lineRule="exact"/>
        <w:rPr>
          <w:rFonts w:ascii="Arial" w:cs="Arial" w:eastAsia="Arial" w:hAnsi="Arial"/>
          <w:sz w:val="14"/>
          <w:szCs w:val="14"/>
          <w:color w:val="auto"/>
        </w:rPr>
      </w:pPr>
    </w:p>
    <w:p>
      <w:pPr>
        <w:ind w:left="800" w:hanging="360"/>
        <w:spacing w:after="0"/>
        <w:tabs>
          <w:tab w:leader="none" w:pos="800" w:val="left"/>
        </w:tabs>
        <w:numPr>
          <w:ilvl w:val="0"/>
          <w:numId w:val="17"/>
        </w:numPr>
        <w:rPr>
          <w:rFonts w:ascii="Arial" w:cs="Arial" w:eastAsia="Arial" w:hAnsi="Arial"/>
          <w:sz w:val="14"/>
          <w:szCs w:val="14"/>
          <w:color w:val="auto"/>
        </w:rPr>
      </w:pPr>
      <w:r>
        <w:rPr>
          <w:rFonts w:ascii="Arial" w:cs="Arial" w:eastAsia="Arial" w:hAnsi="Arial"/>
          <w:sz w:val="14"/>
          <w:szCs w:val="14"/>
          <w:color w:val="auto"/>
        </w:rPr>
        <w:t>the impact of fluctuations in interest rates and foreign exchange rates on our business and our portfolio companies;</w:t>
      </w:r>
    </w:p>
    <w:p>
      <w:pPr>
        <w:spacing w:after="0" w:line="136" w:lineRule="exact"/>
        <w:rPr>
          <w:rFonts w:ascii="Arial" w:cs="Arial" w:eastAsia="Arial" w:hAnsi="Arial"/>
          <w:sz w:val="14"/>
          <w:szCs w:val="14"/>
          <w:color w:val="auto"/>
        </w:rPr>
      </w:pPr>
    </w:p>
    <w:p>
      <w:pPr>
        <w:ind w:left="800" w:hanging="360"/>
        <w:spacing w:after="0"/>
        <w:tabs>
          <w:tab w:leader="none" w:pos="800" w:val="left"/>
        </w:tabs>
        <w:numPr>
          <w:ilvl w:val="0"/>
          <w:numId w:val="17"/>
        </w:numPr>
        <w:rPr>
          <w:rFonts w:ascii="Arial" w:cs="Arial" w:eastAsia="Arial" w:hAnsi="Arial"/>
          <w:sz w:val="14"/>
          <w:szCs w:val="14"/>
          <w:color w:val="auto"/>
        </w:rPr>
      </w:pPr>
      <w:r>
        <w:rPr>
          <w:rFonts w:ascii="Arial" w:cs="Arial" w:eastAsia="Arial" w:hAnsi="Arial"/>
          <w:sz w:val="14"/>
          <w:szCs w:val="14"/>
          <w:color w:val="auto"/>
        </w:rPr>
        <w:t>our contractual arrangements and relationships with third parties;</w:t>
      </w:r>
    </w:p>
    <w:p>
      <w:pPr>
        <w:spacing w:after="0" w:line="136" w:lineRule="exact"/>
        <w:rPr>
          <w:rFonts w:ascii="Arial" w:cs="Arial" w:eastAsia="Arial" w:hAnsi="Arial"/>
          <w:sz w:val="14"/>
          <w:szCs w:val="14"/>
          <w:color w:val="auto"/>
        </w:rPr>
      </w:pPr>
    </w:p>
    <w:p>
      <w:pPr>
        <w:ind w:left="800" w:hanging="360"/>
        <w:spacing w:after="0"/>
        <w:tabs>
          <w:tab w:leader="none" w:pos="800" w:val="left"/>
        </w:tabs>
        <w:numPr>
          <w:ilvl w:val="0"/>
          <w:numId w:val="17"/>
        </w:numPr>
        <w:rPr>
          <w:rFonts w:ascii="Arial" w:cs="Arial" w:eastAsia="Arial" w:hAnsi="Arial"/>
          <w:sz w:val="14"/>
          <w:szCs w:val="14"/>
          <w:color w:val="auto"/>
        </w:rPr>
      </w:pPr>
      <w:r>
        <w:rPr>
          <w:rFonts w:ascii="Arial" w:cs="Arial" w:eastAsia="Arial" w:hAnsi="Arial"/>
          <w:sz w:val="14"/>
          <w:szCs w:val="14"/>
          <w:color w:val="auto"/>
        </w:rPr>
        <w:t>the valuation of our investments in portfolio companies, particularly those having no liquid trading market;</w:t>
      </w:r>
    </w:p>
    <w:p>
      <w:pPr>
        <w:spacing w:after="0" w:line="136" w:lineRule="exact"/>
        <w:rPr>
          <w:rFonts w:ascii="Arial" w:cs="Arial" w:eastAsia="Arial" w:hAnsi="Arial"/>
          <w:sz w:val="14"/>
          <w:szCs w:val="14"/>
          <w:color w:val="auto"/>
        </w:rPr>
      </w:pPr>
    </w:p>
    <w:p>
      <w:pPr>
        <w:ind w:left="800" w:hanging="360"/>
        <w:spacing w:after="0"/>
        <w:tabs>
          <w:tab w:leader="none" w:pos="800" w:val="left"/>
        </w:tabs>
        <w:numPr>
          <w:ilvl w:val="0"/>
          <w:numId w:val="17"/>
        </w:numPr>
        <w:rPr>
          <w:rFonts w:ascii="Arial" w:cs="Arial" w:eastAsia="Arial" w:hAnsi="Arial"/>
          <w:sz w:val="14"/>
          <w:szCs w:val="14"/>
          <w:color w:val="auto"/>
        </w:rPr>
      </w:pPr>
      <w:r>
        <w:rPr>
          <w:rFonts w:ascii="Arial" w:cs="Arial" w:eastAsia="Arial" w:hAnsi="Arial"/>
          <w:sz w:val="14"/>
          <w:szCs w:val="14"/>
          <w:color w:val="auto"/>
        </w:rPr>
        <w:t>the ability of our prospective portfolio companies to achieve their objectives;</w:t>
      </w:r>
    </w:p>
    <w:p>
      <w:pPr>
        <w:spacing w:after="0" w:line="136" w:lineRule="exact"/>
        <w:rPr>
          <w:rFonts w:ascii="Arial" w:cs="Arial" w:eastAsia="Arial" w:hAnsi="Arial"/>
          <w:sz w:val="14"/>
          <w:szCs w:val="14"/>
          <w:color w:val="auto"/>
        </w:rPr>
      </w:pPr>
    </w:p>
    <w:p>
      <w:pPr>
        <w:ind w:left="800" w:hanging="360"/>
        <w:spacing w:after="0"/>
        <w:tabs>
          <w:tab w:leader="none" w:pos="800" w:val="left"/>
        </w:tabs>
        <w:numPr>
          <w:ilvl w:val="0"/>
          <w:numId w:val="17"/>
        </w:numPr>
        <w:rPr>
          <w:rFonts w:ascii="Arial" w:cs="Arial" w:eastAsia="Arial" w:hAnsi="Arial"/>
          <w:sz w:val="14"/>
          <w:szCs w:val="14"/>
          <w:color w:val="auto"/>
        </w:rPr>
      </w:pPr>
      <w:r>
        <w:rPr>
          <w:rFonts w:ascii="Arial" w:cs="Arial" w:eastAsia="Arial" w:hAnsi="Arial"/>
          <w:sz w:val="14"/>
          <w:szCs w:val="14"/>
          <w:color w:val="auto"/>
        </w:rPr>
        <w:t>our expected financings and investments and ability to fund capital commitments to PSSL;</w:t>
      </w:r>
    </w:p>
    <w:p>
      <w:pPr>
        <w:spacing w:after="0" w:line="136" w:lineRule="exact"/>
        <w:rPr>
          <w:rFonts w:ascii="Arial" w:cs="Arial" w:eastAsia="Arial" w:hAnsi="Arial"/>
          <w:sz w:val="14"/>
          <w:szCs w:val="14"/>
          <w:color w:val="auto"/>
        </w:rPr>
      </w:pPr>
    </w:p>
    <w:p>
      <w:pPr>
        <w:ind w:left="800" w:hanging="360"/>
        <w:spacing w:after="0"/>
        <w:tabs>
          <w:tab w:leader="none" w:pos="800" w:val="left"/>
        </w:tabs>
        <w:numPr>
          <w:ilvl w:val="0"/>
          <w:numId w:val="17"/>
        </w:numPr>
        <w:rPr>
          <w:rFonts w:ascii="Arial" w:cs="Arial" w:eastAsia="Arial" w:hAnsi="Arial"/>
          <w:sz w:val="14"/>
          <w:szCs w:val="14"/>
          <w:color w:val="auto"/>
        </w:rPr>
      </w:pPr>
      <w:r>
        <w:rPr>
          <w:rFonts w:ascii="Arial" w:cs="Arial" w:eastAsia="Arial" w:hAnsi="Arial"/>
          <w:sz w:val="14"/>
          <w:szCs w:val="14"/>
          <w:color w:val="auto"/>
        </w:rPr>
        <w:t>the adequacy of our cash resources and working capital;</w:t>
      </w:r>
    </w:p>
    <w:p>
      <w:pPr>
        <w:spacing w:after="0" w:line="136" w:lineRule="exact"/>
        <w:rPr>
          <w:rFonts w:ascii="Arial" w:cs="Arial" w:eastAsia="Arial" w:hAnsi="Arial"/>
          <w:sz w:val="14"/>
          <w:szCs w:val="14"/>
          <w:color w:val="auto"/>
        </w:rPr>
      </w:pPr>
    </w:p>
    <w:p>
      <w:pPr>
        <w:ind w:left="800" w:hanging="360"/>
        <w:spacing w:after="0"/>
        <w:tabs>
          <w:tab w:leader="none" w:pos="800" w:val="left"/>
        </w:tabs>
        <w:numPr>
          <w:ilvl w:val="0"/>
          <w:numId w:val="17"/>
        </w:numPr>
        <w:rPr>
          <w:rFonts w:ascii="Arial" w:cs="Arial" w:eastAsia="Arial" w:hAnsi="Arial"/>
          <w:sz w:val="14"/>
          <w:szCs w:val="14"/>
          <w:color w:val="auto"/>
        </w:rPr>
      </w:pPr>
      <w:r>
        <w:rPr>
          <w:rFonts w:ascii="Arial" w:cs="Arial" w:eastAsia="Arial" w:hAnsi="Arial"/>
          <w:sz w:val="14"/>
          <w:szCs w:val="14"/>
          <w:color w:val="auto"/>
        </w:rPr>
        <w:t>the timing of cash flows, if any, from the operations of our prospective portfolio companies;</w:t>
      </w:r>
    </w:p>
    <w:p>
      <w:pPr>
        <w:spacing w:after="0" w:line="136" w:lineRule="exact"/>
        <w:rPr>
          <w:rFonts w:ascii="Arial" w:cs="Arial" w:eastAsia="Arial" w:hAnsi="Arial"/>
          <w:sz w:val="14"/>
          <w:szCs w:val="14"/>
          <w:color w:val="auto"/>
        </w:rPr>
      </w:pPr>
    </w:p>
    <w:p>
      <w:pPr>
        <w:ind w:left="800" w:hanging="360"/>
        <w:spacing w:after="0"/>
        <w:tabs>
          <w:tab w:leader="none" w:pos="800" w:val="left"/>
        </w:tabs>
        <w:numPr>
          <w:ilvl w:val="0"/>
          <w:numId w:val="17"/>
        </w:numPr>
        <w:rPr>
          <w:rFonts w:ascii="Arial" w:cs="Arial" w:eastAsia="Arial" w:hAnsi="Arial"/>
          <w:sz w:val="14"/>
          <w:szCs w:val="14"/>
          <w:color w:val="auto"/>
        </w:rPr>
      </w:pPr>
      <w:r>
        <w:rPr>
          <w:rFonts w:ascii="Arial" w:cs="Arial" w:eastAsia="Arial" w:hAnsi="Arial"/>
          <w:sz w:val="14"/>
          <w:szCs w:val="14"/>
          <w:color w:val="auto"/>
        </w:rPr>
        <w:t>the impact of price and volume fluctuations in the stock market;</w:t>
      </w:r>
    </w:p>
    <w:p>
      <w:pPr>
        <w:spacing w:after="0" w:line="136" w:lineRule="exact"/>
        <w:rPr>
          <w:rFonts w:ascii="Arial" w:cs="Arial" w:eastAsia="Arial" w:hAnsi="Arial"/>
          <w:sz w:val="14"/>
          <w:szCs w:val="14"/>
          <w:color w:val="auto"/>
        </w:rPr>
      </w:pPr>
    </w:p>
    <w:p>
      <w:pPr>
        <w:ind w:left="800" w:hanging="360"/>
        <w:spacing w:after="0"/>
        <w:tabs>
          <w:tab w:leader="none" w:pos="800" w:val="left"/>
        </w:tabs>
        <w:numPr>
          <w:ilvl w:val="0"/>
          <w:numId w:val="17"/>
        </w:numPr>
        <w:rPr>
          <w:rFonts w:ascii="Arial" w:cs="Arial" w:eastAsia="Arial" w:hAnsi="Arial"/>
          <w:sz w:val="14"/>
          <w:szCs w:val="14"/>
          <w:color w:val="auto"/>
        </w:rPr>
      </w:pPr>
      <w:r>
        <w:rPr>
          <w:rFonts w:ascii="Arial" w:cs="Arial" w:eastAsia="Arial" w:hAnsi="Arial"/>
          <w:sz w:val="14"/>
          <w:szCs w:val="14"/>
          <w:color w:val="auto"/>
        </w:rPr>
        <w:t>the ability of our Investment Adviser to locate suitable investments for us and to monitor and administer our investments;</w:t>
      </w:r>
    </w:p>
    <w:p>
      <w:pPr>
        <w:spacing w:after="0" w:line="136" w:lineRule="exact"/>
        <w:rPr>
          <w:rFonts w:ascii="Arial" w:cs="Arial" w:eastAsia="Arial" w:hAnsi="Arial"/>
          <w:sz w:val="14"/>
          <w:szCs w:val="14"/>
          <w:color w:val="auto"/>
        </w:rPr>
      </w:pPr>
    </w:p>
    <w:p>
      <w:pPr>
        <w:ind w:left="800" w:hanging="360"/>
        <w:spacing w:after="0"/>
        <w:tabs>
          <w:tab w:leader="none" w:pos="800" w:val="left"/>
        </w:tabs>
        <w:numPr>
          <w:ilvl w:val="0"/>
          <w:numId w:val="17"/>
        </w:numPr>
        <w:rPr>
          <w:rFonts w:ascii="Arial" w:cs="Arial" w:eastAsia="Arial" w:hAnsi="Arial"/>
          <w:sz w:val="14"/>
          <w:szCs w:val="14"/>
          <w:color w:val="auto"/>
        </w:rPr>
      </w:pPr>
      <w:r>
        <w:rPr>
          <w:rFonts w:ascii="Arial" w:cs="Arial" w:eastAsia="Arial" w:hAnsi="Arial"/>
          <w:sz w:val="14"/>
          <w:szCs w:val="14"/>
          <w:color w:val="auto"/>
        </w:rPr>
        <w:t>the impact of future legislation and regulation on our business and our portfolio companies; and</w:t>
      </w:r>
    </w:p>
    <w:p>
      <w:pPr>
        <w:spacing w:after="0" w:line="136" w:lineRule="exact"/>
        <w:rPr>
          <w:rFonts w:ascii="Arial" w:cs="Arial" w:eastAsia="Arial" w:hAnsi="Arial"/>
          <w:sz w:val="14"/>
          <w:szCs w:val="14"/>
          <w:color w:val="auto"/>
        </w:rPr>
      </w:pPr>
    </w:p>
    <w:p>
      <w:pPr>
        <w:ind w:left="800" w:hanging="360"/>
        <w:spacing w:after="0"/>
        <w:tabs>
          <w:tab w:leader="none" w:pos="800" w:val="left"/>
        </w:tabs>
        <w:numPr>
          <w:ilvl w:val="0"/>
          <w:numId w:val="17"/>
        </w:numPr>
        <w:rPr>
          <w:rFonts w:ascii="Arial" w:cs="Arial" w:eastAsia="Arial" w:hAnsi="Arial"/>
          <w:sz w:val="14"/>
          <w:szCs w:val="14"/>
          <w:color w:val="auto"/>
        </w:rPr>
      </w:pPr>
      <w:r>
        <w:rPr>
          <w:rFonts w:ascii="Arial" w:cs="Arial" w:eastAsia="Arial" w:hAnsi="Arial"/>
          <w:sz w:val="14"/>
          <w:szCs w:val="14"/>
          <w:color w:val="auto"/>
        </w:rPr>
        <w:t>the impact of Brexit and other world economic and political issues.</w:t>
      </w:r>
    </w:p>
    <w:p>
      <w:pPr>
        <w:spacing w:after="0" w:line="136" w:lineRule="exact"/>
        <w:rPr>
          <w:sz w:val="20"/>
          <w:szCs w:val="20"/>
          <w:color w:val="auto"/>
        </w:rPr>
      </w:pPr>
    </w:p>
    <w:p>
      <w:pPr>
        <w:ind w:right="120" w:firstLine="438"/>
        <w:spacing w:after="0" w:line="253" w:lineRule="auto"/>
        <w:rPr>
          <w:sz w:val="20"/>
          <w:szCs w:val="20"/>
          <w:color w:val="auto"/>
        </w:rPr>
      </w:pPr>
      <w:r>
        <w:rPr>
          <w:rFonts w:ascii="Arial" w:cs="Arial" w:eastAsia="Arial" w:hAnsi="Arial"/>
          <w:sz w:val="14"/>
          <w:szCs w:val="14"/>
          <w:color w:val="auto"/>
        </w:rPr>
        <w:t>We use words such as “anticipates,” “believes,” “expects,” “intends,” “seeks,” “plans,” “estimates” and similar expressions to identify forward-looking statements. You should not place undue influence on the forward-looking statements as our actual results could differ materially from those projected in the forward-looking statements for any reason.</w:t>
      </w:r>
    </w:p>
    <w:p>
      <w:pPr>
        <w:spacing w:after="0" w:line="106" w:lineRule="exact"/>
        <w:rPr>
          <w:sz w:val="20"/>
          <w:szCs w:val="20"/>
          <w:color w:val="auto"/>
        </w:rPr>
      </w:pPr>
    </w:p>
    <w:p>
      <w:pPr>
        <w:jc w:val="both"/>
        <w:ind w:right="20" w:firstLine="438"/>
        <w:spacing w:after="0" w:line="233" w:lineRule="auto"/>
        <w:rPr>
          <w:sz w:val="20"/>
          <w:szCs w:val="20"/>
          <w:color w:val="auto"/>
        </w:rPr>
      </w:pPr>
      <w:r>
        <w:rPr>
          <w:rFonts w:ascii="Arial" w:cs="Arial" w:eastAsia="Arial" w:hAnsi="Arial"/>
          <w:sz w:val="14"/>
          <w:szCs w:val="14"/>
          <w:color w:val="auto"/>
        </w:rPr>
        <w:t>Although we believe that the assumptions on which these forward-looking statements are based are reasonable, any of those assumptions could prove to be inaccurate, and, as a result, the forward-looking statements based on those assumptions also could be inaccurate. Important assumptions include our ability to originate new loans and investments, certain margins and levels of profitability and the availability of additional capital. In light of these and other uncertainties, the inclusion of a projection or forward-looking statement in this Report should not be regarded as a representation by us that our plans and objectives will be achieved.</w:t>
      </w:r>
    </w:p>
    <w:p>
      <w:pPr>
        <w:spacing w:after="0" w:line="117" w:lineRule="exact"/>
        <w:rPr>
          <w:sz w:val="20"/>
          <w:szCs w:val="20"/>
          <w:color w:val="auto"/>
        </w:rPr>
      </w:pPr>
    </w:p>
    <w:p>
      <w:pPr>
        <w:ind w:right="60" w:firstLine="438"/>
        <w:spacing w:after="0" w:line="233" w:lineRule="auto"/>
        <w:rPr>
          <w:sz w:val="20"/>
          <w:szCs w:val="20"/>
          <w:color w:val="auto"/>
        </w:rPr>
      </w:pPr>
      <w:r>
        <w:rPr>
          <w:rFonts w:ascii="Arial" w:cs="Arial" w:eastAsia="Arial" w:hAnsi="Arial"/>
          <w:sz w:val="14"/>
          <w:szCs w:val="14"/>
          <w:color w:val="auto"/>
        </w:rPr>
        <w:t>We have based the forward-looking statements included in this Report on information available to us on the date of this Report, and we assume no obligation to update any such forward-looking statements. Although we undertake no obligation to revise or update any forward-looking statements in this Report, whether as a result of new information, future events or otherwise, you are advised to consult any additional disclosures that we may make directly to you or through reports that we in the future may file with the SEC, including reports on Form 10-Q/K and current reports on Form 8-K.</w:t>
      </w:r>
    </w:p>
    <w:p>
      <w:pPr>
        <w:spacing w:after="0" w:line="117" w:lineRule="exact"/>
        <w:rPr>
          <w:sz w:val="20"/>
          <w:szCs w:val="20"/>
          <w:color w:val="auto"/>
        </w:rPr>
      </w:pPr>
    </w:p>
    <w:p>
      <w:pPr>
        <w:ind w:right="500" w:firstLine="438"/>
        <w:spacing w:after="0" w:line="253" w:lineRule="auto"/>
        <w:rPr>
          <w:sz w:val="20"/>
          <w:szCs w:val="20"/>
          <w:color w:val="auto"/>
        </w:rPr>
      </w:pPr>
      <w:r>
        <w:rPr>
          <w:rFonts w:ascii="Arial" w:cs="Arial" w:eastAsia="Arial" w:hAnsi="Arial"/>
          <w:sz w:val="14"/>
          <w:szCs w:val="14"/>
          <w:color w:val="auto"/>
        </w:rPr>
        <w:t>You should understand that under Section 27A(b)(2)(B) of the Securities Act and Section 21E(b)(2)(B) of the Exchange Act, the “safe harbor” provisions of the Private Securities Litigation Reform Act of 1995 do not apply to forward-looking statements made in periodic reports we file under the Exchange Act.</w:t>
      </w:r>
    </w:p>
    <w:p>
      <w:pPr>
        <w:spacing w:after="0" w:line="106" w:lineRule="exact"/>
        <w:rPr>
          <w:sz w:val="20"/>
          <w:szCs w:val="20"/>
          <w:color w:val="auto"/>
        </w:rPr>
      </w:pPr>
    </w:p>
    <w:p>
      <w:pPr>
        <w:ind w:right="540" w:firstLine="438"/>
        <w:spacing w:after="0" w:line="253" w:lineRule="auto"/>
        <w:rPr>
          <w:sz w:val="20"/>
          <w:szCs w:val="20"/>
          <w:color w:val="auto"/>
        </w:rPr>
      </w:pPr>
      <w:r>
        <w:rPr>
          <w:rFonts w:ascii="Arial" w:cs="Arial" w:eastAsia="Arial" w:hAnsi="Arial"/>
          <w:sz w:val="14"/>
          <w:szCs w:val="14"/>
          <w:color w:val="auto"/>
        </w:rPr>
        <w:t>The following analysis of our financial condition and results of operations should be read in conjunction with our Consolidated Financial Statements and the related notes thereto contained elsewhere in this Report.</w:t>
      </w:r>
    </w:p>
    <w:p>
      <w:pPr>
        <w:spacing w:after="0" w:line="10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Overview</w:t>
      </w:r>
    </w:p>
    <w:p>
      <w:pPr>
        <w:spacing w:after="0" w:line="136" w:lineRule="exact"/>
        <w:rPr>
          <w:sz w:val="20"/>
          <w:szCs w:val="20"/>
          <w:color w:val="auto"/>
        </w:rPr>
      </w:pPr>
    </w:p>
    <w:p>
      <w:pPr>
        <w:ind w:right="40" w:firstLine="438"/>
        <w:spacing w:after="0" w:line="253" w:lineRule="auto"/>
        <w:rPr>
          <w:sz w:val="20"/>
          <w:szCs w:val="20"/>
          <w:color w:val="auto"/>
        </w:rPr>
      </w:pPr>
      <w:r>
        <w:rPr>
          <w:rFonts w:ascii="Arial" w:cs="Arial" w:eastAsia="Arial" w:hAnsi="Arial"/>
          <w:sz w:val="14"/>
          <w:szCs w:val="14"/>
          <w:color w:val="auto"/>
        </w:rPr>
        <w:t>PennantPark Floating Rate Capital Ltd. is a BDC whose objectives are to generate both current income and capital appreciation while seeking to preserve capital by investing primarily in Floating Rate Loans and other investments made to U.S. middle-market companies.</w:t>
      </w:r>
    </w:p>
    <w:p>
      <w:pPr>
        <w:spacing w:after="0" w:line="106" w:lineRule="exact"/>
        <w:rPr>
          <w:sz w:val="20"/>
          <w:szCs w:val="20"/>
          <w:color w:val="auto"/>
        </w:rPr>
      </w:pPr>
    </w:p>
    <w:p>
      <w:pPr>
        <w:ind w:firstLine="438"/>
        <w:spacing w:after="0" w:line="228" w:lineRule="auto"/>
        <w:rPr>
          <w:sz w:val="20"/>
          <w:szCs w:val="20"/>
          <w:color w:val="auto"/>
        </w:rPr>
      </w:pPr>
      <w:r>
        <w:rPr>
          <w:rFonts w:ascii="Arial" w:cs="Arial" w:eastAsia="Arial" w:hAnsi="Arial"/>
          <w:sz w:val="14"/>
          <w:szCs w:val="14"/>
          <w:color w:val="auto"/>
        </w:rPr>
        <w:t>We believe that Floating Rate Loans to U.S. middle-market companies offer attractive risk-reward to investors due to a limited amount of capital available for such companies. We use the term “middle-market” to refer to companies with annual revenues between $50 million and $1 billion. Our investments are typically rated below investment grade. Securities rated below investment grade are often referred to as “leveraged loans” or “high yield” securities or “junk bonds” and are often higher risk compared to debt instruments that are rated above investment grade and have speculative characteristics. However, when compared to junk bonds and other non-investment grade debt, senior secured Floating Rate Loans typically have more robust capital-preserving qualities, such as historically lower default rates than junk bonds, represent the senior source of capital in a borrower’s capital structure and often have certain of the borrower’s assets pledged as collateral. Our debt investments may generally range in maturity from three to ten years and are made to U.S. and, to a limited extent, non-U.S. corporations, partnerships and other business entities which operate in various industries and geographical regions.</w:t>
      </w: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149465"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265" w:right="379" w:bottom="1440" w:gutter="0" w:footer="0" w:header="0"/>
        </w:sectPr>
      </w:pPr>
    </w:p>
    <w:bookmarkStart w:id="31" w:name="page32"/>
    <w:bookmarkEnd w:id="31"/>
    <w:p>
      <w:pPr>
        <w:ind w:right="180" w:firstLine="438"/>
        <w:spacing w:after="0" w:line="255" w:lineRule="auto"/>
        <w:rPr>
          <w:sz w:val="20"/>
          <w:szCs w:val="20"/>
          <w:color w:val="auto"/>
        </w:rPr>
      </w:pPr>
      <w:r>
        <w:rPr>
          <w:rFonts w:ascii="Arial" w:cs="Arial" w:eastAsia="Arial" w:hAnsi="Arial"/>
          <w:sz w:val="13"/>
          <w:szCs w:val="13"/>
          <w:color w:val="auto"/>
        </w:rPr>
        <w:t>Under normal market conditions, we generally expect that at least 80% of the value of our Managed Assets will be invested in Floating Rate Loans and other investments bearing a variable-rate of interest. We generally expect that first lien secured debt will represent at least 65% of our overall portfolio. We also generally expect to invest up to 35% of our overall portfolio opportunistically in other types of investments, including second lien secured debt and subordinated debt and, to a lesser extent, equity investments. We seek to create a diversified portfolio by generally targeting an investment size between $5 million and $30 million, on average, although we expect that this investment size will vary proportionately with the size of our capital base.</w:t>
      </w:r>
    </w:p>
    <w:p>
      <w:pPr>
        <w:spacing w:after="0" w:line="107" w:lineRule="exact"/>
        <w:rPr>
          <w:sz w:val="20"/>
          <w:szCs w:val="20"/>
          <w:color w:val="auto"/>
        </w:rPr>
      </w:pPr>
    </w:p>
    <w:p>
      <w:pPr>
        <w:ind w:right="200" w:firstLine="438"/>
        <w:spacing w:after="0" w:line="238" w:lineRule="auto"/>
        <w:rPr>
          <w:sz w:val="20"/>
          <w:szCs w:val="20"/>
          <w:color w:val="auto"/>
        </w:rPr>
      </w:pPr>
      <w:r>
        <w:rPr>
          <w:rFonts w:ascii="Arial" w:cs="Arial" w:eastAsia="Arial" w:hAnsi="Arial"/>
          <w:sz w:val="14"/>
          <w:szCs w:val="14"/>
          <w:color w:val="auto"/>
        </w:rPr>
        <w:t>Our investment activity depends on many factors, including the amount of debt and equity capital available to middle-market companies, the level of merger and acquisition activity for such companies, the general economic environment and the competitive environment for the types of investments we make. We have used, and expect to continue to use, our debt capital, proceeds from the rotation of our portfolio and proceeds from public and private offerings of securities to finance our investment objectives.</w:t>
      </w:r>
    </w:p>
    <w:p>
      <w:pPr>
        <w:spacing w:after="0" w:line="11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Organization and Structure of PennantPark Floating Rate Capital Ltd.</w:t>
      </w:r>
    </w:p>
    <w:p>
      <w:pPr>
        <w:spacing w:after="0" w:line="136" w:lineRule="exact"/>
        <w:rPr>
          <w:sz w:val="20"/>
          <w:szCs w:val="20"/>
          <w:color w:val="auto"/>
        </w:rPr>
      </w:pPr>
    </w:p>
    <w:p>
      <w:pPr>
        <w:ind w:right="140" w:firstLine="438"/>
        <w:spacing w:after="0" w:line="290" w:lineRule="auto"/>
        <w:rPr>
          <w:sz w:val="20"/>
          <w:szCs w:val="20"/>
          <w:color w:val="auto"/>
        </w:rPr>
      </w:pPr>
      <w:r>
        <w:rPr>
          <w:rFonts w:ascii="Arial" w:cs="Arial" w:eastAsia="Arial" w:hAnsi="Arial"/>
          <w:sz w:val="13"/>
          <w:szCs w:val="13"/>
          <w:color w:val="auto"/>
        </w:rPr>
        <w:t>PennantPark Floating Rate Capital Ltd., a Maryland corporation organized in October 2010, is a closed-end, externally managed, non-diversified investment company that has elected to be treated as a BDC under the 1940 Act. In addition, for federal income tax purposes we elected to be treated, and intend to qualify annually, as a RIC under the Code.</w:t>
      </w:r>
    </w:p>
    <w:p>
      <w:pPr>
        <w:spacing w:after="0" w:line="84" w:lineRule="exact"/>
        <w:rPr>
          <w:sz w:val="20"/>
          <w:szCs w:val="20"/>
          <w:color w:val="auto"/>
        </w:rPr>
      </w:pPr>
    </w:p>
    <w:p>
      <w:pPr>
        <w:ind w:right="220" w:firstLine="438"/>
        <w:spacing w:after="0" w:line="229" w:lineRule="auto"/>
        <w:rPr>
          <w:sz w:val="20"/>
          <w:szCs w:val="20"/>
          <w:color w:val="auto"/>
        </w:rPr>
      </w:pPr>
      <w:r>
        <w:rPr>
          <w:rFonts w:ascii="Arial" w:cs="Arial" w:eastAsia="Arial" w:hAnsi="Arial"/>
          <w:sz w:val="14"/>
          <w:szCs w:val="14"/>
          <w:color w:val="auto"/>
        </w:rPr>
        <w:t>Our investment activities are managed by the Investment Adviser. Under our Investment Management Agreement, we have agreed to pay our Investment Adviser an annual base management fee based on our average adjusted gross assets as well as an incentive fee based on our investment performance. We have also entered into an Administration Agreement with the Administrator. Under our Administration Agreement, we have agreed to reimburse the Administrator for our allocable portion of overhead and other expenses incurred by the Administrator in performing its obligations under our Administration Agreement, including rent and our allocable portion of the costs of compensation and related expenses of our Chief Compliance Officer, Chief Financial Officer and their respective staffs. Our board of directors, a majority of whom are independent of us, provides overall supervision of our activities, and the Investment Adviser supervises our day-to-day activities.</w:t>
      </w:r>
    </w:p>
    <w:p>
      <w:pPr>
        <w:spacing w:after="0" w:line="11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Revenues</w:t>
      </w:r>
    </w:p>
    <w:p>
      <w:pPr>
        <w:spacing w:after="0" w:line="136" w:lineRule="exact"/>
        <w:rPr>
          <w:sz w:val="20"/>
          <w:szCs w:val="20"/>
          <w:color w:val="auto"/>
        </w:rPr>
      </w:pPr>
    </w:p>
    <w:p>
      <w:pPr>
        <w:ind w:right="100" w:firstLine="438"/>
        <w:spacing w:after="0" w:line="226" w:lineRule="auto"/>
        <w:rPr>
          <w:sz w:val="20"/>
          <w:szCs w:val="20"/>
          <w:color w:val="auto"/>
        </w:rPr>
      </w:pPr>
      <w:r>
        <w:rPr>
          <w:rFonts w:ascii="Arial" w:cs="Arial" w:eastAsia="Arial" w:hAnsi="Arial"/>
          <w:sz w:val="14"/>
          <w:szCs w:val="14"/>
          <w:color w:val="auto"/>
        </w:rPr>
        <w:t>We generate revenue in the form of interest income on the debt securities we hold and capital gains and dividends, if any, on investment securities that we may acquire in portfolio companies. Our debt investments, whether in the form of first lien secured debt, second lien secured debt or subordinated debt, typically have a term of three to ten years and bear interest at a floating or fixed rate. Interest on debt securities is generally payable quarterly. In some cases, our investments provide for deferred interest payments or PIK interest. The principal amount of the debt securities and any accrued but unpaid interest generally becomes due at the maturity date. In addition, we may generate revenue in the form of amendment, commitment, origination, structuring or diligence fees, fees for providing significant managerial assistance and possibly consulting fees. Loan origination fees, OID and market discount or premium are capitalized and accreted or amortized using the effective interest method as interest income or, in the case of deferred financing costs, as interest expense. Dividend income, if any, is recognized on an accrual basis on the ex-dividend date to the extent that we expect to collect such amounts. From time to time, the Company receives certain fees from portfolio companies, which are non-recurring in nature. Such fees include loan prepayment penalties, structuring fees and amendment fees, and are recorded as other investment income when earned. Litigation settlements are accounted for in accordance with the gain contingency provisions of ASC 450-30.</w:t>
      </w:r>
    </w:p>
    <w:p>
      <w:pPr>
        <w:spacing w:after="0" w:line="12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Expenses</w:t>
      </w:r>
    </w:p>
    <w:p>
      <w:pPr>
        <w:spacing w:after="0" w:line="136" w:lineRule="exact"/>
        <w:rPr>
          <w:sz w:val="20"/>
          <w:szCs w:val="20"/>
          <w:color w:val="auto"/>
        </w:rPr>
      </w:pPr>
    </w:p>
    <w:p>
      <w:pPr>
        <w:ind w:firstLine="438"/>
        <w:spacing w:after="0" w:line="233" w:lineRule="auto"/>
        <w:rPr>
          <w:sz w:val="20"/>
          <w:szCs w:val="20"/>
          <w:color w:val="auto"/>
        </w:rPr>
      </w:pPr>
      <w:r>
        <w:rPr>
          <w:rFonts w:ascii="Arial" w:cs="Arial" w:eastAsia="Arial" w:hAnsi="Arial"/>
          <w:sz w:val="14"/>
          <w:szCs w:val="14"/>
          <w:color w:val="auto"/>
        </w:rPr>
        <w:t>Our primary operating expenses include the payment of a management fee and the payment of an incentive fee to our Investment Adviser, if any, our allocable portion of overhead under our Administration Agreement and other operating costs as detailed below. Our management fee compensates our Investment Adviser for its work in identifying, evaluating, negotiating, consummating and monitoring our investments. Additionally, we pay interest expense on the outstanding debt and unused commitment fees on undrawn amounts, under our various debt facilities. We bear all other direct or indirect costs and expenses of our operations and transactions, including:</w:t>
      </w:r>
    </w:p>
    <w:p>
      <w:pPr>
        <w:spacing w:after="0" w:line="117" w:lineRule="exact"/>
        <w:rPr>
          <w:sz w:val="20"/>
          <w:szCs w:val="20"/>
          <w:color w:val="auto"/>
        </w:rPr>
      </w:pPr>
    </w:p>
    <w:p>
      <w:pPr>
        <w:ind w:left="800" w:hanging="360"/>
        <w:spacing w:after="0"/>
        <w:tabs>
          <w:tab w:leader="none" w:pos="800" w:val="left"/>
        </w:tabs>
        <w:numPr>
          <w:ilvl w:val="0"/>
          <w:numId w:val="18"/>
        </w:numPr>
        <w:rPr>
          <w:rFonts w:ascii="Arial" w:cs="Arial" w:eastAsia="Arial" w:hAnsi="Arial"/>
          <w:sz w:val="14"/>
          <w:szCs w:val="14"/>
          <w:color w:val="auto"/>
        </w:rPr>
      </w:pPr>
      <w:r>
        <w:rPr>
          <w:rFonts w:ascii="Arial" w:cs="Arial" w:eastAsia="Arial" w:hAnsi="Arial"/>
          <w:sz w:val="14"/>
          <w:szCs w:val="14"/>
          <w:color w:val="auto"/>
        </w:rPr>
        <w:t>the cost of calculating our net asset value, including the cost of any third-party valuation services;</w:t>
      </w:r>
    </w:p>
    <w:p>
      <w:pPr>
        <w:spacing w:after="0" w:line="136" w:lineRule="exact"/>
        <w:rPr>
          <w:rFonts w:ascii="Arial" w:cs="Arial" w:eastAsia="Arial" w:hAnsi="Arial"/>
          <w:sz w:val="14"/>
          <w:szCs w:val="14"/>
          <w:color w:val="auto"/>
        </w:rPr>
      </w:pPr>
    </w:p>
    <w:p>
      <w:pPr>
        <w:ind w:left="800" w:hanging="360"/>
        <w:spacing w:after="0"/>
        <w:tabs>
          <w:tab w:leader="none" w:pos="800" w:val="left"/>
        </w:tabs>
        <w:numPr>
          <w:ilvl w:val="0"/>
          <w:numId w:val="18"/>
        </w:numPr>
        <w:rPr>
          <w:rFonts w:ascii="Arial" w:cs="Arial" w:eastAsia="Arial" w:hAnsi="Arial"/>
          <w:sz w:val="14"/>
          <w:szCs w:val="14"/>
          <w:color w:val="auto"/>
        </w:rPr>
      </w:pPr>
      <w:r>
        <w:rPr>
          <w:rFonts w:ascii="Arial" w:cs="Arial" w:eastAsia="Arial" w:hAnsi="Arial"/>
          <w:sz w:val="14"/>
          <w:szCs w:val="14"/>
          <w:color w:val="auto"/>
        </w:rPr>
        <w:t>the cost of effecting sales and repurchases of shares of our common stock and other securities;</w:t>
      </w:r>
    </w:p>
    <w:p>
      <w:pPr>
        <w:spacing w:after="0" w:line="136" w:lineRule="exact"/>
        <w:rPr>
          <w:rFonts w:ascii="Arial" w:cs="Arial" w:eastAsia="Arial" w:hAnsi="Arial"/>
          <w:sz w:val="14"/>
          <w:szCs w:val="14"/>
          <w:color w:val="auto"/>
        </w:rPr>
      </w:pPr>
    </w:p>
    <w:p>
      <w:pPr>
        <w:ind w:left="800" w:right="220" w:hanging="360"/>
        <w:spacing w:after="0" w:line="253" w:lineRule="auto"/>
        <w:tabs>
          <w:tab w:leader="none" w:pos="800" w:val="left"/>
        </w:tabs>
        <w:numPr>
          <w:ilvl w:val="0"/>
          <w:numId w:val="18"/>
        </w:numPr>
        <w:rPr>
          <w:rFonts w:ascii="Arial" w:cs="Arial" w:eastAsia="Arial" w:hAnsi="Arial"/>
          <w:sz w:val="14"/>
          <w:szCs w:val="14"/>
          <w:color w:val="auto"/>
        </w:rPr>
      </w:pPr>
      <w:r>
        <w:rPr>
          <w:rFonts w:ascii="Arial" w:cs="Arial" w:eastAsia="Arial" w:hAnsi="Arial"/>
          <w:sz w:val="14"/>
          <w:szCs w:val="14"/>
          <w:color w:val="auto"/>
        </w:rPr>
        <w:t>fees payable to third parties relating to, or associated with, making investments, including fees and expenses associated with performing due diligence and reviews of prospective investments or complementary businesses;</w:t>
      </w:r>
    </w:p>
    <w:p>
      <w:pPr>
        <w:spacing w:after="0" w:line="106" w:lineRule="exact"/>
        <w:rPr>
          <w:rFonts w:ascii="Arial" w:cs="Arial" w:eastAsia="Arial" w:hAnsi="Arial"/>
          <w:sz w:val="14"/>
          <w:szCs w:val="14"/>
          <w:color w:val="auto"/>
        </w:rPr>
      </w:pPr>
    </w:p>
    <w:p>
      <w:pPr>
        <w:ind w:left="800" w:hanging="360"/>
        <w:spacing w:after="0"/>
        <w:tabs>
          <w:tab w:leader="none" w:pos="800" w:val="left"/>
        </w:tabs>
        <w:numPr>
          <w:ilvl w:val="0"/>
          <w:numId w:val="18"/>
        </w:numPr>
        <w:rPr>
          <w:rFonts w:ascii="Arial" w:cs="Arial" w:eastAsia="Arial" w:hAnsi="Arial"/>
          <w:sz w:val="14"/>
          <w:szCs w:val="14"/>
          <w:color w:val="auto"/>
        </w:rPr>
      </w:pPr>
      <w:r>
        <w:rPr>
          <w:rFonts w:ascii="Arial" w:cs="Arial" w:eastAsia="Arial" w:hAnsi="Arial"/>
          <w:sz w:val="14"/>
          <w:szCs w:val="14"/>
          <w:color w:val="auto"/>
        </w:rPr>
        <w:t>expenses incurred by the Investment Adviser in performing due diligence and reviews of investments;</w:t>
      </w:r>
    </w:p>
    <w:p>
      <w:pPr>
        <w:spacing w:after="0" w:line="136" w:lineRule="exact"/>
        <w:rPr>
          <w:rFonts w:ascii="Arial" w:cs="Arial" w:eastAsia="Arial" w:hAnsi="Arial"/>
          <w:sz w:val="14"/>
          <w:szCs w:val="14"/>
          <w:color w:val="auto"/>
        </w:rPr>
      </w:pPr>
    </w:p>
    <w:p>
      <w:pPr>
        <w:ind w:left="800" w:hanging="360"/>
        <w:spacing w:after="0"/>
        <w:tabs>
          <w:tab w:leader="none" w:pos="800" w:val="left"/>
        </w:tabs>
        <w:numPr>
          <w:ilvl w:val="0"/>
          <w:numId w:val="18"/>
        </w:numPr>
        <w:rPr>
          <w:rFonts w:ascii="Arial" w:cs="Arial" w:eastAsia="Arial" w:hAnsi="Arial"/>
          <w:sz w:val="14"/>
          <w:szCs w:val="14"/>
          <w:color w:val="auto"/>
        </w:rPr>
      </w:pPr>
      <w:r>
        <w:rPr>
          <w:rFonts w:ascii="Arial" w:cs="Arial" w:eastAsia="Arial" w:hAnsi="Arial"/>
          <w:sz w:val="14"/>
          <w:szCs w:val="14"/>
          <w:color w:val="auto"/>
        </w:rPr>
        <w:t>transfer agent and custodial fees;</w:t>
      </w:r>
    </w:p>
    <w:p>
      <w:pPr>
        <w:spacing w:after="0" w:line="136" w:lineRule="exact"/>
        <w:rPr>
          <w:rFonts w:ascii="Arial" w:cs="Arial" w:eastAsia="Arial" w:hAnsi="Arial"/>
          <w:sz w:val="14"/>
          <w:szCs w:val="14"/>
          <w:color w:val="auto"/>
        </w:rPr>
      </w:pPr>
    </w:p>
    <w:p>
      <w:pPr>
        <w:ind w:left="800" w:hanging="360"/>
        <w:spacing w:after="0"/>
        <w:tabs>
          <w:tab w:leader="none" w:pos="800" w:val="left"/>
        </w:tabs>
        <w:numPr>
          <w:ilvl w:val="0"/>
          <w:numId w:val="18"/>
        </w:numPr>
        <w:rPr>
          <w:rFonts w:ascii="Arial" w:cs="Arial" w:eastAsia="Arial" w:hAnsi="Arial"/>
          <w:sz w:val="14"/>
          <w:szCs w:val="14"/>
          <w:color w:val="auto"/>
        </w:rPr>
      </w:pPr>
      <w:r>
        <w:rPr>
          <w:rFonts w:ascii="Arial" w:cs="Arial" w:eastAsia="Arial" w:hAnsi="Arial"/>
          <w:sz w:val="14"/>
          <w:szCs w:val="14"/>
          <w:color w:val="auto"/>
        </w:rPr>
        <w:t>fees and expenses associated with marketing efforts;</w:t>
      </w:r>
    </w:p>
    <w:p>
      <w:pPr>
        <w:spacing w:after="0" w:line="136" w:lineRule="exact"/>
        <w:rPr>
          <w:rFonts w:ascii="Arial" w:cs="Arial" w:eastAsia="Arial" w:hAnsi="Arial"/>
          <w:sz w:val="14"/>
          <w:szCs w:val="14"/>
          <w:color w:val="auto"/>
        </w:rPr>
      </w:pPr>
    </w:p>
    <w:p>
      <w:pPr>
        <w:ind w:left="800" w:hanging="360"/>
        <w:spacing w:after="0"/>
        <w:tabs>
          <w:tab w:leader="none" w:pos="800" w:val="left"/>
        </w:tabs>
        <w:numPr>
          <w:ilvl w:val="0"/>
          <w:numId w:val="18"/>
        </w:numPr>
        <w:rPr>
          <w:rFonts w:ascii="Arial" w:cs="Arial" w:eastAsia="Arial" w:hAnsi="Arial"/>
          <w:sz w:val="14"/>
          <w:szCs w:val="14"/>
          <w:color w:val="auto"/>
        </w:rPr>
      </w:pPr>
      <w:r>
        <w:rPr>
          <w:rFonts w:ascii="Arial" w:cs="Arial" w:eastAsia="Arial" w:hAnsi="Arial"/>
          <w:sz w:val="14"/>
          <w:szCs w:val="14"/>
          <w:color w:val="auto"/>
        </w:rPr>
        <w:t>federal and state registration fees and any exchange listing fees;</w:t>
      </w:r>
    </w:p>
    <w:p>
      <w:pPr>
        <w:spacing w:after="0" w:line="136" w:lineRule="exact"/>
        <w:rPr>
          <w:rFonts w:ascii="Arial" w:cs="Arial" w:eastAsia="Arial" w:hAnsi="Arial"/>
          <w:sz w:val="14"/>
          <w:szCs w:val="14"/>
          <w:color w:val="auto"/>
        </w:rPr>
      </w:pPr>
    </w:p>
    <w:p>
      <w:pPr>
        <w:ind w:left="800" w:hanging="360"/>
        <w:spacing w:after="0"/>
        <w:tabs>
          <w:tab w:leader="none" w:pos="800" w:val="left"/>
        </w:tabs>
        <w:numPr>
          <w:ilvl w:val="0"/>
          <w:numId w:val="18"/>
        </w:numPr>
        <w:rPr>
          <w:rFonts w:ascii="Arial" w:cs="Arial" w:eastAsia="Arial" w:hAnsi="Arial"/>
          <w:sz w:val="14"/>
          <w:szCs w:val="14"/>
          <w:color w:val="auto"/>
        </w:rPr>
      </w:pPr>
      <w:r>
        <w:rPr>
          <w:rFonts w:ascii="Arial" w:cs="Arial" w:eastAsia="Arial" w:hAnsi="Arial"/>
          <w:sz w:val="14"/>
          <w:szCs w:val="14"/>
          <w:color w:val="auto"/>
        </w:rPr>
        <w:t>federal, state, local and foreign taxes;</w:t>
      </w:r>
    </w:p>
    <w:p>
      <w:pPr>
        <w:spacing w:after="0" w:line="136" w:lineRule="exact"/>
        <w:rPr>
          <w:rFonts w:ascii="Arial" w:cs="Arial" w:eastAsia="Arial" w:hAnsi="Arial"/>
          <w:sz w:val="14"/>
          <w:szCs w:val="14"/>
          <w:color w:val="auto"/>
        </w:rPr>
      </w:pPr>
    </w:p>
    <w:p>
      <w:pPr>
        <w:ind w:left="800" w:hanging="360"/>
        <w:spacing w:after="0"/>
        <w:tabs>
          <w:tab w:leader="none" w:pos="800" w:val="left"/>
        </w:tabs>
        <w:numPr>
          <w:ilvl w:val="0"/>
          <w:numId w:val="18"/>
        </w:numPr>
        <w:rPr>
          <w:rFonts w:ascii="Arial" w:cs="Arial" w:eastAsia="Arial" w:hAnsi="Arial"/>
          <w:sz w:val="14"/>
          <w:szCs w:val="14"/>
          <w:color w:val="auto"/>
        </w:rPr>
      </w:pPr>
      <w:r>
        <w:rPr>
          <w:rFonts w:ascii="Arial" w:cs="Arial" w:eastAsia="Arial" w:hAnsi="Arial"/>
          <w:sz w:val="14"/>
          <w:szCs w:val="14"/>
          <w:color w:val="auto"/>
        </w:rPr>
        <w:t>independent directors’ fees and expenses;</w:t>
      </w:r>
    </w:p>
    <w:p>
      <w:pPr>
        <w:spacing w:after="0" w:line="136" w:lineRule="exact"/>
        <w:rPr>
          <w:rFonts w:ascii="Arial" w:cs="Arial" w:eastAsia="Arial" w:hAnsi="Arial"/>
          <w:sz w:val="14"/>
          <w:szCs w:val="14"/>
          <w:color w:val="auto"/>
        </w:rPr>
      </w:pPr>
    </w:p>
    <w:p>
      <w:pPr>
        <w:ind w:left="800" w:hanging="360"/>
        <w:spacing w:after="0"/>
        <w:tabs>
          <w:tab w:leader="none" w:pos="800" w:val="left"/>
        </w:tabs>
        <w:numPr>
          <w:ilvl w:val="0"/>
          <w:numId w:val="18"/>
        </w:numPr>
        <w:rPr>
          <w:rFonts w:ascii="Arial" w:cs="Arial" w:eastAsia="Arial" w:hAnsi="Arial"/>
          <w:sz w:val="14"/>
          <w:szCs w:val="14"/>
          <w:color w:val="auto"/>
        </w:rPr>
      </w:pPr>
      <w:r>
        <w:rPr>
          <w:rFonts w:ascii="Arial" w:cs="Arial" w:eastAsia="Arial" w:hAnsi="Arial"/>
          <w:sz w:val="14"/>
          <w:szCs w:val="14"/>
          <w:color w:val="auto"/>
        </w:rPr>
        <w:t>brokerage commissions;</w:t>
      </w:r>
    </w:p>
    <w:p>
      <w:pPr>
        <w:spacing w:after="0" w:line="136" w:lineRule="exact"/>
        <w:rPr>
          <w:rFonts w:ascii="Arial" w:cs="Arial" w:eastAsia="Arial" w:hAnsi="Arial"/>
          <w:sz w:val="14"/>
          <w:szCs w:val="14"/>
          <w:color w:val="auto"/>
        </w:rPr>
      </w:pPr>
    </w:p>
    <w:p>
      <w:pPr>
        <w:ind w:left="800" w:hanging="360"/>
        <w:spacing w:after="0"/>
        <w:tabs>
          <w:tab w:leader="none" w:pos="800" w:val="left"/>
        </w:tabs>
        <w:numPr>
          <w:ilvl w:val="0"/>
          <w:numId w:val="18"/>
        </w:numPr>
        <w:rPr>
          <w:rFonts w:ascii="Arial" w:cs="Arial" w:eastAsia="Arial" w:hAnsi="Arial"/>
          <w:sz w:val="14"/>
          <w:szCs w:val="14"/>
          <w:color w:val="auto"/>
        </w:rPr>
      </w:pPr>
      <w:r>
        <w:rPr>
          <w:rFonts w:ascii="Arial" w:cs="Arial" w:eastAsia="Arial" w:hAnsi="Arial"/>
          <w:sz w:val="14"/>
          <w:szCs w:val="14"/>
          <w:color w:val="auto"/>
        </w:rPr>
        <w:t>fidelity bond, directors and officers, errors and omissions liability insurance and other insurance premiums;</w:t>
      </w:r>
    </w:p>
    <w:p>
      <w:pPr>
        <w:spacing w:after="0" w:line="136" w:lineRule="exact"/>
        <w:rPr>
          <w:rFonts w:ascii="Arial" w:cs="Arial" w:eastAsia="Arial" w:hAnsi="Arial"/>
          <w:sz w:val="14"/>
          <w:szCs w:val="14"/>
          <w:color w:val="auto"/>
        </w:rPr>
      </w:pPr>
    </w:p>
    <w:p>
      <w:pPr>
        <w:ind w:left="800" w:hanging="360"/>
        <w:spacing w:after="0"/>
        <w:tabs>
          <w:tab w:leader="none" w:pos="800" w:val="left"/>
        </w:tabs>
        <w:numPr>
          <w:ilvl w:val="0"/>
          <w:numId w:val="18"/>
        </w:numPr>
        <w:rPr>
          <w:rFonts w:ascii="Arial" w:cs="Arial" w:eastAsia="Arial" w:hAnsi="Arial"/>
          <w:sz w:val="14"/>
          <w:szCs w:val="14"/>
          <w:color w:val="auto"/>
        </w:rPr>
      </w:pPr>
      <w:r>
        <w:rPr>
          <w:rFonts w:ascii="Arial" w:cs="Arial" w:eastAsia="Arial" w:hAnsi="Arial"/>
          <w:sz w:val="14"/>
          <w:szCs w:val="14"/>
          <w:color w:val="auto"/>
        </w:rPr>
        <w:t>direct costs such as printing, mailing, long distance telephone and staff;</w:t>
      </w:r>
    </w:p>
    <w:p>
      <w:pPr>
        <w:spacing w:after="0" w:line="136" w:lineRule="exact"/>
        <w:rPr>
          <w:rFonts w:ascii="Arial" w:cs="Arial" w:eastAsia="Arial" w:hAnsi="Arial"/>
          <w:sz w:val="14"/>
          <w:szCs w:val="14"/>
          <w:color w:val="auto"/>
        </w:rPr>
      </w:pPr>
    </w:p>
    <w:p>
      <w:pPr>
        <w:ind w:left="800" w:hanging="360"/>
        <w:spacing w:after="0"/>
        <w:tabs>
          <w:tab w:leader="none" w:pos="800" w:val="left"/>
        </w:tabs>
        <w:numPr>
          <w:ilvl w:val="0"/>
          <w:numId w:val="18"/>
        </w:numPr>
        <w:rPr>
          <w:rFonts w:ascii="Arial" w:cs="Arial" w:eastAsia="Arial" w:hAnsi="Arial"/>
          <w:sz w:val="14"/>
          <w:szCs w:val="14"/>
          <w:color w:val="auto"/>
        </w:rPr>
      </w:pPr>
      <w:r>
        <w:rPr>
          <w:rFonts w:ascii="Arial" w:cs="Arial" w:eastAsia="Arial" w:hAnsi="Arial"/>
          <w:sz w:val="14"/>
          <w:szCs w:val="14"/>
          <w:color w:val="auto"/>
        </w:rPr>
        <w:t>fees and expenses associated with independent audits and outside legal costs;</w:t>
      </w:r>
    </w:p>
    <w:p>
      <w:pPr>
        <w:spacing w:after="0" w:line="136" w:lineRule="exact"/>
        <w:rPr>
          <w:rFonts w:ascii="Arial" w:cs="Arial" w:eastAsia="Arial" w:hAnsi="Arial"/>
          <w:sz w:val="14"/>
          <w:szCs w:val="14"/>
          <w:color w:val="auto"/>
        </w:rPr>
      </w:pPr>
    </w:p>
    <w:p>
      <w:pPr>
        <w:ind w:left="800" w:hanging="360"/>
        <w:spacing w:after="0"/>
        <w:tabs>
          <w:tab w:leader="none" w:pos="800" w:val="left"/>
        </w:tabs>
        <w:numPr>
          <w:ilvl w:val="0"/>
          <w:numId w:val="18"/>
        </w:numPr>
        <w:rPr>
          <w:rFonts w:ascii="Arial" w:cs="Arial" w:eastAsia="Arial" w:hAnsi="Arial"/>
          <w:sz w:val="14"/>
          <w:szCs w:val="14"/>
          <w:color w:val="auto"/>
        </w:rPr>
      </w:pPr>
      <w:r>
        <w:rPr>
          <w:rFonts w:ascii="Arial" w:cs="Arial" w:eastAsia="Arial" w:hAnsi="Arial"/>
          <w:sz w:val="14"/>
          <w:szCs w:val="14"/>
          <w:color w:val="auto"/>
        </w:rPr>
        <w:t>costs associated with our reporting and compliance obligations under the 1940 Act and applicable federal and state securities laws; and</w:t>
      </w:r>
    </w:p>
    <w:p>
      <w:pPr>
        <w:spacing w:after="0" w:line="136" w:lineRule="exact"/>
        <w:rPr>
          <w:rFonts w:ascii="Arial" w:cs="Arial" w:eastAsia="Arial" w:hAnsi="Arial"/>
          <w:sz w:val="14"/>
          <w:szCs w:val="14"/>
          <w:color w:val="auto"/>
        </w:rPr>
      </w:pPr>
    </w:p>
    <w:p>
      <w:pPr>
        <w:jc w:val="both"/>
        <w:ind w:left="800" w:right="180" w:hanging="360"/>
        <w:spacing w:after="0" w:line="264" w:lineRule="auto"/>
        <w:tabs>
          <w:tab w:leader="none" w:pos="800" w:val="left"/>
        </w:tabs>
        <w:numPr>
          <w:ilvl w:val="0"/>
          <w:numId w:val="18"/>
        </w:numPr>
        <w:rPr>
          <w:rFonts w:ascii="Arial" w:cs="Arial" w:eastAsia="Arial" w:hAnsi="Arial"/>
          <w:sz w:val="13"/>
          <w:szCs w:val="13"/>
          <w:color w:val="auto"/>
        </w:rPr>
      </w:pPr>
      <w:r>
        <w:rPr>
          <w:rFonts w:ascii="Arial" w:cs="Arial" w:eastAsia="Arial" w:hAnsi="Arial"/>
          <w:sz w:val="13"/>
          <w:szCs w:val="13"/>
          <w:color w:val="auto"/>
        </w:rPr>
        <w:t>all other expenses incurred by either the Administrator or us in connection with administering our business, including payments under our Administration Agreement that will be based upon our allocable portion of overhead, and other expenses incurred by the Administrator in performing its obligations under our Administration Agreement, including rent and our allocable portion of the costs of compensation and related expenses of our Chief Compliance Officer, Chief Financial Officer and their respective staffs.</w:t>
      </w: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149465"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269" w:right="339" w:bottom="1440" w:gutter="0" w:footer="0" w:header="0"/>
        </w:sectPr>
      </w:pPr>
    </w:p>
    <w:bookmarkStart w:id="32" w:name="page33"/>
    <w:bookmarkEnd w:id="32"/>
    <w:p>
      <w:pPr>
        <w:ind w:right="40" w:firstLine="438"/>
        <w:spacing w:after="0" w:line="253" w:lineRule="auto"/>
        <w:rPr>
          <w:sz w:val="20"/>
          <w:szCs w:val="20"/>
          <w:color w:val="auto"/>
        </w:rPr>
      </w:pPr>
      <w:r>
        <w:rPr>
          <w:rFonts w:ascii="Arial" w:cs="Arial" w:eastAsia="Arial" w:hAnsi="Arial"/>
          <w:sz w:val="14"/>
          <w:szCs w:val="14"/>
          <w:color w:val="auto"/>
        </w:rPr>
        <w:t>Generally, during periods of asset growth, we expect our general and administrative expenses to be relatively stable or to decline as a percentage of total assets and increase during periods of asset declines. Incentive fees, interest expense and costs relating to future offerings of securities would be additive to the expenses described above.</w:t>
      </w:r>
    </w:p>
    <w:p>
      <w:pPr>
        <w:spacing w:after="0" w:line="10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PORTFOLIO AND INVESTMENT ACTIVITY</w:t>
      </w:r>
    </w:p>
    <w:p>
      <w:pPr>
        <w:spacing w:after="0" w:line="140" w:lineRule="exact"/>
        <w:rPr>
          <w:sz w:val="20"/>
          <w:szCs w:val="20"/>
          <w:color w:val="auto"/>
        </w:rPr>
      </w:pPr>
    </w:p>
    <w:p>
      <w:pPr>
        <w:ind w:right="20" w:firstLine="438"/>
        <w:spacing w:after="0" w:line="229" w:lineRule="auto"/>
        <w:rPr>
          <w:sz w:val="20"/>
          <w:szCs w:val="20"/>
          <w:color w:val="auto"/>
        </w:rPr>
      </w:pPr>
      <w:r>
        <w:rPr>
          <w:rFonts w:ascii="Arial" w:cs="Arial" w:eastAsia="Arial" w:hAnsi="Arial"/>
          <w:sz w:val="14"/>
          <w:szCs w:val="14"/>
          <w:color w:val="auto"/>
        </w:rPr>
        <w:t>As of December 31, 2019, our portfolio totaled $1,176.1 million and consisted of $1,042.5 million of first lien secured debt (including $122.2 million in PSSL), $32.9 million of second lien secured debt and $100.7 million of preferred and common equity (including $49.7 million in PSSL). Our debt portfolio consisted of 99% variable-rate investments. As of December 31, 2019, we had one portfolio company on non-accrual, representing 0.4% and zero of our overall portfolio on a cost and fair value basis, respectively. Overall, the portfolio had net unrealized depreciation of $7.0 million. Our overall portfolio consisted of 102 companies with an average investment size of $11.5 million, had a weighted average yield on debt investments of 8.4%, and was invested 89% in first lien secured debt (including 10% invested in PSSL), 3% in second lien secured debt and 8% in preferred and common equity (including 4% in PSSL). As of December 31, 2019, 97% of the investments held by PSSL were first lien secured debt.</w:t>
      </w:r>
    </w:p>
    <w:p>
      <w:pPr>
        <w:spacing w:after="0" w:line="118" w:lineRule="exact"/>
        <w:rPr>
          <w:sz w:val="20"/>
          <w:szCs w:val="20"/>
          <w:color w:val="auto"/>
        </w:rPr>
      </w:pPr>
    </w:p>
    <w:p>
      <w:pPr>
        <w:ind w:right="20" w:firstLine="438"/>
        <w:spacing w:after="0" w:line="229" w:lineRule="auto"/>
        <w:rPr>
          <w:sz w:val="20"/>
          <w:szCs w:val="20"/>
          <w:color w:val="auto"/>
        </w:rPr>
      </w:pPr>
      <w:r>
        <w:rPr>
          <w:rFonts w:ascii="Arial" w:cs="Arial" w:eastAsia="Arial" w:hAnsi="Arial"/>
          <w:sz w:val="14"/>
          <w:szCs w:val="14"/>
          <w:color w:val="auto"/>
        </w:rPr>
        <w:t>As of September 30, 2019, our portfolio totaled $1,081.7 million and consisted of $944.9 million of first lien secured debt (including $122.2 million in PSSL), $34.4 million of second lien secured debt and $102.4 million of preferred and common equity (including $50.0 million in PSSL). Our debt portfolio consisted of 99% variable-rate investments. As of September 30, 2019, we had one portfolio company on non-accrual, representing 0.4% and zero of our overall portfolio on a cost and fair value basis, respectively. Overall, the portfolio had net unrealized depreciation of $3.5 million. Our overall portfolio consisted of 95 companies with an average investment size of $11.4 million, had a weighted average yield on debt investments of 8.7%, and was invested 87% in first lien secured debt (including 11% in PSSL), 3% in second lien secured debt and 10% in preferred and common equity (including 5% in PSSL). As of September 30, 2019, 97% of the investments held by PSSL were first lien secured debt.</w:t>
      </w:r>
    </w:p>
    <w:p>
      <w:pPr>
        <w:spacing w:after="0" w:line="118" w:lineRule="exact"/>
        <w:rPr>
          <w:sz w:val="20"/>
          <w:szCs w:val="20"/>
          <w:color w:val="auto"/>
        </w:rPr>
      </w:pPr>
    </w:p>
    <w:p>
      <w:pPr>
        <w:ind w:left="440"/>
        <w:spacing w:after="0"/>
        <w:rPr>
          <w:sz w:val="20"/>
          <w:szCs w:val="20"/>
          <w:color w:val="auto"/>
        </w:rPr>
      </w:pPr>
      <w:r>
        <w:rPr>
          <w:rFonts w:ascii="Arial" w:cs="Arial" w:eastAsia="Arial" w:hAnsi="Arial"/>
          <w:sz w:val="13"/>
          <w:szCs w:val="13"/>
          <w:color w:val="auto"/>
        </w:rPr>
        <w:t>For the three months ended December 31, 2019, we invested $239.4 million in 10 new and 31 existing portfolio companies with a weighted average yield on debt investments of 8.2%.</w:t>
      </w:r>
    </w:p>
    <w:p>
      <w:pPr>
        <w:spacing w:after="0" w:line="11" w:lineRule="exact"/>
        <w:rPr>
          <w:sz w:val="20"/>
          <w:szCs w:val="20"/>
          <w:color w:val="auto"/>
        </w:rPr>
      </w:pPr>
    </w:p>
    <w:p>
      <w:pPr>
        <w:spacing w:after="0"/>
        <w:rPr>
          <w:sz w:val="20"/>
          <w:szCs w:val="20"/>
          <w:color w:val="auto"/>
        </w:rPr>
      </w:pPr>
      <w:r>
        <w:rPr>
          <w:rFonts w:ascii="Arial" w:cs="Arial" w:eastAsia="Arial" w:hAnsi="Arial"/>
          <w:sz w:val="14"/>
          <w:szCs w:val="14"/>
          <w:color w:val="auto"/>
        </w:rPr>
        <w:t>Sales and repayments of investments for the three months ended December 31, 2019 totaled $143.7 million.</w:t>
      </w:r>
    </w:p>
    <w:p>
      <w:pPr>
        <w:spacing w:after="0" w:line="124" w:lineRule="exact"/>
        <w:rPr>
          <w:sz w:val="20"/>
          <w:szCs w:val="20"/>
          <w:color w:val="auto"/>
        </w:rPr>
      </w:pPr>
    </w:p>
    <w:p>
      <w:pPr>
        <w:ind w:left="440"/>
        <w:spacing w:after="0"/>
        <w:rPr>
          <w:sz w:val="20"/>
          <w:szCs w:val="20"/>
          <w:color w:val="auto"/>
        </w:rPr>
      </w:pPr>
      <w:r>
        <w:rPr>
          <w:rFonts w:ascii="Arial" w:cs="Arial" w:eastAsia="Arial" w:hAnsi="Arial"/>
          <w:sz w:val="13"/>
          <w:szCs w:val="13"/>
          <w:color w:val="auto"/>
        </w:rPr>
        <w:t>For the three months ended December 31, 2018, we invested $180.7 million in nine new and 24 existing portfolio companies with a weighted average yield on debt investments of 8.6%.</w:t>
      </w:r>
    </w:p>
    <w:p>
      <w:pPr>
        <w:spacing w:after="0" w:line="11" w:lineRule="exact"/>
        <w:rPr>
          <w:sz w:val="20"/>
          <w:szCs w:val="20"/>
          <w:color w:val="auto"/>
        </w:rPr>
      </w:pPr>
    </w:p>
    <w:p>
      <w:pPr>
        <w:spacing w:after="0"/>
        <w:rPr>
          <w:sz w:val="20"/>
          <w:szCs w:val="20"/>
          <w:color w:val="auto"/>
        </w:rPr>
      </w:pPr>
      <w:r>
        <w:rPr>
          <w:rFonts w:ascii="Arial" w:cs="Arial" w:eastAsia="Arial" w:hAnsi="Arial"/>
          <w:sz w:val="14"/>
          <w:szCs w:val="14"/>
          <w:color w:val="auto"/>
        </w:rPr>
        <w:t>Sales and repayments of investments for the three months ended December 31, 2018 totaled $190.3 million.</w:t>
      </w:r>
    </w:p>
    <w:p>
      <w:pPr>
        <w:spacing w:after="0" w:line="12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PennantPark Senior Secured Loan Fund I LLC</w:t>
      </w:r>
    </w:p>
    <w:p>
      <w:pPr>
        <w:spacing w:after="0" w:line="140" w:lineRule="exact"/>
        <w:rPr>
          <w:sz w:val="20"/>
          <w:szCs w:val="20"/>
          <w:color w:val="auto"/>
        </w:rPr>
      </w:pPr>
    </w:p>
    <w:p>
      <w:pPr>
        <w:jc w:val="both"/>
        <w:ind w:right="80" w:firstLine="438"/>
        <w:spacing w:after="0" w:line="238" w:lineRule="auto"/>
        <w:rPr>
          <w:sz w:val="20"/>
          <w:szCs w:val="20"/>
          <w:color w:val="auto"/>
        </w:rPr>
      </w:pPr>
      <w:r>
        <w:rPr>
          <w:rFonts w:ascii="Arial" w:cs="Arial" w:eastAsia="Arial" w:hAnsi="Arial"/>
          <w:sz w:val="14"/>
          <w:szCs w:val="14"/>
          <w:color w:val="auto"/>
        </w:rPr>
        <w:t>As of December 31, 2019, PSSL’s portfolio totaled $493.2 million, consisted of 49 companies with an average investment size of $10.1 million and had a weighted average yield on debt investments of 7.4%. As of September 30, 2019, PSSL’s portfolio totaled $488.5 million, consisted of 45 companies with an average investment size of $10.9 million and had a weighted average yield on debt investments of 7.6%.</w:t>
      </w:r>
    </w:p>
    <w:p>
      <w:pPr>
        <w:spacing w:after="0" w:line="115" w:lineRule="exact"/>
        <w:rPr>
          <w:sz w:val="20"/>
          <w:szCs w:val="20"/>
          <w:color w:val="auto"/>
        </w:rPr>
      </w:pPr>
    </w:p>
    <w:p>
      <w:pPr>
        <w:ind w:right="620" w:firstLine="438"/>
        <w:spacing w:after="0" w:line="290" w:lineRule="auto"/>
        <w:rPr>
          <w:sz w:val="20"/>
          <w:szCs w:val="20"/>
          <w:color w:val="auto"/>
        </w:rPr>
      </w:pPr>
      <w:r>
        <w:rPr>
          <w:rFonts w:ascii="Arial" w:cs="Arial" w:eastAsia="Arial" w:hAnsi="Arial"/>
          <w:sz w:val="13"/>
          <w:szCs w:val="13"/>
          <w:color w:val="auto"/>
        </w:rPr>
        <w:t>For the three months ended December 31, 2019, PSSL invested $69.1 million (of which $68.9 million was purchased from the Company) in eight new and one existing portfolio companies with a weighted average yield on debt investments of 7.5%. Sales and repayments of investments for the three months ended December 31, 2019 totaled $66.4 million.</w:t>
      </w:r>
    </w:p>
    <w:p>
      <w:pPr>
        <w:spacing w:after="0" w:line="84" w:lineRule="exact"/>
        <w:rPr>
          <w:sz w:val="20"/>
          <w:szCs w:val="20"/>
          <w:color w:val="auto"/>
        </w:rPr>
      </w:pPr>
    </w:p>
    <w:p>
      <w:pPr>
        <w:jc w:val="both"/>
        <w:ind w:right="500" w:firstLine="438"/>
        <w:spacing w:after="0" w:line="290" w:lineRule="auto"/>
        <w:rPr>
          <w:sz w:val="20"/>
          <w:szCs w:val="20"/>
          <w:color w:val="auto"/>
        </w:rPr>
      </w:pPr>
      <w:r>
        <w:rPr>
          <w:rFonts w:ascii="Arial" w:cs="Arial" w:eastAsia="Arial" w:hAnsi="Arial"/>
          <w:sz w:val="13"/>
          <w:szCs w:val="13"/>
          <w:color w:val="auto"/>
        </w:rPr>
        <w:t>For the three months ended December 31, 2018, PSSL invested $142.4 million (of which $38.0 million was purchased from the Company) in nine new and three existing portfolio companies with a weighted average yield on debt investments of 8.1%. PSSL’s sales and repayments of investments for the three months ended December 31, 2018 totaled $70.7 million.</w:t>
      </w:r>
    </w:p>
    <w:p>
      <w:pPr>
        <w:spacing w:after="0" w:line="8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CRITICAL ACCOUNTING POLICIES</w:t>
      </w:r>
    </w:p>
    <w:p>
      <w:pPr>
        <w:spacing w:after="0" w:line="140" w:lineRule="exact"/>
        <w:rPr>
          <w:sz w:val="20"/>
          <w:szCs w:val="20"/>
          <w:color w:val="auto"/>
        </w:rPr>
      </w:pPr>
    </w:p>
    <w:p>
      <w:pPr>
        <w:ind w:firstLine="438"/>
        <w:spacing w:after="0" w:line="228" w:lineRule="auto"/>
        <w:rPr>
          <w:sz w:val="20"/>
          <w:szCs w:val="20"/>
          <w:color w:val="auto"/>
        </w:rPr>
      </w:pPr>
      <w:r>
        <w:rPr>
          <w:rFonts w:ascii="Arial" w:cs="Arial" w:eastAsia="Arial" w:hAnsi="Arial"/>
          <w:sz w:val="14"/>
          <w:szCs w:val="14"/>
          <w:color w:val="auto"/>
        </w:rPr>
        <w:t>The preparation of our Consolidated Financial Statements in conformity with GAAP requires management to make estimates and assumptions that affect the reported amount of our assets and liabilities at the date of the Consolidated Financial Statements and the reported amounts of income and expenses during the reported periods. In the opinion of management, all adjustments, which are of a normal recurring nature, considered necessary for the fair presentation of financial statements have been included. Actual results could differ from these estimates due to changes in the economic and regulatory environment, financial markets and any other parameters used in determining such estimates and assumptions. We may reclassify certain prior period amounts to conform to the current period presentation. We have eliminated all intercompany balances and transactions. References to ASC serve as a single source of accounting literature. Subsequent events are evaluated and disclosed as appropriate for events occurring through the date the Consolidated Financial Statements are issued. In addition to the discussion below, we describe our critical accounting policies in the notes to our Consolidated Financial Statements.</w:t>
      </w:r>
    </w:p>
    <w:p>
      <w:pPr>
        <w:spacing w:after="0" w:line="11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Investment Valuations</w:t>
      </w:r>
    </w:p>
    <w:p>
      <w:pPr>
        <w:spacing w:after="0" w:line="136" w:lineRule="exact"/>
        <w:rPr>
          <w:sz w:val="20"/>
          <w:szCs w:val="20"/>
          <w:color w:val="auto"/>
        </w:rPr>
      </w:pPr>
    </w:p>
    <w:p>
      <w:pPr>
        <w:ind w:firstLine="438"/>
        <w:spacing w:after="0" w:line="247" w:lineRule="auto"/>
        <w:rPr>
          <w:sz w:val="20"/>
          <w:szCs w:val="20"/>
          <w:color w:val="auto"/>
        </w:rPr>
      </w:pPr>
      <w:r>
        <w:rPr>
          <w:rFonts w:ascii="Arial" w:cs="Arial" w:eastAsia="Arial" w:hAnsi="Arial"/>
          <w:sz w:val="13"/>
          <w:szCs w:val="13"/>
          <w:color w:val="auto"/>
        </w:rPr>
        <w:t>We expect that there may not be readily available market values for many of the investments which are or will be in our portfolio, and we value such investments at fair value as determined in good faith by or under the direction of our board of directors using a documented valuation policy and a consistently applied valuation process, as described in this Report. With respect to investments for which there is no readily available market value, the factors that the board of directors may take into account in pricing our investments at fair value include, as relevant, the nature and realizable value of any collateral, the portfolio company’s ability to make payments and its earnings and discounted cash flow, the markets in which the portfolio company does business, comparison to publicly traded securities and other relevant factors. When an external event such as a purchase transaction, public offering or subsequent equity sale occurs, we consider the pricing indicated by the external event to corroborate or revise our valuation. Due to the inherent uncertainty of determining the fair value of investments that do not have a readily available market value, the price used in an actual transaction may be different than our valuation and the difference may be material.</w:t>
      </w:r>
    </w:p>
    <w:p>
      <w:pPr>
        <w:spacing w:after="0" w:line="111" w:lineRule="exact"/>
        <w:rPr>
          <w:sz w:val="20"/>
          <w:szCs w:val="20"/>
          <w:color w:val="auto"/>
        </w:rPr>
      </w:pPr>
    </w:p>
    <w:p>
      <w:pPr>
        <w:ind w:right="380" w:firstLine="438"/>
        <w:spacing w:after="0" w:line="290" w:lineRule="auto"/>
        <w:rPr>
          <w:sz w:val="20"/>
          <w:szCs w:val="20"/>
          <w:color w:val="auto"/>
        </w:rPr>
      </w:pPr>
      <w:r>
        <w:rPr>
          <w:rFonts w:ascii="Arial" w:cs="Arial" w:eastAsia="Arial" w:hAnsi="Arial"/>
          <w:sz w:val="13"/>
          <w:szCs w:val="13"/>
          <w:color w:val="auto"/>
        </w:rPr>
        <w:t>Our portfolio generally consists of illiquid securities, including debt and equity investments. With respect to investments for which market quotations are not readily available, or for which market quotations are deemed not reflective of the fair value, our board of directors undertakes a multi-step valuation process each quarter, as described below:</w:t>
      </w:r>
    </w:p>
    <w:p>
      <w:pPr>
        <w:spacing w:after="0" w:line="84" w:lineRule="exact"/>
        <w:rPr>
          <w:sz w:val="20"/>
          <w:szCs w:val="20"/>
          <w:color w:val="auto"/>
        </w:rPr>
      </w:pPr>
    </w:p>
    <w:p>
      <w:pPr>
        <w:ind w:left="800" w:right="140" w:hanging="360"/>
        <w:spacing w:after="0" w:line="253" w:lineRule="auto"/>
        <w:tabs>
          <w:tab w:leader="none" w:pos="800" w:val="left"/>
        </w:tabs>
        <w:numPr>
          <w:ilvl w:val="0"/>
          <w:numId w:val="19"/>
        </w:numPr>
        <w:rPr>
          <w:rFonts w:ascii="Arial" w:cs="Arial" w:eastAsia="Arial" w:hAnsi="Arial"/>
          <w:sz w:val="14"/>
          <w:szCs w:val="14"/>
          <w:color w:val="auto"/>
        </w:rPr>
      </w:pPr>
      <w:r>
        <w:rPr>
          <w:rFonts w:ascii="Arial" w:cs="Arial" w:eastAsia="Arial" w:hAnsi="Arial"/>
          <w:sz w:val="14"/>
          <w:szCs w:val="14"/>
          <w:color w:val="auto"/>
        </w:rPr>
        <w:t>Our quarterly valuation process begins with each portfolio company or investment being initially valued by the investment professionals of our Investment Adviser responsible for the portfolio investment;</w:t>
      </w:r>
    </w:p>
    <w:p>
      <w:pPr>
        <w:spacing w:after="0" w:line="106" w:lineRule="exact"/>
        <w:rPr>
          <w:rFonts w:ascii="Arial" w:cs="Arial" w:eastAsia="Arial" w:hAnsi="Arial"/>
          <w:sz w:val="14"/>
          <w:szCs w:val="14"/>
          <w:color w:val="auto"/>
        </w:rPr>
      </w:pPr>
    </w:p>
    <w:p>
      <w:pPr>
        <w:ind w:left="800" w:hanging="360"/>
        <w:spacing w:after="0"/>
        <w:tabs>
          <w:tab w:leader="none" w:pos="800" w:val="left"/>
        </w:tabs>
        <w:numPr>
          <w:ilvl w:val="0"/>
          <w:numId w:val="19"/>
        </w:numPr>
        <w:rPr>
          <w:rFonts w:ascii="Arial" w:cs="Arial" w:eastAsia="Arial" w:hAnsi="Arial"/>
          <w:sz w:val="14"/>
          <w:szCs w:val="14"/>
          <w:color w:val="auto"/>
        </w:rPr>
      </w:pPr>
      <w:r>
        <w:rPr>
          <w:rFonts w:ascii="Arial" w:cs="Arial" w:eastAsia="Arial" w:hAnsi="Arial"/>
          <w:sz w:val="14"/>
          <w:szCs w:val="14"/>
          <w:color w:val="auto"/>
        </w:rPr>
        <w:t>Preliminary valuation conclusions are then documented and discussed with the management of our Investment Adviser;</w:t>
      </w: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149465"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18" w:right="339" w:bottom="1440" w:gutter="0" w:footer="0" w:header="0"/>
        </w:sectPr>
      </w:pPr>
    </w:p>
    <w:bookmarkStart w:id="33" w:name="page34"/>
    <w:bookmarkEnd w:id="33"/>
    <w:p>
      <w:pPr>
        <w:jc w:val="both"/>
        <w:ind w:left="800" w:right="180" w:hanging="360"/>
        <w:spacing w:after="0" w:line="264" w:lineRule="auto"/>
        <w:tabs>
          <w:tab w:leader="none" w:pos="800" w:val="left"/>
        </w:tabs>
        <w:numPr>
          <w:ilvl w:val="0"/>
          <w:numId w:val="20"/>
        </w:numPr>
        <w:rPr>
          <w:rFonts w:ascii="Arial" w:cs="Arial" w:eastAsia="Arial" w:hAnsi="Arial"/>
          <w:sz w:val="13"/>
          <w:szCs w:val="13"/>
          <w:color w:val="auto"/>
        </w:rPr>
      </w:pPr>
      <w:r>
        <w:rPr>
          <w:rFonts w:ascii="Arial" w:cs="Arial" w:eastAsia="Arial" w:hAnsi="Arial"/>
          <w:sz w:val="13"/>
          <w:szCs w:val="13"/>
          <w:color w:val="auto"/>
        </w:rPr>
        <w:t>Our board of directors also engages independent valuation firms to conduct independent appraisals of our investments for which market quotations are not readily available or are readily available but deemed not reflective of the fair value of the investment. The independent valuation firms review management’s preliminary valuations in light of their own independent assessment and also in light of any market quotations obtained from an independent pricing service, broker, dealer or market maker;</w:t>
      </w:r>
    </w:p>
    <w:p>
      <w:pPr>
        <w:spacing w:after="0" w:line="100" w:lineRule="exact"/>
        <w:rPr>
          <w:rFonts w:ascii="Arial" w:cs="Arial" w:eastAsia="Arial" w:hAnsi="Arial"/>
          <w:sz w:val="13"/>
          <w:szCs w:val="13"/>
          <w:color w:val="auto"/>
        </w:rPr>
      </w:pPr>
    </w:p>
    <w:p>
      <w:pPr>
        <w:ind w:left="800" w:right="60" w:hanging="360"/>
        <w:spacing w:after="0" w:line="238" w:lineRule="auto"/>
        <w:tabs>
          <w:tab w:leader="none" w:pos="800" w:val="left"/>
        </w:tabs>
        <w:numPr>
          <w:ilvl w:val="0"/>
          <w:numId w:val="20"/>
        </w:numPr>
        <w:rPr>
          <w:rFonts w:ascii="Arial" w:cs="Arial" w:eastAsia="Arial" w:hAnsi="Arial"/>
          <w:sz w:val="14"/>
          <w:szCs w:val="14"/>
          <w:color w:val="auto"/>
        </w:rPr>
      </w:pPr>
      <w:r>
        <w:rPr>
          <w:rFonts w:ascii="Arial" w:cs="Arial" w:eastAsia="Arial" w:hAnsi="Arial"/>
          <w:sz w:val="14"/>
          <w:szCs w:val="14"/>
          <w:color w:val="auto"/>
        </w:rPr>
        <w:t>The audit committee of our board of directors reviews the preliminary valuations of our Investment Adviser and those of the independent valuation firms on a quarterly basis, periodically assesses the valuation methodologies of the independent valuation firms, and responds to and supplements the valuation recommendations of the independent valuation firms to reflect any comments; and</w:t>
      </w:r>
    </w:p>
    <w:p>
      <w:pPr>
        <w:spacing w:after="0" w:line="115" w:lineRule="exact"/>
        <w:rPr>
          <w:rFonts w:ascii="Arial" w:cs="Arial" w:eastAsia="Arial" w:hAnsi="Arial"/>
          <w:sz w:val="14"/>
          <w:szCs w:val="14"/>
          <w:color w:val="auto"/>
        </w:rPr>
      </w:pPr>
    </w:p>
    <w:p>
      <w:pPr>
        <w:ind w:left="800" w:right="200" w:hanging="360"/>
        <w:spacing w:after="0" w:line="253" w:lineRule="auto"/>
        <w:tabs>
          <w:tab w:leader="none" w:pos="800" w:val="left"/>
        </w:tabs>
        <w:numPr>
          <w:ilvl w:val="0"/>
          <w:numId w:val="20"/>
        </w:numPr>
        <w:rPr>
          <w:rFonts w:ascii="Arial" w:cs="Arial" w:eastAsia="Arial" w:hAnsi="Arial"/>
          <w:sz w:val="14"/>
          <w:szCs w:val="14"/>
          <w:color w:val="auto"/>
        </w:rPr>
      </w:pPr>
      <w:r>
        <w:rPr>
          <w:rFonts w:ascii="Arial" w:cs="Arial" w:eastAsia="Arial" w:hAnsi="Arial"/>
          <w:sz w:val="14"/>
          <w:szCs w:val="14"/>
          <w:color w:val="auto"/>
        </w:rPr>
        <w:t>Our board of directors discusses these valuations and determines the fair value of each investment in our portfolio in good faith, based on the input of our Investment Adviser, the respective independent valuation firms and the audit committee.</w:t>
      </w:r>
    </w:p>
    <w:p>
      <w:pPr>
        <w:spacing w:after="0" w:line="106" w:lineRule="exact"/>
        <w:rPr>
          <w:sz w:val="20"/>
          <w:szCs w:val="20"/>
          <w:color w:val="auto"/>
        </w:rPr>
      </w:pPr>
    </w:p>
    <w:p>
      <w:pPr>
        <w:ind w:right="40" w:firstLine="438"/>
        <w:spacing w:after="0" w:line="255" w:lineRule="auto"/>
        <w:rPr>
          <w:sz w:val="20"/>
          <w:szCs w:val="20"/>
          <w:color w:val="auto"/>
        </w:rPr>
      </w:pPr>
      <w:r>
        <w:rPr>
          <w:rFonts w:ascii="Arial" w:cs="Arial" w:eastAsia="Arial" w:hAnsi="Arial"/>
          <w:sz w:val="13"/>
          <w:szCs w:val="13"/>
          <w:color w:val="auto"/>
        </w:rPr>
        <w:t>Our board of directors generally uses market quotations to assess the value of our investments for which market quotations are readily available. We obtain these market values from independent pricing services or at the bid prices obtained from at least two brokers or dealers, if available, or otherwise from a principal market maker or a primary market dealer. The Investment Adviser assesses the source and reliability of bids from brokers or dealers. If the board of directors has a bona fide reason to believe any such market quote does not reflect the fair value of an investment, it may independently value such investments by using the valuation procedure that it uses with respect to assets for which market quotations are not readily available.</w:t>
      </w:r>
    </w:p>
    <w:p>
      <w:pPr>
        <w:spacing w:after="0" w:line="107" w:lineRule="exact"/>
        <w:rPr>
          <w:sz w:val="20"/>
          <w:szCs w:val="20"/>
          <w:color w:val="auto"/>
        </w:rPr>
      </w:pPr>
    </w:p>
    <w:p>
      <w:pPr>
        <w:ind w:firstLine="438"/>
        <w:spacing w:after="0" w:line="251" w:lineRule="auto"/>
        <w:rPr>
          <w:sz w:val="20"/>
          <w:szCs w:val="20"/>
          <w:color w:val="auto"/>
        </w:rPr>
      </w:pPr>
      <w:r>
        <w:rPr>
          <w:rFonts w:ascii="Arial" w:cs="Arial" w:eastAsia="Arial" w:hAnsi="Arial"/>
          <w:sz w:val="13"/>
          <w:szCs w:val="13"/>
          <w:color w:val="auto"/>
        </w:rPr>
        <w:t>Fair value, as defined under ASC 820, is the price that we would receive upon selling an investment or pay to transfer a liability in an orderly transaction to a market participant in the principal or most advantageous market for the investment or liability. ASC 820 emphasizes that valuation techniques maximize the use of observable market inputs and minimize the use of unobservable inputs. Inputs refer broadly to the assumptions that market participants would use in pricing an asset or liability, including assumptions about risk. Inputs may be observable or unobservable. Observable inputs reflect the assumptions market participants would use in pricing an asset or liability based on market data obtained from sources independent of us. Unobservable inputs reflect the assumptions market participants would use in pricing an asset or liability based on the best information available to us on the reporting period date.</w:t>
      </w:r>
    </w:p>
    <w:p>
      <w:pPr>
        <w:spacing w:after="0" w:line="109" w:lineRule="exact"/>
        <w:rPr>
          <w:sz w:val="20"/>
          <w:szCs w:val="20"/>
          <w:color w:val="auto"/>
        </w:rPr>
      </w:pPr>
    </w:p>
    <w:p>
      <w:pPr>
        <w:ind w:left="440"/>
        <w:spacing w:after="0"/>
        <w:rPr>
          <w:sz w:val="20"/>
          <w:szCs w:val="20"/>
          <w:color w:val="auto"/>
        </w:rPr>
      </w:pPr>
      <w:r>
        <w:rPr>
          <w:rFonts w:ascii="Arial" w:cs="Arial" w:eastAsia="Arial" w:hAnsi="Arial"/>
          <w:sz w:val="14"/>
          <w:szCs w:val="14"/>
          <w:color w:val="auto"/>
        </w:rPr>
        <w:t>ASC 820 classifies the inputs used to measure these fair values into the following hierarchies:</w:t>
      </w:r>
    </w:p>
    <w:p>
      <w:pPr>
        <w:spacing w:after="0" w:line="136" w:lineRule="exact"/>
        <w:rPr>
          <w:sz w:val="20"/>
          <w:szCs w:val="20"/>
          <w:color w:val="auto"/>
        </w:rPr>
      </w:pPr>
    </w:p>
    <w:p>
      <w:pPr>
        <w:ind w:left="440"/>
        <w:spacing w:after="0"/>
        <w:tabs>
          <w:tab w:leader="none" w:pos="1240" w:val="left"/>
        </w:tabs>
        <w:rPr>
          <w:sz w:val="20"/>
          <w:szCs w:val="20"/>
          <w:color w:val="auto"/>
        </w:rPr>
      </w:pPr>
      <w:r>
        <w:rPr>
          <w:rFonts w:ascii="Arial" w:cs="Arial" w:eastAsia="Arial" w:hAnsi="Arial"/>
          <w:sz w:val="14"/>
          <w:szCs w:val="14"/>
          <w:color w:val="auto"/>
        </w:rPr>
        <w:t>Level 1:</w:t>
      </w:r>
      <w:r>
        <w:rPr>
          <w:sz w:val="20"/>
          <w:szCs w:val="20"/>
          <w:color w:val="auto"/>
        </w:rPr>
        <w:tab/>
      </w:r>
      <w:r>
        <w:rPr>
          <w:rFonts w:ascii="Arial" w:cs="Arial" w:eastAsia="Arial" w:hAnsi="Arial"/>
          <w:sz w:val="12"/>
          <w:szCs w:val="12"/>
          <w:color w:val="auto"/>
        </w:rPr>
        <w:t>Inputs that are quoted prices (unadjusted) in active markets for identical assets or liabilities, accessible by us at the measurement date.</w:t>
      </w:r>
    </w:p>
    <w:p>
      <w:pPr>
        <w:spacing w:after="0" w:line="136" w:lineRule="exact"/>
        <w:rPr>
          <w:sz w:val="20"/>
          <w:szCs w:val="20"/>
          <w:color w:val="auto"/>
        </w:rPr>
      </w:pPr>
    </w:p>
    <w:p>
      <w:pPr>
        <w:ind w:left="1260" w:right="20" w:hanging="809"/>
        <w:spacing w:after="0" w:line="290" w:lineRule="auto"/>
        <w:tabs>
          <w:tab w:leader="none" w:pos="1240" w:val="left"/>
        </w:tabs>
        <w:rPr>
          <w:sz w:val="20"/>
          <w:szCs w:val="20"/>
          <w:color w:val="auto"/>
        </w:rPr>
      </w:pPr>
      <w:r>
        <w:rPr>
          <w:rFonts w:ascii="Arial" w:cs="Arial" w:eastAsia="Arial" w:hAnsi="Arial"/>
          <w:sz w:val="14"/>
          <w:szCs w:val="14"/>
          <w:color w:val="auto"/>
        </w:rPr>
        <w:t>Level 2:</w:t>
      </w:r>
      <w:r>
        <w:rPr>
          <w:sz w:val="20"/>
          <w:szCs w:val="20"/>
          <w:color w:val="auto"/>
        </w:rPr>
        <w:tab/>
      </w:r>
      <w:r>
        <w:rPr>
          <w:rFonts w:ascii="Arial" w:cs="Arial" w:eastAsia="Arial" w:hAnsi="Arial"/>
          <w:sz w:val="13"/>
          <w:szCs w:val="13"/>
          <w:color w:val="auto"/>
        </w:rPr>
        <w:t>Inputs that are quoted prices for similar assets or liabilities in active markets, or that are quoted prices for identical or similar assets or liabilities in markets that are not active and inputs that are observable for the asset or liability, either directly or indirectly, for substantially the full term, if applicable, of the financial instrument.</w:t>
      </w:r>
    </w:p>
    <w:p>
      <w:pPr>
        <w:spacing w:after="0" w:line="84" w:lineRule="exact"/>
        <w:rPr>
          <w:sz w:val="20"/>
          <w:szCs w:val="20"/>
          <w:color w:val="auto"/>
        </w:rPr>
      </w:pPr>
    </w:p>
    <w:p>
      <w:pPr>
        <w:ind w:left="440"/>
        <w:spacing w:after="0"/>
        <w:tabs>
          <w:tab w:leader="none" w:pos="1240" w:val="left"/>
        </w:tabs>
        <w:rPr>
          <w:sz w:val="20"/>
          <w:szCs w:val="20"/>
          <w:color w:val="auto"/>
        </w:rPr>
      </w:pPr>
      <w:r>
        <w:rPr>
          <w:rFonts w:ascii="Arial" w:cs="Arial" w:eastAsia="Arial" w:hAnsi="Arial"/>
          <w:sz w:val="14"/>
          <w:szCs w:val="14"/>
          <w:color w:val="auto"/>
        </w:rPr>
        <w:t>Level 3:</w:t>
      </w:r>
      <w:r>
        <w:rPr>
          <w:sz w:val="20"/>
          <w:szCs w:val="20"/>
          <w:color w:val="auto"/>
        </w:rPr>
        <w:tab/>
      </w:r>
      <w:r>
        <w:rPr>
          <w:rFonts w:ascii="Arial" w:cs="Arial" w:eastAsia="Arial" w:hAnsi="Arial"/>
          <w:sz w:val="12"/>
          <w:szCs w:val="12"/>
          <w:color w:val="auto"/>
        </w:rPr>
        <w:t>Inputs that are unobservable for an asset or liability because they are based on our own assumptions about how market participants would price the asset or liability.</w:t>
      </w:r>
    </w:p>
    <w:p>
      <w:pPr>
        <w:spacing w:after="0" w:line="136" w:lineRule="exact"/>
        <w:rPr>
          <w:sz w:val="20"/>
          <w:szCs w:val="20"/>
          <w:color w:val="auto"/>
        </w:rPr>
      </w:pPr>
    </w:p>
    <w:p>
      <w:pPr>
        <w:ind w:firstLine="438"/>
        <w:spacing w:after="0" w:line="264" w:lineRule="auto"/>
        <w:rPr>
          <w:sz w:val="20"/>
          <w:szCs w:val="20"/>
          <w:color w:val="auto"/>
        </w:rPr>
      </w:pPr>
      <w:r>
        <w:rPr>
          <w:rFonts w:ascii="Arial" w:cs="Arial" w:eastAsia="Arial" w:hAnsi="Arial"/>
          <w:sz w:val="13"/>
          <w:szCs w:val="13"/>
          <w:color w:val="auto"/>
        </w:rPr>
        <w:t>A financial instrument’s categorization within the valuation hierarchy is based upon the lowest level of input that is significant to the fair value measurement. Generally, most of our investments, our 2031 Asset-Backed Debt and our Credit Facility are classified as Level 3. Our 2023 Notes are classified as Level 1. Due to the inherent uncertainty of determining the fair value of investments that do not have a readily available market value, the price used in an actual transaction may be different than our valuation and those differences may be material.</w:t>
      </w:r>
    </w:p>
    <w:p>
      <w:pPr>
        <w:spacing w:after="0" w:line="101" w:lineRule="exact"/>
        <w:rPr>
          <w:sz w:val="20"/>
          <w:szCs w:val="20"/>
          <w:color w:val="auto"/>
        </w:rPr>
      </w:pPr>
    </w:p>
    <w:p>
      <w:pPr>
        <w:jc w:val="both"/>
        <w:ind w:right="260" w:firstLine="438"/>
        <w:spacing w:after="0" w:line="238" w:lineRule="auto"/>
        <w:rPr>
          <w:sz w:val="20"/>
          <w:szCs w:val="20"/>
          <w:color w:val="auto"/>
        </w:rPr>
      </w:pPr>
      <w:r>
        <w:rPr>
          <w:rFonts w:ascii="Arial" w:cs="Arial" w:eastAsia="Arial" w:hAnsi="Arial"/>
          <w:sz w:val="14"/>
          <w:szCs w:val="14"/>
          <w:color w:val="auto"/>
        </w:rPr>
        <w:t>In addition to using the above inputs in cash equivalents, investments, our 2023 Notes, our 2031 Asset-Backed Debt and our Credit Facility valuations, we employ the valuation policy approved by our board of directors that is consistent with ASC 820. Consistent with our valuation policy, we evaluate the source of inputs, including any markets in which our investments are trading, in determining fair value.</w:t>
      </w:r>
    </w:p>
    <w:p>
      <w:pPr>
        <w:spacing w:after="0" w:line="115" w:lineRule="exact"/>
        <w:rPr>
          <w:sz w:val="20"/>
          <w:szCs w:val="20"/>
          <w:color w:val="auto"/>
        </w:rPr>
      </w:pPr>
    </w:p>
    <w:p>
      <w:pPr>
        <w:ind w:right="40" w:firstLine="438"/>
        <w:spacing w:after="0" w:line="226" w:lineRule="auto"/>
        <w:rPr>
          <w:sz w:val="20"/>
          <w:szCs w:val="20"/>
          <w:color w:val="auto"/>
        </w:rPr>
      </w:pPr>
      <w:r>
        <w:rPr>
          <w:rFonts w:ascii="Arial" w:cs="Arial" w:eastAsia="Arial" w:hAnsi="Arial"/>
          <w:sz w:val="14"/>
          <w:szCs w:val="14"/>
          <w:color w:val="auto"/>
        </w:rPr>
        <w:t>The carrying value of our consolidated financial liabilities approximates fair value. We have adopted the principles under ASC Subtopic 825-10, Financial Instruments, or ASC 825-10, which provides companies with an option to report selected financial assets and liabilities at fair value, and made an irrevocable election to apply ASC 825-10 to the Credit Facility and the 2023 Notes. We elected to use the fair value option for the Credit Facility and the 2023 Notes to align the measurement attributes of both our assets and liabilities while mitigating volatility in earnings from using different measurement attributes. Due to that election and in accordance with GAAP, we incurred expenses of zero and $4.5 million, respectively, relating to amendment costs on the Credit Facility during the three months ended December 31, 2019 and 2018. ASC 825-10 establishes presentation and disclosure requirements designed to facilitate comparisons between companies that choose different measurement attributes for similar types of assets and liabilities and to more easily understand the effect on earnings of a company’s choice to use fair value. ASC 825-10 also requires entities to display the fair value of the selected assets and liabilities on the face of the Consolidated Statements of Assets and Liabilities and changes in fair value of the Credit Facility and the 2023 Notes are reported in our Consolidated Statements of Operations. We elected not to apply ASC 825-10 to any other financial assets or liabilities, including our 2031 Asset-Backed Debt.</w:t>
      </w:r>
    </w:p>
    <w:p>
      <w:pPr>
        <w:spacing w:after="0" w:line="121" w:lineRule="exact"/>
        <w:rPr>
          <w:sz w:val="20"/>
          <w:szCs w:val="20"/>
          <w:color w:val="auto"/>
        </w:rPr>
      </w:pPr>
    </w:p>
    <w:p>
      <w:pPr>
        <w:ind w:right="20" w:firstLine="438"/>
        <w:spacing w:after="0" w:line="233" w:lineRule="auto"/>
        <w:rPr>
          <w:sz w:val="20"/>
          <w:szCs w:val="20"/>
          <w:color w:val="auto"/>
        </w:rPr>
      </w:pPr>
      <w:r>
        <w:rPr>
          <w:rFonts w:ascii="Arial" w:cs="Arial" w:eastAsia="Arial" w:hAnsi="Arial"/>
          <w:sz w:val="14"/>
          <w:szCs w:val="14"/>
          <w:color w:val="auto"/>
        </w:rPr>
        <w:t>For the three months ended December 31, 2019 and 2018, the Credit Facility and the 2023 Notes had a net change in unrealized depreciation of $1.4 million and $5.5 million, respectively. As of December 31, 2019 and September 30, 2019, the net unrealized depreciation on the Credit Facility and the 2023 Notes totaled million $6.0 and $4.7 million, respectively. We use a nationally recognized independent valuation service to measure the fair value of the Credit Facility in a manner consistent with the valuation process that the board of directors uses to value our investments. Our 2023 Notes trade on the TASE and we use the closing price on the exchange to determine the fair value.</w:t>
      </w:r>
    </w:p>
    <w:p>
      <w:pPr>
        <w:spacing w:after="0" w:line="11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Revenue Recognition</w:t>
      </w:r>
    </w:p>
    <w:p>
      <w:pPr>
        <w:spacing w:after="0" w:line="136" w:lineRule="exact"/>
        <w:rPr>
          <w:sz w:val="20"/>
          <w:szCs w:val="20"/>
          <w:color w:val="auto"/>
        </w:rPr>
      </w:pPr>
    </w:p>
    <w:p>
      <w:pPr>
        <w:ind w:right="40" w:firstLine="438"/>
        <w:spacing w:after="0" w:line="247" w:lineRule="auto"/>
        <w:rPr>
          <w:sz w:val="20"/>
          <w:szCs w:val="20"/>
          <w:color w:val="auto"/>
        </w:rPr>
      </w:pPr>
      <w:r>
        <w:rPr>
          <w:rFonts w:ascii="Arial" w:cs="Arial" w:eastAsia="Arial" w:hAnsi="Arial"/>
          <w:sz w:val="13"/>
          <w:szCs w:val="13"/>
          <w:color w:val="auto"/>
        </w:rPr>
        <w:t>We record interest income on an accrual basis to the extent that we expect to collect such amounts. For loans and debt investments with contractual PIK interest, which represents interest accrued and added to the loan balance that generally becomes due at maturity, we will generally not accrue PIK interest when the portfolio company valuation indicates that such PIK interest is not collectable. We do not accrue as a receivable interest on loans and debt investments if we have reason to doubt our ability to collect such interest. Loan origination fees, OID, market discount or premium and deferred financing costs on liabilities, which we do not fair value, are capitalized and then accreted or amortized using the effective interest method as interest income or, in the case of deferred financing costs, as interest expense. We record prepayment penalties on loans and debt investments as income. Dividend income, if any, is recognized on an accrual basis on the ex-dividend date to the extent that we expect to collect such amounts. From time to time, the Company receives certain fees from portfolio companies, which are non-recurring in nature. Such fees include loan prepayment penalties, structuring fees and amendment fees, and are recorded as other investment income when earned.</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149465"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18" w:right="339" w:bottom="1440" w:gutter="0" w:footer="0" w:header="0"/>
        </w:sectPr>
      </w:pPr>
    </w:p>
    <w:bookmarkStart w:id="34" w:name="page35"/>
    <w:bookmarkEnd w:id="34"/>
    <w:p>
      <w:pPr>
        <w:spacing w:after="0"/>
        <w:rPr>
          <w:sz w:val="20"/>
          <w:szCs w:val="20"/>
          <w:color w:val="auto"/>
        </w:rPr>
      </w:pPr>
      <w:r>
        <w:rPr>
          <w:rFonts w:ascii="Arial" w:cs="Arial" w:eastAsia="Arial" w:hAnsi="Arial"/>
          <w:sz w:val="14"/>
          <w:szCs w:val="14"/>
          <w:b w:val="1"/>
          <w:bCs w:val="1"/>
          <w:i w:val="1"/>
          <w:iCs w:val="1"/>
          <w:color w:val="auto"/>
        </w:rPr>
        <w:t>Net Realized Gains or Losses and Net Change in Unrealized Appreciation or Depreciation</w:t>
      </w:r>
    </w:p>
    <w:p>
      <w:pPr>
        <w:spacing w:after="0" w:line="136" w:lineRule="exact"/>
        <w:rPr>
          <w:sz w:val="20"/>
          <w:szCs w:val="20"/>
          <w:color w:val="auto"/>
        </w:rPr>
      </w:pPr>
    </w:p>
    <w:p>
      <w:pPr>
        <w:ind w:right="40" w:firstLine="438"/>
        <w:spacing w:after="0" w:line="233" w:lineRule="auto"/>
        <w:rPr>
          <w:sz w:val="20"/>
          <w:szCs w:val="20"/>
          <w:color w:val="auto"/>
        </w:rPr>
      </w:pPr>
      <w:r>
        <w:rPr>
          <w:rFonts w:ascii="Arial" w:cs="Arial" w:eastAsia="Arial" w:hAnsi="Arial"/>
          <w:sz w:val="14"/>
          <w:szCs w:val="14"/>
          <w:color w:val="auto"/>
        </w:rPr>
        <w:t>We measure realized gains or losses by the difference between the net proceeds from the repayment or sale and the amortized cost basis of the investment, using the specific identification method, without regard to unrealized appreciation or depreciation previously recognized, but considering unamortized upfront fees and prepayment penalties. Net change in unrealized appreciation or depreciation reflects the change in fair values of our portfolio investments, our Credit Facility and the 2023 Notes during the reporting period, including any reversal of previously recorded unrealized appreciation or depreciation, when gains or losses are realized.</w:t>
      </w:r>
    </w:p>
    <w:p>
      <w:pPr>
        <w:spacing w:after="0" w:line="11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Foreign Currency Translation</w:t>
      </w:r>
    </w:p>
    <w:p>
      <w:pPr>
        <w:spacing w:after="0" w:line="136" w:lineRule="exact"/>
        <w:rPr>
          <w:sz w:val="20"/>
          <w:szCs w:val="20"/>
          <w:color w:val="auto"/>
        </w:rPr>
      </w:pPr>
    </w:p>
    <w:p>
      <w:pPr>
        <w:ind w:left="440"/>
        <w:spacing w:after="0"/>
        <w:rPr>
          <w:sz w:val="20"/>
          <w:szCs w:val="20"/>
          <w:color w:val="auto"/>
        </w:rPr>
      </w:pPr>
      <w:r>
        <w:rPr>
          <w:rFonts w:ascii="Arial" w:cs="Arial" w:eastAsia="Arial" w:hAnsi="Arial"/>
          <w:sz w:val="14"/>
          <w:szCs w:val="14"/>
          <w:color w:val="auto"/>
        </w:rPr>
        <w:t>Our books and records are maintained in U.S. dollars. Any foreign currency amounts are translated into U.S. dollars on the following basis:</w:t>
      </w:r>
    </w:p>
    <w:p>
      <w:pPr>
        <w:spacing w:after="0" w:line="136" w:lineRule="exact"/>
        <w:rPr>
          <w:sz w:val="20"/>
          <w:szCs w:val="20"/>
          <w:color w:val="auto"/>
        </w:rPr>
      </w:pPr>
    </w:p>
    <w:p>
      <w:pPr>
        <w:ind w:left="800" w:hanging="360"/>
        <w:spacing w:after="0"/>
        <w:tabs>
          <w:tab w:leader="none" w:pos="800" w:val="left"/>
        </w:tabs>
        <w:numPr>
          <w:ilvl w:val="0"/>
          <w:numId w:val="21"/>
        </w:numPr>
        <w:rPr>
          <w:rFonts w:ascii="Arial" w:cs="Arial" w:eastAsia="Arial" w:hAnsi="Arial"/>
          <w:sz w:val="14"/>
          <w:szCs w:val="14"/>
          <w:color w:val="auto"/>
        </w:rPr>
      </w:pPr>
      <w:r>
        <w:rPr>
          <w:rFonts w:ascii="Arial" w:cs="Arial" w:eastAsia="Arial" w:hAnsi="Arial"/>
          <w:sz w:val="14"/>
          <w:szCs w:val="14"/>
          <w:color w:val="auto"/>
        </w:rPr>
        <w:t>Fair value of investment securities, other assets and liabilities – at the exchange rates prevailing at the end of the applicable period; and</w:t>
      </w:r>
    </w:p>
    <w:p>
      <w:pPr>
        <w:spacing w:after="0" w:line="136" w:lineRule="exact"/>
        <w:rPr>
          <w:rFonts w:ascii="Arial" w:cs="Arial" w:eastAsia="Arial" w:hAnsi="Arial"/>
          <w:sz w:val="14"/>
          <w:szCs w:val="14"/>
          <w:color w:val="auto"/>
        </w:rPr>
      </w:pPr>
    </w:p>
    <w:p>
      <w:pPr>
        <w:ind w:left="800" w:hanging="360"/>
        <w:spacing w:after="0"/>
        <w:tabs>
          <w:tab w:leader="none" w:pos="800" w:val="left"/>
        </w:tabs>
        <w:numPr>
          <w:ilvl w:val="0"/>
          <w:numId w:val="21"/>
        </w:numPr>
        <w:rPr>
          <w:rFonts w:ascii="Arial" w:cs="Arial" w:eastAsia="Arial" w:hAnsi="Arial"/>
          <w:sz w:val="14"/>
          <w:szCs w:val="14"/>
          <w:color w:val="auto"/>
        </w:rPr>
      </w:pPr>
      <w:r>
        <w:rPr>
          <w:rFonts w:ascii="Arial" w:cs="Arial" w:eastAsia="Arial" w:hAnsi="Arial"/>
          <w:sz w:val="14"/>
          <w:szCs w:val="14"/>
          <w:color w:val="auto"/>
        </w:rPr>
        <w:t>Purchases and sales of investment securities, income and expenses – at the exchange rates prevailing on the respective dates of such transactions.</w:t>
      </w:r>
    </w:p>
    <w:p>
      <w:pPr>
        <w:spacing w:after="0" w:line="136" w:lineRule="exact"/>
        <w:rPr>
          <w:sz w:val="20"/>
          <w:szCs w:val="20"/>
          <w:color w:val="auto"/>
        </w:rPr>
      </w:pPr>
    </w:p>
    <w:p>
      <w:pPr>
        <w:jc w:val="both"/>
        <w:ind w:right="40" w:firstLine="438"/>
        <w:spacing w:after="0" w:line="238" w:lineRule="auto"/>
        <w:rPr>
          <w:sz w:val="20"/>
          <w:szCs w:val="20"/>
          <w:color w:val="auto"/>
        </w:rPr>
      </w:pPr>
      <w:r>
        <w:rPr>
          <w:rFonts w:ascii="Arial" w:cs="Arial" w:eastAsia="Arial" w:hAnsi="Arial"/>
          <w:sz w:val="14"/>
          <w:szCs w:val="14"/>
          <w:color w:val="auto"/>
        </w:rPr>
        <w:t>Although net assets and fair values are presented based on the applicable foreign exchange rates described above, we do not isolate that portion of the results of operations due to changes in foreign exchange rates on investments, other assets and debt from the fluctuations arising from changes in fair values of investments and liabilities held. Such fluctuations are included with the net realized and unrealized gain or loss from investments and liabilities.</w:t>
      </w:r>
    </w:p>
    <w:p>
      <w:pPr>
        <w:spacing w:after="0" w:line="11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PIK Interest</w:t>
      </w:r>
    </w:p>
    <w:p>
      <w:pPr>
        <w:spacing w:after="0" w:line="136" w:lineRule="exact"/>
        <w:rPr>
          <w:sz w:val="20"/>
          <w:szCs w:val="20"/>
          <w:color w:val="auto"/>
        </w:rPr>
      </w:pPr>
    </w:p>
    <w:p>
      <w:pPr>
        <w:jc w:val="both"/>
        <w:ind w:right="140" w:firstLine="438"/>
        <w:spacing w:after="0" w:line="238" w:lineRule="auto"/>
        <w:rPr>
          <w:sz w:val="20"/>
          <w:szCs w:val="20"/>
          <w:color w:val="auto"/>
        </w:rPr>
      </w:pPr>
      <w:r>
        <w:rPr>
          <w:rFonts w:ascii="Arial" w:cs="Arial" w:eastAsia="Arial" w:hAnsi="Arial"/>
          <w:sz w:val="14"/>
          <w:szCs w:val="14"/>
          <w:color w:val="auto"/>
        </w:rPr>
        <w:t>We have investments in our portfolio which contain a PIK interest provision. PIK interest is added to the principal balance of the investment and is recorded as income. In order for us to maintain our ability to be subject to tax as a RIC, substantially all of this income must be paid out to stockholders in the form of dividends for U.S. federal income tax purposes, even though we may not have collected any cash with respect to interest on PIK securities.</w:t>
      </w:r>
    </w:p>
    <w:p>
      <w:pPr>
        <w:spacing w:after="0" w:line="11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Federal Income Taxes</w:t>
      </w:r>
    </w:p>
    <w:p>
      <w:pPr>
        <w:spacing w:after="0" w:line="136" w:lineRule="exact"/>
        <w:rPr>
          <w:sz w:val="20"/>
          <w:szCs w:val="20"/>
          <w:color w:val="auto"/>
        </w:rPr>
      </w:pPr>
    </w:p>
    <w:p>
      <w:pPr>
        <w:ind w:firstLine="438"/>
        <w:spacing w:after="0" w:line="255" w:lineRule="auto"/>
        <w:rPr>
          <w:sz w:val="20"/>
          <w:szCs w:val="20"/>
          <w:color w:val="auto"/>
        </w:rPr>
      </w:pPr>
      <w:r>
        <w:rPr>
          <w:rFonts w:ascii="Arial" w:cs="Arial" w:eastAsia="Arial" w:hAnsi="Arial"/>
          <w:sz w:val="13"/>
          <w:szCs w:val="13"/>
          <w:color w:val="auto"/>
        </w:rPr>
        <w:t>We have elected to be treated, and intend to qualify annually to maintain our election to be treated, as a RIC under Subchapter M of the Code. To maintain our RIC tax election, we must, among other requirements, meet certain annual source-of-income and quarterly asset diversification requirements. We also must annually distribute dividends for U.S. federal income tax purposes to our stockholders out of the assets legally available for distribution of an amount generally at least equal to 90% of the sum of our net ordinary income and realized net short-term capital gains in excess of realized net long-term capital losses, or investment company taxable income, determined without regard to any deduction for dividends paid.</w:t>
      </w:r>
    </w:p>
    <w:p>
      <w:pPr>
        <w:spacing w:after="0" w:line="107" w:lineRule="exact"/>
        <w:rPr>
          <w:sz w:val="20"/>
          <w:szCs w:val="20"/>
          <w:color w:val="auto"/>
        </w:rPr>
      </w:pPr>
    </w:p>
    <w:p>
      <w:pPr>
        <w:ind w:right="60" w:firstLine="438"/>
        <w:spacing w:after="0" w:line="247" w:lineRule="auto"/>
        <w:rPr>
          <w:sz w:val="20"/>
          <w:szCs w:val="20"/>
          <w:color w:val="auto"/>
        </w:rPr>
      </w:pPr>
      <w:r>
        <w:rPr>
          <w:rFonts w:ascii="Arial" w:cs="Arial" w:eastAsia="Arial" w:hAnsi="Arial"/>
          <w:sz w:val="13"/>
          <w:szCs w:val="13"/>
          <w:color w:val="auto"/>
        </w:rPr>
        <w:t>Although not required for us to maintain our RIC tax status, in order to preclude the imposition of a 4% nondeductible federal excise tax imposed on RICs, we must distribute dividends for U.S. federal income tax purposes to our stockholders in respect of each calendar year of an amount at least equal to the sum of (1) 98% of our net ordinary income (subject to certain deferrals and elections) for the calendar year, (2) 98.2% of the excess, if any, of our capital gains over our capital losses, or capital gain net income (adjusted for certain ordinary losses) for the one-year period ending on October 31 of the calendar year plus (3) the sum of any net ordinary income plus capital gain net income for preceding years that was not distributed during such years and on which we did not incur any federal income tax, or the Excise Tax Avoidance Requirement. In addition, although we may distribute realized net capital gains (i.e., net long-term capital gains in excess of net short-term capital losses), if any, at least annually, out of the assets legally available for such distributions in the manner described above, we have retained and may continue to retain such net capital gains or investment company taxable income, contingent on our ability to be subject to tax as a RIC, in order to provide us with additional liquidity.</w:t>
      </w:r>
    </w:p>
    <w:p>
      <w:pPr>
        <w:spacing w:after="0" w:line="111" w:lineRule="exact"/>
        <w:rPr>
          <w:sz w:val="20"/>
          <w:szCs w:val="20"/>
          <w:color w:val="auto"/>
        </w:rPr>
      </w:pPr>
    </w:p>
    <w:p>
      <w:pPr>
        <w:ind w:right="60" w:firstLine="438"/>
        <w:spacing w:after="0" w:line="233" w:lineRule="auto"/>
        <w:rPr>
          <w:sz w:val="20"/>
          <w:szCs w:val="20"/>
          <w:color w:val="auto"/>
        </w:rPr>
      </w:pPr>
      <w:r>
        <w:rPr>
          <w:rFonts w:ascii="Arial" w:cs="Arial" w:eastAsia="Arial" w:hAnsi="Arial"/>
          <w:sz w:val="14"/>
          <w:szCs w:val="14"/>
          <w:color w:val="auto"/>
        </w:rPr>
        <w:t>Because federal income tax regulations differ from GAAP, distributions characterized in accordance with tax regulations may differ from net investment income and net realized gain recognized for financial reporting purposes. Differences between tax regulations and GAAP may be permanent or temporary. Permanent differences are reclassified among capital accounts in the Consolidated Financial Statements to reflect their appropriate tax character. Temporary differences arise when certain items of income, expense, gain or loss are recognized at some time in the future.</w:t>
      </w:r>
    </w:p>
    <w:p>
      <w:pPr>
        <w:spacing w:after="0" w:line="117" w:lineRule="exact"/>
        <w:rPr>
          <w:sz w:val="20"/>
          <w:szCs w:val="20"/>
          <w:color w:val="auto"/>
        </w:rPr>
      </w:pPr>
    </w:p>
    <w:p>
      <w:pPr>
        <w:ind w:right="40" w:firstLine="438"/>
        <w:spacing w:after="0" w:line="290" w:lineRule="auto"/>
        <w:rPr>
          <w:sz w:val="20"/>
          <w:szCs w:val="20"/>
          <w:color w:val="auto"/>
        </w:rPr>
      </w:pPr>
      <w:r>
        <w:rPr>
          <w:rFonts w:ascii="Arial" w:cs="Arial" w:eastAsia="Arial" w:hAnsi="Arial"/>
          <w:sz w:val="13"/>
          <w:szCs w:val="13"/>
          <w:color w:val="auto"/>
        </w:rPr>
        <w:t>We have formed and expect to continue to form certain taxable subsidiaries, including the Taxable Subsidiary, which are subject to tax as corporations. These taxable subsidiaries allow us to hold equity securities of certain portfolio companies treated as pass-through entities for U.S. federal income tax purposes while facilitating our ability to qualify as a RIC under the Code.</w:t>
      </w:r>
    </w:p>
    <w:p>
      <w:pPr>
        <w:spacing w:after="0" w:line="8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RESULTS OF OPERATIONS</w:t>
      </w:r>
    </w:p>
    <w:p>
      <w:pPr>
        <w:spacing w:after="0" w:line="140" w:lineRule="exact"/>
        <w:rPr>
          <w:sz w:val="20"/>
          <w:szCs w:val="20"/>
          <w:color w:val="auto"/>
        </w:rPr>
      </w:pPr>
    </w:p>
    <w:p>
      <w:pPr>
        <w:ind w:left="440"/>
        <w:spacing w:after="0"/>
        <w:rPr>
          <w:sz w:val="20"/>
          <w:szCs w:val="20"/>
          <w:color w:val="auto"/>
        </w:rPr>
      </w:pPr>
      <w:r>
        <w:rPr>
          <w:rFonts w:ascii="Arial" w:cs="Arial" w:eastAsia="Arial" w:hAnsi="Arial"/>
          <w:sz w:val="14"/>
          <w:szCs w:val="14"/>
          <w:color w:val="auto"/>
        </w:rPr>
        <w:t>Set forth below are the results of operations for the three months ended December 31, 2019 and 2018.</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Investment Income</w:t>
      </w:r>
    </w:p>
    <w:p>
      <w:pPr>
        <w:spacing w:after="0" w:line="136" w:lineRule="exact"/>
        <w:rPr>
          <w:sz w:val="20"/>
          <w:szCs w:val="20"/>
          <w:color w:val="auto"/>
        </w:rPr>
      </w:pPr>
    </w:p>
    <w:p>
      <w:pPr>
        <w:ind w:right="80" w:firstLine="438"/>
        <w:spacing w:after="0" w:line="264" w:lineRule="auto"/>
        <w:rPr>
          <w:sz w:val="20"/>
          <w:szCs w:val="20"/>
          <w:color w:val="auto"/>
        </w:rPr>
      </w:pPr>
      <w:r>
        <w:rPr>
          <w:rFonts w:ascii="Arial" w:cs="Arial" w:eastAsia="Arial" w:hAnsi="Arial"/>
          <w:sz w:val="13"/>
          <w:szCs w:val="13"/>
          <w:color w:val="auto"/>
        </w:rPr>
        <w:t>Investment income for the three months ended December 31, 2019 was $24.6 million and was attributable to $22.4 million from first lien secured debt and $2.2 million from other investments. This compares to investment income for the three months ended December 31, 2018, which was $23.2 million and was attributable to $21.1 million from first lien secured debt and $2.1 million from other investments. The increase in investment income compared to the same period in the prior year was primarily due to the growth of our portfolio.</w:t>
      </w:r>
    </w:p>
    <w:p>
      <w:pPr>
        <w:spacing w:after="0" w:line="10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Expenses</w:t>
      </w:r>
    </w:p>
    <w:p>
      <w:pPr>
        <w:spacing w:after="0" w:line="136" w:lineRule="exact"/>
        <w:rPr>
          <w:sz w:val="20"/>
          <w:szCs w:val="20"/>
          <w:color w:val="auto"/>
        </w:rPr>
      </w:pPr>
    </w:p>
    <w:p>
      <w:pPr>
        <w:ind w:right="60" w:firstLine="438"/>
        <w:spacing w:after="0" w:line="228" w:lineRule="auto"/>
        <w:rPr>
          <w:sz w:val="20"/>
          <w:szCs w:val="20"/>
          <w:color w:val="auto"/>
        </w:rPr>
      </w:pPr>
      <w:r>
        <w:rPr>
          <w:rFonts w:ascii="Arial" w:cs="Arial" w:eastAsia="Arial" w:hAnsi="Arial"/>
          <w:sz w:val="14"/>
          <w:szCs w:val="14"/>
          <w:color w:val="auto"/>
        </w:rPr>
        <w:t>Expenses for the three months ended December 31, 2019 totaled $13.5 million. Base management fee for the same period totaled $2.8 million, incentive fee totaled $2.3 million (including $2.3 million on net investment income and zero accrued but not payable on realized gains), debt related interest and expenses totaled $7.3 million, general and administrative expenses totaled $1.0 million, and provision for taxes of $0.1 million. This compares to expenses for the three months ended December 31, 2018, which totaled $12.2 million. Base management fee for the same period totaled $2.5 million, incentive fee totaled $(1.2) million (including $0.2 million on net investment income and $(1.4) million accrued but not payable on realized gains), debt related interest and expenses totaled $9.8 million (including $4.5 million in Credit Facility amendment costs) and general and administrative expenses totaled $1.1 million. The increase in expenses for the three months ended December 31, 2019 compared to the same period in the prior year was primarily due to increase in management and incentive fees and debt related interest and expenses due to the growth of our portfolio in the current period.</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149465"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18" w:right="339" w:bottom="1440" w:gutter="0" w:footer="0" w:header="0"/>
        </w:sectPr>
      </w:pPr>
    </w:p>
    <w:bookmarkStart w:id="35" w:name="page36"/>
    <w:bookmarkEnd w:id="35"/>
    <w:p>
      <w:pPr>
        <w:spacing w:after="0"/>
        <w:rPr>
          <w:sz w:val="20"/>
          <w:szCs w:val="20"/>
          <w:color w:val="auto"/>
        </w:rPr>
      </w:pPr>
      <w:r>
        <w:rPr>
          <w:rFonts w:ascii="Arial" w:cs="Arial" w:eastAsia="Arial" w:hAnsi="Arial"/>
          <w:sz w:val="14"/>
          <w:szCs w:val="14"/>
          <w:b w:val="1"/>
          <w:bCs w:val="1"/>
          <w:i w:val="1"/>
          <w:iCs w:val="1"/>
          <w:color w:val="auto"/>
        </w:rPr>
        <w:t>Net Investment Income</w:t>
      </w:r>
    </w:p>
    <w:p>
      <w:pPr>
        <w:spacing w:after="0" w:line="136" w:lineRule="exact"/>
        <w:rPr>
          <w:sz w:val="20"/>
          <w:szCs w:val="20"/>
          <w:color w:val="auto"/>
        </w:rPr>
      </w:pPr>
    </w:p>
    <w:p>
      <w:pPr>
        <w:ind w:right="80" w:firstLine="438"/>
        <w:spacing w:after="0" w:line="238" w:lineRule="auto"/>
        <w:rPr>
          <w:sz w:val="20"/>
          <w:szCs w:val="20"/>
          <w:color w:val="auto"/>
        </w:rPr>
      </w:pPr>
      <w:r>
        <w:rPr>
          <w:rFonts w:ascii="Arial" w:cs="Arial" w:eastAsia="Arial" w:hAnsi="Arial"/>
          <w:sz w:val="14"/>
          <w:szCs w:val="14"/>
          <w:color w:val="auto"/>
        </w:rPr>
        <w:t>Net investment income totaled $11.1 million or $0.29 per share for the three months ended December 31, 2019. Net investment income totaled $10.9 million or $0.28 per share for the three months ended December 31, 2018, respectively. The change in net investment income compared to the same period in the prior year was primarily due to the growth of our portfolio in the current year as well as financing costs incurred in the prior year.</w:t>
      </w:r>
    </w:p>
    <w:p>
      <w:pPr>
        <w:spacing w:after="0" w:line="11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Net Realized Gains or Losses</w:t>
      </w:r>
    </w:p>
    <w:p>
      <w:pPr>
        <w:spacing w:after="0" w:line="136" w:lineRule="exact"/>
        <w:rPr>
          <w:sz w:val="20"/>
          <w:szCs w:val="20"/>
          <w:color w:val="auto"/>
        </w:rPr>
      </w:pPr>
    </w:p>
    <w:p>
      <w:pPr>
        <w:jc w:val="both"/>
        <w:ind w:right="40" w:firstLine="438"/>
        <w:spacing w:after="0" w:line="238" w:lineRule="auto"/>
        <w:rPr>
          <w:sz w:val="20"/>
          <w:szCs w:val="20"/>
          <w:color w:val="auto"/>
        </w:rPr>
      </w:pPr>
      <w:r>
        <w:rPr>
          <w:rFonts w:ascii="Arial" w:cs="Arial" w:eastAsia="Arial" w:hAnsi="Arial"/>
          <w:sz w:val="14"/>
          <w:szCs w:val="14"/>
          <w:color w:val="auto"/>
        </w:rPr>
        <w:t>Sales and repayments of investments for the three months ended December 31, 2019 totaled $143.7 million and net realized gains totaled $1.0 million. Sales and repayments of investments for the three months ended December 31, 2018 totaled $190.3 million, and net realized gains totaled $0.9 million. The change in realized gains/losses was primarily due to changes in the market conditions of our investments and the values at which they were realized.</w:t>
      </w:r>
    </w:p>
    <w:p>
      <w:pPr>
        <w:spacing w:after="0" w:line="11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Unrealized Appreciation or Depreciation on Investments, the Credit Facility and the 2023 Notes</w:t>
      </w:r>
    </w:p>
    <w:p>
      <w:pPr>
        <w:spacing w:after="0" w:line="136" w:lineRule="exact"/>
        <w:rPr>
          <w:sz w:val="20"/>
          <w:szCs w:val="20"/>
          <w:color w:val="auto"/>
        </w:rPr>
      </w:pPr>
    </w:p>
    <w:p>
      <w:pPr>
        <w:ind w:right="80" w:firstLine="438"/>
        <w:spacing w:after="0" w:line="255" w:lineRule="auto"/>
        <w:rPr>
          <w:sz w:val="20"/>
          <w:szCs w:val="20"/>
          <w:color w:val="auto"/>
        </w:rPr>
      </w:pPr>
      <w:r>
        <w:rPr>
          <w:rFonts w:ascii="Arial" w:cs="Arial" w:eastAsia="Arial" w:hAnsi="Arial"/>
          <w:sz w:val="13"/>
          <w:szCs w:val="13"/>
          <w:color w:val="auto"/>
        </w:rPr>
        <w:t>For the three months ended December 31, 2019, we reported net change in unrealized depreciation on investments of $3.5 million. For the three months ended December 31, 2018, we reported net change in unrealized depreciation on investments of $12.4 million. As of December 31, 2019 and 2018, our net unrealized depreciation on investments totaled $7.0 million and $13.3 million, respectively. The net change in unrealized depreciation on our investments compared to the same period in the prior year was primarily due to changes in the capital market conditions, the financial performance of certain portfolio companies and the reversal of unrealized appreciation/depreciation on investments that were realized.</w:t>
      </w:r>
    </w:p>
    <w:p>
      <w:pPr>
        <w:spacing w:after="0" w:line="107" w:lineRule="exact"/>
        <w:rPr>
          <w:sz w:val="20"/>
          <w:szCs w:val="20"/>
          <w:color w:val="auto"/>
        </w:rPr>
      </w:pPr>
    </w:p>
    <w:p>
      <w:pPr>
        <w:ind w:right="20" w:firstLine="438"/>
        <w:spacing w:after="0" w:line="238" w:lineRule="auto"/>
        <w:rPr>
          <w:sz w:val="20"/>
          <w:szCs w:val="20"/>
          <w:color w:val="auto"/>
        </w:rPr>
      </w:pPr>
      <w:r>
        <w:rPr>
          <w:rFonts w:ascii="Arial" w:cs="Arial" w:eastAsia="Arial" w:hAnsi="Arial"/>
          <w:sz w:val="14"/>
          <w:szCs w:val="14"/>
          <w:color w:val="auto"/>
        </w:rPr>
        <w:t>For the three months ended December 31, 2019 and 2018, the Credit Facility and the 2023 Notes had a net change in unrealized appreciation of $1.4 million and $5.5 million, respectively. As of December 31, 2019 and 2018, the net unrealized depreciation on the Credit Facility and the 2023 Notes totaled $6.0 million and $4.7 million, respectively. The net change in net unrealized depreciation compared to the same period in the prior year was primarily due to changes in the capital markets.</w:t>
      </w:r>
    </w:p>
    <w:p>
      <w:pPr>
        <w:spacing w:after="0" w:line="11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Net Change in Net Assets Resulting from Operations</w:t>
      </w:r>
    </w:p>
    <w:p>
      <w:pPr>
        <w:spacing w:after="0" w:line="136" w:lineRule="exact"/>
        <w:rPr>
          <w:sz w:val="20"/>
          <w:szCs w:val="20"/>
          <w:color w:val="auto"/>
        </w:rPr>
      </w:pPr>
    </w:p>
    <w:p>
      <w:pPr>
        <w:ind w:right="60" w:firstLine="438"/>
        <w:spacing w:after="0" w:line="238" w:lineRule="auto"/>
        <w:rPr>
          <w:sz w:val="20"/>
          <w:szCs w:val="20"/>
          <w:color w:val="auto"/>
        </w:rPr>
      </w:pPr>
      <w:r>
        <w:rPr>
          <w:rFonts w:ascii="Arial" w:cs="Arial" w:eastAsia="Arial" w:hAnsi="Arial"/>
          <w:sz w:val="14"/>
          <w:szCs w:val="14"/>
          <w:color w:val="auto"/>
        </w:rPr>
        <w:t>Net change in net assets resulting from operations totaled $10.0 million or $0.26 per share, respectively, for the three months ended December 31, 2019. This compares to a net change in net assets resulting from operations of $5.0 million or $0.13 per share for the three months ended December 31, 2018. The increase net assets from operations compared to the same period in the prior year was primarily due to appreciation of the portfolio in the current period.</w:t>
      </w:r>
    </w:p>
    <w:p>
      <w:pPr>
        <w:spacing w:after="0" w:line="11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LIQUIDITY AND CAPITAL RESOURCES</w:t>
      </w:r>
    </w:p>
    <w:p>
      <w:pPr>
        <w:spacing w:after="0" w:line="140" w:lineRule="exact"/>
        <w:rPr>
          <w:sz w:val="20"/>
          <w:szCs w:val="20"/>
          <w:color w:val="auto"/>
        </w:rPr>
      </w:pPr>
    </w:p>
    <w:p>
      <w:pPr>
        <w:ind w:firstLine="438"/>
        <w:spacing w:after="0" w:line="231" w:lineRule="auto"/>
        <w:rPr>
          <w:sz w:val="20"/>
          <w:szCs w:val="20"/>
          <w:color w:val="auto"/>
        </w:rPr>
      </w:pPr>
      <w:r>
        <w:rPr>
          <w:rFonts w:ascii="Arial" w:cs="Arial" w:eastAsia="Arial" w:hAnsi="Arial"/>
          <w:sz w:val="14"/>
          <w:szCs w:val="14"/>
          <w:color w:val="auto"/>
        </w:rPr>
        <w:t>Our liquidity and capital resources are derived primarily from proceeds of securities offerings, debt capital and cash flows from operations, including investment sales and repayments, and income earned. Our primary use of funds from operations includes investments in portfolio companies and payments of fees and other operating expenses we incur. We have used, and expect to continue to use, our debt capital, proceeds from the rotation of our portfolio and proceeds from public and private offerings of securities to finance our investment objectives. As of December 31, 2019, in accordance with the 1940 Act, with certain limited exceptions, we are only allowed to borrow amounts such that we are in compliance with a 150% asset coverage ratio requirement after such borrowing.</w:t>
      </w:r>
    </w:p>
    <w:p>
      <w:pPr>
        <w:spacing w:after="0" w:line="116" w:lineRule="exact"/>
        <w:rPr>
          <w:sz w:val="20"/>
          <w:szCs w:val="20"/>
          <w:color w:val="auto"/>
        </w:rPr>
      </w:pPr>
    </w:p>
    <w:p>
      <w:pPr>
        <w:ind w:right="120" w:firstLine="438"/>
        <w:spacing w:after="0" w:line="255" w:lineRule="auto"/>
        <w:rPr>
          <w:sz w:val="20"/>
          <w:szCs w:val="20"/>
          <w:color w:val="auto"/>
        </w:rPr>
      </w:pPr>
      <w:r>
        <w:rPr>
          <w:rFonts w:ascii="Arial" w:cs="Arial" w:eastAsia="Arial" w:hAnsi="Arial"/>
          <w:sz w:val="13"/>
          <w:szCs w:val="13"/>
          <w:color w:val="auto"/>
        </w:rPr>
        <w:t>On April 5, 2018, our board of directors approved the application of the modified asset coverage requirements set forth in Section 61(a)(2) of the 1940 Act, as amended by the Consolidated Appropriations Act of 2018 (which includes the SBCAA). As a result, the asset coverage requirement applicable to us for senior securities was reduced from 200% (i.e., $1 of debt outstanding for each $1 of equity) to 150% (i.e., $2 of debt outstanding for each $1 of equity), effective as of April 5, 2019, subject to compliance with certain disclosure requirements. As of December 31, 2019 and September 30, 2019, our asset coverage ratio, as computed in accordance with the 1940 Act, was 170% and 179%, respectively.</w:t>
      </w:r>
    </w:p>
    <w:p>
      <w:pPr>
        <w:spacing w:after="0" w:line="107" w:lineRule="exact"/>
        <w:rPr>
          <w:sz w:val="20"/>
          <w:szCs w:val="20"/>
          <w:color w:val="auto"/>
        </w:rPr>
      </w:pPr>
    </w:p>
    <w:p>
      <w:pPr>
        <w:ind w:right="60" w:firstLine="438"/>
        <w:spacing w:after="0" w:line="238" w:lineRule="auto"/>
        <w:rPr>
          <w:sz w:val="20"/>
          <w:szCs w:val="20"/>
          <w:color w:val="auto"/>
        </w:rPr>
      </w:pPr>
      <w:r>
        <w:rPr>
          <w:rFonts w:ascii="Arial" w:cs="Arial" w:eastAsia="Arial" w:hAnsi="Arial"/>
          <w:sz w:val="14"/>
          <w:szCs w:val="14"/>
          <w:color w:val="auto"/>
        </w:rPr>
        <w:t>The annualized weighted average cost of debt for the three months ended December 31, 2019 and 2018, inclusive of the fee on the undrawn commitment on the Credit Facility, amendment costs and debt issuance costs, was 4.5% and 5.3%. As of December 31, 2019 and September 30, 2019, we had $184.7 million and $254.7 million of unused borrowing capacity under the Credit Facility, respectively, subject to the regulatory restrictions.</w:t>
      </w:r>
    </w:p>
    <w:p>
      <w:pPr>
        <w:spacing w:after="0" w:line="115" w:lineRule="exact"/>
        <w:rPr>
          <w:sz w:val="20"/>
          <w:szCs w:val="20"/>
          <w:color w:val="auto"/>
        </w:rPr>
      </w:pPr>
    </w:p>
    <w:p>
      <w:pPr>
        <w:ind w:right="260" w:firstLine="438"/>
        <w:spacing w:after="0" w:line="233" w:lineRule="auto"/>
        <w:rPr>
          <w:sz w:val="20"/>
          <w:szCs w:val="20"/>
          <w:color w:val="auto"/>
        </w:rPr>
      </w:pPr>
      <w:r>
        <w:rPr>
          <w:rFonts w:ascii="Arial" w:cs="Arial" w:eastAsia="Arial" w:hAnsi="Arial"/>
          <w:sz w:val="14"/>
          <w:szCs w:val="14"/>
          <w:color w:val="auto"/>
        </w:rPr>
        <w:t>Funding I’s multi-currency Credit Facility with the Lenders was $520 million as of December 31, 2019, subject to satisfaction of certain conditions and regulatory restrictions that the 1940 Act imposes on us as a BDC, has an interest rate spread above LIBOR of 200 basis points, a maturity date of October 2023 and a revolving period that ends in October 2021. As of December 31, 2019 and September 30, 2019, Funding I borrowed $335.3 million and $265.3 under the Credit Facility, respectively. The Credit Facility had a weighted average interest rate of 3.7% and 4.1%, exclusive of the fee on undrawn commitments as of December 31, 2019 and September 30, 2019, respectively.</w:t>
      </w:r>
    </w:p>
    <w:p>
      <w:pPr>
        <w:spacing w:after="0" w:line="117" w:lineRule="exact"/>
        <w:rPr>
          <w:sz w:val="20"/>
          <w:szCs w:val="20"/>
          <w:color w:val="auto"/>
        </w:rPr>
      </w:pPr>
    </w:p>
    <w:p>
      <w:pPr>
        <w:ind w:right="80" w:firstLine="438"/>
        <w:spacing w:after="0" w:line="264" w:lineRule="auto"/>
        <w:rPr>
          <w:sz w:val="20"/>
          <w:szCs w:val="20"/>
          <w:color w:val="auto"/>
        </w:rPr>
      </w:pPr>
      <w:r>
        <w:rPr>
          <w:rFonts w:ascii="Arial" w:cs="Arial" w:eastAsia="Arial" w:hAnsi="Arial"/>
          <w:sz w:val="13"/>
          <w:szCs w:val="13"/>
          <w:color w:val="auto"/>
        </w:rPr>
        <w:t>During the revolving period, the Credit Facility bears interest at LIBOR plus 200 basis points and, after the revolving period, the rate sets to LIBOR plus 425 basis points for the remaining two years, maturing in October 2023. The Credit Facility is secured by all of the assets of Funding I. Both PennantPark Floating Rate Capital Ltd. and Funding I have made customary representations and warranties and are required to comply with various covenants, reporting requirements and other customary requirements for similar credit facilities.</w:t>
      </w:r>
    </w:p>
    <w:p>
      <w:pPr>
        <w:spacing w:after="0" w:line="101" w:lineRule="exact"/>
        <w:rPr>
          <w:sz w:val="20"/>
          <w:szCs w:val="20"/>
          <w:color w:val="auto"/>
        </w:rPr>
      </w:pPr>
    </w:p>
    <w:p>
      <w:pPr>
        <w:ind w:right="40" w:firstLine="438"/>
        <w:spacing w:after="0" w:line="233" w:lineRule="auto"/>
        <w:rPr>
          <w:sz w:val="20"/>
          <w:szCs w:val="20"/>
          <w:color w:val="auto"/>
        </w:rPr>
      </w:pPr>
      <w:r>
        <w:rPr>
          <w:rFonts w:ascii="Arial" w:cs="Arial" w:eastAsia="Arial" w:hAnsi="Arial"/>
          <w:sz w:val="14"/>
          <w:szCs w:val="14"/>
          <w:color w:val="auto"/>
        </w:rPr>
        <w:t>The Credit Facility contains covenants, including but not limited to, restrictions of loan size, currency types and amounts, industry requirements, average life of loans, geographic and individual portfolio concentrations, minimum portfolio yield and loan payment frequency. Additionally, the Credit Facility requires the maintenance of a minimum equity investment in Funding I and income ratio as well as restrictions on certain payments and issuance of debt. The Credit Facility compliance reporting is prepared on a basis of accounting other than GAAP. As of December 31, 2019, we were in compliance with the covenants relating to the Credit Facility.</w:t>
      </w:r>
    </w:p>
    <w:p>
      <w:pPr>
        <w:spacing w:after="0" w:line="117" w:lineRule="exact"/>
        <w:rPr>
          <w:sz w:val="20"/>
          <w:szCs w:val="20"/>
          <w:color w:val="auto"/>
        </w:rPr>
      </w:pPr>
    </w:p>
    <w:p>
      <w:pPr>
        <w:ind w:right="360" w:firstLine="438"/>
        <w:spacing w:after="0" w:line="253" w:lineRule="auto"/>
        <w:rPr>
          <w:sz w:val="20"/>
          <w:szCs w:val="20"/>
          <w:color w:val="auto"/>
        </w:rPr>
      </w:pPr>
      <w:r>
        <w:rPr>
          <w:rFonts w:ascii="Arial" w:cs="Arial" w:eastAsia="Arial" w:hAnsi="Arial"/>
          <w:sz w:val="14"/>
          <w:szCs w:val="14"/>
          <w:color w:val="auto"/>
        </w:rPr>
        <w:t>We own 100% of the equity interest in Funding I and treat the indebtedness of Funding I as our leverage. Our Investment Adviser serves as collateral manager to Funding I under the Credit Facility.</w:t>
      </w:r>
    </w:p>
    <w:p>
      <w:pPr>
        <w:spacing w:after="0" w:line="106" w:lineRule="exact"/>
        <w:rPr>
          <w:sz w:val="20"/>
          <w:szCs w:val="20"/>
          <w:color w:val="auto"/>
        </w:rPr>
      </w:pPr>
    </w:p>
    <w:p>
      <w:pPr>
        <w:ind w:right="20" w:firstLine="438"/>
        <w:spacing w:after="0" w:line="231" w:lineRule="auto"/>
        <w:rPr>
          <w:sz w:val="20"/>
          <w:szCs w:val="20"/>
          <w:color w:val="auto"/>
        </w:rPr>
      </w:pPr>
      <w:r>
        <w:rPr>
          <w:rFonts w:ascii="Arial" w:cs="Arial" w:eastAsia="Arial" w:hAnsi="Arial"/>
          <w:sz w:val="14"/>
          <w:szCs w:val="14"/>
          <w:color w:val="auto"/>
        </w:rPr>
        <w:t>Our interest in Funding I (other than the management fee) is subordinate in priority of payment to every other obligation of Funding I and is subject to certain payment restrictions set forth in the Credit Facility. We may receive cash distributions on our equity interests in Funding I only after it has made (1) all required cash interest and, if applicable, principal payments to the Lenders, (2) required administrative expenses and (3) claims of other unsecured creditors of Funding I. We cannot assure you that there will be sufficient funds available to make any distributions to us or that such distributions will meet our expectations from Funding I. The Investment Adviser has irrevocably directed that the management fee owed with respect to such services is to be paid to the Company so long as the Investment Adviser remains the collateral manager.</w:t>
      </w:r>
    </w:p>
    <w:p>
      <w:pPr>
        <w:spacing w:after="0" w:line="337"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149465"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269" w:right="339" w:bottom="1440" w:gutter="0" w:footer="0" w:header="0"/>
        </w:sectPr>
      </w:pPr>
    </w:p>
    <w:bookmarkStart w:id="36" w:name="page37"/>
    <w:bookmarkEnd w:id="36"/>
    <w:p>
      <w:pPr>
        <w:ind w:left="440"/>
        <w:spacing w:after="0"/>
        <w:rPr>
          <w:sz w:val="20"/>
          <w:szCs w:val="20"/>
          <w:color w:val="auto"/>
        </w:rPr>
      </w:pPr>
      <w:r>
        <w:rPr>
          <w:rFonts w:ascii="Arial" w:cs="Arial" w:eastAsia="Arial" w:hAnsi="Arial"/>
          <w:sz w:val="13"/>
          <w:szCs w:val="13"/>
          <w:color w:val="auto"/>
        </w:rPr>
        <w:t>In November 2017, we issued $138.6 million of our 2023 Notes. The 2023 Notes were issued pursuant to a deed of trust between the Company and Mishmeret Trust Company, Ltd., as</w:t>
      </w:r>
    </w:p>
    <w:p>
      <w:pPr>
        <w:spacing w:after="0" w:line="11" w:lineRule="exact"/>
        <w:rPr>
          <w:sz w:val="20"/>
          <w:szCs w:val="20"/>
          <w:color w:val="auto"/>
        </w:rPr>
      </w:pPr>
    </w:p>
    <w:p>
      <w:pPr>
        <w:spacing w:after="0"/>
        <w:rPr>
          <w:sz w:val="20"/>
          <w:szCs w:val="20"/>
          <w:color w:val="auto"/>
        </w:rPr>
      </w:pPr>
      <w:r>
        <w:rPr>
          <w:rFonts w:ascii="Arial" w:cs="Arial" w:eastAsia="Arial" w:hAnsi="Arial"/>
          <w:sz w:val="14"/>
          <w:szCs w:val="14"/>
          <w:color w:val="auto"/>
        </w:rPr>
        <w:t>trustee.</w:t>
      </w:r>
    </w:p>
    <w:p>
      <w:pPr>
        <w:spacing w:after="0" w:line="124" w:lineRule="exact"/>
        <w:rPr>
          <w:sz w:val="20"/>
          <w:szCs w:val="20"/>
          <w:color w:val="auto"/>
        </w:rPr>
      </w:pPr>
    </w:p>
    <w:p>
      <w:pPr>
        <w:ind w:right="140" w:firstLine="438"/>
        <w:spacing w:after="0" w:line="264" w:lineRule="auto"/>
        <w:rPr>
          <w:sz w:val="20"/>
          <w:szCs w:val="20"/>
          <w:color w:val="auto"/>
        </w:rPr>
      </w:pPr>
      <w:r>
        <w:rPr>
          <w:rFonts w:ascii="Arial" w:cs="Arial" w:eastAsia="Arial" w:hAnsi="Arial"/>
          <w:sz w:val="13"/>
          <w:szCs w:val="13"/>
          <w:color w:val="auto"/>
        </w:rPr>
        <w:t>The 2023 Notes pay interest at a rate of 3.8% per year. Interest on the 2023 Notes is payable semi-annually in arrears on June 15 and December 15 of each year, commencing June 15, 2018. The principal on the 2023 Notes will be payable in four annual installments as follows: 15% of the original principal amount on December 15, 2020, 15% of the original principal amount on December 15, 2021, 15% of the original principal amount on December 15, 2022 and 55% of the original principal amount on December 15, 2023.</w:t>
      </w:r>
    </w:p>
    <w:p>
      <w:pPr>
        <w:spacing w:after="0" w:line="101" w:lineRule="exact"/>
        <w:rPr>
          <w:sz w:val="20"/>
          <w:szCs w:val="20"/>
          <w:color w:val="auto"/>
        </w:rPr>
      </w:pPr>
    </w:p>
    <w:p>
      <w:pPr>
        <w:ind w:right="80" w:firstLine="438"/>
        <w:spacing w:after="0" w:line="233" w:lineRule="auto"/>
        <w:rPr>
          <w:sz w:val="20"/>
          <w:szCs w:val="20"/>
          <w:color w:val="auto"/>
        </w:rPr>
      </w:pPr>
      <w:r>
        <w:rPr>
          <w:rFonts w:ascii="Arial" w:cs="Arial" w:eastAsia="Arial" w:hAnsi="Arial"/>
          <w:sz w:val="14"/>
          <w:szCs w:val="14"/>
          <w:color w:val="auto"/>
        </w:rPr>
        <w:t>The 2023 Notes are general, unsecured obligations, rank equal in right of payment with all of our existing and future senior unsecured indebtedness and are generally redeemable at our option. The deed of trust governing the 2023 Notes includes certain customary covenants, including minimum equity requirements, and events of default. Please refer to the deed of trust filed as Exhibit (d)(8) to our post-effective amendment filed on December 13, 2017 for more information. The 2023 Notes are rated ilA+ by S&amp;P Global Ratings Maalot Ltd. and are listed on the TASE. In connection with this offering, we have dual listed our common stock on the TASE.</w:t>
      </w:r>
    </w:p>
    <w:p>
      <w:pPr>
        <w:spacing w:after="0" w:line="117" w:lineRule="exact"/>
        <w:rPr>
          <w:sz w:val="20"/>
          <w:szCs w:val="20"/>
          <w:color w:val="auto"/>
        </w:rPr>
      </w:pPr>
    </w:p>
    <w:p>
      <w:pPr>
        <w:ind w:right="340" w:firstLine="438"/>
        <w:spacing w:after="0" w:line="253" w:lineRule="auto"/>
        <w:rPr>
          <w:sz w:val="20"/>
          <w:szCs w:val="20"/>
          <w:color w:val="auto"/>
        </w:rPr>
      </w:pPr>
      <w:r>
        <w:rPr>
          <w:rFonts w:ascii="Arial" w:cs="Arial" w:eastAsia="Arial" w:hAnsi="Arial"/>
          <w:sz w:val="14"/>
          <w:szCs w:val="14"/>
          <w:color w:val="auto"/>
        </w:rPr>
        <w:t>The 2023 Notes have not been and will not be registered under the Securities Act and may not be offered or sold in the United States absent registration under the Securities Act or in transactions exempt from, or not subject to, such registration requirements.</w:t>
      </w:r>
    </w:p>
    <w:p>
      <w:pPr>
        <w:spacing w:after="0" w:line="106" w:lineRule="exact"/>
        <w:rPr>
          <w:sz w:val="20"/>
          <w:szCs w:val="20"/>
          <w:color w:val="auto"/>
        </w:rPr>
      </w:pPr>
    </w:p>
    <w:p>
      <w:pPr>
        <w:ind w:right="60" w:firstLine="438"/>
        <w:spacing w:after="0" w:line="152" w:lineRule="exact"/>
        <w:rPr>
          <w:sz w:val="20"/>
          <w:szCs w:val="20"/>
          <w:color w:val="auto"/>
        </w:rPr>
      </w:pPr>
      <w:r>
        <w:rPr>
          <w:rFonts w:ascii="Arial" w:cs="Arial" w:eastAsia="Arial" w:hAnsi="Arial"/>
          <w:sz w:val="13"/>
          <w:szCs w:val="13"/>
          <w:color w:val="auto"/>
        </w:rPr>
        <w:t>In September 2019, the Securitization Issuers completed the Debt Securitization. The 2031 Asset-Backed Debt is secured by the middle market loans, participation interests in middle market loans and other assets of the Securitization Issuer. The Debt Securitization was executed through (A) a private placement of: (i) $78.5 million Class A-1 Senior Secured Floating Rate Notes maturing 2031, which bear interest at the three-month LIBOR plus 1.80%, (ii) $15.0 million Class A-2 Senior Secured Fixed Rate Notes due 2031, which bear interest at 3.66%, (iii) $14.0 million Class B-1 Senior Secured Floating Rate Notes due 2031, which bear interest at the three-month LIBOR plus 2.90%, (iv) $16.0 million Class B-2 Senior Secured Fixed Rate Notes due 2031, which bear interest at 4.266%, (v) $19.0 million Class C</w:t>
      </w:r>
      <w:r>
        <w:rPr>
          <w:rFonts w:ascii="MS PGothic" w:cs="MS PGothic" w:eastAsia="MS PGothic" w:hAnsi="MS PGothic"/>
          <w:sz w:val="13"/>
          <w:szCs w:val="13"/>
          <w:color w:val="auto"/>
        </w:rPr>
        <w:t>‑</w:t>
      </w:r>
      <w:r>
        <w:rPr>
          <w:rFonts w:ascii="Arial" w:cs="Arial" w:eastAsia="Arial" w:hAnsi="Arial"/>
          <w:sz w:val="13"/>
          <w:szCs w:val="13"/>
          <w:color w:val="auto"/>
        </w:rPr>
        <w:t>1 Secured Deferrable Floating Rate Notes due 2031, which bear interest at the three-month LIBOR plus 4.00%, (vi) $8.0 million Class C-2 Secured Deferrable Fixed Rate Notes due 2031, which bear interest at 5.379%, and (vii) $18.0 million Class D Secured Deferrable Floating Rate Notes due 2031, which bear interest at the three-month LIBOR plus 4.75% and (B) the borrowing of $77.5 million Class A</w:t>
      </w:r>
      <w:r>
        <w:rPr>
          <w:rFonts w:ascii="MS PGothic" w:cs="MS PGothic" w:eastAsia="MS PGothic" w:hAnsi="MS PGothic"/>
          <w:sz w:val="13"/>
          <w:szCs w:val="13"/>
          <w:color w:val="auto"/>
        </w:rPr>
        <w:t>‑</w:t>
      </w:r>
      <w:r>
        <w:rPr>
          <w:rFonts w:ascii="Arial" w:cs="Arial" w:eastAsia="Arial" w:hAnsi="Arial"/>
          <w:sz w:val="13"/>
          <w:szCs w:val="13"/>
          <w:color w:val="auto"/>
        </w:rPr>
        <w:t>1 Senior Secured Floating Rate Loans due 2031, which bear interest at the three-month LIBOR plus 1.80%, under a credit agreement by and among the Securitization Issuers, as borrowers, various financial institutions, as lenders, and U.S. Bank National Association, as collateral agent and as loan agent. The 2031 Asset-Backed Debt is scheduled to mature on October 15, 2031.</w:t>
      </w:r>
    </w:p>
    <w:p>
      <w:pPr>
        <w:spacing w:after="0" w:line="117" w:lineRule="exact"/>
        <w:rPr>
          <w:sz w:val="20"/>
          <w:szCs w:val="20"/>
          <w:color w:val="auto"/>
        </w:rPr>
      </w:pPr>
    </w:p>
    <w:p>
      <w:pPr>
        <w:ind w:firstLine="438"/>
        <w:spacing w:after="0" w:line="233" w:lineRule="auto"/>
        <w:rPr>
          <w:sz w:val="20"/>
          <w:szCs w:val="20"/>
          <w:color w:val="auto"/>
        </w:rPr>
      </w:pPr>
      <w:r>
        <w:rPr>
          <w:rFonts w:ascii="Arial" w:cs="Arial" w:eastAsia="Arial" w:hAnsi="Arial"/>
          <w:sz w:val="14"/>
          <w:szCs w:val="14"/>
          <w:color w:val="auto"/>
        </w:rPr>
        <w:t>On the closing date of the Debt Securitization, in consideration of our transfer to the Securitization Issuer of the initial closing date loan portfolio, which included loans distributed to us by our wholly owned subsidiary, the Securitization Issuer transferred to us 100% of the Preferred Shares of the Securitization Issuer, 100% of the Class D Secured Deferrable Floating Rate Notes issued by the Securitization Issuer, and a portion of the net cash proceeds received from the sale of the 2031 Asset-Backed Debt. The Preferred Shares of the Securitization Issuer do not bear interest and had a stated value of $55.4 million at the closing of the Debt Securitization.</w:t>
      </w:r>
    </w:p>
    <w:p>
      <w:pPr>
        <w:spacing w:after="0" w:line="117" w:lineRule="exact"/>
        <w:rPr>
          <w:sz w:val="20"/>
          <w:szCs w:val="20"/>
          <w:color w:val="auto"/>
        </w:rPr>
      </w:pPr>
    </w:p>
    <w:p>
      <w:pPr>
        <w:jc w:val="both"/>
        <w:ind w:right="220" w:firstLine="438"/>
        <w:spacing w:after="0" w:line="238" w:lineRule="auto"/>
        <w:rPr>
          <w:sz w:val="20"/>
          <w:szCs w:val="20"/>
          <w:color w:val="auto"/>
        </w:rPr>
      </w:pPr>
      <w:r>
        <w:rPr>
          <w:rFonts w:ascii="Arial" w:cs="Arial" w:eastAsia="Arial" w:hAnsi="Arial"/>
          <w:sz w:val="14"/>
          <w:szCs w:val="14"/>
          <w:color w:val="auto"/>
        </w:rPr>
        <w:t>The 2031 Asset-Backed Debt constitutes secured obligations of the Securitization Issuers, and the indenture governing the 2031 Asset-Backed Debt includes customary covenants and events of default. The 2031 Asset-Backed Debt has not been, and will not be, registered under the Securities Act or any state securities or “blue sky” laws and may not be offered or sold in the United States absent registration with the SEC or an applicable exemption from registration.</w:t>
      </w:r>
    </w:p>
    <w:p>
      <w:pPr>
        <w:spacing w:after="0" w:line="115" w:lineRule="exact"/>
        <w:rPr>
          <w:sz w:val="20"/>
          <w:szCs w:val="20"/>
          <w:color w:val="auto"/>
        </w:rPr>
      </w:pPr>
    </w:p>
    <w:p>
      <w:pPr>
        <w:ind w:right="120" w:firstLine="438"/>
        <w:spacing w:after="0" w:line="238" w:lineRule="auto"/>
        <w:rPr>
          <w:sz w:val="20"/>
          <w:szCs w:val="20"/>
          <w:color w:val="auto"/>
        </w:rPr>
      </w:pPr>
      <w:r>
        <w:rPr>
          <w:rFonts w:ascii="Arial" w:cs="Arial" w:eastAsia="Arial" w:hAnsi="Arial"/>
          <w:sz w:val="14"/>
          <w:szCs w:val="14"/>
          <w:color w:val="auto"/>
        </w:rPr>
        <w:t>Our Investment Adviser serves as collateral manager to the Securitization Issuer pursuant to a collateral management agreement between our Investment Adviser and the Securitization Issuer, or the Collateral Management Agreement. For so long as our Investment Adviser serves as collateral manager, it will elect to irrevocably waive any collateral management fee to which it may be entitled under the Collateral Management Agreement.</w:t>
      </w:r>
    </w:p>
    <w:p>
      <w:pPr>
        <w:spacing w:after="0" w:line="115" w:lineRule="exact"/>
        <w:rPr>
          <w:sz w:val="20"/>
          <w:szCs w:val="20"/>
          <w:color w:val="auto"/>
        </w:rPr>
      </w:pPr>
    </w:p>
    <w:p>
      <w:pPr>
        <w:ind w:right="20" w:firstLine="438"/>
        <w:spacing w:after="0" w:line="233" w:lineRule="auto"/>
        <w:rPr>
          <w:sz w:val="20"/>
          <w:szCs w:val="20"/>
          <w:color w:val="auto"/>
        </w:rPr>
      </w:pPr>
      <w:r>
        <w:rPr>
          <w:rFonts w:ascii="Arial" w:cs="Arial" w:eastAsia="Arial" w:hAnsi="Arial"/>
          <w:sz w:val="14"/>
          <w:szCs w:val="14"/>
          <w:color w:val="auto"/>
        </w:rPr>
        <w:t>We may raise equity or debt capital through both registered offerings off our shelf registration statement and private offerings of securities, securitizing a portion of our investments among other considerations or mergers and acquisitions. Furthermore, the Credit Facility availability depends on various covenants and restrictions as discussed in the preceding paragraphs. The primary use of existing funds and any funds raised in the future is expected to be for repayment of indebtedness, investments in portfolio companies, cash distributions to our stockholders or for other general corporate purposes. For the three months ended December 31, 2019 and 2018, we issued zero shares, respectively.</w:t>
      </w:r>
    </w:p>
    <w:p>
      <w:pPr>
        <w:spacing w:after="0" w:line="117" w:lineRule="exact"/>
        <w:rPr>
          <w:sz w:val="20"/>
          <w:szCs w:val="20"/>
          <w:color w:val="auto"/>
        </w:rPr>
      </w:pPr>
    </w:p>
    <w:p>
      <w:pPr>
        <w:ind w:right="180" w:firstLine="438"/>
        <w:spacing w:after="0" w:line="253" w:lineRule="auto"/>
        <w:rPr>
          <w:sz w:val="20"/>
          <w:szCs w:val="20"/>
          <w:color w:val="auto"/>
        </w:rPr>
      </w:pPr>
      <w:r>
        <w:rPr>
          <w:rFonts w:ascii="Arial" w:cs="Arial" w:eastAsia="Arial" w:hAnsi="Arial"/>
          <w:sz w:val="14"/>
          <w:szCs w:val="14"/>
          <w:color w:val="auto"/>
        </w:rPr>
        <w:t>As of December 31, 2019 and September 30, 2019, we had cash equivalents of $56.3 million and $63.3 million, respectively, available for investing and general corporate purposes. We believe our liquidity and capital resources are sufficient to take advantage of market opportunities.</w:t>
      </w:r>
    </w:p>
    <w:p>
      <w:pPr>
        <w:spacing w:after="0" w:line="106" w:lineRule="exact"/>
        <w:rPr>
          <w:sz w:val="20"/>
          <w:szCs w:val="20"/>
          <w:color w:val="auto"/>
        </w:rPr>
      </w:pPr>
    </w:p>
    <w:p>
      <w:pPr>
        <w:ind w:right="60" w:firstLine="438"/>
        <w:spacing w:after="0" w:line="238" w:lineRule="auto"/>
        <w:rPr>
          <w:sz w:val="20"/>
          <w:szCs w:val="20"/>
          <w:color w:val="auto"/>
        </w:rPr>
      </w:pPr>
      <w:r>
        <w:rPr>
          <w:rFonts w:ascii="Arial" w:cs="Arial" w:eastAsia="Arial" w:hAnsi="Arial"/>
          <w:sz w:val="14"/>
          <w:szCs w:val="14"/>
          <w:color w:val="auto"/>
        </w:rPr>
        <w:t>Our operating activities used cash of $66.1 million for the three months ended December 31, 2019, and our financing activities provided cash of $58.9 million for the same period. Our operating activities used cash primarily for our investment activities and our financing activities provided cash primarily from draws on our Credit Facility, partially offset by distributions paid to stockholders.</w:t>
      </w:r>
    </w:p>
    <w:p>
      <w:pPr>
        <w:spacing w:after="0" w:line="115" w:lineRule="exact"/>
        <w:rPr>
          <w:sz w:val="20"/>
          <w:szCs w:val="20"/>
          <w:color w:val="auto"/>
        </w:rPr>
      </w:pPr>
    </w:p>
    <w:p>
      <w:pPr>
        <w:ind w:right="60" w:firstLine="438"/>
        <w:spacing w:after="0" w:line="238" w:lineRule="auto"/>
        <w:rPr>
          <w:sz w:val="20"/>
          <w:szCs w:val="20"/>
          <w:color w:val="auto"/>
        </w:rPr>
      </w:pPr>
      <w:r>
        <w:rPr>
          <w:rFonts w:ascii="Arial" w:cs="Arial" w:eastAsia="Arial" w:hAnsi="Arial"/>
          <w:sz w:val="14"/>
          <w:szCs w:val="14"/>
          <w:color w:val="auto"/>
        </w:rPr>
        <w:t>Our operating activities used cash of $43.6 million for the three months ended December 31, 2018 and our financing activities provided cash of $6.1 million for the same period. Our operating activities used cash primarily for our investment activities and our financing activities provided cash primarily from draws on our Credit Facility, partially offset by distributions paid to stockholders.</w:t>
      </w:r>
    </w:p>
    <w:p>
      <w:pPr>
        <w:spacing w:after="0" w:line="11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PennantPark Senior Secured Loan Fund I LLC</w:t>
      </w:r>
    </w:p>
    <w:p>
      <w:pPr>
        <w:spacing w:after="0" w:line="140" w:lineRule="exact"/>
        <w:rPr>
          <w:sz w:val="20"/>
          <w:szCs w:val="20"/>
          <w:color w:val="auto"/>
        </w:rPr>
      </w:pPr>
    </w:p>
    <w:p>
      <w:pPr>
        <w:ind w:right="100" w:firstLine="438"/>
        <w:spacing w:after="0" w:line="264" w:lineRule="auto"/>
        <w:rPr>
          <w:sz w:val="20"/>
          <w:szCs w:val="20"/>
          <w:color w:val="auto"/>
        </w:rPr>
      </w:pPr>
      <w:r>
        <w:rPr>
          <w:rFonts w:ascii="Arial" w:cs="Arial" w:eastAsia="Arial" w:hAnsi="Arial"/>
          <w:sz w:val="13"/>
          <w:szCs w:val="13"/>
          <w:color w:val="auto"/>
        </w:rPr>
        <w:t>In May 2017, we and Kemper formed PSSL, an unconsolidated joint venture. PSSL invests primarily in middle-market and other corporate debt securities consistent with our strategy. PSSL was formed as a Delaware limited liability company. As of December 31, 2019, PSSL had total assets of $507.8 million. As of the same date, we and Kemper had remaining commitments to fund first lien secured debt and equity interests in PSSL in an aggregate amount of $30.5 million. PSSL invests in portfolio companies in the same industries in which we may directly invest.</w:t>
      </w:r>
    </w:p>
    <w:p>
      <w:pPr>
        <w:spacing w:after="0" w:line="101" w:lineRule="exact"/>
        <w:rPr>
          <w:sz w:val="20"/>
          <w:szCs w:val="20"/>
          <w:color w:val="auto"/>
        </w:rPr>
      </w:pPr>
    </w:p>
    <w:p>
      <w:pPr>
        <w:ind w:right="80" w:firstLine="438"/>
        <w:spacing w:after="0" w:line="233" w:lineRule="auto"/>
        <w:rPr>
          <w:sz w:val="20"/>
          <w:szCs w:val="20"/>
          <w:color w:val="auto"/>
        </w:rPr>
      </w:pPr>
      <w:r>
        <w:rPr>
          <w:rFonts w:ascii="Arial" w:cs="Arial" w:eastAsia="Arial" w:hAnsi="Arial"/>
          <w:sz w:val="14"/>
          <w:szCs w:val="14"/>
          <w:color w:val="auto"/>
        </w:rPr>
        <w:t>We provide capital to PSSL in the form of first lien secured debt and equity interests. As of December 31, 2019, we and Kemper owned 87.5% and 12.5%, respectively, of each of the outstanding first lien secured debt and equity interests. As of the same date, our investment in PSSL consisted of first lien secured debt of $122.2 million and equity interests of $52.4 million. As of the same date, we had commitments to fund first lien secured debt to PSSL of $140.9 million, of which $18.7 million was unfunded. As of December 31, 2019, we had commitments to fund equity interests in PSSL of $60.4 million, of which $8.0 million was unfunded</w:t>
      </w:r>
    </w:p>
    <w:p>
      <w:pPr>
        <w:spacing w:after="0" w:line="117" w:lineRule="exact"/>
        <w:rPr>
          <w:sz w:val="20"/>
          <w:szCs w:val="20"/>
          <w:color w:val="auto"/>
        </w:rPr>
      </w:pPr>
    </w:p>
    <w:p>
      <w:pPr>
        <w:ind w:right="120" w:firstLine="438"/>
        <w:spacing w:after="0" w:line="229" w:lineRule="auto"/>
        <w:rPr>
          <w:sz w:val="20"/>
          <w:szCs w:val="20"/>
          <w:color w:val="auto"/>
        </w:rPr>
      </w:pPr>
      <w:r>
        <w:rPr>
          <w:rFonts w:ascii="Arial" w:cs="Arial" w:eastAsia="Arial" w:hAnsi="Arial"/>
          <w:sz w:val="14"/>
          <w:szCs w:val="14"/>
          <w:color w:val="auto"/>
        </w:rPr>
        <w:t>We and Kemper each appointed two members to PSSL’s four person board of directors and investment committee. All material decisions with respect to PSSL, including those involving its investment portfolio, require unanimous approval of a quorum of the board of directors or investment committee. Quorum is defined as (i) the presence of two members of the board of directors or investment committee, provided that at least one individual is present that was elected, designated or appointed by each member; (ii) the presence of three members of the board of directors or investment committee, provided that the individual that was elected, designated or appointed by the member with only one individual present shall be entitled to cast two votes on each matter; and (iii) the presence of four members of the board of directors or investment committee shall constitute a quorum, provided that two individuals are present that were elected, designated or appointed by each member.</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149465"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50" w:right="339" w:bottom="1440" w:gutter="0" w:footer="0" w:header="0"/>
        </w:sectPr>
      </w:pPr>
    </w:p>
    <w:bookmarkStart w:id="37" w:name="page38"/>
    <w:bookmarkEnd w:id="37"/>
    <w:p>
      <w:pPr>
        <w:ind w:right="320" w:firstLine="438"/>
        <w:spacing w:after="0" w:line="253" w:lineRule="auto"/>
        <w:rPr>
          <w:sz w:val="20"/>
          <w:szCs w:val="20"/>
          <w:color w:val="auto"/>
        </w:rPr>
      </w:pPr>
      <w:r>
        <w:rPr>
          <w:rFonts w:ascii="Arial" w:cs="Arial" w:eastAsia="Arial" w:hAnsi="Arial"/>
          <w:sz w:val="14"/>
          <w:szCs w:val="14"/>
          <w:color w:val="auto"/>
        </w:rPr>
        <w:t>Additionally, PSSL has entered into the PSSL Credit Facility, with Capital One, N.A. through its wholly-owned subsidiary, PSSL Subsidiary, which as of December 31, 2019 allowed PSSL Subsidiary to borrow up to $420.0 million at any one time outstanding, subject to leverage and borrowing base restrictions.</w:t>
      </w:r>
    </w:p>
    <w:p>
      <w:pPr>
        <w:spacing w:after="0" w:line="106" w:lineRule="exact"/>
        <w:rPr>
          <w:sz w:val="20"/>
          <w:szCs w:val="20"/>
          <w:color w:val="auto"/>
        </w:rPr>
      </w:pPr>
    </w:p>
    <w:p>
      <w:pPr>
        <w:ind w:left="440"/>
        <w:spacing w:after="0"/>
        <w:rPr>
          <w:sz w:val="20"/>
          <w:szCs w:val="20"/>
          <w:color w:val="auto"/>
        </w:rPr>
      </w:pPr>
      <w:r>
        <w:rPr>
          <w:rFonts w:ascii="Arial" w:cs="Arial" w:eastAsia="Arial" w:hAnsi="Arial"/>
          <w:sz w:val="14"/>
          <w:szCs w:val="14"/>
          <w:color w:val="auto"/>
        </w:rPr>
        <w:t>Below is a summary of PSSL’s portfolio at fair value:</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26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4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w w:val="99"/>
              </w:rPr>
              <w:t>December 31, 2019</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4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97"/>
              </w:rPr>
              <w:t>September 30, 2019</w:t>
            </w:r>
          </w:p>
        </w:tc>
        <w:tc>
          <w:tcPr>
            <w:tcW w:w="20" w:type="dxa"/>
            <w:vAlign w:val="bottom"/>
          </w:tcPr>
          <w:p>
            <w:pPr>
              <w:spacing w:after="0"/>
              <w:rPr>
                <w:sz w:val="14"/>
                <w:szCs w:val="14"/>
                <w:color w:val="auto"/>
              </w:rPr>
            </w:pPr>
          </w:p>
        </w:tc>
      </w:tr>
      <w:tr>
        <w:trPr>
          <w:trHeight w:val="155"/>
        </w:trPr>
        <w:tc>
          <w:tcPr>
            <w:tcW w:w="4260" w:type="dxa"/>
            <w:vAlign w:val="bottom"/>
            <w:tcBorders>
              <w:top w:val="single" w:sz="8" w:color="CCECFF"/>
            </w:tcBorders>
            <w:shd w:val="clear" w:color="auto" w:fill="CCECFF"/>
          </w:tcPr>
          <w:p>
            <w:pPr>
              <w:spacing w:after="0" w:line="155" w:lineRule="exact"/>
              <w:rPr>
                <w:sz w:val="20"/>
                <w:szCs w:val="20"/>
                <w:color w:val="auto"/>
              </w:rPr>
            </w:pPr>
            <w:r>
              <w:rPr>
                <w:rFonts w:ascii="Arial" w:cs="Arial" w:eastAsia="Arial" w:hAnsi="Arial"/>
                <w:sz w:val="14"/>
                <w:szCs w:val="14"/>
                <w:color w:val="auto"/>
              </w:rPr>
              <w:t>Total investments</w:t>
            </w:r>
          </w:p>
        </w:tc>
        <w:tc>
          <w:tcPr>
            <w:tcW w:w="2920" w:type="dxa"/>
            <w:vAlign w:val="bottom"/>
            <w:tcBorders>
              <w:top w:val="single" w:sz="8" w:color="CCECFF"/>
            </w:tcBorders>
            <w:shd w:val="clear" w:color="auto" w:fill="CCECFF"/>
          </w:tcPr>
          <w:p>
            <w:pPr>
              <w:spacing w:after="0"/>
              <w:rPr>
                <w:sz w:val="13"/>
                <w:szCs w:val="13"/>
                <w:color w:val="auto"/>
              </w:rPr>
            </w:pPr>
          </w:p>
        </w:tc>
        <w:tc>
          <w:tcPr>
            <w:tcW w:w="180" w:type="dxa"/>
            <w:vAlign w:val="bottom"/>
            <w:tcBorders>
              <w:top w:val="single" w:sz="8" w:color="auto"/>
            </w:tcBorders>
            <w:shd w:val="clear" w:color="auto" w:fill="CCECFF"/>
          </w:tcPr>
          <w:p>
            <w:pPr>
              <w:jc w:val="right"/>
              <w:ind w:right="69"/>
              <w:spacing w:after="0"/>
              <w:rPr>
                <w:sz w:val="20"/>
                <w:szCs w:val="20"/>
                <w:color w:val="auto"/>
              </w:rPr>
            </w:pPr>
            <w:r>
              <w:rPr>
                <w:rFonts w:ascii="Arial" w:cs="Arial" w:eastAsia="Arial" w:hAnsi="Arial"/>
                <w:sz w:val="10"/>
                <w:szCs w:val="10"/>
                <w:color w:val="auto"/>
                <w:w w:val="71"/>
              </w:rPr>
              <w:t>$</w:t>
            </w:r>
          </w:p>
        </w:tc>
        <w:tc>
          <w:tcPr>
            <w:tcW w:w="162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493,190,805</w:t>
            </w:r>
          </w:p>
        </w:tc>
        <w:tc>
          <w:tcPr>
            <w:tcW w:w="220" w:type="dxa"/>
            <w:vAlign w:val="bottom"/>
            <w:tcBorders>
              <w:top w:val="single" w:sz="8" w:color="CCECFF"/>
            </w:tcBorders>
            <w:shd w:val="clear" w:color="auto" w:fill="CCECFF"/>
          </w:tcPr>
          <w:p>
            <w:pPr>
              <w:spacing w:after="0"/>
              <w:rPr>
                <w:sz w:val="13"/>
                <w:szCs w:val="13"/>
                <w:color w:val="auto"/>
              </w:rPr>
            </w:pPr>
          </w:p>
        </w:tc>
        <w:tc>
          <w:tcPr>
            <w:tcW w:w="100" w:type="dxa"/>
            <w:vAlign w:val="bottom"/>
            <w:tcBorders>
              <w:top w:val="single" w:sz="8" w:color="CCECFF"/>
            </w:tcBorders>
            <w:shd w:val="clear" w:color="auto" w:fill="CCECFF"/>
          </w:tcPr>
          <w:p>
            <w:pPr>
              <w:spacing w:after="0"/>
              <w:rPr>
                <w:sz w:val="13"/>
                <w:szCs w:val="13"/>
                <w:color w:val="auto"/>
              </w:rPr>
            </w:pPr>
          </w:p>
        </w:tc>
        <w:tc>
          <w:tcPr>
            <w:tcW w:w="200" w:type="dxa"/>
            <w:vAlign w:val="bottom"/>
            <w:tcBorders>
              <w:top w:val="single" w:sz="8" w:color="auto"/>
            </w:tcBorders>
            <w:shd w:val="clear" w:color="auto" w:fill="CCECFF"/>
          </w:tcPr>
          <w:p>
            <w:pPr>
              <w:jc w:val="right"/>
              <w:ind w:right="48"/>
              <w:spacing w:after="0" w:line="155" w:lineRule="exact"/>
              <w:rPr>
                <w:sz w:val="20"/>
                <w:szCs w:val="20"/>
                <w:color w:val="auto"/>
              </w:rPr>
            </w:pPr>
            <w:r>
              <w:rPr>
                <w:rFonts w:ascii="Arial" w:cs="Arial" w:eastAsia="Arial" w:hAnsi="Arial"/>
                <w:sz w:val="14"/>
                <w:szCs w:val="14"/>
                <w:color w:val="auto"/>
                <w:w w:val="76"/>
              </w:rPr>
              <w:t>$</w:t>
            </w:r>
          </w:p>
        </w:tc>
        <w:tc>
          <w:tcPr>
            <w:tcW w:w="160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488,549,847</w:t>
            </w:r>
          </w:p>
        </w:tc>
        <w:tc>
          <w:tcPr>
            <w:tcW w:w="140" w:type="dxa"/>
            <w:vAlign w:val="bottom"/>
            <w:tcBorders>
              <w:top w:val="single" w:sz="8" w:color="CCECFF"/>
            </w:tcBorders>
            <w:shd w:val="clear" w:color="auto" w:fill="CCECFF"/>
          </w:tcPr>
          <w:p>
            <w:pPr>
              <w:spacing w:after="0"/>
              <w:rPr>
                <w:sz w:val="13"/>
                <w:szCs w:val="13"/>
                <w:color w:val="auto"/>
              </w:rPr>
            </w:pPr>
          </w:p>
        </w:tc>
        <w:tc>
          <w:tcPr>
            <w:tcW w:w="20" w:type="dxa"/>
            <w:vAlign w:val="bottom"/>
          </w:tcPr>
          <w:p>
            <w:pPr>
              <w:spacing w:after="0"/>
              <w:rPr>
                <w:sz w:val="13"/>
                <w:szCs w:val="13"/>
                <w:color w:val="auto"/>
              </w:rPr>
            </w:pPr>
          </w:p>
        </w:tc>
      </w:tr>
      <w:tr>
        <w:trPr>
          <w:trHeight w:val="162"/>
        </w:trPr>
        <w:tc>
          <w:tcPr>
            <w:tcW w:w="4260" w:type="dxa"/>
            <w:vAlign w:val="bottom"/>
          </w:tcPr>
          <w:p>
            <w:pPr>
              <w:spacing w:after="0"/>
              <w:rPr>
                <w:sz w:val="20"/>
                <w:szCs w:val="20"/>
                <w:color w:val="auto"/>
              </w:rPr>
            </w:pPr>
            <w:r>
              <w:rPr>
                <w:rFonts w:ascii="Arial" w:cs="Arial" w:eastAsia="Arial" w:hAnsi="Arial"/>
                <w:sz w:val="14"/>
                <w:szCs w:val="14"/>
                <w:color w:val="auto"/>
              </w:rPr>
              <w:t>Weighted average yield on debt investments</w:t>
            </w:r>
          </w:p>
        </w:tc>
        <w:tc>
          <w:tcPr>
            <w:tcW w:w="2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40" w:type="dxa"/>
            <w:vAlign w:val="bottom"/>
            <w:gridSpan w:val="2"/>
          </w:tcPr>
          <w:p>
            <w:pPr>
              <w:jc w:val="right"/>
              <w:ind w:right="100"/>
              <w:spacing w:after="0"/>
              <w:rPr>
                <w:sz w:val="20"/>
                <w:szCs w:val="20"/>
                <w:color w:val="auto"/>
              </w:rPr>
            </w:pPr>
            <w:r>
              <w:rPr>
                <w:rFonts w:ascii="Arial" w:cs="Arial" w:eastAsia="Arial" w:hAnsi="Arial"/>
                <w:sz w:val="14"/>
                <w:szCs w:val="14"/>
                <w:color w:val="auto"/>
              </w:rPr>
              <w:t>7.4%</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40" w:type="dxa"/>
            <w:vAlign w:val="bottom"/>
            <w:gridSpan w:val="2"/>
          </w:tcPr>
          <w:p>
            <w:pPr>
              <w:jc w:val="right"/>
              <w:ind w:right="20"/>
              <w:spacing w:after="0"/>
              <w:rPr>
                <w:sz w:val="20"/>
                <w:szCs w:val="20"/>
                <w:color w:val="auto"/>
              </w:rPr>
            </w:pPr>
            <w:r>
              <w:rPr>
                <w:rFonts w:ascii="Arial" w:cs="Arial" w:eastAsia="Arial" w:hAnsi="Arial"/>
                <w:sz w:val="14"/>
                <w:szCs w:val="14"/>
                <w:color w:val="auto"/>
              </w:rPr>
              <w:t>7.6%</w:t>
            </w:r>
          </w:p>
        </w:tc>
        <w:tc>
          <w:tcPr>
            <w:tcW w:w="20" w:type="dxa"/>
            <w:vAlign w:val="bottom"/>
          </w:tcPr>
          <w:p>
            <w:pPr>
              <w:spacing w:after="0"/>
              <w:rPr>
                <w:sz w:val="14"/>
                <w:szCs w:val="14"/>
                <w:color w:val="auto"/>
              </w:rPr>
            </w:pPr>
          </w:p>
        </w:tc>
      </w:tr>
      <w:tr>
        <w:trPr>
          <w:trHeight w:val="162"/>
        </w:trPr>
        <w:tc>
          <w:tcPr>
            <w:tcW w:w="4260" w:type="dxa"/>
            <w:vAlign w:val="bottom"/>
            <w:shd w:val="clear" w:color="auto" w:fill="CCECFF"/>
          </w:tcPr>
          <w:p>
            <w:pPr>
              <w:spacing w:after="0"/>
              <w:rPr>
                <w:sz w:val="20"/>
                <w:szCs w:val="20"/>
                <w:color w:val="auto"/>
              </w:rPr>
            </w:pPr>
            <w:r>
              <w:rPr>
                <w:rFonts w:ascii="Arial" w:cs="Arial" w:eastAsia="Arial" w:hAnsi="Arial"/>
                <w:sz w:val="14"/>
                <w:szCs w:val="14"/>
                <w:color w:val="auto"/>
              </w:rPr>
              <w:t>Number of portfolio companies in PSSL</w:t>
            </w:r>
          </w:p>
        </w:tc>
        <w:tc>
          <w:tcPr>
            <w:tcW w:w="2920" w:type="dxa"/>
            <w:vAlign w:val="bottom"/>
            <w:shd w:val="clear" w:color="auto" w:fill="CCECFF"/>
          </w:tcPr>
          <w:p>
            <w:pPr>
              <w:spacing w:after="0"/>
              <w:rPr>
                <w:sz w:val="14"/>
                <w:szCs w:val="14"/>
                <w:color w:val="auto"/>
              </w:rPr>
            </w:pPr>
          </w:p>
        </w:tc>
        <w:tc>
          <w:tcPr>
            <w:tcW w:w="180" w:type="dxa"/>
            <w:vAlign w:val="bottom"/>
            <w:shd w:val="clear" w:color="auto" w:fill="CCECFF"/>
          </w:tcPr>
          <w:p>
            <w:pPr>
              <w:spacing w:after="0"/>
              <w:rPr>
                <w:sz w:val="14"/>
                <w:szCs w:val="14"/>
                <w:color w:val="auto"/>
              </w:rPr>
            </w:pPr>
          </w:p>
        </w:tc>
        <w:tc>
          <w:tcPr>
            <w:tcW w:w="16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49</w:t>
            </w:r>
          </w:p>
        </w:tc>
        <w:tc>
          <w:tcPr>
            <w:tcW w:w="22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200" w:type="dxa"/>
            <w:vAlign w:val="bottom"/>
            <w:shd w:val="clear" w:color="auto" w:fill="CCECFF"/>
          </w:tcPr>
          <w:p>
            <w:pPr>
              <w:spacing w:after="0"/>
              <w:rPr>
                <w:sz w:val="14"/>
                <w:szCs w:val="14"/>
                <w:color w:val="auto"/>
              </w:rPr>
            </w:pPr>
          </w:p>
        </w:tc>
        <w:tc>
          <w:tcPr>
            <w:tcW w:w="16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45</w:t>
            </w:r>
          </w:p>
        </w:tc>
        <w:tc>
          <w:tcPr>
            <w:tcW w:w="140" w:type="dxa"/>
            <w:vAlign w:val="bottom"/>
            <w:shd w:val="clear" w:color="auto" w:fill="CCECFF"/>
          </w:tcPr>
          <w:p>
            <w:pPr>
              <w:spacing w:after="0"/>
              <w:rPr>
                <w:sz w:val="14"/>
                <w:szCs w:val="14"/>
                <w:color w:val="auto"/>
              </w:rPr>
            </w:pPr>
          </w:p>
        </w:tc>
        <w:tc>
          <w:tcPr>
            <w:tcW w:w="20" w:type="dxa"/>
            <w:vAlign w:val="bottom"/>
          </w:tcPr>
          <w:p>
            <w:pPr>
              <w:spacing w:after="0"/>
              <w:rPr>
                <w:sz w:val="14"/>
                <w:szCs w:val="14"/>
                <w:color w:val="auto"/>
              </w:rPr>
            </w:pPr>
          </w:p>
        </w:tc>
      </w:tr>
      <w:tr>
        <w:trPr>
          <w:trHeight w:val="162"/>
        </w:trPr>
        <w:tc>
          <w:tcPr>
            <w:tcW w:w="4260" w:type="dxa"/>
            <w:vAlign w:val="bottom"/>
          </w:tcPr>
          <w:p>
            <w:pPr>
              <w:spacing w:after="0"/>
              <w:rPr>
                <w:sz w:val="20"/>
                <w:szCs w:val="20"/>
                <w:color w:val="auto"/>
              </w:rPr>
            </w:pPr>
            <w:r>
              <w:rPr>
                <w:rFonts w:ascii="Arial" w:cs="Arial" w:eastAsia="Arial" w:hAnsi="Arial"/>
                <w:sz w:val="14"/>
                <w:szCs w:val="14"/>
                <w:color w:val="auto"/>
              </w:rPr>
              <w:t>Largest portfolio company investment</w:t>
            </w:r>
          </w:p>
        </w:tc>
        <w:tc>
          <w:tcPr>
            <w:tcW w:w="3100" w:type="dxa"/>
            <w:vAlign w:val="bottom"/>
            <w:gridSpan w:val="2"/>
          </w:tcPr>
          <w:p>
            <w:pPr>
              <w:jc w:val="right"/>
              <w:ind w:right="69"/>
              <w:spacing w:after="0"/>
              <w:rPr>
                <w:sz w:val="20"/>
                <w:szCs w:val="20"/>
                <w:color w:val="auto"/>
              </w:rPr>
            </w:pPr>
            <w:r>
              <w:rPr>
                <w:rFonts w:ascii="Arial" w:cs="Arial" w:eastAsia="Arial" w:hAnsi="Arial"/>
                <w:sz w:val="14"/>
                <w:szCs w:val="14"/>
                <w:color w:val="auto"/>
              </w:rPr>
              <w:t>$</w:t>
            </w:r>
          </w:p>
        </w:tc>
        <w:tc>
          <w:tcPr>
            <w:tcW w:w="1620" w:type="dxa"/>
            <w:vAlign w:val="bottom"/>
          </w:tcPr>
          <w:p>
            <w:pPr>
              <w:jc w:val="right"/>
              <w:spacing w:after="0"/>
              <w:rPr>
                <w:sz w:val="20"/>
                <w:szCs w:val="20"/>
                <w:color w:val="auto"/>
              </w:rPr>
            </w:pPr>
            <w:r>
              <w:rPr>
                <w:rFonts w:ascii="Arial" w:cs="Arial" w:eastAsia="Arial" w:hAnsi="Arial"/>
                <w:sz w:val="14"/>
                <w:szCs w:val="14"/>
                <w:color w:val="auto"/>
              </w:rPr>
              <w:t>21,972,451</w:t>
            </w:r>
          </w:p>
        </w:tc>
        <w:tc>
          <w:tcPr>
            <w:tcW w:w="220" w:type="dxa"/>
            <w:vAlign w:val="bottom"/>
          </w:tcPr>
          <w:p>
            <w:pPr>
              <w:spacing w:after="0"/>
              <w:rPr>
                <w:sz w:val="14"/>
                <w:szCs w:val="14"/>
                <w:color w:val="auto"/>
              </w:rPr>
            </w:pPr>
          </w:p>
        </w:tc>
        <w:tc>
          <w:tcPr>
            <w:tcW w:w="300" w:type="dxa"/>
            <w:vAlign w:val="bottom"/>
            <w:gridSpan w:val="2"/>
          </w:tcPr>
          <w:p>
            <w:pPr>
              <w:jc w:val="right"/>
              <w:ind w:right="48"/>
              <w:spacing w:after="0"/>
              <w:rPr>
                <w:sz w:val="20"/>
                <w:szCs w:val="20"/>
                <w:color w:val="auto"/>
              </w:rPr>
            </w:pPr>
            <w:r>
              <w:rPr>
                <w:rFonts w:ascii="Arial" w:cs="Arial" w:eastAsia="Arial" w:hAnsi="Arial"/>
                <w:sz w:val="14"/>
                <w:szCs w:val="14"/>
                <w:color w:val="auto"/>
              </w:rPr>
              <w:t>$</w:t>
            </w:r>
          </w:p>
        </w:tc>
        <w:tc>
          <w:tcPr>
            <w:tcW w:w="1600" w:type="dxa"/>
            <w:vAlign w:val="bottom"/>
          </w:tcPr>
          <w:p>
            <w:pPr>
              <w:jc w:val="right"/>
              <w:spacing w:after="0"/>
              <w:rPr>
                <w:sz w:val="20"/>
                <w:szCs w:val="20"/>
                <w:color w:val="auto"/>
              </w:rPr>
            </w:pPr>
            <w:r>
              <w:rPr>
                <w:rFonts w:ascii="Arial" w:cs="Arial" w:eastAsia="Arial" w:hAnsi="Arial"/>
                <w:sz w:val="14"/>
                <w:szCs w:val="14"/>
                <w:color w:val="auto"/>
              </w:rPr>
              <w:t>22,026,186</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2"/>
        </w:trPr>
        <w:tc>
          <w:tcPr>
            <w:tcW w:w="4260" w:type="dxa"/>
            <w:vAlign w:val="bottom"/>
            <w:shd w:val="clear" w:color="auto" w:fill="CCECFF"/>
          </w:tcPr>
          <w:p>
            <w:pPr>
              <w:spacing w:after="0"/>
              <w:rPr>
                <w:sz w:val="20"/>
                <w:szCs w:val="20"/>
                <w:color w:val="auto"/>
              </w:rPr>
            </w:pPr>
            <w:r>
              <w:rPr>
                <w:rFonts w:ascii="Arial" w:cs="Arial" w:eastAsia="Arial" w:hAnsi="Arial"/>
                <w:sz w:val="14"/>
                <w:szCs w:val="14"/>
                <w:color w:val="auto"/>
              </w:rPr>
              <w:t>Total of five largest portfolio company investments</w:t>
            </w:r>
          </w:p>
        </w:tc>
        <w:tc>
          <w:tcPr>
            <w:tcW w:w="3100" w:type="dxa"/>
            <w:vAlign w:val="bottom"/>
            <w:gridSpan w:val="2"/>
            <w:shd w:val="clear" w:color="auto" w:fill="CCECFF"/>
          </w:tcPr>
          <w:p>
            <w:pPr>
              <w:jc w:val="right"/>
              <w:ind w:right="69"/>
              <w:spacing w:after="0"/>
              <w:rPr>
                <w:sz w:val="20"/>
                <w:szCs w:val="20"/>
                <w:color w:val="auto"/>
              </w:rPr>
            </w:pPr>
            <w:r>
              <w:rPr>
                <w:rFonts w:ascii="Arial" w:cs="Arial" w:eastAsia="Arial" w:hAnsi="Arial"/>
                <w:sz w:val="14"/>
                <w:szCs w:val="14"/>
                <w:color w:val="auto"/>
              </w:rPr>
              <w:t>$</w:t>
            </w:r>
          </w:p>
        </w:tc>
        <w:tc>
          <w:tcPr>
            <w:tcW w:w="16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100,061,867</w:t>
            </w:r>
          </w:p>
        </w:tc>
        <w:tc>
          <w:tcPr>
            <w:tcW w:w="220" w:type="dxa"/>
            <w:vAlign w:val="bottom"/>
            <w:shd w:val="clear" w:color="auto" w:fill="CCECFF"/>
          </w:tcPr>
          <w:p>
            <w:pPr>
              <w:spacing w:after="0"/>
              <w:rPr>
                <w:sz w:val="14"/>
                <w:szCs w:val="14"/>
                <w:color w:val="auto"/>
              </w:rPr>
            </w:pPr>
          </w:p>
        </w:tc>
        <w:tc>
          <w:tcPr>
            <w:tcW w:w="300" w:type="dxa"/>
            <w:vAlign w:val="bottom"/>
            <w:gridSpan w:val="2"/>
            <w:shd w:val="clear" w:color="auto" w:fill="CCECFF"/>
          </w:tcPr>
          <w:p>
            <w:pPr>
              <w:jc w:val="right"/>
              <w:ind w:right="48"/>
              <w:spacing w:after="0"/>
              <w:rPr>
                <w:sz w:val="20"/>
                <w:szCs w:val="20"/>
                <w:color w:val="auto"/>
              </w:rPr>
            </w:pPr>
            <w:r>
              <w:rPr>
                <w:rFonts w:ascii="Arial" w:cs="Arial" w:eastAsia="Arial" w:hAnsi="Arial"/>
                <w:sz w:val="14"/>
                <w:szCs w:val="14"/>
                <w:color w:val="auto"/>
              </w:rPr>
              <w:t>$</w:t>
            </w:r>
          </w:p>
        </w:tc>
        <w:tc>
          <w:tcPr>
            <w:tcW w:w="16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102,872,275</w:t>
            </w:r>
          </w:p>
        </w:tc>
        <w:tc>
          <w:tcPr>
            <w:tcW w:w="140" w:type="dxa"/>
            <w:vAlign w:val="bottom"/>
            <w:shd w:val="clear" w:color="auto" w:fill="CCECFF"/>
          </w:tcPr>
          <w:p>
            <w:pPr>
              <w:spacing w:after="0"/>
              <w:rPr>
                <w:sz w:val="14"/>
                <w:szCs w:val="14"/>
                <w:color w:val="auto"/>
              </w:rPr>
            </w:pPr>
          </w:p>
        </w:tc>
        <w:tc>
          <w:tcPr>
            <w:tcW w:w="20" w:type="dxa"/>
            <w:vAlign w:val="bottom"/>
          </w:tcPr>
          <w:p>
            <w:pPr>
              <w:spacing w:after="0"/>
              <w:rPr>
                <w:sz w:val="14"/>
                <w:szCs w:val="14"/>
                <w:color w:val="auto"/>
              </w:rPr>
            </w:pPr>
          </w:p>
        </w:tc>
      </w:tr>
      <w:tr>
        <w:trPr>
          <w:trHeight w:val="578"/>
        </w:trPr>
        <w:tc>
          <w:tcPr>
            <w:tcW w:w="4260" w:type="dxa"/>
            <w:vAlign w:val="bottom"/>
          </w:tcPr>
          <w:p>
            <w:pPr>
              <w:spacing w:after="0"/>
              <w:rPr>
                <w:sz w:val="24"/>
                <w:szCs w:val="24"/>
                <w:color w:val="auto"/>
              </w:rPr>
            </w:pPr>
          </w:p>
        </w:tc>
        <w:tc>
          <w:tcPr>
            <w:tcW w:w="2920" w:type="dxa"/>
            <w:vAlign w:val="bottom"/>
          </w:tcPr>
          <w:p>
            <w:pPr>
              <w:jc w:val="right"/>
              <w:ind w:right="1431"/>
              <w:spacing w:after="0"/>
              <w:rPr>
                <w:sz w:val="20"/>
                <w:szCs w:val="20"/>
                <w:color w:val="auto"/>
              </w:rPr>
            </w:pPr>
            <w:r>
              <w:rPr>
                <w:rFonts w:ascii="Arial" w:cs="Arial" w:eastAsia="Arial" w:hAnsi="Arial"/>
                <w:sz w:val="13"/>
                <w:szCs w:val="13"/>
                <w:color w:val="auto"/>
              </w:rPr>
              <w:t>38</w:t>
            </w:r>
          </w:p>
        </w:tc>
        <w:tc>
          <w:tcPr>
            <w:tcW w:w="1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04"/>
        </w:trPr>
        <w:tc>
          <w:tcPr>
            <w:tcW w:w="4260" w:type="dxa"/>
            <w:vAlign w:val="bottom"/>
            <w:tcBorders>
              <w:bottom w:val="single" w:sz="8" w:color="9A9A9A"/>
            </w:tcBorders>
          </w:tcPr>
          <w:p>
            <w:pPr>
              <w:spacing w:after="0"/>
              <w:rPr>
                <w:sz w:val="9"/>
                <w:szCs w:val="9"/>
                <w:color w:val="auto"/>
              </w:rPr>
            </w:pPr>
          </w:p>
        </w:tc>
        <w:tc>
          <w:tcPr>
            <w:tcW w:w="292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62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60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269" w:right="319" w:bottom="1440" w:gutter="0" w:footer="0" w:header="0"/>
        </w:sectPr>
      </w:pPr>
    </w:p>
    <w:bookmarkStart w:id="38" w:name="page39"/>
    <w:bookmarkEnd w:id="38"/>
    <w:p>
      <w:pPr>
        <w:ind w:left="440"/>
        <w:spacing w:after="0"/>
        <w:rPr>
          <w:sz w:val="20"/>
          <w:szCs w:val="20"/>
          <w:color w:val="auto"/>
        </w:rPr>
      </w:pPr>
      <w:r>
        <w:rPr>
          <w:rFonts w:ascii="Arial" w:cs="Arial" w:eastAsia="Arial" w:hAnsi="Arial"/>
          <w:sz w:val="14"/>
          <w:szCs w:val="14"/>
          <w:color w:val="auto"/>
        </w:rPr>
        <w:t>Below is a listing of PSSL’s individual investments as of December 31, 2019:</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30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100" w:type="dxa"/>
            <w:vAlign w:val="bottom"/>
            <w:gridSpan w:val="4"/>
          </w:tcPr>
          <w:p>
            <w:pPr>
              <w:jc w:val="center"/>
              <w:ind w:right="220"/>
              <w:spacing w:after="0"/>
              <w:rPr>
                <w:sz w:val="20"/>
                <w:szCs w:val="20"/>
                <w:color w:val="auto"/>
              </w:rPr>
            </w:pPr>
            <w:r>
              <w:rPr>
                <w:rFonts w:ascii="Arial" w:cs="Arial" w:eastAsia="Arial" w:hAnsi="Arial"/>
                <w:sz w:val="11"/>
                <w:szCs w:val="11"/>
                <w:b w:val="1"/>
                <w:bCs w:val="1"/>
                <w:color w:val="auto"/>
                <w:w w:val="86"/>
              </w:rPr>
              <w:t>Basis Point</w:t>
            </w:r>
          </w:p>
        </w:tc>
        <w:tc>
          <w:tcPr>
            <w:tcW w:w="5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0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gridSpan w:val="2"/>
          </w:tcPr>
          <w:p>
            <w:pPr>
              <w:jc w:val="right"/>
              <w:ind w:right="380"/>
              <w:spacing w:after="0" w:line="122" w:lineRule="exact"/>
              <w:rPr>
                <w:sz w:val="20"/>
                <w:szCs w:val="20"/>
                <w:color w:val="auto"/>
              </w:rPr>
            </w:pPr>
            <w:r>
              <w:rPr>
                <w:rFonts w:ascii="Arial" w:cs="Arial" w:eastAsia="Arial" w:hAnsi="Arial"/>
                <w:sz w:val="11"/>
                <w:szCs w:val="11"/>
                <w:b w:val="1"/>
                <w:bCs w:val="1"/>
                <w:color w:val="auto"/>
              </w:rPr>
              <w:t>Current</w:t>
            </w:r>
          </w:p>
        </w:tc>
        <w:tc>
          <w:tcPr>
            <w:tcW w:w="1100" w:type="dxa"/>
            <w:vAlign w:val="bottom"/>
            <w:gridSpan w:val="4"/>
          </w:tcPr>
          <w:p>
            <w:pPr>
              <w:jc w:val="center"/>
              <w:ind w:right="220"/>
              <w:spacing w:after="0" w:line="122" w:lineRule="exact"/>
              <w:rPr>
                <w:sz w:val="20"/>
                <w:szCs w:val="20"/>
                <w:color w:val="auto"/>
              </w:rPr>
            </w:pPr>
            <w:r>
              <w:rPr>
                <w:rFonts w:ascii="Arial" w:cs="Arial" w:eastAsia="Arial" w:hAnsi="Arial"/>
                <w:sz w:val="11"/>
                <w:szCs w:val="11"/>
                <w:b w:val="1"/>
                <w:bCs w:val="1"/>
                <w:color w:val="auto"/>
                <w:w w:val="86"/>
              </w:rPr>
              <w:t>Spread Above</w:t>
            </w:r>
          </w:p>
        </w:tc>
        <w:tc>
          <w:tcPr>
            <w:tcW w:w="5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3060" w:type="dxa"/>
            <w:vAlign w:val="bottom"/>
          </w:tcPr>
          <w:p>
            <w:pPr>
              <w:spacing w:after="0"/>
              <w:rPr>
                <w:sz w:val="20"/>
                <w:szCs w:val="20"/>
                <w:color w:val="auto"/>
              </w:rPr>
            </w:pPr>
            <w:r>
              <w:rPr>
                <w:rFonts w:ascii="Arial" w:cs="Arial" w:eastAsia="Arial" w:hAnsi="Arial"/>
                <w:sz w:val="11"/>
                <w:szCs w:val="11"/>
                <w:b w:val="1"/>
                <w:bCs w:val="1"/>
                <w:color w:val="auto"/>
              </w:rPr>
              <w:t>Issuer Name</w:t>
            </w:r>
          </w:p>
        </w:tc>
        <w:tc>
          <w:tcPr>
            <w:tcW w:w="120" w:type="dxa"/>
            <w:vAlign w:val="bottom"/>
          </w:tcPr>
          <w:p>
            <w:pPr>
              <w:spacing w:after="0"/>
              <w:rPr>
                <w:sz w:val="11"/>
                <w:szCs w:val="11"/>
                <w:color w:val="auto"/>
              </w:rPr>
            </w:pPr>
          </w:p>
        </w:tc>
        <w:tc>
          <w:tcPr>
            <w:tcW w:w="76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w w:val="98"/>
              </w:rPr>
              <w:t>Maturity</w:t>
            </w:r>
          </w:p>
        </w:tc>
        <w:tc>
          <w:tcPr>
            <w:tcW w:w="2760" w:type="dxa"/>
            <w:vAlign w:val="bottom"/>
            <w:gridSpan w:val="2"/>
          </w:tcPr>
          <w:p>
            <w:pPr>
              <w:jc w:val="center"/>
              <w:ind w:right="160"/>
              <w:spacing w:after="0"/>
              <w:rPr>
                <w:sz w:val="20"/>
                <w:szCs w:val="20"/>
                <w:color w:val="auto"/>
              </w:rPr>
            </w:pPr>
            <w:r>
              <w:rPr>
                <w:rFonts w:ascii="Arial" w:cs="Arial" w:eastAsia="Arial" w:hAnsi="Arial"/>
                <w:sz w:val="11"/>
                <w:szCs w:val="11"/>
                <w:b w:val="1"/>
                <w:bCs w:val="1"/>
                <w:color w:val="auto"/>
                <w:w w:val="92"/>
              </w:rPr>
              <w:t>Industry</w:t>
            </w:r>
          </w:p>
        </w:tc>
        <w:tc>
          <w:tcPr>
            <w:tcW w:w="860" w:type="dxa"/>
            <w:vAlign w:val="bottom"/>
            <w:gridSpan w:val="2"/>
          </w:tcPr>
          <w:p>
            <w:pPr>
              <w:jc w:val="right"/>
              <w:ind w:right="380"/>
              <w:spacing w:after="0"/>
              <w:rPr>
                <w:sz w:val="20"/>
                <w:szCs w:val="20"/>
                <w:color w:val="auto"/>
              </w:rPr>
            </w:pPr>
            <w:r>
              <w:rPr>
                <w:rFonts w:ascii="Arial" w:cs="Arial" w:eastAsia="Arial" w:hAnsi="Arial"/>
                <w:sz w:val="11"/>
                <w:szCs w:val="11"/>
                <w:b w:val="1"/>
                <w:bCs w:val="1"/>
                <w:color w:val="auto"/>
              </w:rPr>
              <w:t>Coupon</w:t>
            </w:r>
          </w:p>
        </w:tc>
        <w:tc>
          <w:tcPr>
            <w:tcW w:w="1100" w:type="dxa"/>
            <w:vAlign w:val="bottom"/>
            <w:gridSpan w:val="4"/>
          </w:tcPr>
          <w:p>
            <w:pPr>
              <w:jc w:val="center"/>
              <w:ind w:right="220"/>
              <w:spacing w:after="0"/>
              <w:rPr>
                <w:sz w:val="20"/>
                <w:szCs w:val="20"/>
                <w:color w:val="auto"/>
              </w:rPr>
            </w:pPr>
            <w:r>
              <w:rPr>
                <w:rFonts w:ascii="Arial" w:cs="Arial" w:eastAsia="Arial" w:hAnsi="Arial"/>
                <w:sz w:val="11"/>
                <w:szCs w:val="11"/>
                <w:b w:val="1"/>
                <w:bCs w:val="1"/>
                <w:color w:val="auto"/>
                <w:w w:val="93"/>
              </w:rPr>
              <w:t xml:space="preserve">Index </w:t>
            </w:r>
            <w:r>
              <w:rPr>
                <w:rFonts w:ascii="Arial" w:cs="Arial" w:eastAsia="Arial" w:hAnsi="Arial"/>
                <w:sz w:val="9"/>
                <w:szCs w:val="9"/>
                <w:b w:val="1"/>
                <w:bCs w:val="1"/>
                <w:color w:val="auto"/>
                <w:w w:val="93"/>
              </w:rPr>
              <w:t>(1)</w:t>
            </w:r>
          </w:p>
        </w:tc>
        <w:tc>
          <w:tcPr>
            <w:tcW w:w="580" w:type="dxa"/>
            <w:vAlign w:val="bottom"/>
          </w:tcPr>
          <w:p>
            <w:pPr>
              <w:jc w:val="right"/>
              <w:ind w:right="206"/>
              <w:spacing w:after="0"/>
              <w:rPr>
                <w:sz w:val="20"/>
                <w:szCs w:val="20"/>
                <w:color w:val="auto"/>
              </w:rPr>
            </w:pPr>
            <w:r>
              <w:rPr>
                <w:rFonts w:ascii="Arial" w:cs="Arial" w:eastAsia="Arial" w:hAnsi="Arial"/>
                <w:sz w:val="11"/>
                <w:szCs w:val="11"/>
                <w:b w:val="1"/>
                <w:bCs w:val="1"/>
                <w:color w:val="auto"/>
              </w:rPr>
              <w:t>Par</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ind w:right="186"/>
              <w:spacing w:after="0"/>
              <w:rPr>
                <w:sz w:val="20"/>
                <w:szCs w:val="20"/>
                <w:color w:val="auto"/>
              </w:rPr>
            </w:pPr>
            <w:r>
              <w:rPr>
                <w:rFonts w:ascii="Arial" w:cs="Arial" w:eastAsia="Arial" w:hAnsi="Arial"/>
                <w:sz w:val="11"/>
                <w:szCs w:val="11"/>
                <w:b w:val="1"/>
                <w:bCs w:val="1"/>
                <w:color w:val="auto"/>
              </w:rPr>
              <w:t>Cost</w:t>
            </w:r>
          </w:p>
        </w:tc>
        <w:tc>
          <w:tcPr>
            <w:tcW w:w="220" w:type="dxa"/>
            <w:vAlign w:val="bottom"/>
          </w:tcPr>
          <w:p>
            <w:pPr>
              <w:spacing w:after="0"/>
              <w:rPr>
                <w:sz w:val="11"/>
                <w:szCs w:val="11"/>
                <w:color w:val="auto"/>
              </w:rPr>
            </w:pPr>
          </w:p>
        </w:tc>
        <w:tc>
          <w:tcPr>
            <w:tcW w:w="860" w:type="dxa"/>
            <w:vAlign w:val="bottom"/>
            <w:gridSpan w:val="3"/>
          </w:tcPr>
          <w:p>
            <w:pPr>
              <w:jc w:val="right"/>
              <w:ind w:right="180"/>
              <w:spacing w:after="0"/>
              <w:rPr>
                <w:sz w:val="20"/>
                <w:szCs w:val="20"/>
                <w:color w:val="auto"/>
              </w:rPr>
            </w:pPr>
            <w:r>
              <w:rPr>
                <w:rFonts w:ascii="Arial" w:cs="Arial" w:eastAsia="Arial" w:hAnsi="Arial"/>
                <w:sz w:val="11"/>
                <w:szCs w:val="11"/>
                <w:b w:val="1"/>
                <w:bCs w:val="1"/>
                <w:color w:val="auto"/>
                <w:w w:val="98"/>
              </w:rPr>
              <w:t xml:space="preserve">Fair Value </w:t>
            </w:r>
            <w:r>
              <w:rPr>
                <w:rFonts w:ascii="Arial" w:cs="Arial" w:eastAsia="Arial" w:hAnsi="Arial"/>
                <w:sz w:val="9"/>
                <w:szCs w:val="9"/>
                <w:b w:val="1"/>
                <w:bCs w:val="1"/>
                <w:color w:val="auto"/>
                <w:w w:val="98"/>
              </w:rPr>
              <w:t>(2)</w:t>
            </w:r>
          </w:p>
        </w:tc>
        <w:tc>
          <w:tcPr>
            <w:tcW w:w="0" w:type="dxa"/>
            <w:vAlign w:val="bottom"/>
          </w:tcPr>
          <w:p>
            <w:pPr>
              <w:spacing w:after="0"/>
              <w:rPr>
                <w:sz w:val="1"/>
                <w:szCs w:val="1"/>
                <w:color w:val="auto"/>
              </w:rPr>
            </w:pPr>
          </w:p>
        </w:tc>
      </w:tr>
      <w:tr>
        <w:trPr>
          <w:trHeight w:val="129"/>
        </w:trPr>
        <w:tc>
          <w:tcPr>
            <w:tcW w:w="3060" w:type="dxa"/>
            <w:vAlign w:val="bottom"/>
            <w:tcBorders>
              <w:top w:val="single" w:sz="8" w:color="auto"/>
            </w:tcBorders>
            <w:shd w:val="clear" w:color="auto" w:fill="CCECFF"/>
          </w:tcPr>
          <w:p>
            <w:pPr>
              <w:spacing w:after="0"/>
              <w:rPr>
                <w:sz w:val="20"/>
                <w:szCs w:val="20"/>
                <w:color w:val="auto"/>
              </w:rPr>
            </w:pPr>
            <w:r>
              <w:rPr>
                <w:rFonts w:ascii="Arial" w:cs="Arial" w:eastAsia="Arial" w:hAnsi="Arial"/>
                <w:sz w:val="11"/>
                <w:szCs w:val="11"/>
                <w:b w:val="1"/>
                <w:bCs w:val="1"/>
                <w:color w:val="auto"/>
              </w:rPr>
              <w:t>First Lien Secured Debt</w:t>
            </w:r>
          </w:p>
        </w:tc>
        <w:tc>
          <w:tcPr>
            <w:tcW w:w="120" w:type="dxa"/>
            <w:vAlign w:val="bottom"/>
            <w:tcBorders>
              <w:top w:val="single" w:sz="8" w:color="CCECFF"/>
            </w:tcBorders>
            <w:shd w:val="clear" w:color="auto" w:fill="CCECFF"/>
          </w:tcPr>
          <w:p>
            <w:pPr>
              <w:spacing w:after="0"/>
              <w:rPr>
                <w:sz w:val="11"/>
                <w:szCs w:val="11"/>
                <w:color w:val="auto"/>
              </w:rPr>
            </w:pPr>
          </w:p>
        </w:tc>
        <w:tc>
          <w:tcPr>
            <w:tcW w:w="520" w:type="dxa"/>
            <w:vAlign w:val="bottom"/>
            <w:tcBorders>
              <w:top w:val="single" w:sz="8" w:color="auto"/>
            </w:tcBorders>
            <w:shd w:val="clear" w:color="auto" w:fill="CCECFF"/>
          </w:tcPr>
          <w:p>
            <w:pPr>
              <w:spacing w:after="0"/>
              <w:rPr>
                <w:sz w:val="11"/>
                <w:szCs w:val="11"/>
                <w:color w:val="auto"/>
              </w:rPr>
            </w:pPr>
          </w:p>
        </w:tc>
        <w:tc>
          <w:tcPr>
            <w:tcW w:w="240" w:type="dxa"/>
            <w:vAlign w:val="bottom"/>
            <w:tcBorders>
              <w:top w:val="single" w:sz="8" w:color="CCECFF"/>
            </w:tcBorders>
            <w:shd w:val="clear" w:color="auto" w:fill="CCECFF"/>
          </w:tcPr>
          <w:p>
            <w:pPr>
              <w:spacing w:after="0"/>
              <w:rPr>
                <w:sz w:val="11"/>
                <w:szCs w:val="11"/>
                <w:color w:val="auto"/>
              </w:rPr>
            </w:pPr>
          </w:p>
        </w:tc>
        <w:tc>
          <w:tcPr>
            <w:tcW w:w="2620" w:type="dxa"/>
            <w:vAlign w:val="bottom"/>
            <w:tcBorders>
              <w:top w:val="single" w:sz="8" w:color="auto"/>
            </w:tcBorders>
            <w:shd w:val="clear" w:color="auto" w:fill="CCECFF"/>
          </w:tcPr>
          <w:p>
            <w:pPr>
              <w:spacing w:after="0"/>
              <w:rPr>
                <w:sz w:val="11"/>
                <w:szCs w:val="11"/>
                <w:color w:val="auto"/>
              </w:rPr>
            </w:pPr>
          </w:p>
        </w:tc>
        <w:tc>
          <w:tcPr>
            <w:tcW w:w="140" w:type="dxa"/>
            <w:vAlign w:val="bottom"/>
            <w:tcBorders>
              <w:top w:val="single" w:sz="8" w:color="CCECFF"/>
            </w:tcBorders>
            <w:shd w:val="clear" w:color="auto" w:fill="CCECFF"/>
          </w:tcPr>
          <w:p>
            <w:pPr>
              <w:spacing w:after="0"/>
              <w:rPr>
                <w:sz w:val="11"/>
                <w:szCs w:val="11"/>
                <w:color w:val="auto"/>
              </w:rPr>
            </w:pPr>
          </w:p>
        </w:tc>
        <w:tc>
          <w:tcPr>
            <w:tcW w:w="600" w:type="dxa"/>
            <w:vAlign w:val="bottom"/>
            <w:tcBorders>
              <w:top w:val="single" w:sz="8" w:color="auto"/>
            </w:tcBorders>
            <w:shd w:val="clear" w:color="auto" w:fill="CCECFF"/>
          </w:tcPr>
          <w:p>
            <w:pPr>
              <w:spacing w:after="0"/>
              <w:rPr>
                <w:sz w:val="11"/>
                <w:szCs w:val="11"/>
                <w:color w:val="auto"/>
              </w:rPr>
            </w:pPr>
          </w:p>
        </w:tc>
        <w:tc>
          <w:tcPr>
            <w:tcW w:w="260" w:type="dxa"/>
            <w:vAlign w:val="bottom"/>
            <w:tcBorders>
              <w:top w:val="single" w:sz="8" w:color="CCECFF"/>
            </w:tcBorders>
            <w:shd w:val="clear" w:color="auto" w:fill="CCECFF"/>
          </w:tcPr>
          <w:p>
            <w:pPr>
              <w:spacing w:after="0"/>
              <w:rPr>
                <w:sz w:val="11"/>
                <w:szCs w:val="11"/>
                <w:color w:val="auto"/>
              </w:rPr>
            </w:pPr>
          </w:p>
        </w:tc>
        <w:tc>
          <w:tcPr>
            <w:tcW w:w="560" w:type="dxa"/>
            <w:vAlign w:val="bottom"/>
            <w:tcBorders>
              <w:top w:val="single" w:sz="8" w:color="auto"/>
            </w:tcBorders>
            <w:shd w:val="clear" w:color="auto" w:fill="CCECFF"/>
          </w:tcPr>
          <w:p>
            <w:pPr>
              <w:spacing w:after="0"/>
              <w:rPr>
                <w:sz w:val="11"/>
                <w:szCs w:val="11"/>
                <w:color w:val="auto"/>
              </w:rPr>
            </w:pPr>
          </w:p>
        </w:tc>
        <w:tc>
          <w:tcPr>
            <w:tcW w:w="320" w:type="dxa"/>
            <w:vAlign w:val="bottom"/>
            <w:tcBorders>
              <w:top w:val="single" w:sz="8" w:color="auto"/>
            </w:tcBorders>
            <w:shd w:val="clear" w:color="auto" w:fill="CCECFF"/>
          </w:tcPr>
          <w:p>
            <w:pPr>
              <w:spacing w:after="0"/>
              <w:rPr>
                <w:sz w:val="11"/>
                <w:szCs w:val="11"/>
                <w:color w:val="auto"/>
              </w:rPr>
            </w:pPr>
          </w:p>
        </w:tc>
        <w:tc>
          <w:tcPr>
            <w:tcW w:w="120" w:type="dxa"/>
            <w:vAlign w:val="bottom"/>
            <w:tcBorders>
              <w:top w:val="single" w:sz="8" w:color="CCECFF"/>
            </w:tcBorders>
            <w:shd w:val="clear" w:color="auto" w:fill="CCECFF"/>
          </w:tcPr>
          <w:p>
            <w:pPr>
              <w:spacing w:after="0"/>
              <w:rPr>
                <w:sz w:val="11"/>
                <w:szCs w:val="11"/>
                <w:color w:val="auto"/>
              </w:rPr>
            </w:pPr>
          </w:p>
        </w:tc>
        <w:tc>
          <w:tcPr>
            <w:tcW w:w="100" w:type="dxa"/>
            <w:vAlign w:val="bottom"/>
            <w:tcBorders>
              <w:top w:val="single" w:sz="8" w:color="auto"/>
            </w:tcBorders>
            <w:shd w:val="clear" w:color="auto" w:fill="CCECFF"/>
          </w:tcPr>
          <w:p>
            <w:pPr>
              <w:spacing w:after="0"/>
              <w:rPr>
                <w:sz w:val="11"/>
                <w:szCs w:val="11"/>
                <w:color w:val="auto"/>
              </w:rPr>
            </w:pPr>
          </w:p>
        </w:tc>
        <w:tc>
          <w:tcPr>
            <w:tcW w:w="580" w:type="dxa"/>
            <w:vAlign w:val="bottom"/>
            <w:tcBorders>
              <w:top w:val="single" w:sz="8" w:color="auto"/>
            </w:tcBorders>
            <w:shd w:val="clear" w:color="auto" w:fill="CCECFF"/>
          </w:tcPr>
          <w:p>
            <w:pPr>
              <w:spacing w:after="0"/>
              <w:rPr>
                <w:sz w:val="11"/>
                <w:szCs w:val="11"/>
                <w:color w:val="auto"/>
              </w:rPr>
            </w:pPr>
          </w:p>
        </w:tc>
        <w:tc>
          <w:tcPr>
            <w:tcW w:w="240" w:type="dxa"/>
            <w:vAlign w:val="bottom"/>
            <w:tcBorders>
              <w:top w:val="single" w:sz="8" w:color="CCECFF"/>
            </w:tcBorders>
            <w:shd w:val="clear" w:color="auto" w:fill="CCECFF"/>
          </w:tcPr>
          <w:p>
            <w:pPr>
              <w:spacing w:after="0"/>
              <w:rPr>
                <w:sz w:val="11"/>
                <w:szCs w:val="11"/>
                <w:color w:val="auto"/>
              </w:rPr>
            </w:pPr>
          </w:p>
        </w:tc>
        <w:tc>
          <w:tcPr>
            <w:tcW w:w="80" w:type="dxa"/>
            <w:vAlign w:val="bottom"/>
            <w:tcBorders>
              <w:top w:val="single" w:sz="8" w:color="auto"/>
            </w:tcBorders>
            <w:shd w:val="clear" w:color="auto" w:fill="CCECFF"/>
          </w:tcPr>
          <w:p>
            <w:pPr>
              <w:spacing w:after="0"/>
              <w:rPr>
                <w:sz w:val="11"/>
                <w:szCs w:val="11"/>
                <w:color w:val="auto"/>
              </w:rPr>
            </w:pPr>
          </w:p>
        </w:tc>
        <w:tc>
          <w:tcPr>
            <w:tcW w:w="600" w:type="dxa"/>
            <w:vAlign w:val="bottom"/>
            <w:tcBorders>
              <w:top w:val="single" w:sz="8" w:color="auto"/>
            </w:tcBorders>
            <w:shd w:val="clear" w:color="auto" w:fill="CCECFF"/>
          </w:tcPr>
          <w:p>
            <w:pPr>
              <w:spacing w:after="0"/>
              <w:rPr>
                <w:sz w:val="11"/>
                <w:szCs w:val="11"/>
                <w:color w:val="auto"/>
              </w:rPr>
            </w:pPr>
          </w:p>
        </w:tc>
        <w:tc>
          <w:tcPr>
            <w:tcW w:w="220" w:type="dxa"/>
            <w:vAlign w:val="bottom"/>
            <w:tcBorders>
              <w:top w:val="single" w:sz="8" w:color="CCECFF"/>
            </w:tcBorders>
            <w:shd w:val="clear" w:color="auto" w:fill="CCECFF"/>
          </w:tcPr>
          <w:p>
            <w:pPr>
              <w:spacing w:after="0"/>
              <w:rPr>
                <w:sz w:val="11"/>
                <w:szCs w:val="11"/>
                <w:color w:val="auto"/>
              </w:rPr>
            </w:pPr>
          </w:p>
        </w:tc>
        <w:tc>
          <w:tcPr>
            <w:tcW w:w="100" w:type="dxa"/>
            <w:vAlign w:val="bottom"/>
            <w:tcBorders>
              <w:top w:val="single" w:sz="8" w:color="auto"/>
            </w:tcBorders>
            <w:shd w:val="clear" w:color="auto" w:fill="CCECFF"/>
          </w:tcPr>
          <w:p>
            <w:pPr>
              <w:spacing w:after="0"/>
              <w:rPr>
                <w:sz w:val="11"/>
                <w:szCs w:val="11"/>
                <w:color w:val="auto"/>
              </w:rPr>
            </w:pPr>
          </w:p>
        </w:tc>
        <w:tc>
          <w:tcPr>
            <w:tcW w:w="640" w:type="dxa"/>
            <w:vAlign w:val="bottom"/>
            <w:tcBorders>
              <w:top w:val="single" w:sz="8" w:color="auto"/>
            </w:tcBorders>
            <w:shd w:val="clear" w:color="auto" w:fill="CCECFF"/>
          </w:tcPr>
          <w:p>
            <w:pPr>
              <w:spacing w:after="0"/>
              <w:rPr>
                <w:sz w:val="11"/>
                <w:szCs w:val="11"/>
                <w:color w:val="auto"/>
              </w:rPr>
            </w:pPr>
          </w:p>
        </w:tc>
        <w:tc>
          <w:tcPr>
            <w:tcW w:w="120" w:type="dxa"/>
            <w:vAlign w:val="bottom"/>
            <w:tcBorders>
              <w:top w:val="single" w:sz="8" w:color="CCECFF"/>
            </w:tcBorders>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tcPr>
          <w:p>
            <w:pPr>
              <w:spacing w:after="0"/>
              <w:rPr>
                <w:sz w:val="20"/>
                <w:szCs w:val="20"/>
                <w:color w:val="auto"/>
              </w:rPr>
            </w:pPr>
            <w:r>
              <w:rPr>
                <w:rFonts w:ascii="Arial" w:cs="Arial" w:eastAsia="Arial" w:hAnsi="Arial"/>
                <w:sz w:val="11"/>
                <w:szCs w:val="11"/>
                <w:color w:val="auto"/>
              </w:rPr>
              <w:t>Altamira Technologies, LLC</w:t>
            </w:r>
          </w:p>
        </w:tc>
        <w:tc>
          <w:tcPr>
            <w:tcW w:w="640" w:type="dxa"/>
            <w:vAlign w:val="bottom"/>
            <w:gridSpan w:val="2"/>
          </w:tcPr>
          <w:p>
            <w:pPr>
              <w:jc w:val="center"/>
              <w:ind w:left="66"/>
              <w:spacing w:after="0"/>
              <w:rPr>
                <w:sz w:val="20"/>
                <w:szCs w:val="20"/>
                <w:color w:val="auto"/>
              </w:rPr>
            </w:pPr>
            <w:r>
              <w:rPr>
                <w:rFonts w:ascii="Arial" w:cs="Arial" w:eastAsia="Arial" w:hAnsi="Arial"/>
                <w:sz w:val="11"/>
                <w:szCs w:val="11"/>
                <w:color w:val="auto"/>
                <w:w w:val="87"/>
              </w:rPr>
              <w:t>07/24/2025</w:t>
            </w:r>
          </w:p>
        </w:tc>
        <w:tc>
          <w:tcPr>
            <w:tcW w:w="240" w:type="dxa"/>
            <w:vAlign w:val="bottom"/>
          </w:tcPr>
          <w:p>
            <w:pPr>
              <w:spacing w:after="0"/>
              <w:rPr>
                <w:sz w:val="11"/>
                <w:szCs w:val="11"/>
                <w:color w:val="auto"/>
              </w:rPr>
            </w:pPr>
          </w:p>
        </w:tc>
        <w:tc>
          <w:tcPr>
            <w:tcW w:w="2760" w:type="dxa"/>
            <w:vAlign w:val="bottom"/>
            <w:gridSpan w:val="2"/>
          </w:tcPr>
          <w:p>
            <w:pPr>
              <w:jc w:val="center"/>
              <w:ind w:right="140"/>
              <w:spacing w:after="0"/>
              <w:rPr>
                <w:sz w:val="20"/>
                <w:szCs w:val="20"/>
                <w:color w:val="auto"/>
              </w:rPr>
            </w:pPr>
            <w:r>
              <w:rPr>
                <w:rFonts w:ascii="Arial" w:cs="Arial" w:eastAsia="Arial" w:hAnsi="Arial"/>
                <w:sz w:val="11"/>
                <w:szCs w:val="11"/>
                <w:color w:val="auto"/>
                <w:w w:val="89"/>
              </w:rPr>
              <w:t>High Tech Industries</w:t>
            </w:r>
          </w:p>
        </w:tc>
        <w:tc>
          <w:tcPr>
            <w:tcW w:w="860" w:type="dxa"/>
            <w:vAlign w:val="bottom"/>
            <w:gridSpan w:val="2"/>
          </w:tcPr>
          <w:p>
            <w:pPr>
              <w:jc w:val="right"/>
              <w:ind w:right="180"/>
              <w:spacing w:after="0"/>
              <w:rPr>
                <w:sz w:val="20"/>
                <w:szCs w:val="20"/>
                <w:color w:val="auto"/>
              </w:rPr>
            </w:pPr>
            <w:r>
              <w:rPr>
                <w:rFonts w:ascii="Arial" w:cs="Arial" w:eastAsia="Arial" w:hAnsi="Arial"/>
                <w:sz w:val="11"/>
                <w:szCs w:val="11"/>
                <w:color w:val="auto"/>
              </w:rPr>
              <w:t>7.93%</w:t>
            </w:r>
          </w:p>
        </w:tc>
        <w:tc>
          <w:tcPr>
            <w:tcW w:w="560" w:type="dxa"/>
            <w:vAlign w:val="bottom"/>
          </w:tcPr>
          <w:p>
            <w:pPr>
              <w:ind w:left="400"/>
              <w:spacing w:after="0"/>
              <w:rPr>
                <w:sz w:val="20"/>
                <w:szCs w:val="20"/>
                <w:color w:val="auto"/>
              </w:rPr>
            </w:pPr>
            <w:r>
              <w:rPr>
                <w:rFonts w:ascii="Arial" w:cs="Arial" w:eastAsia="Arial" w:hAnsi="Arial"/>
                <w:sz w:val="11"/>
                <w:szCs w:val="11"/>
                <w:color w:val="auto"/>
                <w:w w:val="91"/>
              </w:rPr>
              <w:t>3M</w:t>
            </w:r>
          </w:p>
        </w:tc>
        <w:tc>
          <w:tcPr>
            <w:tcW w:w="540" w:type="dxa"/>
            <w:vAlign w:val="bottom"/>
            <w:gridSpan w:val="3"/>
          </w:tcPr>
          <w:p>
            <w:pPr>
              <w:jc w:val="right"/>
              <w:ind w:right="220"/>
              <w:spacing w:after="0"/>
              <w:rPr>
                <w:sz w:val="20"/>
                <w:szCs w:val="20"/>
                <w:color w:val="auto"/>
              </w:rPr>
            </w:pPr>
            <w:r>
              <w:rPr>
                <w:rFonts w:ascii="Arial" w:cs="Arial" w:eastAsia="Arial" w:hAnsi="Arial"/>
                <w:sz w:val="11"/>
                <w:szCs w:val="11"/>
                <w:color w:val="auto"/>
                <w:w w:val="96"/>
              </w:rPr>
              <w:t>L+600</w:t>
            </w:r>
          </w:p>
        </w:tc>
        <w:tc>
          <w:tcPr>
            <w:tcW w:w="580" w:type="dxa"/>
            <w:vAlign w:val="bottom"/>
          </w:tcPr>
          <w:p>
            <w:pPr>
              <w:jc w:val="right"/>
              <w:spacing w:after="0"/>
              <w:rPr>
                <w:sz w:val="20"/>
                <w:szCs w:val="20"/>
                <w:color w:val="auto"/>
              </w:rPr>
            </w:pPr>
            <w:r>
              <w:rPr>
                <w:rFonts w:ascii="Arial" w:cs="Arial" w:eastAsia="Arial" w:hAnsi="Arial"/>
                <w:sz w:val="11"/>
                <w:szCs w:val="11"/>
                <w:color w:val="auto"/>
              </w:rPr>
              <w:t>4,968,750</w:t>
            </w:r>
          </w:p>
        </w:tc>
        <w:tc>
          <w:tcPr>
            <w:tcW w:w="320" w:type="dxa"/>
            <w:vAlign w:val="bottom"/>
            <w:gridSpan w:val="2"/>
          </w:tcPr>
          <w:p>
            <w:pPr>
              <w:jc w:val="right"/>
              <w:ind w:right="40"/>
              <w:spacing w:after="0"/>
              <w:rPr>
                <w:sz w:val="20"/>
                <w:szCs w:val="20"/>
                <w:color w:val="auto"/>
              </w:rPr>
            </w:pPr>
            <w:r>
              <w:rPr>
                <w:rFonts w:ascii="Arial" w:cs="Arial" w:eastAsia="Arial" w:hAnsi="Arial"/>
                <w:sz w:val="11"/>
                <w:szCs w:val="11"/>
                <w:color w:val="auto"/>
              </w:rPr>
              <w:t>$</w:t>
            </w:r>
          </w:p>
        </w:tc>
        <w:tc>
          <w:tcPr>
            <w:tcW w:w="600" w:type="dxa"/>
            <w:vAlign w:val="bottom"/>
          </w:tcPr>
          <w:p>
            <w:pPr>
              <w:jc w:val="right"/>
              <w:spacing w:after="0"/>
              <w:rPr>
                <w:sz w:val="20"/>
                <w:szCs w:val="20"/>
                <w:color w:val="auto"/>
              </w:rPr>
            </w:pPr>
            <w:r>
              <w:rPr>
                <w:rFonts w:ascii="Arial" w:cs="Arial" w:eastAsia="Arial" w:hAnsi="Arial"/>
                <w:sz w:val="11"/>
                <w:szCs w:val="11"/>
                <w:color w:val="auto"/>
              </w:rPr>
              <w:t>4,898,753</w:t>
            </w:r>
          </w:p>
        </w:tc>
        <w:tc>
          <w:tcPr>
            <w:tcW w:w="32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640" w:type="dxa"/>
            <w:vAlign w:val="bottom"/>
          </w:tcPr>
          <w:p>
            <w:pPr>
              <w:jc w:val="right"/>
              <w:spacing w:after="0"/>
              <w:rPr>
                <w:sz w:val="20"/>
                <w:szCs w:val="20"/>
                <w:color w:val="auto"/>
              </w:rPr>
            </w:pPr>
            <w:r>
              <w:rPr>
                <w:rFonts w:ascii="Arial" w:cs="Arial" w:eastAsia="Arial" w:hAnsi="Arial"/>
                <w:sz w:val="11"/>
                <w:szCs w:val="11"/>
                <w:color w:val="auto"/>
              </w:rPr>
              <w:t>4,968,750</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shd w:val="clear" w:color="auto" w:fill="CCECFF"/>
          </w:tcPr>
          <w:p>
            <w:pPr>
              <w:spacing w:after="0"/>
              <w:rPr>
                <w:sz w:val="20"/>
                <w:szCs w:val="20"/>
                <w:color w:val="auto"/>
              </w:rPr>
            </w:pPr>
            <w:r>
              <w:rPr>
                <w:rFonts w:ascii="Arial" w:cs="Arial" w:eastAsia="Arial" w:hAnsi="Arial"/>
                <w:sz w:val="11"/>
                <w:szCs w:val="11"/>
                <w:color w:val="auto"/>
              </w:rPr>
              <w:t>American Auto Auction Group, LLC</w:t>
            </w:r>
          </w:p>
        </w:tc>
        <w:tc>
          <w:tcPr>
            <w:tcW w:w="64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87"/>
              </w:rPr>
              <w:t>01/02/2024</w:t>
            </w:r>
          </w:p>
        </w:tc>
        <w:tc>
          <w:tcPr>
            <w:tcW w:w="24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9"/>
              </w:rPr>
              <w:t>Transportation: Consumer</w:t>
            </w:r>
          </w:p>
        </w:tc>
        <w:tc>
          <w:tcPr>
            <w:tcW w:w="86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6.55%</w:t>
            </w:r>
          </w:p>
        </w:tc>
        <w:tc>
          <w:tcPr>
            <w:tcW w:w="560" w:type="dxa"/>
            <w:vAlign w:val="bottom"/>
            <w:shd w:val="clear" w:color="auto" w:fill="CCECFF"/>
          </w:tcPr>
          <w:p>
            <w:pPr>
              <w:ind w:left="400"/>
              <w:spacing w:after="0"/>
              <w:rPr>
                <w:sz w:val="20"/>
                <w:szCs w:val="20"/>
                <w:color w:val="auto"/>
              </w:rPr>
            </w:pPr>
            <w:r>
              <w:rPr>
                <w:rFonts w:ascii="Arial" w:cs="Arial" w:eastAsia="Arial" w:hAnsi="Arial"/>
                <w:sz w:val="11"/>
                <w:szCs w:val="11"/>
                <w:color w:val="auto"/>
                <w:w w:val="91"/>
              </w:rPr>
              <w:t>3M</w:t>
            </w:r>
          </w:p>
        </w:tc>
        <w:tc>
          <w:tcPr>
            <w:tcW w:w="540" w:type="dxa"/>
            <w:vAlign w:val="bottom"/>
            <w:gridSpan w:val="3"/>
            <w:shd w:val="clear" w:color="auto" w:fill="CCECFF"/>
          </w:tcPr>
          <w:p>
            <w:pPr>
              <w:jc w:val="right"/>
              <w:ind w:right="220"/>
              <w:spacing w:after="0"/>
              <w:rPr>
                <w:sz w:val="20"/>
                <w:szCs w:val="20"/>
                <w:color w:val="auto"/>
              </w:rPr>
            </w:pPr>
            <w:r>
              <w:rPr>
                <w:rFonts w:ascii="Arial" w:cs="Arial" w:eastAsia="Arial" w:hAnsi="Arial"/>
                <w:sz w:val="11"/>
                <w:szCs w:val="11"/>
                <w:color w:val="auto"/>
                <w:w w:val="96"/>
              </w:rPr>
              <w:t>L+475</w:t>
            </w: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7,729,555</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7,654,681</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7,652,259</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tcPr>
          <w:p>
            <w:pPr>
              <w:spacing w:after="0"/>
              <w:rPr>
                <w:sz w:val="20"/>
                <w:szCs w:val="20"/>
                <w:color w:val="auto"/>
              </w:rPr>
            </w:pPr>
            <w:r>
              <w:rPr>
                <w:rFonts w:ascii="Arial" w:cs="Arial" w:eastAsia="Arial" w:hAnsi="Arial"/>
                <w:sz w:val="11"/>
                <w:szCs w:val="11"/>
                <w:color w:val="auto"/>
              </w:rPr>
              <w:t>By Light Professional IT Services, LLC</w:t>
            </w:r>
          </w:p>
        </w:tc>
        <w:tc>
          <w:tcPr>
            <w:tcW w:w="640" w:type="dxa"/>
            <w:vAlign w:val="bottom"/>
            <w:gridSpan w:val="2"/>
          </w:tcPr>
          <w:p>
            <w:pPr>
              <w:jc w:val="center"/>
              <w:ind w:left="66"/>
              <w:spacing w:after="0"/>
              <w:rPr>
                <w:sz w:val="20"/>
                <w:szCs w:val="20"/>
                <w:color w:val="auto"/>
              </w:rPr>
            </w:pPr>
            <w:r>
              <w:rPr>
                <w:rFonts w:ascii="Arial" w:cs="Arial" w:eastAsia="Arial" w:hAnsi="Arial"/>
                <w:sz w:val="11"/>
                <w:szCs w:val="11"/>
                <w:color w:val="auto"/>
                <w:w w:val="87"/>
              </w:rPr>
              <w:t>05/16/2022</w:t>
            </w:r>
          </w:p>
        </w:tc>
        <w:tc>
          <w:tcPr>
            <w:tcW w:w="240" w:type="dxa"/>
            <w:vAlign w:val="bottom"/>
          </w:tcPr>
          <w:p>
            <w:pPr>
              <w:spacing w:after="0"/>
              <w:rPr>
                <w:sz w:val="11"/>
                <w:szCs w:val="11"/>
                <w:color w:val="auto"/>
              </w:rPr>
            </w:pPr>
          </w:p>
        </w:tc>
        <w:tc>
          <w:tcPr>
            <w:tcW w:w="2760" w:type="dxa"/>
            <w:vAlign w:val="bottom"/>
            <w:gridSpan w:val="2"/>
          </w:tcPr>
          <w:p>
            <w:pPr>
              <w:jc w:val="center"/>
              <w:ind w:right="140"/>
              <w:spacing w:after="0"/>
              <w:rPr>
                <w:sz w:val="20"/>
                <w:szCs w:val="20"/>
                <w:color w:val="auto"/>
              </w:rPr>
            </w:pPr>
            <w:r>
              <w:rPr>
                <w:rFonts w:ascii="Arial" w:cs="Arial" w:eastAsia="Arial" w:hAnsi="Arial"/>
                <w:sz w:val="11"/>
                <w:szCs w:val="11"/>
                <w:color w:val="auto"/>
                <w:w w:val="89"/>
              </w:rPr>
              <w:t>High Tech Industries</w:t>
            </w:r>
          </w:p>
        </w:tc>
        <w:tc>
          <w:tcPr>
            <w:tcW w:w="860" w:type="dxa"/>
            <w:vAlign w:val="bottom"/>
            <w:gridSpan w:val="2"/>
          </w:tcPr>
          <w:p>
            <w:pPr>
              <w:jc w:val="right"/>
              <w:ind w:right="180"/>
              <w:spacing w:after="0"/>
              <w:rPr>
                <w:sz w:val="20"/>
                <w:szCs w:val="20"/>
                <w:color w:val="auto"/>
              </w:rPr>
            </w:pPr>
            <w:r>
              <w:rPr>
                <w:rFonts w:ascii="Arial" w:cs="Arial" w:eastAsia="Arial" w:hAnsi="Arial"/>
                <w:sz w:val="11"/>
                <w:szCs w:val="11"/>
                <w:color w:val="auto"/>
              </w:rPr>
              <w:t>7.96%</w:t>
            </w:r>
          </w:p>
        </w:tc>
        <w:tc>
          <w:tcPr>
            <w:tcW w:w="560" w:type="dxa"/>
            <w:vAlign w:val="bottom"/>
          </w:tcPr>
          <w:p>
            <w:pPr>
              <w:ind w:left="400"/>
              <w:spacing w:after="0"/>
              <w:rPr>
                <w:sz w:val="20"/>
                <w:szCs w:val="20"/>
                <w:color w:val="auto"/>
              </w:rPr>
            </w:pPr>
            <w:r>
              <w:rPr>
                <w:rFonts w:ascii="Arial" w:cs="Arial" w:eastAsia="Arial" w:hAnsi="Arial"/>
                <w:sz w:val="11"/>
                <w:szCs w:val="11"/>
                <w:color w:val="auto"/>
                <w:w w:val="91"/>
              </w:rPr>
              <w:t>1M</w:t>
            </w:r>
          </w:p>
        </w:tc>
        <w:tc>
          <w:tcPr>
            <w:tcW w:w="540" w:type="dxa"/>
            <w:vAlign w:val="bottom"/>
            <w:gridSpan w:val="3"/>
          </w:tcPr>
          <w:p>
            <w:pPr>
              <w:jc w:val="right"/>
              <w:ind w:right="220"/>
              <w:spacing w:after="0"/>
              <w:rPr>
                <w:sz w:val="20"/>
                <w:szCs w:val="20"/>
                <w:color w:val="auto"/>
              </w:rPr>
            </w:pPr>
            <w:r>
              <w:rPr>
                <w:rFonts w:ascii="Arial" w:cs="Arial" w:eastAsia="Arial" w:hAnsi="Arial"/>
                <w:sz w:val="11"/>
                <w:szCs w:val="11"/>
                <w:color w:val="auto"/>
                <w:w w:val="96"/>
              </w:rPr>
              <w:t>L+625</w:t>
            </w:r>
          </w:p>
        </w:tc>
        <w:tc>
          <w:tcPr>
            <w:tcW w:w="580" w:type="dxa"/>
            <w:vAlign w:val="bottom"/>
          </w:tcPr>
          <w:p>
            <w:pPr>
              <w:jc w:val="right"/>
              <w:spacing w:after="0"/>
              <w:rPr>
                <w:sz w:val="20"/>
                <w:szCs w:val="20"/>
                <w:color w:val="auto"/>
              </w:rPr>
            </w:pPr>
            <w:r>
              <w:rPr>
                <w:rFonts w:ascii="Arial" w:cs="Arial" w:eastAsia="Arial" w:hAnsi="Arial"/>
                <w:sz w:val="11"/>
                <w:szCs w:val="11"/>
                <w:color w:val="auto"/>
                <w:w w:val="98"/>
              </w:rPr>
              <w:t>13,675,154</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13,455,820</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13,675,154</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shd w:val="clear" w:color="auto" w:fill="CCECFF"/>
          </w:tcPr>
          <w:p>
            <w:pPr>
              <w:spacing w:after="0"/>
              <w:rPr>
                <w:sz w:val="20"/>
                <w:szCs w:val="20"/>
                <w:color w:val="auto"/>
              </w:rPr>
            </w:pPr>
            <w:r>
              <w:rPr>
                <w:rFonts w:ascii="Arial" w:cs="Arial" w:eastAsia="Arial" w:hAnsi="Arial"/>
                <w:sz w:val="11"/>
                <w:szCs w:val="11"/>
                <w:color w:val="auto"/>
              </w:rPr>
              <w:t>Cadence Aerospace, LLC</w:t>
            </w:r>
          </w:p>
        </w:tc>
        <w:tc>
          <w:tcPr>
            <w:tcW w:w="64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87"/>
              </w:rPr>
              <w:t>11/14/2023</w:t>
            </w:r>
          </w:p>
        </w:tc>
        <w:tc>
          <w:tcPr>
            <w:tcW w:w="24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6"/>
              </w:rPr>
              <w:t>Aerospace and Defense</w:t>
            </w:r>
          </w:p>
        </w:tc>
        <w:tc>
          <w:tcPr>
            <w:tcW w:w="86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8.43%</w:t>
            </w:r>
          </w:p>
        </w:tc>
        <w:tc>
          <w:tcPr>
            <w:tcW w:w="560" w:type="dxa"/>
            <w:vAlign w:val="bottom"/>
            <w:shd w:val="clear" w:color="auto" w:fill="CCECFF"/>
          </w:tcPr>
          <w:p>
            <w:pPr>
              <w:ind w:left="400"/>
              <w:spacing w:after="0"/>
              <w:rPr>
                <w:sz w:val="20"/>
                <w:szCs w:val="20"/>
                <w:color w:val="auto"/>
              </w:rPr>
            </w:pPr>
            <w:r>
              <w:rPr>
                <w:rFonts w:ascii="Arial" w:cs="Arial" w:eastAsia="Arial" w:hAnsi="Arial"/>
                <w:sz w:val="11"/>
                <w:szCs w:val="11"/>
                <w:color w:val="auto"/>
                <w:w w:val="91"/>
              </w:rPr>
              <w:t>3M</w:t>
            </w:r>
          </w:p>
        </w:tc>
        <w:tc>
          <w:tcPr>
            <w:tcW w:w="540" w:type="dxa"/>
            <w:vAlign w:val="bottom"/>
            <w:gridSpan w:val="3"/>
            <w:shd w:val="clear" w:color="auto" w:fill="CCECFF"/>
          </w:tcPr>
          <w:p>
            <w:pPr>
              <w:jc w:val="right"/>
              <w:ind w:right="220"/>
              <w:spacing w:after="0"/>
              <w:rPr>
                <w:sz w:val="20"/>
                <w:szCs w:val="20"/>
                <w:color w:val="auto"/>
              </w:rPr>
            </w:pPr>
            <w:r>
              <w:rPr>
                <w:rFonts w:ascii="Arial" w:cs="Arial" w:eastAsia="Arial" w:hAnsi="Arial"/>
                <w:sz w:val="11"/>
                <w:szCs w:val="11"/>
                <w:color w:val="auto"/>
                <w:w w:val="96"/>
              </w:rPr>
              <w:t>L+650</w:t>
            </w: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w w:val="98"/>
              </w:rPr>
              <w:t>11,705,417</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11,618,814</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11,691,369</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tcPr>
          <w:p>
            <w:pPr>
              <w:spacing w:after="0"/>
              <w:rPr>
                <w:sz w:val="20"/>
                <w:szCs w:val="20"/>
                <w:color w:val="auto"/>
              </w:rPr>
            </w:pPr>
            <w:r>
              <w:rPr>
                <w:rFonts w:ascii="Arial" w:cs="Arial" w:eastAsia="Arial" w:hAnsi="Arial"/>
                <w:sz w:val="11"/>
                <w:szCs w:val="11"/>
                <w:color w:val="auto"/>
              </w:rPr>
              <w:t>Cardenas Markets LLC</w:t>
            </w:r>
          </w:p>
        </w:tc>
        <w:tc>
          <w:tcPr>
            <w:tcW w:w="640" w:type="dxa"/>
            <w:vAlign w:val="bottom"/>
            <w:gridSpan w:val="2"/>
          </w:tcPr>
          <w:p>
            <w:pPr>
              <w:jc w:val="center"/>
              <w:ind w:left="66"/>
              <w:spacing w:after="0"/>
              <w:rPr>
                <w:sz w:val="20"/>
                <w:szCs w:val="20"/>
                <w:color w:val="auto"/>
              </w:rPr>
            </w:pPr>
            <w:r>
              <w:rPr>
                <w:rFonts w:ascii="Arial" w:cs="Arial" w:eastAsia="Arial" w:hAnsi="Arial"/>
                <w:sz w:val="11"/>
                <w:szCs w:val="11"/>
                <w:color w:val="auto"/>
                <w:w w:val="87"/>
              </w:rPr>
              <w:t>11/29/2023</w:t>
            </w:r>
          </w:p>
        </w:tc>
        <w:tc>
          <w:tcPr>
            <w:tcW w:w="240" w:type="dxa"/>
            <w:vAlign w:val="bottom"/>
          </w:tcPr>
          <w:p>
            <w:pPr>
              <w:spacing w:after="0"/>
              <w:rPr>
                <w:sz w:val="11"/>
                <w:szCs w:val="11"/>
                <w:color w:val="auto"/>
              </w:rPr>
            </w:pPr>
          </w:p>
        </w:tc>
        <w:tc>
          <w:tcPr>
            <w:tcW w:w="2760" w:type="dxa"/>
            <w:vAlign w:val="bottom"/>
            <w:gridSpan w:val="2"/>
          </w:tcPr>
          <w:p>
            <w:pPr>
              <w:jc w:val="center"/>
              <w:ind w:right="140"/>
              <w:spacing w:after="0"/>
              <w:rPr>
                <w:sz w:val="20"/>
                <w:szCs w:val="20"/>
                <w:color w:val="auto"/>
              </w:rPr>
            </w:pPr>
            <w:r>
              <w:rPr>
                <w:rFonts w:ascii="Arial" w:cs="Arial" w:eastAsia="Arial" w:hAnsi="Arial"/>
                <w:sz w:val="11"/>
                <w:szCs w:val="11"/>
                <w:color w:val="auto"/>
                <w:w w:val="86"/>
              </w:rPr>
              <w:t>Beverage, Food and Tobacco</w:t>
            </w:r>
          </w:p>
        </w:tc>
        <w:tc>
          <w:tcPr>
            <w:tcW w:w="860" w:type="dxa"/>
            <w:vAlign w:val="bottom"/>
            <w:gridSpan w:val="2"/>
          </w:tcPr>
          <w:p>
            <w:pPr>
              <w:jc w:val="right"/>
              <w:ind w:right="180"/>
              <w:spacing w:after="0"/>
              <w:rPr>
                <w:sz w:val="20"/>
                <w:szCs w:val="20"/>
                <w:color w:val="auto"/>
              </w:rPr>
            </w:pPr>
            <w:r>
              <w:rPr>
                <w:rFonts w:ascii="Arial" w:cs="Arial" w:eastAsia="Arial" w:hAnsi="Arial"/>
                <w:sz w:val="11"/>
                <w:szCs w:val="11"/>
                <w:color w:val="auto"/>
              </w:rPr>
              <w:t>7.45%</w:t>
            </w:r>
          </w:p>
        </w:tc>
        <w:tc>
          <w:tcPr>
            <w:tcW w:w="560" w:type="dxa"/>
            <w:vAlign w:val="bottom"/>
          </w:tcPr>
          <w:p>
            <w:pPr>
              <w:ind w:left="400"/>
              <w:spacing w:after="0"/>
              <w:rPr>
                <w:sz w:val="20"/>
                <w:szCs w:val="20"/>
                <w:color w:val="auto"/>
              </w:rPr>
            </w:pPr>
            <w:r>
              <w:rPr>
                <w:rFonts w:ascii="Arial" w:cs="Arial" w:eastAsia="Arial" w:hAnsi="Arial"/>
                <w:sz w:val="11"/>
                <w:szCs w:val="11"/>
                <w:color w:val="auto"/>
                <w:w w:val="91"/>
              </w:rPr>
              <w:t>1M</w:t>
            </w:r>
          </w:p>
        </w:tc>
        <w:tc>
          <w:tcPr>
            <w:tcW w:w="540" w:type="dxa"/>
            <w:vAlign w:val="bottom"/>
            <w:gridSpan w:val="3"/>
          </w:tcPr>
          <w:p>
            <w:pPr>
              <w:jc w:val="right"/>
              <w:ind w:right="220"/>
              <w:spacing w:after="0"/>
              <w:rPr>
                <w:sz w:val="20"/>
                <w:szCs w:val="20"/>
                <w:color w:val="auto"/>
              </w:rPr>
            </w:pPr>
            <w:r>
              <w:rPr>
                <w:rFonts w:ascii="Arial" w:cs="Arial" w:eastAsia="Arial" w:hAnsi="Arial"/>
                <w:sz w:val="11"/>
                <w:szCs w:val="11"/>
                <w:color w:val="auto"/>
                <w:w w:val="96"/>
              </w:rPr>
              <w:t>L+575</w:t>
            </w:r>
          </w:p>
        </w:tc>
        <w:tc>
          <w:tcPr>
            <w:tcW w:w="580" w:type="dxa"/>
            <w:vAlign w:val="bottom"/>
          </w:tcPr>
          <w:p>
            <w:pPr>
              <w:jc w:val="right"/>
              <w:spacing w:after="0"/>
              <w:rPr>
                <w:sz w:val="20"/>
                <w:szCs w:val="20"/>
                <w:color w:val="auto"/>
              </w:rPr>
            </w:pPr>
            <w:r>
              <w:rPr>
                <w:rFonts w:ascii="Arial" w:cs="Arial" w:eastAsia="Arial" w:hAnsi="Arial"/>
                <w:sz w:val="11"/>
                <w:szCs w:val="11"/>
                <w:color w:val="auto"/>
              </w:rPr>
              <w:t>7,329,975</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7,293,805</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7,036,776</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shd w:val="clear" w:color="auto" w:fill="CCECFF"/>
          </w:tcPr>
          <w:p>
            <w:pPr>
              <w:spacing w:after="0"/>
              <w:rPr>
                <w:sz w:val="20"/>
                <w:szCs w:val="20"/>
                <w:color w:val="auto"/>
              </w:rPr>
            </w:pPr>
            <w:r>
              <w:rPr>
                <w:rFonts w:ascii="Arial" w:cs="Arial" w:eastAsia="Arial" w:hAnsi="Arial"/>
                <w:sz w:val="11"/>
                <w:szCs w:val="11"/>
                <w:color w:val="auto"/>
              </w:rPr>
              <w:t>Centauri Group Holdings, LLC</w:t>
            </w:r>
          </w:p>
        </w:tc>
        <w:tc>
          <w:tcPr>
            <w:tcW w:w="64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87"/>
              </w:rPr>
              <w:t>02/12/2024</w:t>
            </w:r>
          </w:p>
        </w:tc>
        <w:tc>
          <w:tcPr>
            <w:tcW w:w="24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6"/>
              </w:rPr>
              <w:t>Aerospace and Defense</w:t>
            </w:r>
          </w:p>
        </w:tc>
        <w:tc>
          <w:tcPr>
            <w:tcW w:w="86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7.20%</w:t>
            </w:r>
          </w:p>
        </w:tc>
        <w:tc>
          <w:tcPr>
            <w:tcW w:w="560" w:type="dxa"/>
            <w:vAlign w:val="bottom"/>
            <w:shd w:val="clear" w:color="auto" w:fill="CCECFF"/>
          </w:tcPr>
          <w:p>
            <w:pPr>
              <w:ind w:left="400"/>
              <w:spacing w:after="0"/>
              <w:rPr>
                <w:sz w:val="20"/>
                <w:szCs w:val="20"/>
                <w:color w:val="auto"/>
              </w:rPr>
            </w:pPr>
            <w:r>
              <w:rPr>
                <w:rFonts w:ascii="Arial" w:cs="Arial" w:eastAsia="Arial" w:hAnsi="Arial"/>
                <w:sz w:val="11"/>
                <w:szCs w:val="11"/>
                <w:color w:val="auto"/>
                <w:w w:val="91"/>
              </w:rPr>
              <w:t>1M</w:t>
            </w:r>
          </w:p>
        </w:tc>
        <w:tc>
          <w:tcPr>
            <w:tcW w:w="540" w:type="dxa"/>
            <w:vAlign w:val="bottom"/>
            <w:gridSpan w:val="3"/>
            <w:shd w:val="clear" w:color="auto" w:fill="CCECFF"/>
          </w:tcPr>
          <w:p>
            <w:pPr>
              <w:jc w:val="right"/>
              <w:ind w:right="220"/>
              <w:spacing w:after="0"/>
              <w:rPr>
                <w:sz w:val="20"/>
                <w:szCs w:val="20"/>
                <w:color w:val="auto"/>
              </w:rPr>
            </w:pPr>
            <w:r>
              <w:rPr>
                <w:rFonts w:ascii="Arial" w:cs="Arial" w:eastAsia="Arial" w:hAnsi="Arial"/>
                <w:sz w:val="11"/>
                <w:szCs w:val="11"/>
                <w:color w:val="auto"/>
                <w:w w:val="96"/>
              </w:rPr>
              <w:t>L+525</w:t>
            </w: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w w:val="98"/>
              </w:rPr>
              <w:t>10,396,599</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10,387,355</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10,344,616</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tcPr>
          <w:p>
            <w:pPr>
              <w:spacing w:after="0"/>
              <w:rPr>
                <w:sz w:val="20"/>
                <w:szCs w:val="20"/>
                <w:color w:val="auto"/>
              </w:rPr>
            </w:pPr>
            <w:r>
              <w:rPr>
                <w:rFonts w:ascii="Arial" w:cs="Arial" w:eastAsia="Arial" w:hAnsi="Arial"/>
                <w:sz w:val="11"/>
                <w:szCs w:val="11"/>
                <w:color w:val="auto"/>
              </w:rPr>
              <w:t>Challenger Performance Optimization, Inc.</w:t>
            </w:r>
          </w:p>
        </w:tc>
        <w:tc>
          <w:tcPr>
            <w:tcW w:w="640" w:type="dxa"/>
            <w:vAlign w:val="bottom"/>
            <w:gridSpan w:val="2"/>
          </w:tcPr>
          <w:p>
            <w:pPr>
              <w:jc w:val="center"/>
              <w:ind w:left="66"/>
              <w:spacing w:after="0"/>
              <w:rPr>
                <w:sz w:val="20"/>
                <w:szCs w:val="20"/>
                <w:color w:val="auto"/>
              </w:rPr>
            </w:pPr>
            <w:r>
              <w:rPr>
                <w:rFonts w:ascii="Arial" w:cs="Arial" w:eastAsia="Arial" w:hAnsi="Arial"/>
                <w:sz w:val="11"/>
                <w:szCs w:val="11"/>
                <w:color w:val="auto"/>
                <w:w w:val="87"/>
              </w:rPr>
              <w:t>08/31/2023</w:t>
            </w:r>
          </w:p>
        </w:tc>
        <w:tc>
          <w:tcPr>
            <w:tcW w:w="240" w:type="dxa"/>
            <w:vAlign w:val="bottom"/>
          </w:tcPr>
          <w:p>
            <w:pPr>
              <w:spacing w:after="0"/>
              <w:rPr>
                <w:sz w:val="11"/>
                <w:szCs w:val="11"/>
                <w:color w:val="auto"/>
              </w:rPr>
            </w:pPr>
          </w:p>
        </w:tc>
        <w:tc>
          <w:tcPr>
            <w:tcW w:w="2760" w:type="dxa"/>
            <w:vAlign w:val="bottom"/>
            <w:gridSpan w:val="2"/>
          </w:tcPr>
          <w:p>
            <w:pPr>
              <w:jc w:val="center"/>
              <w:ind w:right="140"/>
              <w:spacing w:after="0"/>
              <w:rPr>
                <w:sz w:val="20"/>
                <w:szCs w:val="20"/>
                <w:color w:val="auto"/>
              </w:rPr>
            </w:pPr>
            <w:r>
              <w:rPr>
                <w:rFonts w:ascii="Arial" w:cs="Arial" w:eastAsia="Arial" w:hAnsi="Arial"/>
                <w:sz w:val="11"/>
                <w:szCs w:val="11"/>
                <w:color w:val="auto"/>
                <w:w w:val="86"/>
              </w:rPr>
              <w:t>Business Services</w:t>
            </w:r>
          </w:p>
        </w:tc>
        <w:tc>
          <w:tcPr>
            <w:tcW w:w="860" w:type="dxa"/>
            <w:vAlign w:val="bottom"/>
            <w:gridSpan w:val="2"/>
          </w:tcPr>
          <w:p>
            <w:pPr>
              <w:jc w:val="right"/>
              <w:ind w:right="180"/>
              <w:spacing w:after="0"/>
              <w:rPr>
                <w:sz w:val="20"/>
                <w:szCs w:val="20"/>
                <w:color w:val="auto"/>
              </w:rPr>
            </w:pPr>
            <w:r>
              <w:rPr>
                <w:rFonts w:ascii="Arial" w:cs="Arial" w:eastAsia="Arial" w:hAnsi="Arial"/>
                <w:sz w:val="11"/>
                <w:szCs w:val="11"/>
                <w:color w:val="auto"/>
              </w:rPr>
              <w:t>7.55%</w:t>
            </w:r>
          </w:p>
        </w:tc>
        <w:tc>
          <w:tcPr>
            <w:tcW w:w="560" w:type="dxa"/>
            <w:vAlign w:val="bottom"/>
          </w:tcPr>
          <w:p>
            <w:pPr>
              <w:ind w:left="400"/>
              <w:spacing w:after="0"/>
              <w:rPr>
                <w:sz w:val="20"/>
                <w:szCs w:val="20"/>
                <w:color w:val="auto"/>
              </w:rPr>
            </w:pPr>
            <w:r>
              <w:rPr>
                <w:rFonts w:ascii="Arial" w:cs="Arial" w:eastAsia="Arial" w:hAnsi="Arial"/>
                <w:sz w:val="11"/>
                <w:szCs w:val="11"/>
                <w:color w:val="auto"/>
                <w:w w:val="91"/>
              </w:rPr>
              <w:t>1M</w:t>
            </w:r>
          </w:p>
        </w:tc>
        <w:tc>
          <w:tcPr>
            <w:tcW w:w="540" w:type="dxa"/>
            <w:vAlign w:val="bottom"/>
            <w:gridSpan w:val="3"/>
          </w:tcPr>
          <w:p>
            <w:pPr>
              <w:jc w:val="right"/>
              <w:ind w:right="220"/>
              <w:spacing w:after="0"/>
              <w:rPr>
                <w:sz w:val="20"/>
                <w:szCs w:val="20"/>
                <w:color w:val="auto"/>
              </w:rPr>
            </w:pPr>
            <w:r>
              <w:rPr>
                <w:rFonts w:ascii="Arial" w:cs="Arial" w:eastAsia="Arial" w:hAnsi="Arial"/>
                <w:sz w:val="11"/>
                <w:szCs w:val="11"/>
                <w:color w:val="auto"/>
                <w:w w:val="96"/>
              </w:rPr>
              <w:t>L+575</w:t>
            </w:r>
          </w:p>
        </w:tc>
        <w:tc>
          <w:tcPr>
            <w:tcW w:w="580" w:type="dxa"/>
            <w:vAlign w:val="bottom"/>
          </w:tcPr>
          <w:p>
            <w:pPr>
              <w:jc w:val="right"/>
              <w:spacing w:after="0"/>
              <w:rPr>
                <w:sz w:val="20"/>
                <w:szCs w:val="20"/>
                <w:color w:val="auto"/>
              </w:rPr>
            </w:pPr>
            <w:r>
              <w:rPr>
                <w:rFonts w:ascii="Arial" w:cs="Arial" w:eastAsia="Arial" w:hAnsi="Arial"/>
                <w:sz w:val="11"/>
                <w:szCs w:val="11"/>
                <w:color w:val="auto"/>
                <w:w w:val="98"/>
              </w:rPr>
              <w:t>10,127,447</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10,043,474</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9,772,987</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shd w:val="clear" w:color="auto" w:fill="CCECFF"/>
          </w:tcPr>
          <w:p>
            <w:pPr>
              <w:spacing w:after="0"/>
              <w:rPr>
                <w:sz w:val="20"/>
                <w:szCs w:val="20"/>
                <w:color w:val="auto"/>
              </w:rPr>
            </w:pPr>
            <w:r>
              <w:rPr>
                <w:rFonts w:ascii="Arial" w:cs="Arial" w:eastAsia="Arial" w:hAnsi="Arial"/>
                <w:sz w:val="11"/>
                <w:szCs w:val="11"/>
                <w:color w:val="auto"/>
              </w:rPr>
              <w:t>Country Fresh Holdings, LLC</w:t>
            </w:r>
          </w:p>
        </w:tc>
        <w:tc>
          <w:tcPr>
            <w:tcW w:w="64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87"/>
              </w:rPr>
              <w:t>05/01/2023</w:t>
            </w:r>
          </w:p>
        </w:tc>
        <w:tc>
          <w:tcPr>
            <w:tcW w:w="24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6"/>
              </w:rPr>
              <w:t>Beverage, Food and Tobacco</w:t>
            </w:r>
          </w:p>
        </w:tc>
        <w:tc>
          <w:tcPr>
            <w:tcW w:w="86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7.10%</w:t>
            </w:r>
          </w:p>
        </w:tc>
        <w:tc>
          <w:tcPr>
            <w:tcW w:w="560" w:type="dxa"/>
            <w:vAlign w:val="bottom"/>
            <w:shd w:val="clear" w:color="auto" w:fill="CCECFF"/>
          </w:tcPr>
          <w:p>
            <w:pPr>
              <w:ind w:left="400"/>
              <w:spacing w:after="0"/>
              <w:rPr>
                <w:sz w:val="20"/>
                <w:szCs w:val="20"/>
                <w:color w:val="auto"/>
              </w:rPr>
            </w:pPr>
            <w:r>
              <w:rPr>
                <w:rFonts w:ascii="Arial" w:cs="Arial" w:eastAsia="Arial" w:hAnsi="Arial"/>
                <w:sz w:val="11"/>
                <w:szCs w:val="11"/>
                <w:color w:val="auto"/>
                <w:w w:val="91"/>
              </w:rPr>
              <w:t>1M</w:t>
            </w:r>
          </w:p>
        </w:tc>
        <w:tc>
          <w:tcPr>
            <w:tcW w:w="540" w:type="dxa"/>
            <w:vAlign w:val="bottom"/>
            <w:gridSpan w:val="3"/>
            <w:shd w:val="clear" w:color="auto" w:fill="CCECFF"/>
          </w:tcPr>
          <w:p>
            <w:pPr>
              <w:jc w:val="right"/>
              <w:ind w:right="220"/>
              <w:spacing w:after="0"/>
              <w:rPr>
                <w:sz w:val="20"/>
                <w:szCs w:val="20"/>
                <w:color w:val="auto"/>
              </w:rPr>
            </w:pPr>
            <w:r>
              <w:rPr>
                <w:rFonts w:ascii="Arial" w:cs="Arial" w:eastAsia="Arial" w:hAnsi="Arial"/>
                <w:sz w:val="11"/>
                <w:szCs w:val="11"/>
                <w:color w:val="auto"/>
                <w:w w:val="96"/>
              </w:rPr>
              <w:t>L+500</w:t>
            </w: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182,403</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179,362</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182,403</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tcPr>
          <w:p>
            <w:pPr>
              <w:spacing w:after="0"/>
              <w:rPr>
                <w:sz w:val="20"/>
                <w:szCs w:val="20"/>
                <w:color w:val="auto"/>
              </w:rPr>
            </w:pPr>
            <w:r>
              <w:rPr>
                <w:rFonts w:ascii="Arial" w:cs="Arial" w:eastAsia="Arial" w:hAnsi="Arial"/>
                <w:sz w:val="11"/>
                <w:szCs w:val="11"/>
                <w:color w:val="auto"/>
              </w:rPr>
              <w:t>Country Fresh Holdings, LLC (Revolver)</w:t>
            </w:r>
          </w:p>
        </w:tc>
        <w:tc>
          <w:tcPr>
            <w:tcW w:w="640" w:type="dxa"/>
            <w:vAlign w:val="bottom"/>
            <w:gridSpan w:val="2"/>
          </w:tcPr>
          <w:p>
            <w:pPr>
              <w:jc w:val="center"/>
              <w:ind w:left="66"/>
              <w:spacing w:after="0"/>
              <w:rPr>
                <w:sz w:val="20"/>
                <w:szCs w:val="20"/>
                <w:color w:val="auto"/>
              </w:rPr>
            </w:pPr>
            <w:r>
              <w:rPr>
                <w:rFonts w:ascii="Arial" w:cs="Arial" w:eastAsia="Arial" w:hAnsi="Arial"/>
                <w:sz w:val="11"/>
                <w:szCs w:val="11"/>
                <w:color w:val="auto"/>
                <w:w w:val="87"/>
              </w:rPr>
              <w:t>05/01/2023</w:t>
            </w:r>
          </w:p>
        </w:tc>
        <w:tc>
          <w:tcPr>
            <w:tcW w:w="240" w:type="dxa"/>
            <w:vAlign w:val="bottom"/>
          </w:tcPr>
          <w:p>
            <w:pPr>
              <w:spacing w:after="0"/>
              <w:rPr>
                <w:sz w:val="11"/>
                <w:szCs w:val="11"/>
                <w:color w:val="auto"/>
              </w:rPr>
            </w:pPr>
          </w:p>
        </w:tc>
        <w:tc>
          <w:tcPr>
            <w:tcW w:w="2760" w:type="dxa"/>
            <w:vAlign w:val="bottom"/>
            <w:gridSpan w:val="2"/>
          </w:tcPr>
          <w:p>
            <w:pPr>
              <w:jc w:val="center"/>
              <w:ind w:right="140"/>
              <w:spacing w:after="0"/>
              <w:rPr>
                <w:sz w:val="20"/>
                <w:szCs w:val="20"/>
                <w:color w:val="auto"/>
              </w:rPr>
            </w:pPr>
            <w:r>
              <w:rPr>
                <w:rFonts w:ascii="Arial" w:cs="Arial" w:eastAsia="Arial" w:hAnsi="Arial"/>
                <w:sz w:val="11"/>
                <w:szCs w:val="11"/>
                <w:color w:val="auto"/>
                <w:w w:val="86"/>
              </w:rPr>
              <w:t>Beverage, Food and Tobacco</w:t>
            </w:r>
          </w:p>
        </w:tc>
        <w:tc>
          <w:tcPr>
            <w:tcW w:w="860" w:type="dxa"/>
            <w:vAlign w:val="bottom"/>
            <w:gridSpan w:val="2"/>
          </w:tcPr>
          <w:p>
            <w:pPr>
              <w:jc w:val="right"/>
              <w:ind w:right="180"/>
              <w:spacing w:after="0"/>
              <w:rPr>
                <w:sz w:val="20"/>
                <w:szCs w:val="20"/>
                <w:color w:val="auto"/>
              </w:rPr>
            </w:pPr>
            <w:r>
              <w:rPr>
                <w:rFonts w:ascii="Arial" w:cs="Arial" w:eastAsia="Arial" w:hAnsi="Arial"/>
                <w:sz w:val="11"/>
                <w:szCs w:val="11"/>
                <w:color w:val="auto"/>
              </w:rPr>
              <w:t>7.01%</w:t>
            </w:r>
          </w:p>
        </w:tc>
        <w:tc>
          <w:tcPr>
            <w:tcW w:w="560" w:type="dxa"/>
            <w:vAlign w:val="bottom"/>
          </w:tcPr>
          <w:p>
            <w:pPr>
              <w:ind w:left="400"/>
              <w:spacing w:after="0"/>
              <w:rPr>
                <w:sz w:val="20"/>
                <w:szCs w:val="20"/>
                <w:color w:val="auto"/>
              </w:rPr>
            </w:pPr>
            <w:r>
              <w:rPr>
                <w:rFonts w:ascii="Arial" w:cs="Arial" w:eastAsia="Arial" w:hAnsi="Arial"/>
                <w:sz w:val="11"/>
                <w:szCs w:val="11"/>
                <w:color w:val="auto"/>
                <w:w w:val="91"/>
              </w:rPr>
              <w:t>1M</w:t>
            </w:r>
          </w:p>
        </w:tc>
        <w:tc>
          <w:tcPr>
            <w:tcW w:w="540" w:type="dxa"/>
            <w:vAlign w:val="bottom"/>
            <w:gridSpan w:val="3"/>
          </w:tcPr>
          <w:p>
            <w:pPr>
              <w:jc w:val="right"/>
              <w:ind w:right="220"/>
              <w:spacing w:after="0"/>
              <w:rPr>
                <w:sz w:val="20"/>
                <w:szCs w:val="20"/>
                <w:color w:val="auto"/>
              </w:rPr>
            </w:pPr>
            <w:r>
              <w:rPr>
                <w:rFonts w:ascii="Arial" w:cs="Arial" w:eastAsia="Arial" w:hAnsi="Arial"/>
                <w:sz w:val="11"/>
                <w:szCs w:val="11"/>
                <w:color w:val="auto"/>
                <w:w w:val="96"/>
              </w:rPr>
              <w:t>L+500</w:t>
            </w:r>
          </w:p>
        </w:tc>
        <w:tc>
          <w:tcPr>
            <w:tcW w:w="580" w:type="dxa"/>
            <w:vAlign w:val="bottom"/>
          </w:tcPr>
          <w:p>
            <w:pPr>
              <w:jc w:val="right"/>
              <w:spacing w:after="0"/>
              <w:rPr>
                <w:sz w:val="20"/>
                <w:szCs w:val="20"/>
                <w:color w:val="auto"/>
              </w:rPr>
            </w:pPr>
            <w:r>
              <w:rPr>
                <w:rFonts w:ascii="Arial" w:cs="Arial" w:eastAsia="Arial" w:hAnsi="Arial"/>
                <w:sz w:val="11"/>
                <w:szCs w:val="11"/>
                <w:color w:val="auto"/>
              </w:rPr>
              <w:t>306,075</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306,075</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306,075</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Country Fresh Holdings, LLC - (Revolver) </w:t>
            </w:r>
            <w:r>
              <w:rPr>
                <w:rFonts w:ascii="Arial" w:cs="Arial" w:eastAsia="Arial" w:hAnsi="Arial"/>
                <w:sz w:val="9"/>
                <w:szCs w:val="9"/>
                <w:color w:val="auto"/>
              </w:rPr>
              <w:t>(5)</w:t>
            </w:r>
          </w:p>
        </w:tc>
        <w:tc>
          <w:tcPr>
            <w:tcW w:w="64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87"/>
              </w:rPr>
              <w:t>05/01/2023</w:t>
            </w:r>
          </w:p>
        </w:tc>
        <w:tc>
          <w:tcPr>
            <w:tcW w:w="24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6"/>
              </w:rPr>
              <w:t>Beverage, Food and Tobacco</w:t>
            </w:r>
          </w:p>
        </w:tc>
        <w:tc>
          <w:tcPr>
            <w:tcW w:w="86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560" w:type="dxa"/>
            <w:vAlign w:val="bottom"/>
            <w:shd w:val="clear" w:color="auto" w:fill="CCECFF"/>
          </w:tcPr>
          <w:p>
            <w:pPr>
              <w:spacing w:after="0"/>
              <w:rPr>
                <w:sz w:val="11"/>
                <w:szCs w:val="11"/>
                <w:color w:val="auto"/>
              </w:rPr>
            </w:pPr>
          </w:p>
        </w:tc>
        <w:tc>
          <w:tcPr>
            <w:tcW w:w="540" w:type="dxa"/>
            <w:vAlign w:val="bottom"/>
            <w:gridSpan w:val="3"/>
            <w:shd w:val="clear" w:color="auto" w:fill="CCECFF"/>
          </w:tcPr>
          <w:p>
            <w:pPr>
              <w:jc w:val="right"/>
              <w:ind w:right="220"/>
              <w:spacing w:after="0"/>
              <w:rPr>
                <w:sz w:val="20"/>
                <w:szCs w:val="20"/>
                <w:color w:val="auto"/>
              </w:rPr>
            </w:pPr>
            <w:r>
              <w:rPr>
                <w:rFonts w:ascii="Arial" w:cs="Arial" w:eastAsia="Arial" w:hAnsi="Arial"/>
                <w:sz w:val="11"/>
                <w:szCs w:val="11"/>
                <w:color w:val="auto"/>
              </w:rPr>
              <w:t>—</w:t>
            </w: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144,036</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760" w:type="dxa"/>
            <w:vAlign w:val="bottom"/>
            <w:gridSpan w:val="2"/>
            <w:shd w:val="clear" w:color="auto" w:fill="CCECFF"/>
          </w:tcPr>
          <w:p>
            <w:pPr>
              <w:jc w:val="right"/>
              <w:ind w:right="14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5"/>
        </w:trPr>
        <w:tc>
          <w:tcPr>
            <w:tcW w:w="3060" w:type="dxa"/>
            <w:vAlign w:val="bottom"/>
          </w:tcPr>
          <w:p>
            <w:pPr>
              <w:spacing w:after="0"/>
              <w:rPr>
                <w:sz w:val="20"/>
                <w:szCs w:val="20"/>
                <w:color w:val="auto"/>
              </w:rPr>
            </w:pPr>
            <w:r>
              <w:rPr>
                <w:rFonts w:ascii="Arial" w:cs="Arial" w:eastAsia="Arial" w:hAnsi="Arial"/>
                <w:sz w:val="11"/>
                <w:szCs w:val="11"/>
                <w:color w:val="auto"/>
              </w:rPr>
              <w:t>Douglas Products and Packaging Company LLC</w:t>
            </w:r>
          </w:p>
        </w:tc>
        <w:tc>
          <w:tcPr>
            <w:tcW w:w="640" w:type="dxa"/>
            <w:vAlign w:val="bottom"/>
            <w:gridSpan w:val="2"/>
          </w:tcPr>
          <w:p>
            <w:pPr>
              <w:jc w:val="center"/>
              <w:ind w:left="66"/>
              <w:spacing w:after="0"/>
              <w:rPr>
                <w:sz w:val="20"/>
                <w:szCs w:val="20"/>
                <w:color w:val="auto"/>
              </w:rPr>
            </w:pPr>
            <w:r>
              <w:rPr>
                <w:rFonts w:ascii="Arial" w:cs="Arial" w:eastAsia="Arial" w:hAnsi="Arial"/>
                <w:sz w:val="11"/>
                <w:szCs w:val="11"/>
                <w:color w:val="auto"/>
                <w:w w:val="87"/>
              </w:rPr>
              <w:t>10/19/2022</w:t>
            </w:r>
          </w:p>
        </w:tc>
        <w:tc>
          <w:tcPr>
            <w:tcW w:w="240" w:type="dxa"/>
            <w:vAlign w:val="bottom"/>
          </w:tcPr>
          <w:p>
            <w:pPr>
              <w:spacing w:after="0"/>
              <w:rPr>
                <w:sz w:val="11"/>
                <w:szCs w:val="11"/>
                <w:color w:val="auto"/>
              </w:rPr>
            </w:pPr>
          </w:p>
        </w:tc>
        <w:tc>
          <w:tcPr>
            <w:tcW w:w="2760" w:type="dxa"/>
            <w:vAlign w:val="bottom"/>
            <w:gridSpan w:val="2"/>
          </w:tcPr>
          <w:p>
            <w:pPr>
              <w:jc w:val="center"/>
              <w:ind w:right="140"/>
              <w:spacing w:after="0"/>
              <w:rPr>
                <w:sz w:val="20"/>
                <w:szCs w:val="20"/>
                <w:color w:val="auto"/>
              </w:rPr>
            </w:pPr>
            <w:r>
              <w:rPr>
                <w:rFonts w:ascii="Arial" w:cs="Arial" w:eastAsia="Arial" w:hAnsi="Arial"/>
                <w:sz w:val="11"/>
                <w:szCs w:val="11"/>
                <w:color w:val="auto"/>
                <w:w w:val="88"/>
              </w:rPr>
              <w:t>Chemicals, Plastics and Rubber</w:t>
            </w:r>
          </w:p>
        </w:tc>
        <w:tc>
          <w:tcPr>
            <w:tcW w:w="860" w:type="dxa"/>
            <w:vAlign w:val="bottom"/>
            <w:gridSpan w:val="2"/>
          </w:tcPr>
          <w:p>
            <w:pPr>
              <w:jc w:val="right"/>
              <w:ind w:right="180"/>
              <w:spacing w:after="0"/>
              <w:rPr>
                <w:sz w:val="20"/>
                <w:szCs w:val="20"/>
                <w:color w:val="auto"/>
              </w:rPr>
            </w:pPr>
            <w:r>
              <w:rPr>
                <w:rFonts w:ascii="Arial" w:cs="Arial" w:eastAsia="Arial" w:hAnsi="Arial"/>
                <w:sz w:val="11"/>
                <w:szCs w:val="11"/>
                <w:color w:val="auto"/>
              </w:rPr>
              <w:t>7.69%</w:t>
            </w:r>
          </w:p>
        </w:tc>
        <w:tc>
          <w:tcPr>
            <w:tcW w:w="560" w:type="dxa"/>
            <w:vAlign w:val="bottom"/>
          </w:tcPr>
          <w:p>
            <w:pPr>
              <w:ind w:left="400"/>
              <w:spacing w:after="0"/>
              <w:rPr>
                <w:sz w:val="20"/>
                <w:szCs w:val="20"/>
                <w:color w:val="auto"/>
              </w:rPr>
            </w:pPr>
            <w:r>
              <w:rPr>
                <w:rFonts w:ascii="Arial" w:cs="Arial" w:eastAsia="Arial" w:hAnsi="Arial"/>
                <w:sz w:val="11"/>
                <w:szCs w:val="11"/>
                <w:color w:val="auto"/>
                <w:w w:val="91"/>
              </w:rPr>
              <w:t>3M</w:t>
            </w:r>
          </w:p>
        </w:tc>
        <w:tc>
          <w:tcPr>
            <w:tcW w:w="540" w:type="dxa"/>
            <w:vAlign w:val="bottom"/>
            <w:gridSpan w:val="3"/>
          </w:tcPr>
          <w:p>
            <w:pPr>
              <w:jc w:val="right"/>
              <w:ind w:right="220"/>
              <w:spacing w:after="0"/>
              <w:rPr>
                <w:sz w:val="20"/>
                <w:szCs w:val="20"/>
                <w:color w:val="auto"/>
              </w:rPr>
            </w:pPr>
            <w:r>
              <w:rPr>
                <w:rFonts w:ascii="Arial" w:cs="Arial" w:eastAsia="Arial" w:hAnsi="Arial"/>
                <w:sz w:val="11"/>
                <w:szCs w:val="11"/>
                <w:color w:val="auto"/>
                <w:w w:val="96"/>
              </w:rPr>
              <w:t>L+575</w:t>
            </w:r>
          </w:p>
        </w:tc>
        <w:tc>
          <w:tcPr>
            <w:tcW w:w="580" w:type="dxa"/>
            <w:vAlign w:val="bottom"/>
          </w:tcPr>
          <w:p>
            <w:pPr>
              <w:jc w:val="right"/>
              <w:spacing w:after="0"/>
              <w:rPr>
                <w:sz w:val="20"/>
                <w:szCs w:val="20"/>
                <w:color w:val="auto"/>
              </w:rPr>
            </w:pPr>
            <w:r>
              <w:rPr>
                <w:rFonts w:ascii="Arial" w:cs="Arial" w:eastAsia="Arial" w:hAnsi="Arial"/>
                <w:sz w:val="11"/>
                <w:szCs w:val="11"/>
                <w:color w:val="auto"/>
                <w:w w:val="98"/>
              </w:rPr>
              <w:t>12,281,250</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12,136,773</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12,158,438</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shd w:val="clear" w:color="auto" w:fill="CCECFF"/>
          </w:tcPr>
          <w:p>
            <w:pPr>
              <w:spacing w:after="0"/>
              <w:rPr>
                <w:sz w:val="20"/>
                <w:szCs w:val="20"/>
                <w:color w:val="auto"/>
              </w:rPr>
            </w:pPr>
            <w:r>
              <w:rPr>
                <w:rFonts w:ascii="Arial" w:cs="Arial" w:eastAsia="Arial" w:hAnsi="Arial"/>
                <w:sz w:val="11"/>
                <w:szCs w:val="11"/>
                <w:color w:val="auto"/>
              </w:rPr>
              <w:t>Douglas Sewer Intermediate, LLC</w:t>
            </w:r>
          </w:p>
        </w:tc>
        <w:tc>
          <w:tcPr>
            <w:tcW w:w="64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87"/>
              </w:rPr>
              <w:t>10/19/2022</w:t>
            </w:r>
          </w:p>
        </w:tc>
        <w:tc>
          <w:tcPr>
            <w:tcW w:w="24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8"/>
              </w:rPr>
              <w:t>Chemicals, Plastics and Rubber</w:t>
            </w:r>
          </w:p>
        </w:tc>
        <w:tc>
          <w:tcPr>
            <w:tcW w:w="86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7.69%</w:t>
            </w:r>
          </w:p>
        </w:tc>
        <w:tc>
          <w:tcPr>
            <w:tcW w:w="560" w:type="dxa"/>
            <w:vAlign w:val="bottom"/>
            <w:shd w:val="clear" w:color="auto" w:fill="CCECFF"/>
          </w:tcPr>
          <w:p>
            <w:pPr>
              <w:ind w:left="400"/>
              <w:spacing w:after="0"/>
              <w:rPr>
                <w:sz w:val="20"/>
                <w:szCs w:val="20"/>
                <w:color w:val="auto"/>
              </w:rPr>
            </w:pPr>
            <w:r>
              <w:rPr>
                <w:rFonts w:ascii="Arial" w:cs="Arial" w:eastAsia="Arial" w:hAnsi="Arial"/>
                <w:sz w:val="11"/>
                <w:szCs w:val="11"/>
                <w:color w:val="auto"/>
                <w:w w:val="91"/>
              </w:rPr>
              <w:t>3M</w:t>
            </w:r>
          </w:p>
        </w:tc>
        <w:tc>
          <w:tcPr>
            <w:tcW w:w="540" w:type="dxa"/>
            <w:vAlign w:val="bottom"/>
            <w:gridSpan w:val="3"/>
            <w:shd w:val="clear" w:color="auto" w:fill="CCECFF"/>
          </w:tcPr>
          <w:p>
            <w:pPr>
              <w:jc w:val="right"/>
              <w:ind w:right="220"/>
              <w:spacing w:after="0"/>
              <w:rPr>
                <w:sz w:val="20"/>
                <w:szCs w:val="20"/>
                <w:color w:val="auto"/>
              </w:rPr>
            </w:pPr>
            <w:r>
              <w:rPr>
                <w:rFonts w:ascii="Arial" w:cs="Arial" w:eastAsia="Arial" w:hAnsi="Arial"/>
                <w:sz w:val="11"/>
                <w:szCs w:val="11"/>
                <w:color w:val="auto"/>
                <w:w w:val="96"/>
              </w:rPr>
              <w:t>L+575</w:t>
            </w: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8,146,023</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8,098,916</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8,064,563</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tcPr>
          <w:p>
            <w:pPr>
              <w:spacing w:after="0"/>
              <w:rPr>
                <w:sz w:val="20"/>
                <w:szCs w:val="20"/>
                <w:color w:val="auto"/>
              </w:rPr>
            </w:pPr>
            <w:r>
              <w:rPr>
                <w:rFonts w:ascii="Arial" w:cs="Arial" w:eastAsia="Arial" w:hAnsi="Arial"/>
                <w:sz w:val="11"/>
                <w:szCs w:val="11"/>
                <w:color w:val="auto"/>
              </w:rPr>
              <w:t>DRS Holdings III, Inc.</w:t>
            </w:r>
          </w:p>
        </w:tc>
        <w:tc>
          <w:tcPr>
            <w:tcW w:w="640" w:type="dxa"/>
            <w:vAlign w:val="bottom"/>
            <w:gridSpan w:val="2"/>
          </w:tcPr>
          <w:p>
            <w:pPr>
              <w:jc w:val="center"/>
              <w:ind w:left="66"/>
              <w:spacing w:after="0"/>
              <w:rPr>
                <w:sz w:val="20"/>
                <w:szCs w:val="20"/>
                <w:color w:val="auto"/>
              </w:rPr>
            </w:pPr>
            <w:r>
              <w:rPr>
                <w:rFonts w:ascii="Arial" w:cs="Arial" w:eastAsia="Arial" w:hAnsi="Arial"/>
                <w:sz w:val="11"/>
                <w:szCs w:val="11"/>
                <w:color w:val="auto"/>
                <w:w w:val="87"/>
              </w:rPr>
              <w:t>11/03/2025</w:t>
            </w:r>
          </w:p>
        </w:tc>
        <w:tc>
          <w:tcPr>
            <w:tcW w:w="240" w:type="dxa"/>
            <w:vAlign w:val="bottom"/>
          </w:tcPr>
          <w:p>
            <w:pPr>
              <w:spacing w:after="0"/>
              <w:rPr>
                <w:sz w:val="11"/>
                <w:szCs w:val="11"/>
                <w:color w:val="auto"/>
              </w:rPr>
            </w:pPr>
          </w:p>
        </w:tc>
        <w:tc>
          <w:tcPr>
            <w:tcW w:w="2760" w:type="dxa"/>
            <w:vAlign w:val="bottom"/>
            <w:gridSpan w:val="2"/>
          </w:tcPr>
          <w:p>
            <w:pPr>
              <w:jc w:val="center"/>
              <w:ind w:right="140"/>
              <w:spacing w:after="0"/>
              <w:rPr>
                <w:sz w:val="20"/>
                <w:szCs w:val="20"/>
                <w:color w:val="auto"/>
              </w:rPr>
            </w:pPr>
            <w:r>
              <w:rPr>
                <w:rFonts w:ascii="Arial" w:cs="Arial" w:eastAsia="Arial" w:hAnsi="Arial"/>
                <w:sz w:val="11"/>
                <w:szCs w:val="11"/>
                <w:color w:val="auto"/>
                <w:w w:val="89"/>
              </w:rPr>
              <w:t>Consumer Goods: Non-Durable</w:t>
            </w:r>
          </w:p>
        </w:tc>
        <w:tc>
          <w:tcPr>
            <w:tcW w:w="860" w:type="dxa"/>
            <w:vAlign w:val="bottom"/>
            <w:gridSpan w:val="2"/>
          </w:tcPr>
          <w:p>
            <w:pPr>
              <w:jc w:val="right"/>
              <w:ind w:right="180"/>
              <w:spacing w:after="0"/>
              <w:rPr>
                <w:sz w:val="20"/>
                <w:szCs w:val="20"/>
                <w:color w:val="auto"/>
              </w:rPr>
            </w:pPr>
            <w:r>
              <w:rPr>
                <w:rFonts w:ascii="Arial" w:cs="Arial" w:eastAsia="Arial" w:hAnsi="Arial"/>
                <w:sz w:val="11"/>
                <w:szCs w:val="11"/>
                <w:color w:val="auto"/>
              </w:rPr>
              <w:t>7.55%</w:t>
            </w:r>
          </w:p>
        </w:tc>
        <w:tc>
          <w:tcPr>
            <w:tcW w:w="560" w:type="dxa"/>
            <w:vAlign w:val="bottom"/>
          </w:tcPr>
          <w:p>
            <w:pPr>
              <w:ind w:left="400"/>
              <w:spacing w:after="0"/>
              <w:rPr>
                <w:sz w:val="20"/>
                <w:szCs w:val="20"/>
                <w:color w:val="auto"/>
              </w:rPr>
            </w:pPr>
            <w:r>
              <w:rPr>
                <w:rFonts w:ascii="Arial" w:cs="Arial" w:eastAsia="Arial" w:hAnsi="Arial"/>
                <w:sz w:val="11"/>
                <w:szCs w:val="11"/>
                <w:color w:val="auto"/>
                <w:w w:val="91"/>
              </w:rPr>
              <w:t>1M</w:t>
            </w:r>
          </w:p>
        </w:tc>
        <w:tc>
          <w:tcPr>
            <w:tcW w:w="540" w:type="dxa"/>
            <w:vAlign w:val="bottom"/>
            <w:gridSpan w:val="3"/>
          </w:tcPr>
          <w:p>
            <w:pPr>
              <w:jc w:val="right"/>
              <w:ind w:right="220"/>
              <w:spacing w:after="0"/>
              <w:rPr>
                <w:sz w:val="20"/>
                <w:szCs w:val="20"/>
                <w:color w:val="auto"/>
              </w:rPr>
            </w:pPr>
            <w:r>
              <w:rPr>
                <w:rFonts w:ascii="Arial" w:cs="Arial" w:eastAsia="Arial" w:hAnsi="Arial"/>
                <w:sz w:val="11"/>
                <w:szCs w:val="11"/>
                <w:color w:val="auto"/>
                <w:w w:val="96"/>
              </w:rPr>
              <w:t>L+575</w:t>
            </w:r>
          </w:p>
        </w:tc>
        <w:tc>
          <w:tcPr>
            <w:tcW w:w="580" w:type="dxa"/>
            <w:vAlign w:val="bottom"/>
          </w:tcPr>
          <w:p>
            <w:pPr>
              <w:jc w:val="right"/>
              <w:spacing w:after="0"/>
              <w:rPr>
                <w:sz w:val="20"/>
                <w:szCs w:val="20"/>
                <w:color w:val="auto"/>
              </w:rPr>
            </w:pPr>
            <w:r>
              <w:rPr>
                <w:rFonts w:ascii="Arial" w:cs="Arial" w:eastAsia="Arial" w:hAnsi="Arial"/>
                <w:sz w:val="11"/>
                <w:szCs w:val="11"/>
                <w:color w:val="auto"/>
              </w:rPr>
              <w:t>8,082,770</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8,004,468</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8,003,559</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06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Findex Group Limited </w:t>
            </w:r>
            <w:r>
              <w:rPr>
                <w:rFonts w:ascii="Arial" w:cs="Arial" w:eastAsia="Arial" w:hAnsi="Arial"/>
                <w:sz w:val="9"/>
                <w:szCs w:val="9"/>
                <w:color w:val="auto"/>
              </w:rPr>
              <w:t>(3), (4)</w:t>
            </w:r>
          </w:p>
        </w:tc>
        <w:tc>
          <w:tcPr>
            <w:tcW w:w="64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87"/>
              </w:rPr>
              <w:t>05/31/2024</w:t>
            </w:r>
          </w:p>
        </w:tc>
        <w:tc>
          <w:tcPr>
            <w:tcW w:w="240" w:type="dxa"/>
            <w:vAlign w:val="bottom"/>
            <w:shd w:val="clear" w:color="auto" w:fill="CCECFF"/>
          </w:tcPr>
          <w:p>
            <w:pPr>
              <w:spacing w:after="0"/>
              <w:rPr>
                <w:sz w:val="12"/>
                <w:szCs w:val="12"/>
                <w:color w:val="auto"/>
              </w:rPr>
            </w:pP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7"/>
              </w:rPr>
              <w:t>Banking, Finance, Insurance and Real Estate</w:t>
            </w:r>
          </w:p>
        </w:tc>
        <w:tc>
          <w:tcPr>
            <w:tcW w:w="86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6.19%</w:t>
            </w:r>
          </w:p>
        </w:tc>
        <w:tc>
          <w:tcPr>
            <w:tcW w:w="560" w:type="dxa"/>
            <w:vAlign w:val="bottom"/>
            <w:shd w:val="clear" w:color="auto" w:fill="CCECFF"/>
          </w:tcPr>
          <w:p>
            <w:pPr>
              <w:ind w:left="400"/>
              <w:spacing w:after="0"/>
              <w:rPr>
                <w:sz w:val="20"/>
                <w:szCs w:val="20"/>
                <w:color w:val="auto"/>
              </w:rPr>
            </w:pPr>
            <w:r>
              <w:rPr>
                <w:rFonts w:ascii="Arial" w:cs="Arial" w:eastAsia="Arial" w:hAnsi="Arial"/>
                <w:sz w:val="11"/>
                <w:szCs w:val="11"/>
                <w:color w:val="auto"/>
                <w:w w:val="91"/>
              </w:rPr>
              <w:t>3M</w:t>
            </w:r>
          </w:p>
        </w:tc>
        <w:tc>
          <w:tcPr>
            <w:tcW w:w="540" w:type="dxa"/>
            <w:vAlign w:val="bottom"/>
            <w:gridSpan w:val="3"/>
            <w:shd w:val="clear" w:color="auto" w:fill="CCECFF"/>
          </w:tcPr>
          <w:p>
            <w:pPr>
              <w:jc w:val="right"/>
              <w:ind w:right="40"/>
              <w:spacing w:after="0"/>
              <w:rPr>
                <w:sz w:val="20"/>
                <w:szCs w:val="20"/>
                <w:color w:val="auto"/>
              </w:rPr>
            </w:pPr>
            <w:r>
              <w:rPr>
                <w:rFonts w:ascii="Arial" w:cs="Arial" w:eastAsia="Arial" w:hAnsi="Arial"/>
                <w:sz w:val="11"/>
                <w:szCs w:val="11"/>
                <w:color w:val="auto"/>
              </w:rPr>
              <w:t>L+525A $</w:t>
            </w: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w w:val="89"/>
              </w:rPr>
              <w:t>10,000,000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7,385,187</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6,818,615</w:t>
            </w:r>
          </w:p>
        </w:tc>
        <w:tc>
          <w:tcPr>
            <w:tcW w:w="12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060" w:type="dxa"/>
            <w:vAlign w:val="bottom"/>
          </w:tcPr>
          <w:p>
            <w:pPr>
              <w:spacing w:after="0"/>
              <w:rPr>
                <w:sz w:val="20"/>
                <w:szCs w:val="20"/>
                <w:color w:val="auto"/>
              </w:rPr>
            </w:pPr>
            <w:r>
              <w:rPr>
                <w:rFonts w:ascii="Arial" w:cs="Arial" w:eastAsia="Arial" w:hAnsi="Arial"/>
                <w:sz w:val="11"/>
                <w:szCs w:val="11"/>
                <w:color w:val="auto"/>
              </w:rPr>
              <w:t>GCOM Software LLC</w:t>
            </w:r>
          </w:p>
        </w:tc>
        <w:tc>
          <w:tcPr>
            <w:tcW w:w="640" w:type="dxa"/>
            <w:vAlign w:val="bottom"/>
            <w:gridSpan w:val="2"/>
          </w:tcPr>
          <w:p>
            <w:pPr>
              <w:jc w:val="center"/>
              <w:ind w:left="66"/>
              <w:spacing w:after="0"/>
              <w:rPr>
                <w:sz w:val="20"/>
                <w:szCs w:val="20"/>
                <w:color w:val="auto"/>
              </w:rPr>
            </w:pPr>
            <w:r>
              <w:rPr>
                <w:rFonts w:ascii="Arial" w:cs="Arial" w:eastAsia="Arial" w:hAnsi="Arial"/>
                <w:sz w:val="11"/>
                <w:szCs w:val="11"/>
                <w:color w:val="auto"/>
                <w:w w:val="87"/>
              </w:rPr>
              <w:t>11/14/2022</w:t>
            </w:r>
          </w:p>
        </w:tc>
        <w:tc>
          <w:tcPr>
            <w:tcW w:w="240" w:type="dxa"/>
            <w:vAlign w:val="bottom"/>
          </w:tcPr>
          <w:p>
            <w:pPr>
              <w:spacing w:after="0"/>
              <w:rPr>
                <w:sz w:val="11"/>
                <w:szCs w:val="11"/>
                <w:color w:val="auto"/>
              </w:rPr>
            </w:pPr>
          </w:p>
        </w:tc>
        <w:tc>
          <w:tcPr>
            <w:tcW w:w="2760" w:type="dxa"/>
            <w:vAlign w:val="bottom"/>
            <w:gridSpan w:val="2"/>
          </w:tcPr>
          <w:p>
            <w:pPr>
              <w:jc w:val="center"/>
              <w:ind w:right="140"/>
              <w:spacing w:after="0"/>
              <w:rPr>
                <w:sz w:val="20"/>
                <w:szCs w:val="20"/>
                <w:color w:val="auto"/>
              </w:rPr>
            </w:pPr>
            <w:r>
              <w:rPr>
                <w:rFonts w:ascii="Arial" w:cs="Arial" w:eastAsia="Arial" w:hAnsi="Arial"/>
                <w:sz w:val="11"/>
                <w:szCs w:val="11"/>
                <w:color w:val="auto"/>
                <w:w w:val="89"/>
              </w:rPr>
              <w:t>High Tech Industries</w:t>
            </w:r>
          </w:p>
        </w:tc>
        <w:tc>
          <w:tcPr>
            <w:tcW w:w="860" w:type="dxa"/>
            <w:vAlign w:val="bottom"/>
            <w:gridSpan w:val="2"/>
          </w:tcPr>
          <w:p>
            <w:pPr>
              <w:jc w:val="right"/>
              <w:ind w:right="180"/>
              <w:spacing w:after="0"/>
              <w:rPr>
                <w:sz w:val="20"/>
                <w:szCs w:val="20"/>
                <w:color w:val="auto"/>
              </w:rPr>
            </w:pPr>
            <w:r>
              <w:rPr>
                <w:rFonts w:ascii="Arial" w:cs="Arial" w:eastAsia="Arial" w:hAnsi="Arial"/>
                <w:sz w:val="11"/>
                <w:szCs w:val="11"/>
                <w:color w:val="auto"/>
              </w:rPr>
              <w:t>7.96%</w:t>
            </w:r>
          </w:p>
        </w:tc>
        <w:tc>
          <w:tcPr>
            <w:tcW w:w="560" w:type="dxa"/>
            <w:vAlign w:val="bottom"/>
          </w:tcPr>
          <w:p>
            <w:pPr>
              <w:ind w:left="400"/>
              <w:spacing w:after="0"/>
              <w:rPr>
                <w:sz w:val="20"/>
                <w:szCs w:val="20"/>
                <w:color w:val="auto"/>
              </w:rPr>
            </w:pPr>
            <w:r>
              <w:rPr>
                <w:rFonts w:ascii="Arial" w:cs="Arial" w:eastAsia="Arial" w:hAnsi="Arial"/>
                <w:sz w:val="11"/>
                <w:szCs w:val="11"/>
                <w:color w:val="auto"/>
                <w:w w:val="91"/>
              </w:rPr>
              <w:t>1M</w:t>
            </w:r>
          </w:p>
        </w:tc>
        <w:tc>
          <w:tcPr>
            <w:tcW w:w="540" w:type="dxa"/>
            <w:vAlign w:val="bottom"/>
            <w:gridSpan w:val="3"/>
          </w:tcPr>
          <w:p>
            <w:pPr>
              <w:jc w:val="right"/>
              <w:ind w:right="220"/>
              <w:spacing w:after="0"/>
              <w:rPr>
                <w:sz w:val="20"/>
                <w:szCs w:val="20"/>
                <w:color w:val="auto"/>
              </w:rPr>
            </w:pPr>
            <w:r>
              <w:rPr>
                <w:rFonts w:ascii="Arial" w:cs="Arial" w:eastAsia="Arial" w:hAnsi="Arial"/>
                <w:sz w:val="11"/>
                <w:szCs w:val="11"/>
                <w:color w:val="auto"/>
                <w:w w:val="96"/>
              </w:rPr>
              <w:t>L+625</w:t>
            </w:r>
          </w:p>
        </w:tc>
        <w:tc>
          <w:tcPr>
            <w:tcW w:w="580" w:type="dxa"/>
            <w:vAlign w:val="bottom"/>
          </w:tcPr>
          <w:p>
            <w:pPr>
              <w:jc w:val="right"/>
              <w:spacing w:after="0"/>
              <w:rPr>
                <w:sz w:val="20"/>
                <w:szCs w:val="20"/>
                <w:color w:val="auto"/>
              </w:rPr>
            </w:pPr>
            <w:r>
              <w:rPr>
                <w:rFonts w:ascii="Arial" w:cs="Arial" w:eastAsia="Arial" w:hAnsi="Arial"/>
                <w:sz w:val="11"/>
                <w:szCs w:val="11"/>
                <w:color w:val="auto"/>
                <w:w w:val="98"/>
              </w:rPr>
              <w:t>17,237,379</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17,124,994</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17,237,379</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shd w:val="clear" w:color="auto" w:fill="CCECFF"/>
          </w:tcPr>
          <w:p>
            <w:pPr>
              <w:spacing w:after="0"/>
              <w:rPr>
                <w:sz w:val="20"/>
                <w:szCs w:val="20"/>
                <w:color w:val="auto"/>
              </w:rPr>
            </w:pPr>
            <w:r>
              <w:rPr>
                <w:rFonts w:ascii="Arial" w:cs="Arial" w:eastAsia="Arial" w:hAnsi="Arial"/>
                <w:sz w:val="11"/>
                <w:szCs w:val="11"/>
                <w:color w:val="auto"/>
              </w:rPr>
              <w:t>Good2Grow LLC</w:t>
            </w:r>
          </w:p>
        </w:tc>
        <w:tc>
          <w:tcPr>
            <w:tcW w:w="64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87"/>
              </w:rPr>
              <w:t>11/18/2024</w:t>
            </w:r>
          </w:p>
        </w:tc>
        <w:tc>
          <w:tcPr>
            <w:tcW w:w="24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7"/>
              </w:rPr>
              <w:t>Beverages</w:t>
            </w:r>
          </w:p>
        </w:tc>
        <w:tc>
          <w:tcPr>
            <w:tcW w:w="86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6.19%</w:t>
            </w:r>
          </w:p>
        </w:tc>
        <w:tc>
          <w:tcPr>
            <w:tcW w:w="560" w:type="dxa"/>
            <w:vAlign w:val="bottom"/>
            <w:shd w:val="clear" w:color="auto" w:fill="CCECFF"/>
          </w:tcPr>
          <w:p>
            <w:pPr>
              <w:ind w:left="400"/>
              <w:spacing w:after="0"/>
              <w:rPr>
                <w:sz w:val="20"/>
                <w:szCs w:val="20"/>
                <w:color w:val="auto"/>
              </w:rPr>
            </w:pPr>
            <w:r>
              <w:rPr>
                <w:rFonts w:ascii="Arial" w:cs="Arial" w:eastAsia="Arial" w:hAnsi="Arial"/>
                <w:sz w:val="11"/>
                <w:szCs w:val="11"/>
                <w:color w:val="auto"/>
                <w:w w:val="91"/>
              </w:rPr>
              <w:t>3M</w:t>
            </w:r>
          </w:p>
        </w:tc>
        <w:tc>
          <w:tcPr>
            <w:tcW w:w="540" w:type="dxa"/>
            <w:vAlign w:val="bottom"/>
            <w:gridSpan w:val="3"/>
            <w:shd w:val="clear" w:color="auto" w:fill="CCECFF"/>
          </w:tcPr>
          <w:p>
            <w:pPr>
              <w:jc w:val="right"/>
              <w:ind w:right="220"/>
              <w:spacing w:after="0"/>
              <w:rPr>
                <w:sz w:val="20"/>
                <w:szCs w:val="20"/>
                <w:color w:val="auto"/>
              </w:rPr>
            </w:pPr>
            <w:r>
              <w:rPr>
                <w:rFonts w:ascii="Arial" w:cs="Arial" w:eastAsia="Arial" w:hAnsi="Arial"/>
                <w:sz w:val="11"/>
                <w:szCs w:val="11"/>
                <w:color w:val="auto"/>
                <w:w w:val="96"/>
              </w:rPr>
              <w:t>L+425</w:t>
            </w: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w w:val="98"/>
              </w:rPr>
              <w:t>11,329,248</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11,233,370</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11,215,956</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tcPr>
          <w:p>
            <w:pPr>
              <w:spacing w:after="0"/>
              <w:rPr>
                <w:sz w:val="20"/>
                <w:szCs w:val="20"/>
                <w:color w:val="auto"/>
              </w:rPr>
            </w:pPr>
            <w:r>
              <w:rPr>
                <w:rFonts w:ascii="Arial" w:cs="Arial" w:eastAsia="Arial" w:hAnsi="Arial"/>
                <w:sz w:val="11"/>
                <w:szCs w:val="11"/>
                <w:color w:val="auto"/>
              </w:rPr>
              <w:t>GSM Holdings, Inc.</w:t>
            </w:r>
          </w:p>
        </w:tc>
        <w:tc>
          <w:tcPr>
            <w:tcW w:w="640" w:type="dxa"/>
            <w:vAlign w:val="bottom"/>
            <w:gridSpan w:val="2"/>
          </w:tcPr>
          <w:p>
            <w:pPr>
              <w:jc w:val="center"/>
              <w:ind w:left="66"/>
              <w:spacing w:after="0"/>
              <w:rPr>
                <w:sz w:val="20"/>
                <w:szCs w:val="20"/>
                <w:color w:val="auto"/>
              </w:rPr>
            </w:pPr>
            <w:r>
              <w:rPr>
                <w:rFonts w:ascii="Arial" w:cs="Arial" w:eastAsia="Arial" w:hAnsi="Arial"/>
                <w:sz w:val="11"/>
                <w:szCs w:val="11"/>
                <w:color w:val="auto"/>
                <w:w w:val="87"/>
              </w:rPr>
              <w:t>06/03/2024</w:t>
            </w:r>
          </w:p>
        </w:tc>
        <w:tc>
          <w:tcPr>
            <w:tcW w:w="240" w:type="dxa"/>
            <w:vAlign w:val="bottom"/>
          </w:tcPr>
          <w:p>
            <w:pPr>
              <w:spacing w:after="0"/>
              <w:rPr>
                <w:sz w:val="11"/>
                <w:szCs w:val="11"/>
                <w:color w:val="auto"/>
              </w:rPr>
            </w:pPr>
          </w:p>
        </w:tc>
        <w:tc>
          <w:tcPr>
            <w:tcW w:w="2760" w:type="dxa"/>
            <w:vAlign w:val="bottom"/>
            <w:gridSpan w:val="2"/>
          </w:tcPr>
          <w:p>
            <w:pPr>
              <w:jc w:val="center"/>
              <w:ind w:right="160"/>
              <w:spacing w:after="0"/>
              <w:rPr>
                <w:sz w:val="20"/>
                <w:szCs w:val="20"/>
                <w:color w:val="auto"/>
              </w:rPr>
            </w:pPr>
            <w:r>
              <w:rPr>
                <w:rFonts w:ascii="Arial" w:cs="Arial" w:eastAsia="Arial" w:hAnsi="Arial"/>
                <w:sz w:val="11"/>
                <w:szCs w:val="11"/>
                <w:color w:val="auto"/>
                <w:w w:val="88"/>
              </w:rPr>
              <w:t>Consumer Goods: Durable</w:t>
            </w:r>
          </w:p>
        </w:tc>
        <w:tc>
          <w:tcPr>
            <w:tcW w:w="860" w:type="dxa"/>
            <w:vAlign w:val="bottom"/>
            <w:gridSpan w:val="2"/>
          </w:tcPr>
          <w:p>
            <w:pPr>
              <w:jc w:val="right"/>
              <w:ind w:right="180"/>
              <w:spacing w:after="0"/>
              <w:rPr>
                <w:sz w:val="20"/>
                <w:szCs w:val="20"/>
                <w:color w:val="auto"/>
              </w:rPr>
            </w:pPr>
            <w:r>
              <w:rPr>
                <w:rFonts w:ascii="Arial" w:cs="Arial" w:eastAsia="Arial" w:hAnsi="Arial"/>
                <w:sz w:val="11"/>
                <w:szCs w:val="11"/>
                <w:color w:val="auto"/>
              </w:rPr>
              <w:t>6.60%</w:t>
            </w:r>
          </w:p>
        </w:tc>
        <w:tc>
          <w:tcPr>
            <w:tcW w:w="560" w:type="dxa"/>
            <w:vAlign w:val="bottom"/>
          </w:tcPr>
          <w:p>
            <w:pPr>
              <w:ind w:left="400"/>
              <w:spacing w:after="0"/>
              <w:rPr>
                <w:sz w:val="20"/>
                <w:szCs w:val="20"/>
                <w:color w:val="auto"/>
              </w:rPr>
            </w:pPr>
            <w:r>
              <w:rPr>
                <w:rFonts w:ascii="Arial" w:cs="Arial" w:eastAsia="Arial" w:hAnsi="Arial"/>
                <w:sz w:val="11"/>
                <w:szCs w:val="11"/>
                <w:color w:val="auto"/>
                <w:w w:val="91"/>
              </w:rPr>
              <w:t>3M</w:t>
            </w:r>
          </w:p>
        </w:tc>
        <w:tc>
          <w:tcPr>
            <w:tcW w:w="540" w:type="dxa"/>
            <w:vAlign w:val="bottom"/>
            <w:gridSpan w:val="3"/>
          </w:tcPr>
          <w:p>
            <w:pPr>
              <w:jc w:val="right"/>
              <w:ind w:right="220"/>
              <w:spacing w:after="0"/>
              <w:rPr>
                <w:sz w:val="20"/>
                <w:szCs w:val="20"/>
                <w:color w:val="auto"/>
              </w:rPr>
            </w:pPr>
            <w:r>
              <w:rPr>
                <w:rFonts w:ascii="Arial" w:cs="Arial" w:eastAsia="Arial" w:hAnsi="Arial"/>
                <w:sz w:val="11"/>
                <w:szCs w:val="11"/>
                <w:color w:val="auto"/>
                <w:w w:val="96"/>
              </w:rPr>
              <w:t>L+450</w:t>
            </w:r>
          </w:p>
        </w:tc>
        <w:tc>
          <w:tcPr>
            <w:tcW w:w="580" w:type="dxa"/>
            <w:vAlign w:val="bottom"/>
          </w:tcPr>
          <w:p>
            <w:pPr>
              <w:jc w:val="right"/>
              <w:spacing w:after="0"/>
              <w:rPr>
                <w:sz w:val="20"/>
                <w:szCs w:val="20"/>
                <w:color w:val="auto"/>
              </w:rPr>
            </w:pPr>
            <w:r>
              <w:rPr>
                <w:rFonts w:ascii="Arial" w:cs="Arial" w:eastAsia="Arial" w:hAnsi="Arial"/>
                <w:sz w:val="11"/>
                <w:szCs w:val="11"/>
                <w:color w:val="auto"/>
                <w:w w:val="98"/>
              </w:rPr>
              <w:t>19,619,454</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19,481,180</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19,423,260</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shd w:val="clear" w:color="auto" w:fill="CCECFF"/>
          </w:tcPr>
          <w:p>
            <w:pPr>
              <w:spacing w:after="0"/>
              <w:rPr>
                <w:sz w:val="20"/>
                <w:szCs w:val="20"/>
                <w:color w:val="auto"/>
              </w:rPr>
            </w:pPr>
            <w:r>
              <w:rPr>
                <w:rFonts w:ascii="Arial" w:cs="Arial" w:eastAsia="Arial" w:hAnsi="Arial"/>
                <w:sz w:val="11"/>
                <w:szCs w:val="11"/>
                <w:color w:val="auto"/>
              </w:rPr>
              <w:t>IMIA Holdings, Inc.</w:t>
            </w:r>
          </w:p>
        </w:tc>
        <w:tc>
          <w:tcPr>
            <w:tcW w:w="64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87"/>
              </w:rPr>
              <w:t>10/28/2024</w:t>
            </w:r>
          </w:p>
        </w:tc>
        <w:tc>
          <w:tcPr>
            <w:tcW w:w="24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6"/>
              </w:rPr>
              <w:t>Aerospace and Defense</w:t>
            </w:r>
          </w:p>
        </w:tc>
        <w:tc>
          <w:tcPr>
            <w:tcW w:w="86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6.44%</w:t>
            </w:r>
          </w:p>
        </w:tc>
        <w:tc>
          <w:tcPr>
            <w:tcW w:w="560" w:type="dxa"/>
            <w:vAlign w:val="bottom"/>
            <w:shd w:val="clear" w:color="auto" w:fill="CCECFF"/>
          </w:tcPr>
          <w:p>
            <w:pPr>
              <w:ind w:left="400"/>
              <w:spacing w:after="0"/>
              <w:rPr>
                <w:sz w:val="20"/>
                <w:szCs w:val="20"/>
                <w:color w:val="auto"/>
              </w:rPr>
            </w:pPr>
            <w:r>
              <w:rPr>
                <w:rFonts w:ascii="Arial" w:cs="Arial" w:eastAsia="Arial" w:hAnsi="Arial"/>
                <w:sz w:val="11"/>
                <w:szCs w:val="11"/>
                <w:color w:val="auto"/>
                <w:w w:val="91"/>
              </w:rPr>
              <w:t>3M</w:t>
            </w:r>
          </w:p>
        </w:tc>
        <w:tc>
          <w:tcPr>
            <w:tcW w:w="540" w:type="dxa"/>
            <w:vAlign w:val="bottom"/>
            <w:gridSpan w:val="3"/>
            <w:shd w:val="clear" w:color="auto" w:fill="CCECFF"/>
          </w:tcPr>
          <w:p>
            <w:pPr>
              <w:jc w:val="right"/>
              <w:ind w:right="220"/>
              <w:spacing w:after="0"/>
              <w:rPr>
                <w:sz w:val="20"/>
                <w:szCs w:val="20"/>
                <w:color w:val="auto"/>
              </w:rPr>
            </w:pPr>
            <w:r>
              <w:rPr>
                <w:rFonts w:ascii="Arial" w:cs="Arial" w:eastAsia="Arial" w:hAnsi="Arial"/>
                <w:sz w:val="11"/>
                <w:szCs w:val="11"/>
                <w:color w:val="auto"/>
                <w:w w:val="96"/>
              </w:rPr>
              <w:t>L+450</w:t>
            </w: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w w:val="98"/>
              </w:rPr>
              <w:t>12,375,000</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12,321,890</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12,313,125</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tcPr>
          <w:p>
            <w:pPr>
              <w:spacing w:after="0"/>
              <w:rPr>
                <w:sz w:val="20"/>
                <w:szCs w:val="20"/>
                <w:color w:val="auto"/>
              </w:rPr>
            </w:pPr>
            <w:r>
              <w:rPr>
                <w:rFonts w:ascii="Arial" w:cs="Arial" w:eastAsia="Arial" w:hAnsi="Arial"/>
                <w:sz w:val="11"/>
                <w:szCs w:val="11"/>
                <w:color w:val="auto"/>
              </w:rPr>
              <w:t>Impact Group, LLC</w:t>
            </w:r>
          </w:p>
        </w:tc>
        <w:tc>
          <w:tcPr>
            <w:tcW w:w="640" w:type="dxa"/>
            <w:vAlign w:val="bottom"/>
            <w:gridSpan w:val="2"/>
          </w:tcPr>
          <w:p>
            <w:pPr>
              <w:jc w:val="center"/>
              <w:ind w:left="66"/>
              <w:spacing w:after="0"/>
              <w:rPr>
                <w:sz w:val="20"/>
                <w:szCs w:val="20"/>
                <w:color w:val="auto"/>
              </w:rPr>
            </w:pPr>
            <w:r>
              <w:rPr>
                <w:rFonts w:ascii="Arial" w:cs="Arial" w:eastAsia="Arial" w:hAnsi="Arial"/>
                <w:sz w:val="11"/>
                <w:szCs w:val="11"/>
                <w:color w:val="auto"/>
                <w:w w:val="87"/>
              </w:rPr>
              <w:t>06/27/2023</w:t>
            </w:r>
          </w:p>
        </w:tc>
        <w:tc>
          <w:tcPr>
            <w:tcW w:w="240" w:type="dxa"/>
            <w:vAlign w:val="bottom"/>
          </w:tcPr>
          <w:p>
            <w:pPr>
              <w:spacing w:after="0"/>
              <w:rPr>
                <w:sz w:val="11"/>
                <w:szCs w:val="11"/>
                <w:color w:val="auto"/>
              </w:rPr>
            </w:pPr>
          </w:p>
        </w:tc>
        <w:tc>
          <w:tcPr>
            <w:tcW w:w="2760" w:type="dxa"/>
            <w:vAlign w:val="bottom"/>
            <w:gridSpan w:val="2"/>
          </w:tcPr>
          <w:p>
            <w:pPr>
              <w:jc w:val="center"/>
              <w:ind w:right="140"/>
              <w:spacing w:after="0"/>
              <w:rPr>
                <w:sz w:val="20"/>
                <w:szCs w:val="20"/>
                <w:color w:val="auto"/>
              </w:rPr>
            </w:pPr>
            <w:r>
              <w:rPr>
                <w:rFonts w:ascii="Arial" w:cs="Arial" w:eastAsia="Arial" w:hAnsi="Arial"/>
                <w:sz w:val="11"/>
                <w:szCs w:val="11"/>
                <w:color w:val="auto"/>
                <w:w w:val="89"/>
              </w:rPr>
              <w:t>Wholesale</w:t>
            </w:r>
          </w:p>
        </w:tc>
        <w:tc>
          <w:tcPr>
            <w:tcW w:w="860" w:type="dxa"/>
            <w:vAlign w:val="bottom"/>
            <w:gridSpan w:val="2"/>
          </w:tcPr>
          <w:p>
            <w:pPr>
              <w:jc w:val="right"/>
              <w:ind w:right="180"/>
              <w:spacing w:after="0"/>
              <w:rPr>
                <w:sz w:val="20"/>
                <w:szCs w:val="20"/>
                <w:color w:val="auto"/>
              </w:rPr>
            </w:pPr>
            <w:r>
              <w:rPr>
                <w:rFonts w:ascii="Arial" w:cs="Arial" w:eastAsia="Arial" w:hAnsi="Arial"/>
                <w:sz w:val="11"/>
                <w:szCs w:val="11"/>
                <w:color w:val="auto"/>
              </w:rPr>
              <w:t>8.44%</w:t>
            </w:r>
          </w:p>
        </w:tc>
        <w:tc>
          <w:tcPr>
            <w:tcW w:w="560" w:type="dxa"/>
            <w:vAlign w:val="bottom"/>
          </w:tcPr>
          <w:p>
            <w:pPr>
              <w:ind w:left="400"/>
              <w:spacing w:after="0"/>
              <w:rPr>
                <w:sz w:val="20"/>
                <w:szCs w:val="20"/>
                <w:color w:val="auto"/>
              </w:rPr>
            </w:pPr>
            <w:r>
              <w:rPr>
                <w:rFonts w:ascii="Arial" w:cs="Arial" w:eastAsia="Arial" w:hAnsi="Arial"/>
                <w:sz w:val="11"/>
                <w:szCs w:val="11"/>
                <w:color w:val="auto"/>
                <w:w w:val="91"/>
              </w:rPr>
              <w:t>1M</w:t>
            </w:r>
          </w:p>
        </w:tc>
        <w:tc>
          <w:tcPr>
            <w:tcW w:w="540" w:type="dxa"/>
            <w:vAlign w:val="bottom"/>
            <w:gridSpan w:val="3"/>
          </w:tcPr>
          <w:p>
            <w:pPr>
              <w:jc w:val="right"/>
              <w:ind w:right="220"/>
              <w:spacing w:after="0"/>
              <w:rPr>
                <w:sz w:val="20"/>
                <w:szCs w:val="20"/>
                <w:color w:val="auto"/>
              </w:rPr>
            </w:pPr>
            <w:r>
              <w:rPr>
                <w:rFonts w:ascii="Arial" w:cs="Arial" w:eastAsia="Arial" w:hAnsi="Arial"/>
                <w:sz w:val="11"/>
                <w:szCs w:val="11"/>
                <w:color w:val="auto"/>
                <w:w w:val="96"/>
              </w:rPr>
              <w:t>L+650</w:t>
            </w:r>
          </w:p>
        </w:tc>
        <w:tc>
          <w:tcPr>
            <w:tcW w:w="580" w:type="dxa"/>
            <w:vAlign w:val="bottom"/>
          </w:tcPr>
          <w:p>
            <w:pPr>
              <w:jc w:val="right"/>
              <w:spacing w:after="0"/>
              <w:rPr>
                <w:sz w:val="20"/>
                <w:szCs w:val="20"/>
                <w:color w:val="auto"/>
              </w:rPr>
            </w:pPr>
            <w:r>
              <w:rPr>
                <w:rFonts w:ascii="Arial" w:cs="Arial" w:eastAsia="Arial" w:hAnsi="Arial"/>
                <w:sz w:val="11"/>
                <w:szCs w:val="11"/>
                <w:color w:val="auto"/>
              </w:rPr>
              <w:t>9,365,185</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9,275,424</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9,224,707</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06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Infrastructure Supply Operations Pty Ltd. </w:t>
            </w:r>
            <w:r>
              <w:rPr>
                <w:rFonts w:ascii="Arial" w:cs="Arial" w:eastAsia="Arial" w:hAnsi="Arial"/>
                <w:sz w:val="9"/>
                <w:szCs w:val="9"/>
                <w:color w:val="auto"/>
              </w:rPr>
              <w:t>(3), (4)</w:t>
            </w:r>
          </w:p>
        </w:tc>
        <w:tc>
          <w:tcPr>
            <w:tcW w:w="64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87"/>
              </w:rPr>
              <w:t>12/12/2023</w:t>
            </w:r>
          </w:p>
        </w:tc>
        <w:tc>
          <w:tcPr>
            <w:tcW w:w="240" w:type="dxa"/>
            <w:vAlign w:val="bottom"/>
            <w:shd w:val="clear" w:color="auto" w:fill="CCECFF"/>
          </w:tcPr>
          <w:p>
            <w:pPr>
              <w:spacing w:after="0"/>
              <w:rPr>
                <w:sz w:val="12"/>
                <w:szCs w:val="12"/>
                <w:color w:val="auto"/>
              </w:rPr>
            </w:pP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9"/>
              </w:rPr>
              <w:t>Wholesale</w:t>
            </w:r>
          </w:p>
        </w:tc>
        <w:tc>
          <w:tcPr>
            <w:tcW w:w="86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5.67%</w:t>
            </w:r>
          </w:p>
        </w:tc>
        <w:tc>
          <w:tcPr>
            <w:tcW w:w="560" w:type="dxa"/>
            <w:vAlign w:val="bottom"/>
            <w:shd w:val="clear" w:color="auto" w:fill="CCECFF"/>
          </w:tcPr>
          <w:p>
            <w:pPr>
              <w:ind w:left="400"/>
              <w:spacing w:after="0"/>
              <w:rPr>
                <w:sz w:val="20"/>
                <w:szCs w:val="20"/>
                <w:color w:val="auto"/>
              </w:rPr>
            </w:pPr>
            <w:r>
              <w:rPr>
                <w:rFonts w:ascii="Arial" w:cs="Arial" w:eastAsia="Arial" w:hAnsi="Arial"/>
                <w:sz w:val="11"/>
                <w:szCs w:val="11"/>
                <w:color w:val="auto"/>
                <w:w w:val="91"/>
              </w:rPr>
              <w:t>1M</w:t>
            </w:r>
          </w:p>
        </w:tc>
        <w:tc>
          <w:tcPr>
            <w:tcW w:w="540" w:type="dxa"/>
            <w:vAlign w:val="bottom"/>
            <w:gridSpan w:val="3"/>
            <w:shd w:val="clear" w:color="auto" w:fill="CCECFF"/>
          </w:tcPr>
          <w:p>
            <w:pPr>
              <w:jc w:val="right"/>
              <w:ind w:right="40"/>
              <w:spacing w:after="0"/>
              <w:rPr>
                <w:sz w:val="20"/>
                <w:szCs w:val="20"/>
                <w:color w:val="auto"/>
              </w:rPr>
            </w:pPr>
            <w:r>
              <w:rPr>
                <w:rFonts w:ascii="Arial" w:cs="Arial" w:eastAsia="Arial" w:hAnsi="Arial"/>
                <w:sz w:val="11"/>
                <w:szCs w:val="11"/>
                <w:color w:val="auto"/>
              </w:rPr>
              <w:t>L+475A $</w:t>
            </w: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w w:val="89"/>
              </w:rPr>
              <w:t>15,000,000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10,985,913</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10,172,038</w:t>
            </w:r>
          </w:p>
        </w:tc>
        <w:tc>
          <w:tcPr>
            <w:tcW w:w="12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060" w:type="dxa"/>
            <w:vAlign w:val="bottom"/>
          </w:tcPr>
          <w:p>
            <w:pPr>
              <w:spacing w:after="0"/>
              <w:rPr>
                <w:sz w:val="20"/>
                <w:szCs w:val="20"/>
                <w:color w:val="auto"/>
              </w:rPr>
            </w:pPr>
            <w:r>
              <w:rPr>
                <w:rFonts w:ascii="Arial" w:cs="Arial" w:eastAsia="Arial" w:hAnsi="Arial"/>
                <w:sz w:val="11"/>
                <w:szCs w:val="11"/>
                <w:color w:val="auto"/>
              </w:rPr>
              <w:t>Integrative Nutrition, LLC</w:t>
            </w:r>
          </w:p>
        </w:tc>
        <w:tc>
          <w:tcPr>
            <w:tcW w:w="640" w:type="dxa"/>
            <w:vAlign w:val="bottom"/>
            <w:gridSpan w:val="2"/>
          </w:tcPr>
          <w:p>
            <w:pPr>
              <w:jc w:val="center"/>
              <w:ind w:left="66"/>
              <w:spacing w:after="0"/>
              <w:rPr>
                <w:sz w:val="20"/>
                <w:szCs w:val="20"/>
                <w:color w:val="auto"/>
              </w:rPr>
            </w:pPr>
            <w:r>
              <w:rPr>
                <w:rFonts w:ascii="Arial" w:cs="Arial" w:eastAsia="Arial" w:hAnsi="Arial"/>
                <w:sz w:val="11"/>
                <w:szCs w:val="11"/>
                <w:color w:val="auto"/>
                <w:w w:val="87"/>
              </w:rPr>
              <w:t>09/29/2023</w:t>
            </w:r>
          </w:p>
        </w:tc>
        <w:tc>
          <w:tcPr>
            <w:tcW w:w="240" w:type="dxa"/>
            <w:vAlign w:val="bottom"/>
          </w:tcPr>
          <w:p>
            <w:pPr>
              <w:spacing w:after="0"/>
              <w:rPr>
                <w:sz w:val="11"/>
                <w:szCs w:val="11"/>
                <w:color w:val="auto"/>
              </w:rPr>
            </w:pPr>
          </w:p>
        </w:tc>
        <w:tc>
          <w:tcPr>
            <w:tcW w:w="2760" w:type="dxa"/>
            <w:vAlign w:val="bottom"/>
            <w:gridSpan w:val="2"/>
          </w:tcPr>
          <w:p>
            <w:pPr>
              <w:jc w:val="center"/>
              <w:ind w:right="140"/>
              <w:spacing w:after="0"/>
              <w:rPr>
                <w:sz w:val="20"/>
                <w:szCs w:val="20"/>
                <w:color w:val="auto"/>
              </w:rPr>
            </w:pPr>
            <w:r>
              <w:rPr>
                <w:rFonts w:ascii="Arial" w:cs="Arial" w:eastAsia="Arial" w:hAnsi="Arial"/>
                <w:sz w:val="11"/>
                <w:szCs w:val="11"/>
                <w:color w:val="auto"/>
                <w:w w:val="89"/>
              </w:rPr>
              <w:t>Diversified Consumer Services</w:t>
            </w:r>
          </w:p>
        </w:tc>
        <w:tc>
          <w:tcPr>
            <w:tcW w:w="860" w:type="dxa"/>
            <w:vAlign w:val="bottom"/>
            <w:gridSpan w:val="2"/>
          </w:tcPr>
          <w:p>
            <w:pPr>
              <w:jc w:val="right"/>
              <w:ind w:right="180"/>
              <w:spacing w:after="0"/>
              <w:rPr>
                <w:sz w:val="20"/>
                <w:szCs w:val="20"/>
                <w:color w:val="auto"/>
              </w:rPr>
            </w:pPr>
            <w:r>
              <w:rPr>
                <w:rFonts w:ascii="Arial" w:cs="Arial" w:eastAsia="Arial" w:hAnsi="Arial"/>
                <w:sz w:val="11"/>
                <w:szCs w:val="11"/>
                <w:color w:val="auto"/>
              </w:rPr>
              <w:t>6.69%</w:t>
            </w:r>
          </w:p>
        </w:tc>
        <w:tc>
          <w:tcPr>
            <w:tcW w:w="560" w:type="dxa"/>
            <w:vAlign w:val="bottom"/>
          </w:tcPr>
          <w:p>
            <w:pPr>
              <w:ind w:left="400"/>
              <w:spacing w:after="0"/>
              <w:rPr>
                <w:sz w:val="20"/>
                <w:szCs w:val="20"/>
                <w:color w:val="auto"/>
              </w:rPr>
            </w:pPr>
            <w:r>
              <w:rPr>
                <w:rFonts w:ascii="Arial" w:cs="Arial" w:eastAsia="Arial" w:hAnsi="Arial"/>
                <w:sz w:val="11"/>
                <w:szCs w:val="11"/>
                <w:color w:val="auto"/>
                <w:w w:val="91"/>
              </w:rPr>
              <w:t>1M</w:t>
            </w:r>
          </w:p>
        </w:tc>
        <w:tc>
          <w:tcPr>
            <w:tcW w:w="540" w:type="dxa"/>
            <w:vAlign w:val="bottom"/>
            <w:gridSpan w:val="3"/>
          </w:tcPr>
          <w:p>
            <w:pPr>
              <w:jc w:val="right"/>
              <w:ind w:right="220"/>
              <w:spacing w:after="0"/>
              <w:rPr>
                <w:sz w:val="20"/>
                <w:szCs w:val="20"/>
                <w:color w:val="auto"/>
              </w:rPr>
            </w:pPr>
            <w:r>
              <w:rPr>
                <w:rFonts w:ascii="Arial" w:cs="Arial" w:eastAsia="Arial" w:hAnsi="Arial"/>
                <w:sz w:val="11"/>
                <w:szCs w:val="11"/>
                <w:color w:val="auto"/>
                <w:w w:val="96"/>
              </w:rPr>
              <w:t>L+475</w:t>
            </w:r>
          </w:p>
        </w:tc>
        <w:tc>
          <w:tcPr>
            <w:tcW w:w="580" w:type="dxa"/>
            <w:vAlign w:val="bottom"/>
          </w:tcPr>
          <w:p>
            <w:pPr>
              <w:jc w:val="right"/>
              <w:spacing w:after="0"/>
              <w:rPr>
                <w:sz w:val="20"/>
                <w:szCs w:val="20"/>
                <w:color w:val="auto"/>
              </w:rPr>
            </w:pPr>
            <w:r>
              <w:rPr>
                <w:rFonts w:ascii="Arial" w:cs="Arial" w:eastAsia="Arial" w:hAnsi="Arial"/>
                <w:sz w:val="11"/>
                <w:szCs w:val="11"/>
                <w:color w:val="auto"/>
              </w:rPr>
              <w:t>9,949,749</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9,949,749</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9,850,251</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shd w:val="clear" w:color="auto" w:fill="CCECFF"/>
          </w:tcPr>
          <w:p>
            <w:pPr>
              <w:spacing w:after="0"/>
              <w:rPr>
                <w:sz w:val="20"/>
                <w:szCs w:val="20"/>
                <w:color w:val="auto"/>
              </w:rPr>
            </w:pPr>
            <w:r>
              <w:rPr>
                <w:rFonts w:ascii="Arial" w:cs="Arial" w:eastAsia="Arial" w:hAnsi="Arial"/>
                <w:sz w:val="11"/>
                <w:szCs w:val="11"/>
                <w:color w:val="auto"/>
              </w:rPr>
              <w:t>K2 Pure Solutions NoCal, L.P.</w:t>
            </w:r>
          </w:p>
        </w:tc>
        <w:tc>
          <w:tcPr>
            <w:tcW w:w="64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87"/>
              </w:rPr>
              <w:t>12/20/2023</w:t>
            </w:r>
          </w:p>
        </w:tc>
        <w:tc>
          <w:tcPr>
            <w:tcW w:w="24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8"/>
              </w:rPr>
              <w:t>Chemicals, Plastics and Rubber</w:t>
            </w:r>
          </w:p>
        </w:tc>
        <w:tc>
          <w:tcPr>
            <w:tcW w:w="86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7.05%</w:t>
            </w:r>
          </w:p>
        </w:tc>
        <w:tc>
          <w:tcPr>
            <w:tcW w:w="560" w:type="dxa"/>
            <w:vAlign w:val="bottom"/>
            <w:shd w:val="clear" w:color="auto" w:fill="CCECFF"/>
          </w:tcPr>
          <w:p>
            <w:pPr>
              <w:ind w:left="400"/>
              <w:spacing w:after="0"/>
              <w:rPr>
                <w:sz w:val="20"/>
                <w:szCs w:val="20"/>
                <w:color w:val="auto"/>
              </w:rPr>
            </w:pPr>
            <w:r>
              <w:rPr>
                <w:rFonts w:ascii="Arial" w:cs="Arial" w:eastAsia="Arial" w:hAnsi="Arial"/>
                <w:sz w:val="11"/>
                <w:szCs w:val="11"/>
                <w:color w:val="auto"/>
                <w:w w:val="91"/>
              </w:rPr>
              <w:t>1M</w:t>
            </w:r>
          </w:p>
        </w:tc>
        <w:tc>
          <w:tcPr>
            <w:tcW w:w="540" w:type="dxa"/>
            <w:vAlign w:val="bottom"/>
            <w:gridSpan w:val="3"/>
            <w:shd w:val="clear" w:color="auto" w:fill="CCECFF"/>
          </w:tcPr>
          <w:p>
            <w:pPr>
              <w:jc w:val="right"/>
              <w:ind w:right="220"/>
              <w:spacing w:after="0"/>
              <w:rPr>
                <w:sz w:val="20"/>
                <w:szCs w:val="20"/>
                <w:color w:val="auto"/>
              </w:rPr>
            </w:pPr>
            <w:r>
              <w:rPr>
                <w:rFonts w:ascii="Arial" w:cs="Arial" w:eastAsia="Arial" w:hAnsi="Arial"/>
                <w:sz w:val="11"/>
                <w:szCs w:val="11"/>
                <w:color w:val="auto"/>
                <w:w w:val="96"/>
              </w:rPr>
              <w:t>L+525</w:t>
            </w: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w w:val="98"/>
              </w:rPr>
              <w:t>19,800,000</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19,546,364</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19,469,340</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tcPr>
          <w:p>
            <w:pPr>
              <w:spacing w:after="0"/>
              <w:rPr>
                <w:sz w:val="20"/>
                <w:szCs w:val="20"/>
                <w:color w:val="auto"/>
              </w:rPr>
            </w:pPr>
            <w:r>
              <w:rPr>
                <w:rFonts w:ascii="Arial" w:cs="Arial" w:eastAsia="Arial" w:hAnsi="Arial"/>
                <w:sz w:val="11"/>
                <w:szCs w:val="11"/>
                <w:color w:val="auto"/>
              </w:rPr>
              <w:t>KHC Holdings, Inc.</w:t>
            </w:r>
          </w:p>
        </w:tc>
        <w:tc>
          <w:tcPr>
            <w:tcW w:w="640" w:type="dxa"/>
            <w:vAlign w:val="bottom"/>
            <w:gridSpan w:val="2"/>
          </w:tcPr>
          <w:p>
            <w:pPr>
              <w:jc w:val="center"/>
              <w:ind w:left="66"/>
              <w:spacing w:after="0"/>
              <w:rPr>
                <w:sz w:val="20"/>
                <w:szCs w:val="20"/>
                <w:color w:val="auto"/>
              </w:rPr>
            </w:pPr>
            <w:r>
              <w:rPr>
                <w:rFonts w:ascii="Arial" w:cs="Arial" w:eastAsia="Arial" w:hAnsi="Arial"/>
                <w:sz w:val="11"/>
                <w:szCs w:val="11"/>
                <w:color w:val="auto"/>
                <w:w w:val="87"/>
              </w:rPr>
              <w:t>10/31/2022</w:t>
            </w:r>
          </w:p>
        </w:tc>
        <w:tc>
          <w:tcPr>
            <w:tcW w:w="240" w:type="dxa"/>
            <w:vAlign w:val="bottom"/>
          </w:tcPr>
          <w:p>
            <w:pPr>
              <w:spacing w:after="0"/>
              <w:rPr>
                <w:sz w:val="11"/>
                <w:szCs w:val="11"/>
                <w:color w:val="auto"/>
              </w:rPr>
            </w:pPr>
          </w:p>
        </w:tc>
        <w:tc>
          <w:tcPr>
            <w:tcW w:w="2760" w:type="dxa"/>
            <w:vAlign w:val="bottom"/>
            <w:gridSpan w:val="2"/>
          </w:tcPr>
          <w:p>
            <w:pPr>
              <w:jc w:val="center"/>
              <w:ind w:right="140"/>
              <w:spacing w:after="0"/>
              <w:rPr>
                <w:sz w:val="20"/>
                <w:szCs w:val="20"/>
                <w:color w:val="auto"/>
              </w:rPr>
            </w:pPr>
            <w:r>
              <w:rPr>
                <w:rFonts w:ascii="Arial" w:cs="Arial" w:eastAsia="Arial" w:hAnsi="Arial"/>
                <w:sz w:val="11"/>
                <w:szCs w:val="11"/>
                <w:color w:val="auto"/>
                <w:w w:val="89"/>
              </w:rPr>
              <w:t>Wholesale</w:t>
            </w:r>
          </w:p>
        </w:tc>
        <w:tc>
          <w:tcPr>
            <w:tcW w:w="860" w:type="dxa"/>
            <w:vAlign w:val="bottom"/>
            <w:gridSpan w:val="2"/>
          </w:tcPr>
          <w:p>
            <w:pPr>
              <w:jc w:val="right"/>
              <w:ind w:right="180"/>
              <w:spacing w:after="0"/>
              <w:rPr>
                <w:sz w:val="20"/>
                <w:szCs w:val="20"/>
                <w:color w:val="auto"/>
              </w:rPr>
            </w:pPr>
            <w:r>
              <w:rPr>
                <w:rFonts w:ascii="Arial" w:cs="Arial" w:eastAsia="Arial" w:hAnsi="Arial"/>
                <w:sz w:val="11"/>
                <w:szCs w:val="11"/>
                <w:color w:val="auto"/>
              </w:rPr>
              <w:t>7.94%</w:t>
            </w:r>
          </w:p>
        </w:tc>
        <w:tc>
          <w:tcPr>
            <w:tcW w:w="560" w:type="dxa"/>
            <w:vAlign w:val="bottom"/>
          </w:tcPr>
          <w:p>
            <w:pPr>
              <w:ind w:left="400"/>
              <w:spacing w:after="0"/>
              <w:rPr>
                <w:sz w:val="20"/>
                <w:szCs w:val="20"/>
                <w:color w:val="auto"/>
              </w:rPr>
            </w:pPr>
            <w:r>
              <w:rPr>
                <w:rFonts w:ascii="Arial" w:cs="Arial" w:eastAsia="Arial" w:hAnsi="Arial"/>
                <w:sz w:val="11"/>
                <w:szCs w:val="11"/>
                <w:color w:val="auto"/>
                <w:w w:val="91"/>
              </w:rPr>
              <w:t>3M</w:t>
            </w:r>
          </w:p>
        </w:tc>
        <w:tc>
          <w:tcPr>
            <w:tcW w:w="540" w:type="dxa"/>
            <w:vAlign w:val="bottom"/>
            <w:gridSpan w:val="3"/>
          </w:tcPr>
          <w:p>
            <w:pPr>
              <w:jc w:val="right"/>
              <w:ind w:right="220"/>
              <w:spacing w:after="0"/>
              <w:rPr>
                <w:sz w:val="20"/>
                <w:szCs w:val="20"/>
                <w:color w:val="auto"/>
              </w:rPr>
            </w:pPr>
            <w:r>
              <w:rPr>
                <w:rFonts w:ascii="Arial" w:cs="Arial" w:eastAsia="Arial" w:hAnsi="Arial"/>
                <w:sz w:val="11"/>
                <w:szCs w:val="11"/>
                <w:color w:val="auto"/>
                <w:w w:val="96"/>
              </w:rPr>
              <w:t>L+600</w:t>
            </w:r>
          </w:p>
        </w:tc>
        <w:tc>
          <w:tcPr>
            <w:tcW w:w="580" w:type="dxa"/>
            <w:vAlign w:val="bottom"/>
          </w:tcPr>
          <w:p>
            <w:pPr>
              <w:jc w:val="right"/>
              <w:spacing w:after="0"/>
              <w:rPr>
                <w:sz w:val="20"/>
                <w:szCs w:val="20"/>
                <w:color w:val="auto"/>
              </w:rPr>
            </w:pPr>
            <w:r>
              <w:rPr>
                <w:rFonts w:ascii="Arial" w:cs="Arial" w:eastAsia="Arial" w:hAnsi="Arial"/>
                <w:sz w:val="11"/>
                <w:szCs w:val="11"/>
                <w:color w:val="auto"/>
              </w:rPr>
              <w:t>5,350,904</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5,350,904</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5,350,904</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shd w:val="clear" w:color="auto" w:fill="CCECFF"/>
          </w:tcPr>
          <w:p>
            <w:pPr>
              <w:spacing w:after="0"/>
              <w:rPr>
                <w:sz w:val="20"/>
                <w:szCs w:val="20"/>
                <w:color w:val="auto"/>
              </w:rPr>
            </w:pPr>
            <w:r>
              <w:rPr>
                <w:rFonts w:ascii="Arial" w:cs="Arial" w:eastAsia="Arial" w:hAnsi="Arial"/>
                <w:sz w:val="11"/>
                <w:szCs w:val="11"/>
                <w:color w:val="auto"/>
              </w:rPr>
              <w:t>Lash Opco, LLC - Term Loan</w:t>
            </w:r>
          </w:p>
        </w:tc>
        <w:tc>
          <w:tcPr>
            <w:tcW w:w="64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87"/>
              </w:rPr>
              <w:t>12/12/2024</w:t>
            </w:r>
          </w:p>
        </w:tc>
        <w:tc>
          <w:tcPr>
            <w:tcW w:w="24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9"/>
              </w:rPr>
              <w:t>Consumer Goods: Non-Durable</w:t>
            </w:r>
          </w:p>
        </w:tc>
        <w:tc>
          <w:tcPr>
            <w:tcW w:w="86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9.16%</w:t>
            </w:r>
          </w:p>
        </w:tc>
        <w:tc>
          <w:tcPr>
            <w:tcW w:w="560" w:type="dxa"/>
            <w:vAlign w:val="bottom"/>
            <w:shd w:val="clear" w:color="auto" w:fill="CCECFF"/>
          </w:tcPr>
          <w:p>
            <w:pPr>
              <w:ind w:left="400"/>
              <w:spacing w:after="0"/>
              <w:rPr>
                <w:sz w:val="20"/>
                <w:szCs w:val="20"/>
                <w:color w:val="auto"/>
              </w:rPr>
            </w:pPr>
            <w:r>
              <w:rPr>
                <w:rFonts w:ascii="Arial" w:cs="Arial" w:eastAsia="Arial" w:hAnsi="Arial"/>
                <w:sz w:val="11"/>
                <w:szCs w:val="11"/>
                <w:color w:val="auto"/>
                <w:w w:val="91"/>
              </w:rPr>
              <w:t>3M</w:t>
            </w:r>
          </w:p>
        </w:tc>
        <w:tc>
          <w:tcPr>
            <w:tcW w:w="540" w:type="dxa"/>
            <w:vAlign w:val="bottom"/>
            <w:gridSpan w:val="3"/>
            <w:shd w:val="clear" w:color="auto" w:fill="CCECFF"/>
          </w:tcPr>
          <w:p>
            <w:pPr>
              <w:jc w:val="right"/>
              <w:ind w:right="220"/>
              <w:spacing w:after="0"/>
              <w:rPr>
                <w:sz w:val="20"/>
                <w:szCs w:val="20"/>
                <w:color w:val="auto"/>
              </w:rPr>
            </w:pPr>
            <w:r>
              <w:rPr>
                <w:rFonts w:ascii="Arial" w:cs="Arial" w:eastAsia="Arial" w:hAnsi="Arial"/>
                <w:sz w:val="11"/>
                <w:szCs w:val="11"/>
                <w:color w:val="auto"/>
                <w:w w:val="96"/>
              </w:rPr>
              <w:t>L+725</w:t>
            </w: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7,500,000</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7,277,344</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7,275,000</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tcPr>
          <w:p>
            <w:pPr>
              <w:spacing w:after="0"/>
              <w:rPr>
                <w:sz w:val="20"/>
                <w:szCs w:val="20"/>
                <w:color w:val="auto"/>
              </w:rPr>
            </w:pPr>
            <w:r>
              <w:rPr>
                <w:rFonts w:ascii="Arial" w:cs="Arial" w:eastAsia="Arial" w:hAnsi="Arial"/>
                <w:sz w:val="11"/>
                <w:szCs w:val="11"/>
                <w:color w:val="auto"/>
              </w:rPr>
              <w:t>LAV Gear Holdings, Inc.</w:t>
            </w:r>
          </w:p>
        </w:tc>
        <w:tc>
          <w:tcPr>
            <w:tcW w:w="640" w:type="dxa"/>
            <w:vAlign w:val="bottom"/>
            <w:gridSpan w:val="2"/>
          </w:tcPr>
          <w:p>
            <w:pPr>
              <w:jc w:val="center"/>
              <w:ind w:left="66"/>
              <w:spacing w:after="0"/>
              <w:rPr>
                <w:sz w:val="20"/>
                <w:szCs w:val="20"/>
                <w:color w:val="auto"/>
              </w:rPr>
            </w:pPr>
            <w:r>
              <w:rPr>
                <w:rFonts w:ascii="Arial" w:cs="Arial" w:eastAsia="Arial" w:hAnsi="Arial"/>
                <w:sz w:val="11"/>
                <w:szCs w:val="11"/>
                <w:color w:val="auto"/>
                <w:w w:val="87"/>
              </w:rPr>
              <w:t>10/31/2024</w:t>
            </w:r>
          </w:p>
        </w:tc>
        <w:tc>
          <w:tcPr>
            <w:tcW w:w="240" w:type="dxa"/>
            <w:vAlign w:val="bottom"/>
          </w:tcPr>
          <w:p>
            <w:pPr>
              <w:spacing w:after="0"/>
              <w:rPr>
                <w:sz w:val="11"/>
                <w:szCs w:val="11"/>
                <w:color w:val="auto"/>
              </w:rPr>
            </w:pPr>
          </w:p>
        </w:tc>
        <w:tc>
          <w:tcPr>
            <w:tcW w:w="2760" w:type="dxa"/>
            <w:vAlign w:val="bottom"/>
            <w:gridSpan w:val="2"/>
          </w:tcPr>
          <w:p>
            <w:pPr>
              <w:jc w:val="center"/>
              <w:ind w:right="140"/>
              <w:spacing w:after="0"/>
              <w:rPr>
                <w:sz w:val="20"/>
                <w:szCs w:val="20"/>
                <w:color w:val="auto"/>
              </w:rPr>
            </w:pPr>
            <w:r>
              <w:rPr>
                <w:rFonts w:ascii="Arial" w:cs="Arial" w:eastAsia="Arial" w:hAnsi="Arial"/>
                <w:sz w:val="11"/>
                <w:szCs w:val="11"/>
                <w:color w:val="auto"/>
                <w:w w:val="91"/>
              </w:rPr>
              <w:t>Capital Equipment</w:t>
            </w:r>
          </w:p>
        </w:tc>
        <w:tc>
          <w:tcPr>
            <w:tcW w:w="860" w:type="dxa"/>
            <w:vAlign w:val="bottom"/>
            <w:gridSpan w:val="2"/>
          </w:tcPr>
          <w:p>
            <w:pPr>
              <w:jc w:val="right"/>
              <w:ind w:right="180"/>
              <w:spacing w:after="0"/>
              <w:rPr>
                <w:sz w:val="20"/>
                <w:szCs w:val="20"/>
                <w:color w:val="auto"/>
              </w:rPr>
            </w:pPr>
            <w:r>
              <w:rPr>
                <w:rFonts w:ascii="Arial" w:cs="Arial" w:eastAsia="Arial" w:hAnsi="Arial"/>
                <w:sz w:val="11"/>
                <w:szCs w:val="11"/>
                <w:color w:val="auto"/>
              </w:rPr>
              <w:t>7.44%</w:t>
            </w:r>
          </w:p>
        </w:tc>
        <w:tc>
          <w:tcPr>
            <w:tcW w:w="560" w:type="dxa"/>
            <w:vAlign w:val="bottom"/>
          </w:tcPr>
          <w:p>
            <w:pPr>
              <w:ind w:left="400"/>
              <w:spacing w:after="0"/>
              <w:rPr>
                <w:sz w:val="20"/>
                <w:szCs w:val="20"/>
                <w:color w:val="auto"/>
              </w:rPr>
            </w:pPr>
            <w:r>
              <w:rPr>
                <w:rFonts w:ascii="Arial" w:cs="Arial" w:eastAsia="Arial" w:hAnsi="Arial"/>
                <w:sz w:val="11"/>
                <w:szCs w:val="11"/>
                <w:color w:val="auto"/>
                <w:w w:val="91"/>
              </w:rPr>
              <w:t>3M</w:t>
            </w:r>
          </w:p>
        </w:tc>
        <w:tc>
          <w:tcPr>
            <w:tcW w:w="540" w:type="dxa"/>
            <w:vAlign w:val="bottom"/>
            <w:gridSpan w:val="3"/>
          </w:tcPr>
          <w:p>
            <w:pPr>
              <w:jc w:val="right"/>
              <w:ind w:right="220"/>
              <w:spacing w:after="0"/>
              <w:rPr>
                <w:sz w:val="20"/>
                <w:szCs w:val="20"/>
                <w:color w:val="auto"/>
              </w:rPr>
            </w:pPr>
            <w:r>
              <w:rPr>
                <w:rFonts w:ascii="Arial" w:cs="Arial" w:eastAsia="Arial" w:hAnsi="Arial"/>
                <w:sz w:val="11"/>
                <w:szCs w:val="11"/>
                <w:color w:val="auto"/>
                <w:w w:val="96"/>
              </w:rPr>
              <w:t>L+550</w:t>
            </w:r>
          </w:p>
        </w:tc>
        <w:tc>
          <w:tcPr>
            <w:tcW w:w="580" w:type="dxa"/>
            <w:vAlign w:val="bottom"/>
          </w:tcPr>
          <w:p>
            <w:pPr>
              <w:jc w:val="right"/>
              <w:spacing w:after="0"/>
              <w:rPr>
                <w:sz w:val="20"/>
                <w:szCs w:val="20"/>
                <w:color w:val="auto"/>
              </w:rPr>
            </w:pPr>
            <w:r>
              <w:rPr>
                <w:rFonts w:ascii="Arial" w:cs="Arial" w:eastAsia="Arial" w:hAnsi="Arial"/>
                <w:sz w:val="11"/>
                <w:szCs w:val="11"/>
                <w:color w:val="auto"/>
              </w:rPr>
              <w:t>9,900,000</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9,816,129</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9,943,559</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06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Leap Legal Software Pty Ltd </w:t>
            </w:r>
            <w:r>
              <w:rPr>
                <w:rFonts w:ascii="Arial" w:cs="Arial" w:eastAsia="Arial" w:hAnsi="Arial"/>
                <w:sz w:val="9"/>
                <w:szCs w:val="9"/>
                <w:color w:val="auto"/>
              </w:rPr>
              <w:t>(3), (4)</w:t>
            </w:r>
          </w:p>
        </w:tc>
        <w:tc>
          <w:tcPr>
            <w:tcW w:w="64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87"/>
              </w:rPr>
              <w:t>09/12/2022</w:t>
            </w:r>
          </w:p>
        </w:tc>
        <w:tc>
          <w:tcPr>
            <w:tcW w:w="240" w:type="dxa"/>
            <w:vAlign w:val="bottom"/>
            <w:shd w:val="clear" w:color="auto" w:fill="CCECFF"/>
          </w:tcPr>
          <w:p>
            <w:pPr>
              <w:spacing w:after="0"/>
              <w:rPr>
                <w:sz w:val="12"/>
                <w:szCs w:val="12"/>
                <w:color w:val="auto"/>
              </w:rPr>
            </w:pP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9"/>
              </w:rPr>
              <w:t>High Tech Industries</w:t>
            </w:r>
          </w:p>
        </w:tc>
        <w:tc>
          <w:tcPr>
            <w:tcW w:w="86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6.76%</w:t>
            </w:r>
          </w:p>
        </w:tc>
        <w:tc>
          <w:tcPr>
            <w:tcW w:w="560" w:type="dxa"/>
            <w:vAlign w:val="bottom"/>
            <w:shd w:val="clear" w:color="auto" w:fill="CCECFF"/>
          </w:tcPr>
          <w:p>
            <w:pPr>
              <w:ind w:left="400"/>
              <w:spacing w:after="0"/>
              <w:rPr>
                <w:sz w:val="20"/>
                <w:szCs w:val="20"/>
                <w:color w:val="auto"/>
              </w:rPr>
            </w:pPr>
            <w:r>
              <w:rPr>
                <w:rFonts w:ascii="Arial" w:cs="Arial" w:eastAsia="Arial" w:hAnsi="Arial"/>
                <w:sz w:val="11"/>
                <w:szCs w:val="11"/>
                <w:color w:val="auto"/>
                <w:w w:val="91"/>
              </w:rPr>
              <w:t>3M</w:t>
            </w:r>
          </w:p>
        </w:tc>
        <w:tc>
          <w:tcPr>
            <w:tcW w:w="540" w:type="dxa"/>
            <w:vAlign w:val="bottom"/>
            <w:gridSpan w:val="3"/>
            <w:shd w:val="clear" w:color="auto" w:fill="CCECFF"/>
          </w:tcPr>
          <w:p>
            <w:pPr>
              <w:jc w:val="right"/>
              <w:ind w:right="40"/>
              <w:spacing w:after="0"/>
              <w:rPr>
                <w:sz w:val="20"/>
                <w:szCs w:val="20"/>
                <w:color w:val="auto"/>
              </w:rPr>
            </w:pPr>
            <w:r>
              <w:rPr>
                <w:rFonts w:ascii="Arial" w:cs="Arial" w:eastAsia="Arial" w:hAnsi="Arial"/>
                <w:sz w:val="11"/>
                <w:szCs w:val="11"/>
                <w:color w:val="auto"/>
              </w:rPr>
              <w:t>L+575A $</w:t>
            </w: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w w:val="89"/>
              </w:rPr>
              <w:t>14,718,247</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10,461,364</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10,346,192</w:t>
            </w:r>
          </w:p>
        </w:tc>
        <w:tc>
          <w:tcPr>
            <w:tcW w:w="12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060" w:type="dxa"/>
            <w:vAlign w:val="bottom"/>
          </w:tcPr>
          <w:p>
            <w:pPr>
              <w:spacing w:after="0"/>
              <w:rPr>
                <w:sz w:val="20"/>
                <w:szCs w:val="20"/>
                <w:color w:val="auto"/>
              </w:rPr>
            </w:pPr>
            <w:r>
              <w:rPr>
                <w:rFonts w:ascii="Arial" w:cs="Arial" w:eastAsia="Arial" w:hAnsi="Arial"/>
                <w:sz w:val="11"/>
                <w:szCs w:val="11"/>
                <w:color w:val="auto"/>
              </w:rPr>
              <w:t>LSF9 Atlantis Holdings, LLC</w:t>
            </w:r>
          </w:p>
        </w:tc>
        <w:tc>
          <w:tcPr>
            <w:tcW w:w="640" w:type="dxa"/>
            <w:vAlign w:val="bottom"/>
            <w:gridSpan w:val="2"/>
          </w:tcPr>
          <w:p>
            <w:pPr>
              <w:jc w:val="center"/>
              <w:ind w:left="66"/>
              <w:spacing w:after="0"/>
              <w:rPr>
                <w:sz w:val="20"/>
                <w:szCs w:val="20"/>
                <w:color w:val="auto"/>
              </w:rPr>
            </w:pPr>
            <w:r>
              <w:rPr>
                <w:rFonts w:ascii="Arial" w:cs="Arial" w:eastAsia="Arial" w:hAnsi="Arial"/>
                <w:sz w:val="11"/>
                <w:szCs w:val="11"/>
                <w:color w:val="auto"/>
                <w:w w:val="87"/>
              </w:rPr>
              <w:t>05/01/2023</w:t>
            </w:r>
          </w:p>
        </w:tc>
        <w:tc>
          <w:tcPr>
            <w:tcW w:w="240" w:type="dxa"/>
            <w:vAlign w:val="bottom"/>
          </w:tcPr>
          <w:p>
            <w:pPr>
              <w:spacing w:after="0"/>
              <w:rPr>
                <w:sz w:val="11"/>
                <w:szCs w:val="11"/>
                <w:color w:val="auto"/>
              </w:rPr>
            </w:pPr>
          </w:p>
        </w:tc>
        <w:tc>
          <w:tcPr>
            <w:tcW w:w="2760" w:type="dxa"/>
            <w:vAlign w:val="bottom"/>
            <w:gridSpan w:val="2"/>
          </w:tcPr>
          <w:p>
            <w:pPr>
              <w:jc w:val="center"/>
              <w:ind w:right="140"/>
              <w:spacing w:after="0"/>
              <w:rPr>
                <w:sz w:val="20"/>
                <w:szCs w:val="20"/>
                <w:color w:val="auto"/>
              </w:rPr>
            </w:pPr>
            <w:r>
              <w:rPr>
                <w:rFonts w:ascii="Arial" w:cs="Arial" w:eastAsia="Arial" w:hAnsi="Arial"/>
                <w:sz w:val="11"/>
                <w:szCs w:val="11"/>
                <w:color w:val="auto"/>
                <w:w w:val="92"/>
              </w:rPr>
              <w:t>Retail</w:t>
            </w:r>
          </w:p>
        </w:tc>
        <w:tc>
          <w:tcPr>
            <w:tcW w:w="860" w:type="dxa"/>
            <w:vAlign w:val="bottom"/>
            <w:gridSpan w:val="2"/>
          </w:tcPr>
          <w:p>
            <w:pPr>
              <w:jc w:val="right"/>
              <w:ind w:right="180"/>
              <w:spacing w:after="0"/>
              <w:rPr>
                <w:sz w:val="20"/>
                <w:szCs w:val="20"/>
                <w:color w:val="auto"/>
              </w:rPr>
            </w:pPr>
            <w:r>
              <w:rPr>
                <w:rFonts w:ascii="Arial" w:cs="Arial" w:eastAsia="Arial" w:hAnsi="Arial"/>
                <w:sz w:val="11"/>
                <w:szCs w:val="11"/>
                <w:color w:val="auto"/>
              </w:rPr>
              <w:t>7.74%</w:t>
            </w:r>
          </w:p>
        </w:tc>
        <w:tc>
          <w:tcPr>
            <w:tcW w:w="560" w:type="dxa"/>
            <w:vAlign w:val="bottom"/>
          </w:tcPr>
          <w:p>
            <w:pPr>
              <w:ind w:left="400"/>
              <w:spacing w:after="0"/>
              <w:rPr>
                <w:sz w:val="20"/>
                <w:szCs w:val="20"/>
                <w:color w:val="auto"/>
              </w:rPr>
            </w:pPr>
            <w:r>
              <w:rPr>
                <w:rFonts w:ascii="Arial" w:cs="Arial" w:eastAsia="Arial" w:hAnsi="Arial"/>
                <w:sz w:val="11"/>
                <w:szCs w:val="11"/>
                <w:color w:val="auto"/>
                <w:w w:val="91"/>
              </w:rPr>
              <w:t>1M</w:t>
            </w:r>
          </w:p>
        </w:tc>
        <w:tc>
          <w:tcPr>
            <w:tcW w:w="540" w:type="dxa"/>
            <w:vAlign w:val="bottom"/>
            <w:gridSpan w:val="3"/>
          </w:tcPr>
          <w:p>
            <w:pPr>
              <w:jc w:val="right"/>
              <w:ind w:right="220"/>
              <w:spacing w:after="0"/>
              <w:rPr>
                <w:sz w:val="20"/>
                <w:szCs w:val="20"/>
                <w:color w:val="auto"/>
              </w:rPr>
            </w:pPr>
            <w:r>
              <w:rPr>
                <w:rFonts w:ascii="Arial" w:cs="Arial" w:eastAsia="Arial" w:hAnsi="Arial"/>
                <w:sz w:val="11"/>
                <w:szCs w:val="11"/>
                <w:color w:val="auto"/>
                <w:w w:val="96"/>
              </w:rPr>
              <w:t>L+600</w:t>
            </w:r>
          </w:p>
        </w:tc>
        <w:tc>
          <w:tcPr>
            <w:tcW w:w="580" w:type="dxa"/>
            <w:vAlign w:val="bottom"/>
          </w:tcPr>
          <w:p>
            <w:pPr>
              <w:jc w:val="right"/>
              <w:spacing w:after="0"/>
              <w:rPr>
                <w:sz w:val="20"/>
                <w:szCs w:val="20"/>
                <w:color w:val="auto"/>
              </w:rPr>
            </w:pPr>
            <w:r>
              <w:rPr>
                <w:rFonts w:ascii="Arial" w:cs="Arial" w:eastAsia="Arial" w:hAnsi="Arial"/>
                <w:sz w:val="11"/>
                <w:szCs w:val="11"/>
                <w:color w:val="auto"/>
              </w:rPr>
              <w:t>7,031,250</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7,068,566</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6,471,703</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shd w:val="clear" w:color="auto" w:fill="CCECFF"/>
          </w:tcPr>
          <w:p>
            <w:pPr>
              <w:spacing w:after="0"/>
              <w:rPr>
                <w:sz w:val="20"/>
                <w:szCs w:val="20"/>
                <w:color w:val="auto"/>
              </w:rPr>
            </w:pPr>
            <w:r>
              <w:rPr>
                <w:rFonts w:ascii="Arial" w:cs="Arial" w:eastAsia="Arial" w:hAnsi="Arial"/>
                <w:sz w:val="11"/>
                <w:szCs w:val="11"/>
                <w:color w:val="auto"/>
              </w:rPr>
              <w:t>Manna Pro Products, LLC</w:t>
            </w:r>
          </w:p>
        </w:tc>
        <w:tc>
          <w:tcPr>
            <w:tcW w:w="64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87"/>
              </w:rPr>
              <w:t>12/08/2023</w:t>
            </w:r>
          </w:p>
        </w:tc>
        <w:tc>
          <w:tcPr>
            <w:tcW w:w="24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9"/>
              </w:rPr>
              <w:t>Consumer Goods: Non-Durable</w:t>
            </w:r>
          </w:p>
        </w:tc>
        <w:tc>
          <w:tcPr>
            <w:tcW w:w="86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7.80%</w:t>
            </w:r>
          </w:p>
        </w:tc>
        <w:tc>
          <w:tcPr>
            <w:tcW w:w="560" w:type="dxa"/>
            <w:vAlign w:val="bottom"/>
            <w:shd w:val="clear" w:color="auto" w:fill="CCECFF"/>
          </w:tcPr>
          <w:p>
            <w:pPr>
              <w:ind w:left="400"/>
              <w:spacing w:after="0"/>
              <w:rPr>
                <w:sz w:val="20"/>
                <w:szCs w:val="20"/>
                <w:color w:val="auto"/>
              </w:rPr>
            </w:pPr>
            <w:r>
              <w:rPr>
                <w:rFonts w:ascii="Arial" w:cs="Arial" w:eastAsia="Arial" w:hAnsi="Arial"/>
                <w:sz w:val="11"/>
                <w:szCs w:val="11"/>
                <w:color w:val="auto"/>
                <w:w w:val="91"/>
              </w:rPr>
              <w:t>1M</w:t>
            </w:r>
          </w:p>
        </w:tc>
        <w:tc>
          <w:tcPr>
            <w:tcW w:w="540" w:type="dxa"/>
            <w:vAlign w:val="bottom"/>
            <w:gridSpan w:val="3"/>
            <w:shd w:val="clear" w:color="auto" w:fill="CCECFF"/>
          </w:tcPr>
          <w:p>
            <w:pPr>
              <w:jc w:val="right"/>
              <w:ind w:right="220"/>
              <w:spacing w:after="0"/>
              <w:rPr>
                <w:sz w:val="20"/>
                <w:szCs w:val="20"/>
                <w:color w:val="auto"/>
              </w:rPr>
            </w:pPr>
            <w:r>
              <w:rPr>
                <w:rFonts w:ascii="Arial" w:cs="Arial" w:eastAsia="Arial" w:hAnsi="Arial"/>
                <w:sz w:val="11"/>
                <w:szCs w:val="11"/>
                <w:color w:val="auto"/>
                <w:w w:val="96"/>
              </w:rPr>
              <w:t>L+600</w:t>
            </w: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6,860,000</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6,782,980</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6,667,234</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060" w:type="dxa"/>
            <w:vAlign w:val="bottom"/>
          </w:tcPr>
          <w:p>
            <w:pPr>
              <w:spacing w:after="0"/>
              <w:rPr>
                <w:sz w:val="20"/>
                <w:szCs w:val="20"/>
                <w:color w:val="auto"/>
              </w:rPr>
            </w:pPr>
            <w:r>
              <w:rPr>
                <w:rFonts w:ascii="Arial" w:cs="Arial" w:eastAsia="Arial" w:hAnsi="Arial"/>
                <w:sz w:val="11"/>
                <w:szCs w:val="11"/>
                <w:color w:val="auto"/>
              </w:rPr>
              <w:t xml:space="preserve">Marketplace Events LLC </w:t>
            </w:r>
            <w:r>
              <w:rPr>
                <w:rFonts w:ascii="Arial" w:cs="Arial" w:eastAsia="Arial" w:hAnsi="Arial"/>
                <w:sz w:val="9"/>
                <w:szCs w:val="9"/>
                <w:color w:val="auto"/>
              </w:rPr>
              <w:t>(4)</w:t>
            </w:r>
          </w:p>
        </w:tc>
        <w:tc>
          <w:tcPr>
            <w:tcW w:w="640" w:type="dxa"/>
            <w:vAlign w:val="bottom"/>
            <w:gridSpan w:val="2"/>
          </w:tcPr>
          <w:p>
            <w:pPr>
              <w:jc w:val="center"/>
              <w:ind w:left="66"/>
              <w:spacing w:after="0"/>
              <w:rPr>
                <w:sz w:val="20"/>
                <w:szCs w:val="20"/>
                <w:color w:val="auto"/>
              </w:rPr>
            </w:pPr>
            <w:r>
              <w:rPr>
                <w:rFonts w:ascii="Arial" w:cs="Arial" w:eastAsia="Arial" w:hAnsi="Arial"/>
                <w:sz w:val="11"/>
                <w:szCs w:val="11"/>
                <w:color w:val="auto"/>
                <w:w w:val="87"/>
              </w:rPr>
              <w:t>01/27/2023</w:t>
            </w:r>
          </w:p>
        </w:tc>
        <w:tc>
          <w:tcPr>
            <w:tcW w:w="240" w:type="dxa"/>
            <w:vAlign w:val="bottom"/>
          </w:tcPr>
          <w:p>
            <w:pPr>
              <w:spacing w:after="0"/>
              <w:rPr>
                <w:sz w:val="12"/>
                <w:szCs w:val="12"/>
                <w:color w:val="auto"/>
              </w:rPr>
            </w:pPr>
          </w:p>
        </w:tc>
        <w:tc>
          <w:tcPr>
            <w:tcW w:w="2760" w:type="dxa"/>
            <w:vAlign w:val="bottom"/>
            <w:gridSpan w:val="2"/>
          </w:tcPr>
          <w:p>
            <w:pPr>
              <w:jc w:val="center"/>
              <w:ind w:right="140"/>
              <w:spacing w:after="0"/>
              <w:rPr>
                <w:sz w:val="20"/>
                <w:szCs w:val="20"/>
                <w:color w:val="auto"/>
              </w:rPr>
            </w:pPr>
            <w:r>
              <w:rPr>
                <w:rFonts w:ascii="Arial" w:cs="Arial" w:eastAsia="Arial" w:hAnsi="Arial"/>
                <w:sz w:val="11"/>
                <w:szCs w:val="11"/>
                <w:color w:val="auto"/>
                <w:w w:val="91"/>
              </w:rPr>
              <w:t>Media: Diversified and Production</w:t>
            </w:r>
          </w:p>
        </w:tc>
        <w:tc>
          <w:tcPr>
            <w:tcW w:w="860" w:type="dxa"/>
            <w:vAlign w:val="bottom"/>
            <w:gridSpan w:val="2"/>
          </w:tcPr>
          <w:p>
            <w:pPr>
              <w:jc w:val="right"/>
              <w:ind w:right="180"/>
              <w:spacing w:after="0"/>
              <w:rPr>
                <w:sz w:val="20"/>
                <w:szCs w:val="20"/>
                <w:color w:val="auto"/>
              </w:rPr>
            </w:pPr>
            <w:r>
              <w:rPr>
                <w:rFonts w:ascii="Arial" w:cs="Arial" w:eastAsia="Arial" w:hAnsi="Arial"/>
                <w:sz w:val="11"/>
                <w:szCs w:val="11"/>
                <w:color w:val="auto"/>
              </w:rPr>
              <w:t>7.31%</w:t>
            </w:r>
          </w:p>
        </w:tc>
        <w:tc>
          <w:tcPr>
            <w:tcW w:w="560" w:type="dxa"/>
            <w:vAlign w:val="bottom"/>
          </w:tcPr>
          <w:p>
            <w:pPr>
              <w:spacing w:after="0"/>
              <w:rPr>
                <w:sz w:val="12"/>
                <w:szCs w:val="12"/>
                <w:color w:val="auto"/>
              </w:rPr>
            </w:pPr>
          </w:p>
        </w:tc>
        <w:tc>
          <w:tcPr>
            <w:tcW w:w="540" w:type="dxa"/>
            <w:vAlign w:val="bottom"/>
            <w:gridSpan w:val="3"/>
          </w:tcPr>
          <w:p>
            <w:pPr>
              <w:jc w:val="right"/>
              <w:ind w:right="40"/>
              <w:spacing w:after="0"/>
              <w:rPr>
                <w:sz w:val="20"/>
                <w:szCs w:val="20"/>
                <w:color w:val="auto"/>
              </w:rPr>
            </w:pPr>
            <w:r>
              <w:rPr>
                <w:rFonts w:ascii="Arial" w:cs="Arial" w:eastAsia="Arial" w:hAnsi="Arial"/>
                <w:sz w:val="11"/>
                <w:szCs w:val="11"/>
                <w:color w:val="auto"/>
                <w:w w:val="97"/>
              </w:rPr>
              <w:t>P+275C $</w:t>
            </w:r>
          </w:p>
        </w:tc>
        <w:tc>
          <w:tcPr>
            <w:tcW w:w="580" w:type="dxa"/>
            <w:vAlign w:val="bottom"/>
          </w:tcPr>
          <w:p>
            <w:pPr>
              <w:jc w:val="right"/>
              <w:spacing w:after="0"/>
              <w:rPr>
                <w:sz w:val="20"/>
                <w:szCs w:val="20"/>
                <w:color w:val="auto"/>
              </w:rPr>
            </w:pPr>
            <w:r>
              <w:rPr>
                <w:rFonts w:ascii="Arial" w:cs="Arial" w:eastAsia="Arial" w:hAnsi="Arial"/>
                <w:sz w:val="12"/>
                <w:szCs w:val="12"/>
                <w:color w:val="auto"/>
              </w:rPr>
              <w:t>5,745,254</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4,456,891</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4,408,350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060" w:type="dxa"/>
            <w:vAlign w:val="bottom"/>
            <w:shd w:val="clear" w:color="auto" w:fill="CCECFF"/>
          </w:tcPr>
          <w:p>
            <w:pPr>
              <w:spacing w:after="0"/>
              <w:rPr>
                <w:sz w:val="20"/>
                <w:szCs w:val="20"/>
                <w:color w:val="auto"/>
              </w:rPr>
            </w:pPr>
            <w:r>
              <w:rPr>
                <w:rFonts w:ascii="Arial" w:cs="Arial" w:eastAsia="Arial" w:hAnsi="Arial"/>
                <w:sz w:val="11"/>
                <w:szCs w:val="11"/>
                <w:color w:val="auto"/>
              </w:rPr>
              <w:t>Mission Critical Electronics, Inc.</w:t>
            </w:r>
          </w:p>
        </w:tc>
        <w:tc>
          <w:tcPr>
            <w:tcW w:w="64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87"/>
              </w:rPr>
              <w:t>09/28/2022</w:t>
            </w:r>
          </w:p>
        </w:tc>
        <w:tc>
          <w:tcPr>
            <w:tcW w:w="24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91"/>
              </w:rPr>
              <w:t>Capital Equipment</w:t>
            </w:r>
          </w:p>
        </w:tc>
        <w:tc>
          <w:tcPr>
            <w:tcW w:w="86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6.94%</w:t>
            </w:r>
          </w:p>
        </w:tc>
        <w:tc>
          <w:tcPr>
            <w:tcW w:w="560" w:type="dxa"/>
            <w:vAlign w:val="bottom"/>
            <w:shd w:val="clear" w:color="auto" w:fill="CCECFF"/>
          </w:tcPr>
          <w:p>
            <w:pPr>
              <w:ind w:left="400"/>
              <w:spacing w:after="0"/>
              <w:rPr>
                <w:sz w:val="20"/>
                <w:szCs w:val="20"/>
                <w:color w:val="auto"/>
              </w:rPr>
            </w:pPr>
            <w:r>
              <w:rPr>
                <w:rFonts w:ascii="Arial" w:cs="Arial" w:eastAsia="Arial" w:hAnsi="Arial"/>
                <w:sz w:val="11"/>
                <w:szCs w:val="11"/>
                <w:color w:val="auto"/>
                <w:w w:val="91"/>
              </w:rPr>
              <w:t>3M</w:t>
            </w:r>
          </w:p>
        </w:tc>
        <w:tc>
          <w:tcPr>
            <w:tcW w:w="540" w:type="dxa"/>
            <w:vAlign w:val="bottom"/>
            <w:gridSpan w:val="3"/>
            <w:shd w:val="clear" w:color="auto" w:fill="CCECFF"/>
          </w:tcPr>
          <w:p>
            <w:pPr>
              <w:jc w:val="right"/>
              <w:ind w:right="220"/>
              <w:spacing w:after="0"/>
              <w:rPr>
                <w:sz w:val="20"/>
                <w:szCs w:val="20"/>
                <w:color w:val="auto"/>
              </w:rPr>
            </w:pPr>
            <w:r>
              <w:rPr>
                <w:rFonts w:ascii="Arial" w:cs="Arial" w:eastAsia="Arial" w:hAnsi="Arial"/>
                <w:sz w:val="11"/>
                <w:szCs w:val="11"/>
                <w:color w:val="auto"/>
                <w:w w:val="96"/>
              </w:rPr>
              <w:t>L+500</w:t>
            </w: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5,994,919</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5,965,076</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5,986,521</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tcPr>
          <w:p>
            <w:pPr>
              <w:spacing w:after="0"/>
              <w:rPr>
                <w:sz w:val="20"/>
                <w:szCs w:val="20"/>
                <w:color w:val="auto"/>
              </w:rPr>
            </w:pPr>
            <w:r>
              <w:rPr>
                <w:rFonts w:ascii="Arial" w:cs="Arial" w:eastAsia="Arial" w:hAnsi="Arial"/>
                <w:sz w:val="11"/>
                <w:szCs w:val="11"/>
                <w:color w:val="auto"/>
              </w:rPr>
              <w:t>New Milani Group LLC</w:t>
            </w:r>
          </w:p>
        </w:tc>
        <w:tc>
          <w:tcPr>
            <w:tcW w:w="640" w:type="dxa"/>
            <w:vAlign w:val="bottom"/>
            <w:gridSpan w:val="2"/>
          </w:tcPr>
          <w:p>
            <w:pPr>
              <w:jc w:val="center"/>
              <w:ind w:left="66"/>
              <w:spacing w:after="0"/>
              <w:rPr>
                <w:sz w:val="20"/>
                <w:szCs w:val="20"/>
                <w:color w:val="auto"/>
              </w:rPr>
            </w:pPr>
            <w:r>
              <w:rPr>
                <w:rFonts w:ascii="Arial" w:cs="Arial" w:eastAsia="Arial" w:hAnsi="Arial"/>
                <w:sz w:val="11"/>
                <w:szCs w:val="11"/>
                <w:color w:val="auto"/>
                <w:w w:val="87"/>
              </w:rPr>
              <w:t>06/06/2024</w:t>
            </w:r>
          </w:p>
        </w:tc>
        <w:tc>
          <w:tcPr>
            <w:tcW w:w="240" w:type="dxa"/>
            <w:vAlign w:val="bottom"/>
          </w:tcPr>
          <w:p>
            <w:pPr>
              <w:spacing w:after="0"/>
              <w:rPr>
                <w:sz w:val="11"/>
                <w:szCs w:val="11"/>
                <w:color w:val="auto"/>
              </w:rPr>
            </w:pPr>
          </w:p>
        </w:tc>
        <w:tc>
          <w:tcPr>
            <w:tcW w:w="2760" w:type="dxa"/>
            <w:vAlign w:val="bottom"/>
            <w:gridSpan w:val="2"/>
          </w:tcPr>
          <w:p>
            <w:pPr>
              <w:jc w:val="center"/>
              <w:ind w:right="140"/>
              <w:spacing w:after="0"/>
              <w:rPr>
                <w:sz w:val="20"/>
                <w:szCs w:val="20"/>
                <w:color w:val="auto"/>
              </w:rPr>
            </w:pPr>
            <w:r>
              <w:rPr>
                <w:rFonts w:ascii="Arial" w:cs="Arial" w:eastAsia="Arial" w:hAnsi="Arial"/>
                <w:sz w:val="11"/>
                <w:szCs w:val="11"/>
                <w:color w:val="auto"/>
                <w:w w:val="89"/>
              </w:rPr>
              <w:t>Consumer Goods: Non-Durable</w:t>
            </w:r>
          </w:p>
        </w:tc>
        <w:tc>
          <w:tcPr>
            <w:tcW w:w="860" w:type="dxa"/>
            <w:vAlign w:val="bottom"/>
            <w:gridSpan w:val="2"/>
          </w:tcPr>
          <w:p>
            <w:pPr>
              <w:jc w:val="right"/>
              <w:ind w:right="180"/>
              <w:spacing w:after="0"/>
              <w:rPr>
                <w:sz w:val="20"/>
                <w:szCs w:val="20"/>
                <w:color w:val="auto"/>
              </w:rPr>
            </w:pPr>
            <w:r>
              <w:rPr>
                <w:rFonts w:ascii="Arial" w:cs="Arial" w:eastAsia="Arial" w:hAnsi="Arial"/>
                <w:sz w:val="11"/>
                <w:szCs w:val="11"/>
                <w:color w:val="auto"/>
              </w:rPr>
              <w:t>6.94%</w:t>
            </w:r>
          </w:p>
        </w:tc>
        <w:tc>
          <w:tcPr>
            <w:tcW w:w="560" w:type="dxa"/>
            <w:vAlign w:val="bottom"/>
          </w:tcPr>
          <w:p>
            <w:pPr>
              <w:ind w:left="400"/>
              <w:spacing w:after="0"/>
              <w:rPr>
                <w:sz w:val="20"/>
                <w:szCs w:val="20"/>
                <w:color w:val="auto"/>
              </w:rPr>
            </w:pPr>
            <w:r>
              <w:rPr>
                <w:rFonts w:ascii="Arial" w:cs="Arial" w:eastAsia="Arial" w:hAnsi="Arial"/>
                <w:sz w:val="11"/>
                <w:szCs w:val="11"/>
                <w:color w:val="auto"/>
                <w:w w:val="91"/>
              </w:rPr>
              <w:t>1M</w:t>
            </w:r>
          </w:p>
        </w:tc>
        <w:tc>
          <w:tcPr>
            <w:tcW w:w="540" w:type="dxa"/>
            <w:vAlign w:val="bottom"/>
            <w:gridSpan w:val="3"/>
          </w:tcPr>
          <w:p>
            <w:pPr>
              <w:jc w:val="right"/>
              <w:ind w:right="220"/>
              <w:spacing w:after="0"/>
              <w:rPr>
                <w:sz w:val="20"/>
                <w:szCs w:val="20"/>
                <w:color w:val="auto"/>
              </w:rPr>
            </w:pPr>
            <w:r>
              <w:rPr>
                <w:rFonts w:ascii="Arial" w:cs="Arial" w:eastAsia="Arial" w:hAnsi="Arial"/>
                <w:sz w:val="11"/>
                <w:szCs w:val="11"/>
                <w:color w:val="auto"/>
                <w:w w:val="96"/>
              </w:rPr>
              <w:t>L+425</w:t>
            </w:r>
          </w:p>
        </w:tc>
        <w:tc>
          <w:tcPr>
            <w:tcW w:w="580" w:type="dxa"/>
            <w:vAlign w:val="bottom"/>
          </w:tcPr>
          <w:p>
            <w:pPr>
              <w:jc w:val="right"/>
              <w:spacing w:after="0"/>
              <w:rPr>
                <w:sz w:val="20"/>
                <w:szCs w:val="20"/>
                <w:color w:val="auto"/>
              </w:rPr>
            </w:pPr>
            <w:r>
              <w:rPr>
                <w:rFonts w:ascii="Arial" w:cs="Arial" w:eastAsia="Arial" w:hAnsi="Arial"/>
                <w:sz w:val="11"/>
                <w:szCs w:val="11"/>
                <w:color w:val="auto"/>
                <w:w w:val="98"/>
              </w:rPr>
              <w:t>14,775,000</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14,660,510</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14,479,500</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shd w:val="clear" w:color="auto" w:fill="CCECFF"/>
          </w:tcPr>
          <w:p>
            <w:pPr>
              <w:spacing w:after="0"/>
              <w:rPr>
                <w:sz w:val="20"/>
                <w:szCs w:val="20"/>
                <w:color w:val="auto"/>
              </w:rPr>
            </w:pPr>
            <w:r>
              <w:rPr>
                <w:rFonts w:ascii="Arial" w:cs="Arial" w:eastAsia="Arial" w:hAnsi="Arial"/>
                <w:sz w:val="11"/>
                <w:szCs w:val="11"/>
                <w:color w:val="auto"/>
              </w:rPr>
              <w:t>Nuvei Technologies Corp.</w:t>
            </w:r>
          </w:p>
        </w:tc>
        <w:tc>
          <w:tcPr>
            <w:tcW w:w="64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87"/>
              </w:rPr>
              <w:t>09/28/2025</w:t>
            </w:r>
          </w:p>
        </w:tc>
        <w:tc>
          <w:tcPr>
            <w:tcW w:w="24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9"/>
              </w:rPr>
              <w:t>High Tech Industries</w:t>
            </w:r>
          </w:p>
        </w:tc>
        <w:tc>
          <w:tcPr>
            <w:tcW w:w="86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6.80%</w:t>
            </w:r>
          </w:p>
        </w:tc>
        <w:tc>
          <w:tcPr>
            <w:tcW w:w="560" w:type="dxa"/>
            <w:vAlign w:val="bottom"/>
            <w:shd w:val="clear" w:color="auto" w:fill="CCECFF"/>
          </w:tcPr>
          <w:p>
            <w:pPr>
              <w:spacing w:after="0"/>
              <w:rPr>
                <w:sz w:val="11"/>
                <w:szCs w:val="11"/>
                <w:color w:val="auto"/>
              </w:rPr>
            </w:pPr>
          </w:p>
        </w:tc>
        <w:tc>
          <w:tcPr>
            <w:tcW w:w="540" w:type="dxa"/>
            <w:vAlign w:val="bottom"/>
            <w:gridSpan w:val="3"/>
            <w:shd w:val="clear" w:color="auto" w:fill="CCECFF"/>
          </w:tcPr>
          <w:p>
            <w:pPr>
              <w:jc w:val="right"/>
              <w:ind w:right="220"/>
              <w:spacing w:after="0"/>
              <w:rPr>
                <w:sz w:val="20"/>
                <w:szCs w:val="20"/>
                <w:color w:val="auto"/>
              </w:rPr>
            </w:pPr>
            <w:r>
              <w:rPr>
                <w:rFonts w:ascii="Arial" w:cs="Arial" w:eastAsia="Arial" w:hAnsi="Arial"/>
                <w:sz w:val="11"/>
                <w:szCs w:val="11"/>
                <w:color w:val="auto"/>
                <w:w w:val="93"/>
              </w:rPr>
              <w:t>P+400</w:t>
            </w: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w w:val="98"/>
              </w:rPr>
              <w:t>12,452,133</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12,514,394</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12,514,394</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tcPr>
          <w:p>
            <w:pPr>
              <w:spacing w:after="0"/>
              <w:rPr>
                <w:sz w:val="20"/>
                <w:szCs w:val="20"/>
                <w:color w:val="auto"/>
              </w:rPr>
            </w:pPr>
            <w:r>
              <w:rPr>
                <w:rFonts w:ascii="Arial" w:cs="Arial" w:eastAsia="Arial" w:hAnsi="Arial"/>
                <w:sz w:val="11"/>
                <w:szCs w:val="11"/>
                <w:color w:val="auto"/>
              </w:rPr>
              <w:t>Olde Thompson, LLC</w:t>
            </w:r>
          </w:p>
        </w:tc>
        <w:tc>
          <w:tcPr>
            <w:tcW w:w="640" w:type="dxa"/>
            <w:vAlign w:val="bottom"/>
            <w:gridSpan w:val="2"/>
          </w:tcPr>
          <w:p>
            <w:pPr>
              <w:jc w:val="center"/>
              <w:ind w:left="66"/>
              <w:spacing w:after="0"/>
              <w:rPr>
                <w:sz w:val="20"/>
                <w:szCs w:val="20"/>
                <w:color w:val="auto"/>
              </w:rPr>
            </w:pPr>
            <w:r>
              <w:rPr>
                <w:rFonts w:ascii="Arial" w:cs="Arial" w:eastAsia="Arial" w:hAnsi="Arial"/>
                <w:sz w:val="11"/>
                <w:szCs w:val="11"/>
                <w:color w:val="auto"/>
                <w:w w:val="87"/>
              </w:rPr>
              <w:t>05/14/2024</w:t>
            </w:r>
          </w:p>
        </w:tc>
        <w:tc>
          <w:tcPr>
            <w:tcW w:w="240" w:type="dxa"/>
            <w:vAlign w:val="bottom"/>
          </w:tcPr>
          <w:p>
            <w:pPr>
              <w:spacing w:after="0"/>
              <w:rPr>
                <w:sz w:val="11"/>
                <w:szCs w:val="11"/>
                <w:color w:val="auto"/>
              </w:rPr>
            </w:pPr>
          </w:p>
        </w:tc>
        <w:tc>
          <w:tcPr>
            <w:tcW w:w="2760" w:type="dxa"/>
            <w:vAlign w:val="bottom"/>
            <w:gridSpan w:val="2"/>
          </w:tcPr>
          <w:p>
            <w:pPr>
              <w:jc w:val="center"/>
              <w:ind w:right="140"/>
              <w:spacing w:after="0"/>
              <w:rPr>
                <w:sz w:val="20"/>
                <w:szCs w:val="20"/>
                <w:color w:val="auto"/>
              </w:rPr>
            </w:pPr>
            <w:r>
              <w:rPr>
                <w:rFonts w:ascii="Arial" w:cs="Arial" w:eastAsia="Arial" w:hAnsi="Arial"/>
                <w:sz w:val="11"/>
                <w:szCs w:val="11"/>
                <w:color w:val="auto"/>
                <w:w w:val="86"/>
              </w:rPr>
              <w:t>Beverage, Food and Tobacco</w:t>
            </w:r>
          </w:p>
        </w:tc>
        <w:tc>
          <w:tcPr>
            <w:tcW w:w="860" w:type="dxa"/>
            <w:vAlign w:val="bottom"/>
            <w:gridSpan w:val="2"/>
          </w:tcPr>
          <w:p>
            <w:pPr>
              <w:jc w:val="right"/>
              <w:ind w:right="180"/>
              <w:spacing w:after="0"/>
              <w:rPr>
                <w:sz w:val="20"/>
                <w:szCs w:val="20"/>
                <w:color w:val="auto"/>
              </w:rPr>
            </w:pPr>
            <w:r>
              <w:rPr>
                <w:rFonts w:ascii="Arial" w:cs="Arial" w:eastAsia="Arial" w:hAnsi="Arial"/>
                <w:sz w:val="11"/>
                <w:szCs w:val="11"/>
                <w:color w:val="auto"/>
              </w:rPr>
              <w:t>6.05%</w:t>
            </w:r>
          </w:p>
        </w:tc>
        <w:tc>
          <w:tcPr>
            <w:tcW w:w="560" w:type="dxa"/>
            <w:vAlign w:val="bottom"/>
          </w:tcPr>
          <w:p>
            <w:pPr>
              <w:ind w:left="400"/>
              <w:spacing w:after="0"/>
              <w:rPr>
                <w:sz w:val="20"/>
                <w:szCs w:val="20"/>
                <w:color w:val="auto"/>
              </w:rPr>
            </w:pPr>
            <w:r>
              <w:rPr>
                <w:rFonts w:ascii="Arial" w:cs="Arial" w:eastAsia="Arial" w:hAnsi="Arial"/>
                <w:sz w:val="11"/>
                <w:szCs w:val="11"/>
                <w:color w:val="auto"/>
                <w:w w:val="91"/>
              </w:rPr>
              <w:t>1M</w:t>
            </w:r>
          </w:p>
        </w:tc>
        <w:tc>
          <w:tcPr>
            <w:tcW w:w="540" w:type="dxa"/>
            <w:vAlign w:val="bottom"/>
            <w:gridSpan w:val="3"/>
          </w:tcPr>
          <w:p>
            <w:pPr>
              <w:jc w:val="right"/>
              <w:ind w:right="220"/>
              <w:spacing w:after="0"/>
              <w:rPr>
                <w:sz w:val="20"/>
                <w:szCs w:val="20"/>
                <w:color w:val="auto"/>
              </w:rPr>
            </w:pPr>
            <w:r>
              <w:rPr>
                <w:rFonts w:ascii="Arial" w:cs="Arial" w:eastAsia="Arial" w:hAnsi="Arial"/>
                <w:sz w:val="11"/>
                <w:szCs w:val="11"/>
                <w:color w:val="auto"/>
                <w:w w:val="96"/>
              </w:rPr>
              <w:t>L+425</w:t>
            </w:r>
          </w:p>
        </w:tc>
        <w:tc>
          <w:tcPr>
            <w:tcW w:w="580" w:type="dxa"/>
            <w:vAlign w:val="bottom"/>
          </w:tcPr>
          <w:p>
            <w:pPr>
              <w:jc w:val="right"/>
              <w:spacing w:after="0"/>
              <w:rPr>
                <w:sz w:val="20"/>
                <w:szCs w:val="20"/>
                <w:color w:val="auto"/>
              </w:rPr>
            </w:pPr>
            <w:r>
              <w:rPr>
                <w:rFonts w:ascii="Arial" w:cs="Arial" w:eastAsia="Arial" w:hAnsi="Arial"/>
                <w:sz w:val="11"/>
                <w:szCs w:val="11"/>
                <w:color w:val="auto"/>
                <w:w w:val="98"/>
              </w:rPr>
              <w:t>11,410,000</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11,295,900</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11,410,000</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shd w:val="clear" w:color="auto" w:fill="CCECFF"/>
          </w:tcPr>
          <w:p>
            <w:pPr>
              <w:spacing w:after="0"/>
              <w:rPr>
                <w:sz w:val="20"/>
                <w:szCs w:val="20"/>
                <w:color w:val="auto"/>
              </w:rPr>
            </w:pPr>
            <w:r>
              <w:rPr>
                <w:rFonts w:ascii="Arial" w:cs="Arial" w:eastAsia="Arial" w:hAnsi="Arial"/>
                <w:sz w:val="11"/>
                <w:szCs w:val="11"/>
                <w:color w:val="auto"/>
              </w:rPr>
              <w:t>Output Services Group, Inc.</w:t>
            </w:r>
          </w:p>
        </w:tc>
        <w:tc>
          <w:tcPr>
            <w:tcW w:w="64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87"/>
              </w:rPr>
              <w:t>03/27/2024</w:t>
            </w:r>
          </w:p>
        </w:tc>
        <w:tc>
          <w:tcPr>
            <w:tcW w:w="24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6"/>
              </w:rPr>
              <w:t>Business Services</w:t>
            </w:r>
          </w:p>
        </w:tc>
        <w:tc>
          <w:tcPr>
            <w:tcW w:w="86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6.30%</w:t>
            </w:r>
          </w:p>
        </w:tc>
        <w:tc>
          <w:tcPr>
            <w:tcW w:w="560" w:type="dxa"/>
            <w:vAlign w:val="bottom"/>
            <w:shd w:val="clear" w:color="auto" w:fill="CCECFF"/>
          </w:tcPr>
          <w:p>
            <w:pPr>
              <w:ind w:left="400"/>
              <w:spacing w:after="0"/>
              <w:rPr>
                <w:sz w:val="20"/>
                <w:szCs w:val="20"/>
                <w:color w:val="auto"/>
              </w:rPr>
            </w:pPr>
            <w:r>
              <w:rPr>
                <w:rFonts w:ascii="Arial" w:cs="Arial" w:eastAsia="Arial" w:hAnsi="Arial"/>
                <w:sz w:val="11"/>
                <w:szCs w:val="11"/>
                <w:color w:val="auto"/>
                <w:w w:val="91"/>
              </w:rPr>
              <w:t>1M</w:t>
            </w:r>
          </w:p>
        </w:tc>
        <w:tc>
          <w:tcPr>
            <w:tcW w:w="540" w:type="dxa"/>
            <w:vAlign w:val="bottom"/>
            <w:gridSpan w:val="3"/>
            <w:shd w:val="clear" w:color="auto" w:fill="CCECFF"/>
          </w:tcPr>
          <w:p>
            <w:pPr>
              <w:jc w:val="right"/>
              <w:ind w:right="220"/>
              <w:spacing w:after="0"/>
              <w:rPr>
                <w:sz w:val="20"/>
                <w:szCs w:val="20"/>
                <w:color w:val="auto"/>
              </w:rPr>
            </w:pPr>
            <w:r>
              <w:rPr>
                <w:rFonts w:ascii="Arial" w:cs="Arial" w:eastAsia="Arial" w:hAnsi="Arial"/>
                <w:sz w:val="11"/>
                <w:szCs w:val="11"/>
                <w:color w:val="auto"/>
                <w:w w:val="96"/>
              </w:rPr>
              <w:t>L+425</w:t>
            </w: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7,865,895</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7,890,564</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7,472,600</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tcPr>
          <w:p>
            <w:pPr>
              <w:spacing w:after="0"/>
              <w:rPr>
                <w:sz w:val="20"/>
                <w:szCs w:val="20"/>
                <w:color w:val="auto"/>
              </w:rPr>
            </w:pPr>
            <w:r>
              <w:rPr>
                <w:rFonts w:ascii="Arial" w:cs="Arial" w:eastAsia="Arial" w:hAnsi="Arial"/>
                <w:sz w:val="11"/>
                <w:szCs w:val="11"/>
                <w:color w:val="auto"/>
              </w:rPr>
              <w:t>PH Beauty Holdings III, Inc.</w:t>
            </w:r>
          </w:p>
        </w:tc>
        <w:tc>
          <w:tcPr>
            <w:tcW w:w="640" w:type="dxa"/>
            <w:vAlign w:val="bottom"/>
            <w:gridSpan w:val="2"/>
          </w:tcPr>
          <w:p>
            <w:pPr>
              <w:jc w:val="center"/>
              <w:ind w:left="66"/>
              <w:spacing w:after="0"/>
              <w:rPr>
                <w:sz w:val="20"/>
                <w:szCs w:val="20"/>
                <w:color w:val="auto"/>
              </w:rPr>
            </w:pPr>
            <w:r>
              <w:rPr>
                <w:rFonts w:ascii="Arial" w:cs="Arial" w:eastAsia="Arial" w:hAnsi="Arial"/>
                <w:sz w:val="11"/>
                <w:szCs w:val="11"/>
                <w:color w:val="auto"/>
                <w:w w:val="87"/>
              </w:rPr>
              <w:t>09/29/2025</w:t>
            </w:r>
          </w:p>
        </w:tc>
        <w:tc>
          <w:tcPr>
            <w:tcW w:w="240" w:type="dxa"/>
            <w:vAlign w:val="bottom"/>
          </w:tcPr>
          <w:p>
            <w:pPr>
              <w:spacing w:after="0"/>
              <w:rPr>
                <w:sz w:val="11"/>
                <w:szCs w:val="11"/>
                <w:color w:val="auto"/>
              </w:rPr>
            </w:pPr>
          </w:p>
        </w:tc>
        <w:tc>
          <w:tcPr>
            <w:tcW w:w="2760" w:type="dxa"/>
            <w:vAlign w:val="bottom"/>
            <w:gridSpan w:val="2"/>
          </w:tcPr>
          <w:p>
            <w:pPr>
              <w:jc w:val="center"/>
              <w:ind w:right="140"/>
              <w:spacing w:after="0"/>
              <w:rPr>
                <w:sz w:val="20"/>
                <w:szCs w:val="20"/>
                <w:color w:val="auto"/>
              </w:rPr>
            </w:pPr>
            <w:r>
              <w:rPr>
                <w:rFonts w:ascii="Arial" w:cs="Arial" w:eastAsia="Arial" w:hAnsi="Arial"/>
                <w:sz w:val="11"/>
                <w:szCs w:val="11"/>
                <w:color w:val="auto"/>
                <w:w w:val="89"/>
              </w:rPr>
              <w:t>Wholesale</w:t>
            </w:r>
          </w:p>
        </w:tc>
        <w:tc>
          <w:tcPr>
            <w:tcW w:w="860" w:type="dxa"/>
            <w:vAlign w:val="bottom"/>
            <w:gridSpan w:val="2"/>
          </w:tcPr>
          <w:p>
            <w:pPr>
              <w:jc w:val="right"/>
              <w:ind w:right="180"/>
              <w:spacing w:after="0"/>
              <w:rPr>
                <w:sz w:val="20"/>
                <w:szCs w:val="20"/>
                <w:color w:val="auto"/>
              </w:rPr>
            </w:pPr>
            <w:r>
              <w:rPr>
                <w:rFonts w:ascii="Arial" w:cs="Arial" w:eastAsia="Arial" w:hAnsi="Arial"/>
                <w:sz w:val="11"/>
                <w:szCs w:val="11"/>
                <w:color w:val="auto"/>
              </w:rPr>
              <w:t>6.80%</w:t>
            </w:r>
          </w:p>
        </w:tc>
        <w:tc>
          <w:tcPr>
            <w:tcW w:w="560" w:type="dxa"/>
            <w:vAlign w:val="bottom"/>
          </w:tcPr>
          <w:p>
            <w:pPr>
              <w:ind w:left="400"/>
              <w:spacing w:after="0"/>
              <w:rPr>
                <w:sz w:val="20"/>
                <w:szCs w:val="20"/>
                <w:color w:val="auto"/>
              </w:rPr>
            </w:pPr>
            <w:r>
              <w:rPr>
                <w:rFonts w:ascii="Arial" w:cs="Arial" w:eastAsia="Arial" w:hAnsi="Arial"/>
                <w:sz w:val="11"/>
                <w:szCs w:val="11"/>
                <w:color w:val="auto"/>
                <w:w w:val="91"/>
              </w:rPr>
              <w:t>1M</w:t>
            </w:r>
          </w:p>
        </w:tc>
        <w:tc>
          <w:tcPr>
            <w:tcW w:w="540" w:type="dxa"/>
            <w:vAlign w:val="bottom"/>
            <w:gridSpan w:val="3"/>
          </w:tcPr>
          <w:p>
            <w:pPr>
              <w:jc w:val="right"/>
              <w:ind w:right="220"/>
              <w:spacing w:after="0"/>
              <w:rPr>
                <w:sz w:val="20"/>
                <w:szCs w:val="20"/>
                <w:color w:val="auto"/>
              </w:rPr>
            </w:pPr>
            <w:r>
              <w:rPr>
                <w:rFonts w:ascii="Arial" w:cs="Arial" w:eastAsia="Arial" w:hAnsi="Arial"/>
                <w:sz w:val="11"/>
                <w:szCs w:val="11"/>
                <w:color w:val="auto"/>
                <w:w w:val="96"/>
              </w:rPr>
              <w:t>L+500</w:t>
            </w:r>
          </w:p>
        </w:tc>
        <w:tc>
          <w:tcPr>
            <w:tcW w:w="580" w:type="dxa"/>
            <w:vAlign w:val="bottom"/>
          </w:tcPr>
          <w:p>
            <w:pPr>
              <w:jc w:val="right"/>
              <w:spacing w:after="0"/>
              <w:rPr>
                <w:sz w:val="20"/>
                <w:szCs w:val="20"/>
                <w:color w:val="auto"/>
              </w:rPr>
            </w:pPr>
            <w:r>
              <w:rPr>
                <w:rFonts w:ascii="Arial" w:cs="Arial" w:eastAsia="Arial" w:hAnsi="Arial"/>
                <w:sz w:val="11"/>
                <w:szCs w:val="11"/>
                <w:color w:val="auto"/>
              </w:rPr>
              <w:t>9,867,538</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9,781,830</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9,768,863</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shd w:val="clear" w:color="auto" w:fill="CCECFF"/>
          </w:tcPr>
          <w:p>
            <w:pPr>
              <w:spacing w:after="0"/>
              <w:rPr>
                <w:sz w:val="20"/>
                <w:szCs w:val="20"/>
                <w:color w:val="auto"/>
              </w:rPr>
            </w:pPr>
            <w:r>
              <w:rPr>
                <w:rFonts w:ascii="Arial" w:cs="Arial" w:eastAsia="Arial" w:hAnsi="Arial"/>
                <w:sz w:val="11"/>
                <w:szCs w:val="11"/>
                <w:color w:val="auto"/>
              </w:rPr>
              <w:t>Plant Health Intermediate, Inc.</w:t>
            </w:r>
          </w:p>
        </w:tc>
        <w:tc>
          <w:tcPr>
            <w:tcW w:w="64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87"/>
              </w:rPr>
              <w:t>10/19/2022</w:t>
            </w:r>
          </w:p>
        </w:tc>
        <w:tc>
          <w:tcPr>
            <w:tcW w:w="24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8"/>
              </w:rPr>
              <w:t>Chemicals, Plastics and Rubber</w:t>
            </w:r>
          </w:p>
        </w:tc>
        <w:tc>
          <w:tcPr>
            <w:tcW w:w="86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7.69%</w:t>
            </w:r>
          </w:p>
        </w:tc>
        <w:tc>
          <w:tcPr>
            <w:tcW w:w="560" w:type="dxa"/>
            <w:vAlign w:val="bottom"/>
            <w:shd w:val="clear" w:color="auto" w:fill="CCECFF"/>
          </w:tcPr>
          <w:p>
            <w:pPr>
              <w:ind w:left="400"/>
              <w:spacing w:after="0"/>
              <w:rPr>
                <w:sz w:val="20"/>
                <w:szCs w:val="20"/>
                <w:color w:val="auto"/>
              </w:rPr>
            </w:pPr>
            <w:r>
              <w:rPr>
                <w:rFonts w:ascii="Arial" w:cs="Arial" w:eastAsia="Arial" w:hAnsi="Arial"/>
                <w:sz w:val="11"/>
                <w:szCs w:val="11"/>
                <w:color w:val="auto"/>
                <w:w w:val="91"/>
              </w:rPr>
              <w:t>3M</w:t>
            </w:r>
          </w:p>
        </w:tc>
        <w:tc>
          <w:tcPr>
            <w:tcW w:w="540" w:type="dxa"/>
            <w:vAlign w:val="bottom"/>
            <w:gridSpan w:val="3"/>
            <w:shd w:val="clear" w:color="auto" w:fill="CCECFF"/>
          </w:tcPr>
          <w:p>
            <w:pPr>
              <w:jc w:val="right"/>
              <w:ind w:right="220"/>
              <w:spacing w:after="0"/>
              <w:rPr>
                <w:sz w:val="20"/>
                <w:szCs w:val="20"/>
                <w:color w:val="auto"/>
              </w:rPr>
            </w:pPr>
            <w:r>
              <w:rPr>
                <w:rFonts w:ascii="Arial" w:cs="Arial" w:eastAsia="Arial" w:hAnsi="Arial"/>
                <w:sz w:val="11"/>
                <w:szCs w:val="11"/>
                <w:color w:val="auto"/>
                <w:w w:val="96"/>
              </w:rPr>
              <w:t>L+575</w:t>
            </w: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1,753,977</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1,733,464</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1,736,437</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tcPr>
          <w:p>
            <w:pPr>
              <w:spacing w:after="0"/>
              <w:rPr>
                <w:sz w:val="20"/>
                <w:szCs w:val="20"/>
                <w:color w:val="auto"/>
              </w:rPr>
            </w:pPr>
            <w:r>
              <w:rPr>
                <w:rFonts w:ascii="Arial" w:cs="Arial" w:eastAsia="Arial" w:hAnsi="Arial"/>
                <w:sz w:val="11"/>
                <w:szCs w:val="11"/>
                <w:color w:val="auto"/>
              </w:rPr>
              <w:t>PlayPower, Inc.</w:t>
            </w:r>
          </w:p>
        </w:tc>
        <w:tc>
          <w:tcPr>
            <w:tcW w:w="640" w:type="dxa"/>
            <w:vAlign w:val="bottom"/>
            <w:gridSpan w:val="2"/>
          </w:tcPr>
          <w:p>
            <w:pPr>
              <w:jc w:val="center"/>
              <w:ind w:left="66"/>
              <w:spacing w:after="0"/>
              <w:rPr>
                <w:sz w:val="20"/>
                <w:szCs w:val="20"/>
                <w:color w:val="auto"/>
              </w:rPr>
            </w:pPr>
            <w:r>
              <w:rPr>
                <w:rFonts w:ascii="Arial" w:cs="Arial" w:eastAsia="Arial" w:hAnsi="Arial"/>
                <w:sz w:val="11"/>
                <w:szCs w:val="11"/>
                <w:color w:val="auto"/>
                <w:w w:val="87"/>
              </w:rPr>
              <w:t>05/08/2026</w:t>
            </w:r>
          </w:p>
        </w:tc>
        <w:tc>
          <w:tcPr>
            <w:tcW w:w="240" w:type="dxa"/>
            <w:vAlign w:val="bottom"/>
          </w:tcPr>
          <w:p>
            <w:pPr>
              <w:spacing w:after="0"/>
              <w:rPr>
                <w:sz w:val="11"/>
                <w:szCs w:val="11"/>
                <w:color w:val="auto"/>
              </w:rPr>
            </w:pPr>
          </w:p>
        </w:tc>
        <w:tc>
          <w:tcPr>
            <w:tcW w:w="2760" w:type="dxa"/>
            <w:vAlign w:val="bottom"/>
            <w:gridSpan w:val="2"/>
          </w:tcPr>
          <w:p>
            <w:pPr>
              <w:jc w:val="center"/>
              <w:ind w:right="140"/>
              <w:spacing w:after="0"/>
              <w:rPr>
                <w:sz w:val="20"/>
                <w:szCs w:val="20"/>
                <w:color w:val="auto"/>
              </w:rPr>
            </w:pPr>
            <w:r>
              <w:rPr>
                <w:rFonts w:ascii="Arial" w:cs="Arial" w:eastAsia="Arial" w:hAnsi="Arial"/>
                <w:sz w:val="11"/>
                <w:szCs w:val="11"/>
                <w:color w:val="auto"/>
                <w:w w:val="89"/>
              </w:rPr>
              <w:t>Leisure Products</w:t>
            </w:r>
          </w:p>
        </w:tc>
        <w:tc>
          <w:tcPr>
            <w:tcW w:w="860" w:type="dxa"/>
            <w:vAlign w:val="bottom"/>
            <w:gridSpan w:val="2"/>
          </w:tcPr>
          <w:p>
            <w:pPr>
              <w:jc w:val="right"/>
              <w:ind w:right="180"/>
              <w:spacing w:after="0"/>
              <w:rPr>
                <w:sz w:val="20"/>
                <w:szCs w:val="20"/>
                <w:color w:val="auto"/>
              </w:rPr>
            </w:pPr>
            <w:r>
              <w:rPr>
                <w:rFonts w:ascii="Arial" w:cs="Arial" w:eastAsia="Arial" w:hAnsi="Arial"/>
                <w:sz w:val="11"/>
                <w:szCs w:val="11"/>
                <w:color w:val="auto"/>
              </w:rPr>
              <w:t>7.46%</w:t>
            </w:r>
          </w:p>
        </w:tc>
        <w:tc>
          <w:tcPr>
            <w:tcW w:w="560" w:type="dxa"/>
            <w:vAlign w:val="bottom"/>
          </w:tcPr>
          <w:p>
            <w:pPr>
              <w:ind w:left="400"/>
              <w:spacing w:after="0"/>
              <w:rPr>
                <w:sz w:val="20"/>
                <w:szCs w:val="20"/>
                <w:color w:val="auto"/>
              </w:rPr>
            </w:pPr>
            <w:r>
              <w:rPr>
                <w:rFonts w:ascii="Arial" w:cs="Arial" w:eastAsia="Arial" w:hAnsi="Arial"/>
                <w:sz w:val="11"/>
                <w:szCs w:val="11"/>
                <w:color w:val="auto"/>
                <w:w w:val="91"/>
              </w:rPr>
              <w:t>3M</w:t>
            </w:r>
          </w:p>
        </w:tc>
        <w:tc>
          <w:tcPr>
            <w:tcW w:w="540" w:type="dxa"/>
            <w:vAlign w:val="bottom"/>
            <w:gridSpan w:val="3"/>
          </w:tcPr>
          <w:p>
            <w:pPr>
              <w:jc w:val="right"/>
              <w:ind w:right="220"/>
              <w:spacing w:after="0"/>
              <w:rPr>
                <w:sz w:val="20"/>
                <w:szCs w:val="20"/>
                <w:color w:val="auto"/>
              </w:rPr>
            </w:pPr>
            <w:r>
              <w:rPr>
                <w:rFonts w:ascii="Arial" w:cs="Arial" w:eastAsia="Arial" w:hAnsi="Arial"/>
                <w:sz w:val="11"/>
                <w:szCs w:val="11"/>
                <w:color w:val="auto"/>
                <w:w w:val="96"/>
              </w:rPr>
              <w:t>L+550</w:t>
            </w:r>
          </w:p>
        </w:tc>
        <w:tc>
          <w:tcPr>
            <w:tcW w:w="580" w:type="dxa"/>
            <w:vAlign w:val="bottom"/>
          </w:tcPr>
          <w:p>
            <w:pPr>
              <w:jc w:val="right"/>
              <w:spacing w:after="0"/>
              <w:rPr>
                <w:sz w:val="20"/>
                <w:szCs w:val="20"/>
                <w:color w:val="auto"/>
              </w:rPr>
            </w:pPr>
            <w:r>
              <w:rPr>
                <w:rFonts w:ascii="Arial" w:cs="Arial" w:eastAsia="Arial" w:hAnsi="Arial"/>
                <w:sz w:val="11"/>
                <w:szCs w:val="11"/>
                <w:color w:val="auto"/>
              </w:rPr>
              <w:t>4,179,000</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4,139,034</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4,126,763</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shd w:val="clear" w:color="auto" w:fill="CCECFF"/>
          </w:tcPr>
          <w:p>
            <w:pPr>
              <w:spacing w:after="0"/>
              <w:rPr>
                <w:sz w:val="20"/>
                <w:szCs w:val="20"/>
                <w:color w:val="auto"/>
              </w:rPr>
            </w:pPr>
            <w:r>
              <w:rPr>
                <w:rFonts w:ascii="Arial" w:cs="Arial" w:eastAsia="Arial" w:hAnsi="Arial"/>
                <w:sz w:val="11"/>
                <w:szCs w:val="11"/>
                <w:color w:val="auto"/>
              </w:rPr>
              <w:t>Schlesinger Global, Inc.</w:t>
            </w:r>
          </w:p>
        </w:tc>
        <w:tc>
          <w:tcPr>
            <w:tcW w:w="64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87"/>
              </w:rPr>
              <w:t>07/14/2025</w:t>
            </w:r>
          </w:p>
        </w:tc>
        <w:tc>
          <w:tcPr>
            <w:tcW w:w="24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6"/>
              </w:rPr>
              <w:t>Business Services</w:t>
            </w:r>
          </w:p>
        </w:tc>
        <w:tc>
          <w:tcPr>
            <w:tcW w:w="86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6.80%</w:t>
            </w:r>
          </w:p>
        </w:tc>
        <w:tc>
          <w:tcPr>
            <w:tcW w:w="560" w:type="dxa"/>
            <w:vAlign w:val="bottom"/>
            <w:shd w:val="clear" w:color="auto" w:fill="CCECFF"/>
          </w:tcPr>
          <w:p>
            <w:pPr>
              <w:ind w:left="400"/>
              <w:spacing w:after="0"/>
              <w:rPr>
                <w:sz w:val="20"/>
                <w:szCs w:val="20"/>
                <w:color w:val="auto"/>
              </w:rPr>
            </w:pPr>
            <w:r>
              <w:rPr>
                <w:rFonts w:ascii="Arial" w:cs="Arial" w:eastAsia="Arial" w:hAnsi="Arial"/>
                <w:sz w:val="11"/>
                <w:szCs w:val="11"/>
                <w:color w:val="auto"/>
                <w:w w:val="91"/>
              </w:rPr>
              <w:t>1M</w:t>
            </w:r>
          </w:p>
        </w:tc>
        <w:tc>
          <w:tcPr>
            <w:tcW w:w="540" w:type="dxa"/>
            <w:vAlign w:val="bottom"/>
            <w:gridSpan w:val="3"/>
            <w:shd w:val="clear" w:color="auto" w:fill="CCECFF"/>
          </w:tcPr>
          <w:p>
            <w:pPr>
              <w:jc w:val="right"/>
              <w:ind w:right="220"/>
              <w:spacing w:after="0"/>
              <w:rPr>
                <w:sz w:val="20"/>
                <w:szCs w:val="20"/>
                <w:color w:val="auto"/>
              </w:rPr>
            </w:pPr>
            <w:r>
              <w:rPr>
                <w:rFonts w:ascii="Arial" w:cs="Arial" w:eastAsia="Arial" w:hAnsi="Arial"/>
                <w:sz w:val="11"/>
                <w:szCs w:val="11"/>
                <w:color w:val="auto"/>
                <w:w w:val="96"/>
              </w:rPr>
              <w:t>L+500</w:t>
            </w: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w w:val="98"/>
              </w:rPr>
              <w:t>11,985,169</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11,985,169</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11,985,169</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tcPr>
          <w:p>
            <w:pPr>
              <w:spacing w:after="0"/>
              <w:rPr>
                <w:sz w:val="20"/>
                <w:szCs w:val="20"/>
                <w:color w:val="auto"/>
              </w:rPr>
            </w:pPr>
            <w:r>
              <w:rPr>
                <w:rFonts w:ascii="Arial" w:cs="Arial" w:eastAsia="Arial" w:hAnsi="Arial"/>
                <w:sz w:val="11"/>
                <w:szCs w:val="11"/>
                <w:color w:val="auto"/>
              </w:rPr>
              <w:t>Smile Brands Inc.</w:t>
            </w:r>
          </w:p>
        </w:tc>
        <w:tc>
          <w:tcPr>
            <w:tcW w:w="640" w:type="dxa"/>
            <w:vAlign w:val="bottom"/>
            <w:gridSpan w:val="2"/>
          </w:tcPr>
          <w:p>
            <w:pPr>
              <w:jc w:val="center"/>
              <w:ind w:left="66"/>
              <w:spacing w:after="0"/>
              <w:rPr>
                <w:sz w:val="20"/>
                <w:szCs w:val="20"/>
                <w:color w:val="auto"/>
              </w:rPr>
            </w:pPr>
            <w:r>
              <w:rPr>
                <w:rFonts w:ascii="Arial" w:cs="Arial" w:eastAsia="Arial" w:hAnsi="Arial"/>
                <w:sz w:val="11"/>
                <w:szCs w:val="11"/>
                <w:color w:val="auto"/>
                <w:w w:val="87"/>
              </w:rPr>
              <w:t>10/14/2024</w:t>
            </w:r>
          </w:p>
        </w:tc>
        <w:tc>
          <w:tcPr>
            <w:tcW w:w="240" w:type="dxa"/>
            <w:vAlign w:val="bottom"/>
          </w:tcPr>
          <w:p>
            <w:pPr>
              <w:spacing w:after="0"/>
              <w:rPr>
                <w:sz w:val="11"/>
                <w:szCs w:val="11"/>
                <w:color w:val="auto"/>
              </w:rPr>
            </w:pPr>
          </w:p>
        </w:tc>
        <w:tc>
          <w:tcPr>
            <w:tcW w:w="2760" w:type="dxa"/>
            <w:vAlign w:val="bottom"/>
            <w:gridSpan w:val="2"/>
          </w:tcPr>
          <w:p>
            <w:pPr>
              <w:jc w:val="center"/>
              <w:ind w:right="140"/>
              <w:spacing w:after="0"/>
              <w:rPr>
                <w:sz w:val="20"/>
                <w:szCs w:val="20"/>
                <w:color w:val="auto"/>
              </w:rPr>
            </w:pPr>
            <w:r>
              <w:rPr>
                <w:rFonts w:ascii="Arial" w:cs="Arial" w:eastAsia="Arial" w:hAnsi="Arial"/>
                <w:sz w:val="11"/>
                <w:szCs w:val="11"/>
                <w:color w:val="auto"/>
                <w:w w:val="86"/>
              </w:rPr>
              <w:t>Healthcare and Pharmaceuticals</w:t>
            </w:r>
          </w:p>
        </w:tc>
        <w:tc>
          <w:tcPr>
            <w:tcW w:w="860" w:type="dxa"/>
            <w:vAlign w:val="bottom"/>
            <w:gridSpan w:val="2"/>
          </w:tcPr>
          <w:p>
            <w:pPr>
              <w:jc w:val="right"/>
              <w:ind w:right="180"/>
              <w:spacing w:after="0"/>
              <w:rPr>
                <w:sz w:val="20"/>
                <w:szCs w:val="20"/>
                <w:color w:val="auto"/>
              </w:rPr>
            </w:pPr>
            <w:r>
              <w:rPr>
                <w:rFonts w:ascii="Arial" w:cs="Arial" w:eastAsia="Arial" w:hAnsi="Arial"/>
                <w:sz w:val="11"/>
                <w:szCs w:val="11"/>
                <w:color w:val="auto"/>
              </w:rPr>
              <w:t>6.55%</w:t>
            </w:r>
          </w:p>
        </w:tc>
        <w:tc>
          <w:tcPr>
            <w:tcW w:w="560" w:type="dxa"/>
            <w:vAlign w:val="bottom"/>
          </w:tcPr>
          <w:p>
            <w:pPr>
              <w:ind w:left="400"/>
              <w:spacing w:after="0"/>
              <w:rPr>
                <w:sz w:val="20"/>
                <w:szCs w:val="20"/>
                <w:color w:val="auto"/>
              </w:rPr>
            </w:pPr>
            <w:r>
              <w:rPr>
                <w:rFonts w:ascii="Arial" w:cs="Arial" w:eastAsia="Arial" w:hAnsi="Arial"/>
                <w:sz w:val="11"/>
                <w:szCs w:val="11"/>
                <w:color w:val="auto"/>
                <w:w w:val="91"/>
              </w:rPr>
              <w:t>3M</w:t>
            </w:r>
          </w:p>
        </w:tc>
        <w:tc>
          <w:tcPr>
            <w:tcW w:w="540" w:type="dxa"/>
            <w:vAlign w:val="bottom"/>
            <w:gridSpan w:val="3"/>
          </w:tcPr>
          <w:p>
            <w:pPr>
              <w:jc w:val="right"/>
              <w:ind w:right="220"/>
              <w:spacing w:after="0"/>
              <w:rPr>
                <w:sz w:val="20"/>
                <w:szCs w:val="20"/>
                <w:color w:val="auto"/>
              </w:rPr>
            </w:pPr>
            <w:r>
              <w:rPr>
                <w:rFonts w:ascii="Arial" w:cs="Arial" w:eastAsia="Arial" w:hAnsi="Arial"/>
                <w:sz w:val="11"/>
                <w:szCs w:val="11"/>
                <w:color w:val="auto"/>
                <w:w w:val="96"/>
              </w:rPr>
              <w:t>L+450</w:t>
            </w:r>
          </w:p>
        </w:tc>
        <w:tc>
          <w:tcPr>
            <w:tcW w:w="580" w:type="dxa"/>
            <w:vAlign w:val="bottom"/>
          </w:tcPr>
          <w:p>
            <w:pPr>
              <w:jc w:val="right"/>
              <w:spacing w:after="0"/>
              <w:rPr>
                <w:sz w:val="20"/>
                <w:szCs w:val="20"/>
                <w:color w:val="auto"/>
              </w:rPr>
            </w:pPr>
            <w:r>
              <w:rPr>
                <w:rFonts w:ascii="Arial" w:cs="Arial" w:eastAsia="Arial" w:hAnsi="Arial"/>
                <w:sz w:val="11"/>
                <w:szCs w:val="11"/>
                <w:color w:val="auto"/>
                <w:w w:val="98"/>
              </w:rPr>
              <w:t>11,261,250</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11,164,187</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11,148,638</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shd w:val="clear" w:color="auto" w:fill="CCECFF"/>
          </w:tcPr>
          <w:p>
            <w:pPr>
              <w:spacing w:after="0"/>
              <w:rPr>
                <w:sz w:val="20"/>
                <w:szCs w:val="20"/>
                <w:color w:val="auto"/>
              </w:rPr>
            </w:pPr>
            <w:r>
              <w:rPr>
                <w:rFonts w:ascii="Arial" w:cs="Arial" w:eastAsia="Arial" w:hAnsi="Arial"/>
                <w:sz w:val="11"/>
                <w:szCs w:val="11"/>
                <w:color w:val="auto"/>
              </w:rPr>
              <w:t>Snak Club, LLC</w:t>
            </w:r>
          </w:p>
        </w:tc>
        <w:tc>
          <w:tcPr>
            <w:tcW w:w="64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87"/>
              </w:rPr>
              <w:t>07/19/2021</w:t>
            </w:r>
          </w:p>
        </w:tc>
        <w:tc>
          <w:tcPr>
            <w:tcW w:w="24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6"/>
              </w:rPr>
              <w:t>Beverage, Food and Tobacco</w:t>
            </w:r>
          </w:p>
        </w:tc>
        <w:tc>
          <w:tcPr>
            <w:tcW w:w="86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7.69%</w:t>
            </w:r>
          </w:p>
        </w:tc>
        <w:tc>
          <w:tcPr>
            <w:tcW w:w="560" w:type="dxa"/>
            <w:vAlign w:val="bottom"/>
            <w:shd w:val="clear" w:color="auto" w:fill="CCECFF"/>
          </w:tcPr>
          <w:p>
            <w:pPr>
              <w:ind w:left="400"/>
              <w:spacing w:after="0"/>
              <w:rPr>
                <w:sz w:val="20"/>
                <w:szCs w:val="20"/>
                <w:color w:val="auto"/>
              </w:rPr>
            </w:pPr>
            <w:r>
              <w:rPr>
                <w:rFonts w:ascii="Arial" w:cs="Arial" w:eastAsia="Arial" w:hAnsi="Arial"/>
                <w:sz w:val="11"/>
                <w:szCs w:val="11"/>
                <w:color w:val="auto"/>
                <w:w w:val="91"/>
              </w:rPr>
              <w:t>1M</w:t>
            </w:r>
          </w:p>
        </w:tc>
        <w:tc>
          <w:tcPr>
            <w:tcW w:w="540" w:type="dxa"/>
            <w:vAlign w:val="bottom"/>
            <w:gridSpan w:val="3"/>
            <w:shd w:val="clear" w:color="auto" w:fill="CCECFF"/>
          </w:tcPr>
          <w:p>
            <w:pPr>
              <w:jc w:val="right"/>
              <w:ind w:right="220"/>
              <w:spacing w:after="0"/>
              <w:rPr>
                <w:sz w:val="20"/>
                <w:szCs w:val="20"/>
                <w:color w:val="auto"/>
              </w:rPr>
            </w:pPr>
            <w:r>
              <w:rPr>
                <w:rFonts w:ascii="Arial" w:cs="Arial" w:eastAsia="Arial" w:hAnsi="Arial"/>
                <w:sz w:val="11"/>
                <w:szCs w:val="11"/>
                <w:color w:val="auto"/>
                <w:w w:val="96"/>
              </w:rPr>
              <w:t>L+600</w:t>
            </w: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4,687,495</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4,687,495</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4,499,995</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tcPr>
          <w:p>
            <w:pPr>
              <w:spacing w:after="0"/>
              <w:rPr>
                <w:sz w:val="20"/>
                <w:szCs w:val="20"/>
                <w:color w:val="auto"/>
              </w:rPr>
            </w:pPr>
            <w:r>
              <w:rPr>
                <w:rFonts w:ascii="Arial" w:cs="Arial" w:eastAsia="Arial" w:hAnsi="Arial"/>
                <w:sz w:val="11"/>
                <w:szCs w:val="11"/>
                <w:color w:val="auto"/>
              </w:rPr>
              <w:t>Solutionreach, Inc.</w:t>
            </w:r>
          </w:p>
        </w:tc>
        <w:tc>
          <w:tcPr>
            <w:tcW w:w="640" w:type="dxa"/>
            <w:vAlign w:val="bottom"/>
            <w:gridSpan w:val="2"/>
          </w:tcPr>
          <w:p>
            <w:pPr>
              <w:jc w:val="center"/>
              <w:ind w:left="66"/>
              <w:spacing w:after="0"/>
              <w:rPr>
                <w:sz w:val="20"/>
                <w:szCs w:val="20"/>
                <w:color w:val="auto"/>
              </w:rPr>
            </w:pPr>
            <w:r>
              <w:rPr>
                <w:rFonts w:ascii="Arial" w:cs="Arial" w:eastAsia="Arial" w:hAnsi="Arial"/>
                <w:sz w:val="11"/>
                <w:szCs w:val="11"/>
                <w:color w:val="auto"/>
                <w:w w:val="87"/>
              </w:rPr>
              <w:t>01/17/2024</w:t>
            </w:r>
          </w:p>
        </w:tc>
        <w:tc>
          <w:tcPr>
            <w:tcW w:w="240" w:type="dxa"/>
            <w:vAlign w:val="bottom"/>
          </w:tcPr>
          <w:p>
            <w:pPr>
              <w:spacing w:after="0"/>
              <w:rPr>
                <w:sz w:val="11"/>
                <w:szCs w:val="11"/>
                <w:color w:val="auto"/>
              </w:rPr>
            </w:pPr>
          </w:p>
        </w:tc>
        <w:tc>
          <w:tcPr>
            <w:tcW w:w="2760" w:type="dxa"/>
            <w:vAlign w:val="bottom"/>
            <w:gridSpan w:val="2"/>
          </w:tcPr>
          <w:p>
            <w:pPr>
              <w:jc w:val="center"/>
              <w:ind w:right="140"/>
              <w:spacing w:after="0"/>
              <w:rPr>
                <w:sz w:val="20"/>
                <w:szCs w:val="20"/>
                <w:color w:val="auto"/>
              </w:rPr>
            </w:pPr>
            <w:r>
              <w:rPr>
                <w:rFonts w:ascii="Arial" w:cs="Arial" w:eastAsia="Arial" w:hAnsi="Arial"/>
                <w:sz w:val="11"/>
                <w:szCs w:val="11"/>
                <w:color w:val="auto"/>
                <w:w w:val="86"/>
              </w:rPr>
              <w:t>Healthcare and Pharmaceuticals</w:t>
            </w:r>
          </w:p>
        </w:tc>
        <w:tc>
          <w:tcPr>
            <w:tcW w:w="860" w:type="dxa"/>
            <w:vAlign w:val="bottom"/>
            <w:gridSpan w:val="2"/>
          </w:tcPr>
          <w:p>
            <w:pPr>
              <w:jc w:val="right"/>
              <w:ind w:right="180"/>
              <w:spacing w:after="0"/>
              <w:rPr>
                <w:sz w:val="20"/>
                <w:szCs w:val="20"/>
                <w:color w:val="auto"/>
              </w:rPr>
            </w:pPr>
            <w:r>
              <w:rPr>
                <w:rFonts w:ascii="Arial" w:cs="Arial" w:eastAsia="Arial" w:hAnsi="Arial"/>
                <w:sz w:val="11"/>
                <w:szCs w:val="11"/>
                <w:color w:val="auto"/>
              </w:rPr>
              <w:t>7.55%</w:t>
            </w:r>
          </w:p>
        </w:tc>
        <w:tc>
          <w:tcPr>
            <w:tcW w:w="560" w:type="dxa"/>
            <w:vAlign w:val="bottom"/>
          </w:tcPr>
          <w:p>
            <w:pPr>
              <w:ind w:left="400"/>
              <w:spacing w:after="0"/>
              <w:rPr>
                <w:sz w:val="20"/>
                <w:szCs w:val="20"/>
                <w:color w:val="auto"/>
              </w:rPr>
            </w:pPr>
            <w:r>
              <w:rPr>
                <w:rFonts w:ascii="Arial" w:cs="Arial" w:eastAsia="Arial" w:hAnsi="Arial"/>
                <w:sz w:val="11"/>
                <w:szCs w:val="11"/>
                <w:color w:val="auto"/>
                <w:w w:val="91"/>
              </w:rPr>
              <w:t>3M</w:t>
            </w:r>
          </w:p>
        </w:tc>
        <w:tc>
          <w:tcPr>
            <w:tcW w:w="540" w:type="dxa"/>
            <w:vAlign w:val="bottom"/>
            <w:gridSpan w:val="3"/>
          </w:tcPr>
          <w:p>
            <w:pPr>
              <w:jc w:val="right"/>
              <w:ind w:right="220"/>
              <w:spacing w:after="0"/>
              <w:rPr>
                <w:sz w:val="20"/>
                <w:szCs w:val="20"/>
                <w:color w:val="auto"/>
              </w:rPr>
            </w:pPr>
            <w:r>
              <w:rPr>
                <w:rFonts w:ascii="Arial" w:cs="Arial" w:eastAsia="Arial" w:hAnsi="Arial"/>
                <w:sz w:val="11"/>
                <w:szCs w:val="11"/>
                <w:color w:val="auto"/>
                <w:w w:val="96"/>
              </w:rPr>
              <w:t>L+475</w:t>
            </w:r>
          </w:p>
        </w:tc>
        <w:tc>
          <w:tcPr>
            <w:tcW w:w="580" w:type="dxa"/>
            <w:vAlign w:val="bottom"/>
          </w:tcPr>
          <w:p>
            <w:pPr>
              <w:jc w:val="right"/>
              <w:spacing w:after="0"/>
              <w:rPr>
                <w:sz w:val="20"/>
                <w:szCs w:val="20"/>
                <w:color w:val="auto"/>
              </w:rPr>
            </w:pPr>
            <w:r>
              <w:rPr>
                <w:rFonts w:ascii="Arial" w:cs="Arial" w:eastAsia="Arial" w:hAnsi="Arial"/>
                <w:sz w:val="11"/>
                <w:szCs w:val="11"/>
                <w:color w:val="auto"/>
              </w:rPr>
              <w:t>6,555,975</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6,474,016</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6,521,229</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shd w:val="clear" w:color="auto" w:fill="CCECFF"/>
          </w:tcPr>
          <w:p>
            <w:pPr>
              <w:spacing w:after="0"/>
              <w:rPr>
                <w:sz w:val="20"/>
                <w:szCs w:val="20"/>
                <w:color w:val="auto"/>
              </w:rPr>
            </w:pPr>
            <w:r>
              <w:rPr>
                <w:rFonts w:ascii="Arial" w:cs="Arial" w:eastAsia="Arial" w:hAnsi="Arial"/>
                <w:sz w:val="11"/>
                <w:szCs w:val="11"/>
                <w:color w:val="auto"/>
              </w:rPr>
              <w:t>Sonny's Enterprises, LLC</w:t>
            </w:r>
          </w:p>
        </w:tc>
        <w:tc>
          <w:tcPr>
            <w:tcW w:w="64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87"/>
              </w:rPr>
              <w:t>12/01/2022</w:t>
            </w:r>
          </w:p>
        </w:tc>
        <w:tc>
          <w:tcPr>
            <w:tcW w:w="24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91"/>
              </w:rPr>
              <w:t>Capital Equipment</w:t>
            </w:r>
          </w:p>
        </w:tc>
        <w:tc>
          <w:tcPr>
            <w:tcW w:w="86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6.10%</w:t>
            </w:r>
          </w:p>
        </w:tc>
        <w:tc>
          <w:tcPr>
            <w:tcW w:w="560" w:type="dxa"/>
            <w:vAlign w:val="bottom"/>
            <w:shd w:val="clear" w:color="auto" w:fill="CCECFF"/>
          </w:tcPr>
          <w:p>
            <w:pPr>
              <w:ind w:left="400"/>
              <w:spacing w:after="0"/>
              <w:rPr>
                <w:sz w:val="20"/>
                <w:szCs w:val="20"/>
                <w:color w:val="auto"/>
              </w:rPr>
            </w:pPr>
            <w:r>
              <w:rPr>
                <w:rFonts w:ascii="Arial" w:cs="Arial" w:eastAsia="Arial" w:hAnsi="Arial"/>
                <w:sz w:val="11"/>
                <w:szCs w:val="11"/>
                <w:color w:val="auto"/>
                <w:w w:val="91"/>
              </w:rPr>
              <w:t>3M</w:t>
            </w:r>
          </w:p>
        </w:tc>
        <w:tc>
          <w:tcPr>
            <w:tcW w:w="540" w:type="dxa"/>
            <w:vAlign w:val="bottom"/>
            <w:gridSpan w:val="3"/>
            <w:shd w:val="clear" w:color="auto" w:fill="CCECFF"/>
          </w:tcPr>
          <w:p>
            <w:pPr>
              <w:jc w:val="right"/>
              <w:ind w:right="220"/>
              <w:spacing w:after="0"/>
              <w:rPr>
                <w:sz w:val="20"/>
                <w:szCs w:val="20"/>
                <w:color w:val="auto"/>
              </w:rPr>
            </w:pPr>
            <w:r>
              <w:rPr>
                <w:rFonts w:ascii="Arial" w:cs="Arial" w:eastAsia="Arial" w:hAnsi="Arial"/>
                <w:sz w:val="11"/>
                <w:szCs w:val="11"/>
                <w:color w:val="auto"/>
                <w:w w:val="96"/>
              </w:rPr>
              <w:t>L+425</w:t>
            </w: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w w:val="98"/>
              </w:rPr>
              <w:t>15,186,105</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15,189,151</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15,034,245</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tcPr>
          <w:p>
            <w:pPr>
              <w:spacing w:after="0"/>
              <w:rPr>
                <w:sz w:val="20"/>
                <w:szCs w:val="20"/>
                <w:color w:val="auto"/>
              </w:rPr>
            </w:pPr>
            <w:r>
              <w:rPr>
                <w:rFonts w:ascii="Arial" w:cs="Arial" w:eastAsia="Arial" w:hAnsi="Arial"/>
                <w:sz w:val="11"/>
                <w:szCs w:val="11"/>
                <w:color w:val="auto"/>
              </w:rPr>
              <w:t>TeleGuam Holdings, LLC</w:t>
            </w:r>
          </w:p>
        </w:tc>
        <w:tc>
          <w:tcPr>
            <w:tcW w:w="640" w:type="dxa"/>
            <w:vAlign w:val="bottom"/>
            <w:gridSpan w:val="2"/>
          </w:tcPr>
          <w:p>
            <w:pPr>
              <w:jc w:val="center"/>
              <w:ind w:left="66"/>
              <w:spacing w:after="0"/>
              <w:rPr>
                <w:sz w:val="20"/>
                <w:szCs w:val="20"/>
                <w:color w:val="auto"/>
              </w:rPr>
            </w:pPr>
            <w:r>
              <w:rPr>
                <w:rFonts w:ascii="Arial" w:cs="Arial" w:eastAsia="Arial" w:hAnsi="Arial"/>
                <w:sz w:val="11"/>
                <w:szCs w:val="11"/>
                <w:color w:val="auto"/>
                <w:w w:val="87"/>
              </w:rPr>
              <w:t>11/20/2025</w:t>
            </w:r>
          </w:p>
        </w:tc>
        <w:tc>
          <w:tcPr>
            <w:tcW w:w="240" w:type="dxa"/>
            <w:vAlign w:val="bottom"/>
          </w:tcPr>
          <w:p>
            <w:pPr>
              <w:spacing w:after="0"/>
              <w:rPr>
                <w:sz w:val="11"/>
                <w:szCs w:val="11"/>
                <w:color w:val="auto"/>
              </w:rPr>
            </w:pPr>
          </w:p>
        </w:tc>
        <w:tc>
          <w:tcPr>
            <w:tcW w:w="2760" w:type="dxa"/>
            <w:vAlign w:val="bottom"/>
            <w:gridSpan w:val="2"/>
          </w:tcPr>
          <w:p>
            <w:pPr>
              <w:jc w:val="center"/>
              <w:ind w:right="140"/>
              <w:spacing w:after="0"/>
              <w:rPr>
                <w:sz w:val="20"/>
                <w:szCs w:val="20"/>
                <w:color w:val="auto"/>
              </w:rPr>
            </w:pPr>
            <w:r>
              <w:rPr>
                <w:rFonts w:ascii="Arial" w:cs="Arial" w:eastAsia="Arial" w:hAnsi="Arial"/>
                <w:sz w:val="11"/>
                <w:szCs w:val="11"/>
                <w:color w:val="auto"/>
                <w:w w:val="89"/>
              </w:rPr>
              <w:t>Telecommunications</w:t>
            </w:r>
          </w:p>
        </w:tc>
        <w:tc>
          <w:tcPr>
            <w:tcW w:w="860" w:type="dxa"/>
            <w:vAlign w:val="bottom"/>
            <w:gridSpan w:val="2"/>
          </w:tcPr>
          <w:p>
            <w:pPr>
              <w:jc w:val="right"/>
              <w:ind w:right="180"/>
              <w:spacing w:after="0"/>
              <w:rPr>
                <w:sz w:val="20"/>
                <w:szCs w:val="20"/>
                <w:color w:val="auto"/>
              </w:rPr>
            </w:pPr>
            <w:r>
              <w:rPr>
                <w:rFonts w:ascii="Arial" w:cs="Arial" w:eastAsia="Arial" w:hAnsi="Arial"/>
                <w:sz w:val="11"/>
                <w:szCs w:val="11"/>
                <w:color w:val="auto"/>
              </w:rPr>
              <w:t>6.30%</w:t>
            </w:r>
          </w:p>
        </w:tc>
        <w:tc>
          <w:tcPr>
            <w:tcW w:w="560" w:type="dxa"/>
            <w:vAlign w:val="bottom"/>
          </w:tcPr>
          <w:p>
            <w:pPr>
              <w:ind w:left="400"/>
              <w:spacing w:after="0"/>
              <w:rPr>
                <w:sz w:val="20"/>
                <w:szCs w:val="20"/>
                <w:color w:val="auto"/>
              </w:rPr>
            </w:pPr>
            <w:r>
              <w:rPr>
                <w:rFonts w:ascii="Arial" w:cs="Arial" w:eastAsia="Arial" w:hAnsi="Arial"/>
                <w:sz w:val="11"/>
                <w:szCs w:val="11"/>
                <w:color w:val="auto"/>
                <w:w w:val="91"/>
              </w:rPr>
              <w:t>1M</w:t>
            </w:r>
          </w:p>
        </w:tc>
        <w:tc>
          <w:tcPr>
            <w:tcW w:w="540" w:type="dxa"/>
            <w:vAlign w:val="bottom"/>
            <w:gridSpan w:val="3"/>
          </w:tcPr>
          <w:p>
            <w:pPr>
              <w:jc w:val="right"/>
              <w:ind w:right="220"/>
              <w:spacing w:after="0"/>
              <w:rPr>
                <w:sz w:val="20"/>
                <w:szCs w:val="20"/>
                <w:color w:val="auto"/>
              </w:rPr>
            </w:pPr>
            <w:r>
              <w:rPr>
                <w:rFonts w:ascii="Arial" w:cs="Arial" w:eastAsia="Arial" w:hAnsi="Arial"/>
                <w:sz w:val="11"/>
                <w:szCs w:val="11"/>
                <w:color w:val="auto"/>
                <w:w w:val="96"/>
              </w:rPr>
              <w:t>L+450</w:t>
            </w:r>
          </w:p>
        </w:tc>
        <w:tc>
          <w:tcPr>
            <w:tcW w:w="580" w:type="dxa"/>
            <w:vAlign w:val="bottom"/>
          </w:tcPr>
          <w:p>
            <w:pPr>
              <w:jc w:val="right"/>
              <w:spacing w:after="0"/>
              <w:rPr>
                <w:sz w:val="20"/>
                <w:szCs w:val="20"/>
                <w:color w:val="auto"/>
              </w:rPr>
            </w:pPr>
            <w:r>
              <w:rPr>
                <w:rFonts w:ascii="Arial" w:cs="Arial" w:eastAsia="Arial" w:hAnsi="Arial"/>
                <w:sz w:val="11"/>
                <w:szCs w:val="11"/>
                <w:color w:val="auto"/>
              </w:rPr>
              <w:t>8,430,693</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8,388,539</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8,388,539</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shd w:val="clear" w:color="auto" w:fill="CCECFF"/>
          </w:tcPr>
          <w:p>
            <w:pPr>
              <w:spacing w:after="0"/>
              <w:rPr>
                <w:sz w:val="20"/>
                <w:szCs w:val="20"/>
                <w:color w:val="auto"/>
              </w:rPr>
            </w:pPr>
            <w:r>
              <w:rPr>
                <w:rFonts w:ascii="Arial" w:cs="Arial" w:eastAsia="Arial" w:hAnsi="Arial"/>
                <w:sz w:val="11"/>
                <w:szCs w:val="11"/>
                <w:color w:val="auto"/>
              </w:rPr>
              <w:t>Teneo Holdings LLC</w:t>
            </w:r>
          </w:p>
        </w:tc>
        <w:tc>
          <w:tcPr>
            <w:tcW w:w="64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87"/>
              </w:rPr>
              <w:t>07/18/2025</w:t>
            </w:r>
          </w:p>
        </w:tc>
        <w:tc>
          <w:tcPr>
            <w:tcW w:w="24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6"/>
              </w:rPr>
              <w:t>Business Services</w:t>
            </w:r>
          </w:p>
        </w:tc>
        <w:tc>
          <w:tcPr>
            <w:tcW w:w="86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6.99%</w:t>
            </w:r>
          </w:p>
        </w:tc>
        <w:tc>
          <w:tcPr>
            <w:tcW w:w="560" w:type="dxa"/>
            <w:vAlign w:val="bottom"/>
            <w:shd w:val="clear" w:color="auto" w:fill="CCECFF"/>
          </w:tcPr>
          <w:p>
            <w:pPr>
              <w:ind w:left="400"/>
              <w:spacing w:after="0"/>
              <w:rPr>
                <w:sz w:val="20"/>
                <w:szCs w:val="20"/>
                <w:color w:val="auto"/>
              </w:rPr>
            </w:pPr>
            <w:r>
              <w:rPr>
                <w:rFonts w:ascii="Arial" w:cs="Arial" w:eastAsia="Arial" w:hAnsi="Arial"/>
                <w:sz w:val="11"/>
                <w:szCs w:val="11"/>
                <w:color w:val="auto"/>
                <w:w w:val="91"/>
              </w:rPr>
              <w:t>1M</w:t>
            </w:r>
          </w:p>
        </w:tc>
        <w:tc>
          <w:tcPr>
            <w:tcW w:w="540" w:type="dxa"/>
            <w:vAlign w:val="bottom"/>
            <w:gridSpan w:val="3"/>
            <w:shd w:val="clear" w:color="auto" w:fill="CCECFF"/>
          </w:tcPr>
          <w:p>
            <w:pPr>
              <w:jc w:val="right"/>
              <w:ind w:right="220"/>
              <w:spacing w:after="0"/>
              <w:rPr>
                <w:sz w:val="20"/>
                <w:szCs w:val="20"/>
                <w:color w:val="auto"/>
              </w:rPr>
            </w:pPr>
            <w:r>
              <w:rPr>
                <w:rFonts w:ascii="Arial" w:cs="Arial" w:eastAsia="Arial" w:hAnsi="Arial"/>
                <w:sz w:val="11"/>
                <w:szCs w:val="11"/>
                <w:color w:val="auto"/>
                <w:w w:val="96"/>
              </w:rPr>
              <w:t>L+525</w:t>
            </w: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4,987,500</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4,798,508</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4,725,656</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tcPr>
          <w:p>
            <w:pPr>
              <w:spacing w:after="0"/>
              <w:rPr>
                <w:sz w:val="20"/>
                <w:szCs w:val="20"/>
                <w:color w:val="auto"/>
              </w:rPr>
            </w:pPr>
            <w:r>
              <w:rPr>
                <w:rFonts w:ascii="Arial" w:cs="Arial" w:eastAsia="Arial" w:hAnsi="Arial"/>
                <w:sz w:val="11"/>
                <w:szCs w:val="11"/>
                <w:color w:val="auto"/>
              </w:rPr>
              <w:t>The Infosoft Group, LLC</w:t>
            </w:r>
          </w:p>
        </w:tc>
        <w:tc>
          <w:tcPr>
            <w:tcW w:w="640" w:type="dxa"/>
            <w:vAlign w:val="bottom"/>
            <w:gridSpan w:val="2"/>
          </w:tcPr>
          <w:p>
            <w:pPr>
              <w:jc w:val="center"/>
              <w:ind w:left="66"/>
              <w:spacing w:after="0"/>
              <w:rPr>
                <w:sz w:val="20"/>
                <w:szCs w:val="20"/>
                <w:color w:val="auto"/>
              </w:rPr>
            </w:pPr>
            <w:r>
              <w:rPr>
                <w:rFonts w:ascii="Arial" w:cs="Arial" w:eastAsia="Arial" w:hAnsi="Arial"/>
                <w:sz w:val="11"/>
                <w:szCs w:val="11"/>
                <w:color w:val="auto"/>
                <w:w w:val="87"/>
              </w:rPr>
              <w:t>09/16/2024</w:t>
            </w:r>
          </w:p>
        </w:tc>
        <w:tc>
          <w:tcPr>
            <w:tcW w:w="240" w:type="dxa"/>
            <w:vAlign w:val="bottom"/>
          </w:tcPr>
          <w:p>
            <w:pPr>
              <w:spacing w:after="0"/>
              <w:rPr>
                <w:sz w:val="11"/>
                <w:szCs w:val="11"/>
                <w:color w:val="auto"/>
              </w:rPr>
            </w:pPr>
          </w:p>
        </w:tc>
        <w:tc>
          <w:tcPr>
            <w:tcW w:w="2760" w:type="dxa"/>
            <w:vAlign w:val="bottom"/>
            <w:gridSpan w:val="2"/>
          </w:tcPr>
          <w:p>
            <w:pPr>
              <w:jc w:val="center"/>
              <w:ind w:right="140"/>
              <w:spacing w:after="0"/>
              <w:rPr>
                <w:sz w:val="20"/>
                <w:szCs w:val="20"/>
                <w:color w:val="auto"/>
              </w:rPr>
            </w:pPr>
            <w:r>
              <w:rPr>
                <w:rFonts w:ascii="Arial" w:cs="Arial" w:eastAsia="Arial" w:hAnsi="Arial"/>
                <w:sz w:val="11"/>
                <w:szCs w:val="11"/>
                <w:color w:val="auto"/>
                <w:w w:val="89"/>
              </w:rPr>
              <w:t>Media: Broadcasting and Subscription</w:t>
            </w:r>
          </w:p>
        </w:tc>
        <w:tc>
          <w:tcPr>
            <w:tcW w:w="860" w:type="dxa"/>
            <w:vAlign w:val="bottom"/>
            <w:gridSpan w:val="2"/>
          </w:tcPr>
          <w:p>
            <w:pPr>
              <w:jc w:val="right"/>
              <w:ind w:right="180"/>
              <w:spacing w:after="0"/>
              <w:rPr>
                <w:sz w:val="20"/>
                <w:szCs w:val="20"/>
                <w:color w:val="auto"/>
              </w:rPr>
            </w:pPr>
            <w:r>
              <w:rPr>
                <w:rFonts w:ascii="Arial" w:cs="Arial" w:eastAsia="Arial" w:hAnsi="Arial"/>
                <w:sz w:val="11"/>
                <w:szCs w:val="11"/>
                <w:color w:val="auto"/>
              </w:rPr>
              <w:t>7.32%</w:t>
            </w:r>
          </w:p>
        </w:tc>
        <w:tc>
          <w:tcPr>
            <w:tcW w:w="560" w:type="dxa"/>
            <w:vAlign w:val="bottom"/>
          </w:tcPr>
          <w:p>
            <w:pPr>
              <w:ind w:left="400"/>
              <w:spacing w:after="0"/>
              <w:rPr>
                <w:sz w:val="20"/>
                <w:szCs w:val="20"/>
                <w:color w:val="auto"/>
              </w:rPr>
            </w:pPr>
            <w:r>
              <w:rPr>
                <w:rFonts w:ascii="Arial" w:cs="Arial" w:eastAsia="Arial" w:hAnsi="Arial"/>
                <w:sz w:val="11"/>
                <w:szCs w:val="11"/>
                <w:color w:val="auto"/>
                <w:w w:val="91"/>
              </w:rPr>
              <w:t>6M</w:t>
            </w:r>
          </w:p>
        </w:tc>
        <w:tc>
          <w:tcPr>
            <w:tcW w:w="540" w:type="dxa"/>
            <w:vAlign w:val="bottom"/>
            <w:gridSpan w:val="3"/>
          </w:tcPr>
          <w:p>
            <w:pPr>
              <w:jc w:val="right"/>
              <w:ind w:right="220"/>
              <w:spacing w:after="0"/>
              <w:rPr>
                <w:sz w:val="20"/>
                <w:szCs w:val="20"/>
                <w:color w:val="auto"/>
              </w:rPr>
            </w:pPr>
            <w:r>
              <w:rPr>
                <w:rFonts w:ascii="Arial" w:cs="Arial" w:eastAsia="Arial" w:hAnsi="Arial"/>
                <w:sz w:val="11"/>
                <w:szCs w:val="11"/>
                <w:color w:val="auto"/>
                <w:w w:val="96"/>
              </w:rPr>
              <w:t>L+525</w:t>
            </w:r>
          </w:p>
        </w:tc>
        <w:tc>
          <w:tcPr>
            <w:tcW w:w="580" w:type="dxa"/>
            <w:vAlign w:val="bottom"/>
          </w:tcPr>
          <w:p>
            <w:pPr>
              <w:jc w:val="right"/>
              <w:spacing w:after="0"/>
              <w:rPr>
                <w:sz w:val="20"/>
                <w:szCs w:val="20"/>
                <w:color w:val="auto"/>
              </w:rPr>
            </w:pPr>
            <w:r>
              <w:rPr>
                <w:rFonts w:ascii="Arial" w:cs="Arial" w:eastAsia="Arial" w:hAnsi="Arial"/>
                <w:sz w:val="11"/>
                <w:szCs w:val="11"/>
                <w:color w:val="auto"/>
              </w:rPr>
              <w:t>8,799,611</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8,769,767</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8,711,615</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shd w:val="clear" w:color="auto" w:fill="CCECFF"/>
          </w:tcPr>
          <w:p>
            <w:pPr>
              <w:spacing w:after="0"/>
              <w:rPr>
                <w:sz w:val="20"/>
                <w:szCs w:val="20"/>
                <w:color w:val="auto"/>
              </w:rPr>
            </w:pPr>
            <w:r>
              <w:rPr>
                <w:rFonts w:ascii="Arial" w:cs="Arial" w:eastAsia="Arial" w:hAnsi="Arial"/>
                <w:sz w:val="11"/>
                <w:szCs w:val="11"/>
                <w:color w:val="auto"/>
              </w:rPr>
              <w:t>TPC Canada Parent, Inc. and TPC US Parent, LLC</w:t>
            </w:r>
          </w:p>
        </w:tc>
        <w:tc>
          <w:tcPr>
            <w:tcW w:w="64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87"/>
              </w:rPr>
              <w:t>11/24/2025</w:t>
            </w:r>
          </w:p>
        </w:tc>
        <w:tc>
          <w:tcPr>
            <w:tcW w:w="24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9"/>
              </w:rPr>
              <w:t>Consumer Goods: Non-Durable</w:t>
            </w:r>
          </w:p>
        </w:tc>
        <w:tc>
          <w:tcPr>
            <w:tcW w:w="86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7.02%</w:t>
            </w:r>
          </w:p>
        </w:tc>
        <w:tc>
          <w:tcPr>
            <w:tcW w:w="560" w:type="dxa"/>
            <w:vAlign w:val="bottom"/>
            <w:shd w:val="clear" w:color="auto" w:fill="CCECFF"/>
          </w:tcPr>
          <w:p>
            <w:pPr>
              <w:ind w:left="400"/>
              <w:spacing w:after="0"/>
              <w:rPr>
                <w:sz w:val="20"/>
                <w:szCs w:val="20"/>
                <w:color w:val="auto"/>
              </w:rPr>
            </w:pPr>
            <w:r>
              <w:rPr>
                <w:rFonts w:ascii="Arial" w:cs="Arial" w:eastAsia="Arial" w:hAnsi="Arial"/>
                <w:sz w:val="11"/>
                <w:szCs w:val="11"/>
                <w:color w:val="auto"/>
                <w:w w:val="91"/>
              </w:rPr>
              <w:t>3M</w:t>
            </w:r>
          </w:p>
        </w:tc>
        <w:tc>
          <w:tcPr>
            <w:tcW w:w="540" w:type="dxa"/>
            <w:vAlign w:val="bottom"/>
            <w:gridSpan w:val="3"/>
            <w:shd w:val="clear" w:color="auto" w:fill="CCECFF"/>
          </w:tcPr>
          <w:p>
            <w:pPr>
              <w:jc w:val="right"/>
              <w:ind w:right="220"/>
              <w:spacing w:after="0"/>
              <w:rPr>
                <w:sz w:val="20"/>
                <w:szCs w:val="20"/>
                <w:color w:val="auto"/>
              </w:rPr>
            </w:pPr>
            <w:r>
              <w:rPr>
                <w:rFonts w:ascii="Arial" w:cs="Arial" w:eastAsia="Arial" w:hAnsi="Arial"/>
                <w:sz w:val="11"/>
                <w:szCs w:val="11"/>
                <w:color w:val="auto"/>
                <w:w w:val="96"/>
              </w:rPr>
              <w:t>L+475</w:t>
            </w: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9,000,000</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8,912,812</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8,952,300</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tcPr>
          <w:p>
            <w:pPr>
              <w:spacing w:after="0"/>
              <w:rPr>
                <w:sz w:val="20"/>
                <w:szCs w:val="20"/>
                <w:color w:val="auto"/>
              </w:rPr>
            </w:pPr>
            <w:r>
              <w:rPr>
                <w:rFonts w:ascii="Arial" w:cs="Arial" w:eastAsia="Arial" w:hAnsi="Arial"/>
                <w:sz w:val="11"/>
                <w:szCs w:val="11"/>
                <w:color w:val="auto"/>
              </w:rPr>
              <w:t>TVC Enterprises, LLC</w:t>
            </w:r>
          </w:p>
        </w:tc>
        <w:tc>
          <w:tcPr>
            <w:tcW w:w="640" w:type="dxa"/>
            <w:vAlign w:val="bottom"/>
            <w:gridSpan w:val="2"/>
          </w:tcPr>
          <w:p>
            <w:pPr>
              <w:jc w:val="center"/>
              <w:ind w:left="66"/>
              <w:spacing w:after="0"/>
              <w:rPr>
                <w:sz w:val="20"/>
                <w:szCs w:val="20"/>
                <w:color w:val="auto"/>
              </w:rPr>
            </w:pPr>
            <w:r>
              <w:rPr>
                <w:rFonts w:ascii="Arial" w:cs="Arial" w:eastAsia="Arial" w:hAnsi="Arial"/>
                <w:sz w:val="11"/>
                <w:szCs w:val="11"/>
                <w:color w:val="auto"/>
                <w:w w:val="87"/>
              </w:rPr>
              <w:t>01/18/2024</w:t>
            </w:r>
          </w:p>
        </w:tc>
        <w:tc>
          <w:tcPr>
            <w:tcW w:w="240" w:type="dxa"/>
            <w:vAlign w:val="bottom"/>
          </w:tcPr>
          <w:p>
            <w:pPr>
              <w:spacing w:after="0"/>
              <w:rPr>
                <w:sz w:val="11"/>
                <w:szCs w:val="11"/>
                <w:color w:val="auto"/>
              </w:rPr>
            </w:pPr>
          </w:p>
        </w:tc>
        <w:tc>
          <w:tcPr>
            <w:tcW w:w="2760" w:type="dxa"/>
            <w:vAlign w:val="bottom"/>
            <w:gridSpan w:val="2"/>
          </w:tcPr>
          <w:p>
            <w:pPr>
              <w:jc w:val="center"/>
              <w:ind w:right="140"/>
              <w:spacing w:after="0"/>
              <w:rPr>
                <w:sz w:val="20"/>
                <w:szCs w:val="20"/>
                <w:color w:val="auto"/>
              </w:rPr>
            </w:pPr>
            <w:r>
              <w:rPr>
                <w:rFonts w:ascii="Arial" w:cs="Arial" w:eastAsia="Arial" w:hAnsi="Arial"/>
                <w:sz w:val="11"/>
                <w:szCs w:val="11"/>
                <w:color w:val="auto"/>
                <w:w w:val="89"/>
              </w:rPr>
              <w:t>Diversified Consumer Services</w:t>
            </w:r>
          </w:p>
        </w:tc>
        <w:tc>
          <w:tcPr>
            <w:tcW w:w="860" w:type="dxa"/>
            <w:vAlign w:val="bottom"/>
            <w:gridSpan w:val="2"/>
          </w:tcPr>
          <w:p>
            <w:pPr>
              <w:jc w:val="right"/>
              <w:ind w:right="180"/>
              <w:spacing w:after="0"/>
              <w:rPr>
                <w:sz w:val="20"/>
                <w:szCs w:val="20"/>
                <w:color w:val="auto"/>
              </w:rPr>
            </w:pPr>
            <w:r>
              <w:rPr>
                <w:rFonts w:ascii="Arial" w:cs="Arial" w:eastAsia="Arial" w:hAnsi="Arial"/>
                <w:sz w:val="11"/>
                <w:szCs w:val="11"/>
                <w:color w:val="auto"/>
              </w:rPr>
              <w:t>7.30%</w:t>
            </w:r>
          </w:p>
        </w:tc>
        <w:tc>
          <w:tcPr>
            <w:tcW w:w="560" w:type="dxa"/>
            <w:vAlign w:val="bottom"/>
          </w:tcPr>
          <w:p>
            <w:pPr>
              <w:ind w:left="400"/>
              <w:spacing w:after="0"/>
              <w:rPr>
                <w:sz w:val="20"/>
                <w:szCs w:val="20"/>
                <w:color w:val="auto"/>
              </w:rPr>
            </w:pPr>
            <w:r>
              <w:rPr>
                <w:rFonts w:ascii="Arial" w:cs="Arial" w:eastAsia="Arial" w:hAnsi="Arial"/>
                <w:sz w:val="11"/>
                <w:szCs w:val="11"/>
                <w:color w:val="auto"/>
                <w:w w:val="91"/>
              </w:rPr>
              <w:t>1M</w:t>
            </w:r>
          </w:p>
        </w:tc>
        <w:tc>
          <w:tcPr>
            <w:tcW w:w="540" w:type="dxa"/>
            <w:vAlign w:val="bottom"/>
            <w:gridSpan w:val="3"/>
          </w:tcPr>
          <w:p>
            <w:pPr>
              <w:jc w:val="right"/>
              <w:ind w:right="220"/>
              <w:spacing w:after="0"/>
              <w:rPr>
                <w:sz w:val="20"/>
                <w:szCs w:val="20"/>
                <w:color w:val="auto"/>
              </w:rPr>
            </w:pPr>
            <w:r>
              <w:rPr>
                <w:rFonts w:ascii="Arial" w:cs="Arial" w:eastAsia="Arial" w:hAnsi="Arial"/>
                <w:sz w:val="11"/>
                <w:szCs w:val="11"/>
                <w:color w:val="auto"/>
                <w:w w:val="96"/>
              </w:rPr>
              <w:t>L+550</w:t>
            </w:r>
          </w:p>
        </w:tc>
        <w:tc>
          <w:tcPr>
            <w:tcW w:w="580" w:type="dxa"/>
            <w:vAlign w:val="bottom"/>
          </w:tcPr>
          <w:p>
            <w:pPr>
              <w:jc w:val="right"/>
              <w:spacing w:after="0"/>
              <w:rPr>
                <w:sz w:val="20"/>
                <w:szCs w:val="20"/>
                <w:color w:val="auto"/>
              </w:rPr>
            </w:pPr>
            <w:r>
              <w:rPr>
                <w:rFonts w:ascii="Arial" w:cs="Arial" w:eastAsia="Arial" w:hAnsi="Arial"/>
                <w:sz w:val="11"/>
                <w:szCs w:val="11"/>
                <w:color w:val="auto"/>
              </w:rPr>
              <w:t>9,949,749</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9,949,749</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9,949,749</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shd w:val="clear" w:color="auto" w:fill="CCECFF"/>
          </w:tcPr>
          <w:p>
            <w:pPr>
              <w:spacing w:after="0"/>
              <w:rPr>
                <w:sz w:val="20"/>
                <w:szCs w:val="20"/>
                <w:color w:val="auto"/>
              </w:rPr>
            </w:pPr>
            <w:r>
              <w:rPr>
                <w:rFonts w:ascii="Arial" w:cs="Arial" w:eastAsia="Arial" w:hAnsi="Arial"/>
                <w:sz w:val="11"/>
                <w:szCs w:val="11"/>
                <w:color w:val="auto"/>
              </w:rPr>
              <w:t>TWS Acquisition Corporation</w:t>
            </w:r>
          </w:p>
        </w:tc>
        <w:tc>
          <w:tcPr>
            <w:tcW w:w="64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87"/>
              </w:rPr>
              <w:t>06/16/2025</w:t>
            </w:r>
          </w:p>
        </w:tc>
        <w:tc>
          <w:tcPr>
            <w:tcW w:w="24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9"/>
              </w:rPr>
              <w:t>Diversified Consumer Services</w:t>
            </w:r>
          </w:p>
        </w:tc>
        <w:tc>
          <w:tcPr>
            <w:tcW w:w="86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7.99%</w:t>
            </w:r>
          </w:p>
        </w:tc>
        <w:tc>
          <w:tcPr>
            <w:tcW w:w="560" w:type="dxa"/>
            <w:vAlign w:val="bottom"/>
            <w:shd w:val="clear" w:color="auto" w:fill="CCECFF"/>
          </w:tcPr>
          <w:p>
            <w:pPr>
              <w:ind w:left="400"/>
              <w:spacing w:after="0"/>
              <w:rPr>
                <w:sz w:val="20"/>
                <w:szCs w:val="20"/>
                <w:color w:val="auto"/>
              </w:rPr>
            </w:pPr>
            <w:r>
              <w:rPr>
                <w:rFonts w:ascii="Arial" w:cs="Arial" w:eastAsia="Arial" w:hAnsi="Arial"/>
                <w:sz w:val="11"/>
                <w:szCs w:val="11"/>
                <w:color w:val="auto"/>
                <w:w w:val="91"/>
              </w:rPr>
              <w:t>1M</w:t>
            </w:r>
          </w:p>
        </w:tc>
        <w:tc>
          <w:tcPr>
            <w:tcW w:w="540" w:type="dxa"/>
            <w:vAlign w:val="bottom"/>
            <w:gridSpan w:val="3"/>
            <w:shd w:val="clear" w:color="auto" w:fill="CCECFF"/>
          </w:tcPr>
          <w:p>
            <w:pPr>
              <w:jc w:val="right"/>
              <w:ind w:right="220"/>
              <w:spacing w:after="0"/>
              <w:rPr>
                <w:sz w:val="20"/>
                <w:szCs w:val="20"/>
                <w:color w:val="auto"/>
              </w:rPr>
            </w:pPr>
            <w:r>
              <w:rPr>
                <w:rFonts w:ascii="Arial" w:cs="Arial" w:eastAsia="Arial" w:hAnsi="Arial"/>
                <w:sz w:val="11"/>
                <w:szCs w:val="11"/>
                <w:color w:val="auto"/>
                <w:w w:val="96"/>
              </w:rPr>
              <w:t>L+625</w:t>
            </w: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7,075,000</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6,942,097</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7,075,000</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tcPr>
          <w:p>
            <w:pPr>
              <w:spacing w:after="0"/>
              <w:rPr>
                <w:sz w:val="20"/>
                <w:szCs w:val="20"/>
                <w:color w:val="auto"/>
              </w:rPr>
            </w:pPr>
            <w:r>
              <w:rPr>
                <w:rFonts w:ascii="Arial" w:cs="Arial" w:eastAsia="Arial" w:hAnsi="Arial"/>
                <w:sz w:val="11"/>
                <w:szCs w:val="11"/>
                <w:color w:val="auto"/>
              </w:rPr>
              <w:t>UBEO, LLC</w:t>
            </w:r>
          </w:p>
        </w:tc>
        <w:tc>
          <w:tcPr>
            <w:tcW w:w="640" w:type="dxa"/>
            <w:vAlign w:val="bottom"/>
            <w:gridSpan w:val="2"/>
          </w:tcPr>
          <w:p>
            <w:pPr>
              <w:jc w:val="center"/>
              <w:ind w:left="66"/>
              <w:spacing w:after="0"/>
              <w:rPr>
                <w:sz w:val="20"/>
                <w:szCs w:val="20"/>
                <w:color w:val="auto"/>
              </w:rPr>
            </w:pPr>
            <w:r>
              <w:rPr>
                <w:rFonts w:ascii="Arial" w:cs="Arial" w:eastAsia="Arial" w:hAnsi="Arial"/>
                <w:sz w:val="11"/>
                <w:szCs w:val="11"/>
                <w:color w:val="auto"/>
                <w:w w:val="87"/>
              </w:rPr>
              <w:t>04/03/2024</w:t>
            </w:r>
          </w:p>
        </w:tc>
        <w:tc>
          <w:tcPr>
            <w:tcW w:w="240" w:type="dxa"/>
            <w:vAlign w:val="bottom"/>
          </w:tcPr>
          <w:p>
            <w:pPr>
              <w:spacing w:after="0"/>
              <w:rPr>
                <w:sz w:val="11"/>
                <w:szCs w:val="11"/>
                <w:color w:val="auto"/>
              </w:rPr>
            </w:pPr>
          </w:p>
        </w:tc>
        <w:tc>
          <w:tcPr>
            <w:tcW w:w="2760" w:type="dxa"/>
            <w:vAlign w:val="bottom"/>
            <w:gridSpan w:val="2"/>
          </w:tcPr>
          <w:p>
            <w:pPr>
              <w:jc w:val="center"/>
              <w:ind w:right="140"/>
              <w:spacing w:after="0"/>
              <w:rPr>
                <w:sz w:val="20"/>
                <w:szCs w:val="20"/>
                <w:color w:val="auto"/>
              </w:rPr>
            </w:pPr>
            <w:r>
              <w:rPr>
                <w:rFonts w:ascii="Arial" w:cs="Arial" w:eastAsia="Arial" w:hAnsi="Arial"/>
                <w:sz w:val="11"/>
                <w:szCs w:val="11"/>
                <w:color w:val="auto"/>
                <w:w w:val="91"/>
              </w:rPr>
              <w:t>Capital Equipment</w:t>
            </w:r>
          </w:p>
        </w:tc>
        <w:tc>
          <w:tcPr>
            <w:tcW w:w="860" w:type="dxa"/>
            <w:vAlign w:val="bottom"/>
            <w:gridSpan w:val="2"/>
          </w:tcPr>
          <w:p>
            <w:pPr>
              <w:jc w:val="right"/>
              <w:ind w:right="180"/>
              <w:spacing w:after="0"/>
              <w:rPr>
                <w:sz w:val="20"/>
                <w:szCs w:val="20"/>
                <w:color w:val="auto"/>
              </w:rPr>
            </w:pPr>
            <w:r>
              <w:rPr>
                <w:rFonts w:ascii="Arial" w:cs="Arial" w:eastAsia="Arial" w:hAnsi="Arial"/>
                <w:sz w:val="11"/>
                <w:szCs w:val="11"/>
                <w:color w:val="auto"/>
              </w:rPr>
              <w:t>6.76%</w:t>
            </w:r>
          </w:p>
        </w:tc>
        <w:tc>
          <w:tcPr>
            <w:tcW w:w="560" w:type="dxa"/>
            <w:vAlign w:val="bottom"/>
          </w:tcPr>
          <w:p>
            <w:pPr>
              <w:ind w:left="400"/>
              <w:spacing w:after="0"/>
              <w:rPr>
                <w:sz w:val="20"/>
                <w:szCs w:val="20"/>
                <w:color w:val="auto"/>
              </w:rPr>
            </w:pPr>
            <w:r>
              <w:rPr>
                <w:rFonts w:ascii="Arial" w:cs="Arial" w:eastAsia="Arial" w:hAnsi="Arial"/>
                <w:sz w:val="11"/>
                <w:szCs w:val="11"/>
                <w:color w:val="auto"/>
                <w:w w:val="91"/>
              </w:rPr>
              <w:t>3M</w:t>
            </w:r>
          </w:p>
        </w:tc>
        <w:tc>
          <w:tcPr>
            <w:tcW w:w="540" w:type="dxa"/>
            <w:vAlign w:val="bottom"/>
            <w:gridSpan w:val="3"/>
          </w:tcPr>
          <w:p>
            <w:pPr>
              <w:jc w:val="right"/>
              <w:ind w:right="220"/>
              <w:spacing w:after="0"/>
              <w:rPr>
                <w:sz w:val="20"/>
                <w:szCs w:val="20"/>
                <w:color w:val="auto"/>
              </w:rPr>
            </w:pPr>
            <w:r>
              <w:rPr>
                <w:rFonts w:ascii="Arial" w:cs="Arial" w:eastAsia="Arial" w:hAnsi="Arial"/>
                <w:sz w:val="11"/>
                <w:szCs w:val="11"/>
                <w:color w:val="auto"/>
                <w:w w:val="96"/>
              </w:rPr>
              <w:t>L+450</w:t>
            </w:r>
          </w:p>
        </w:tc>
        <w:tc>
          <w:tcPr>
            <w:tcW w:w="580" w:type="dxa"/>
            <w:vAlign w:val="bottom"/>
          </w:tcPr>
          <w:p>
            <w:pPr>
              <w:jc w:val="right"/>
              <w:spacing w:after="0"/>
              <w:rPr>
                <w:sz w:val="20"/>
                <w:szCs w:val="20"/>
                <w:color w:val="auto"/>
              </w:rPr>
            </w:pPr>
            <w:r>
              <w:rPr>
                <w:rFonts w:ascii="Arial" w:cs="Arial" w:eastAsia="Arial" w:hAnsi="Arial"/>
                <w:sz w:val="11"/>
                <w:szCs w:val="11"/>
                <w:color w:val="auto"/>
                <w:w w:val="98"/>
              </w:rPr>
              <w:t>22,194,395</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21,998,444</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21,972,451</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shd w:val="clear" w:color="auto" w:fill="CCECFF"/>
          </w:tcPr>
          <w:p>
            <w:pPr>
              <w:spacing w:after="0"/>
              <w:rPr>
                <w:sz w:val="20"/>
                <w:szCs w:val="20"/>
                <w:color w:val="auto"/>
              </w:rPr>
            </w:pPr>
            <w:r>
              <w:rPr>
                <w:rFonts w:ascii="Arial" w:cs="Arial" w:eastAsia="Arial" w:hAnsi="Arial"/>
                <w:sz w:val="11"/>
                <w:szCs w:val="11"/>
                <w:color w:val="auto"/>
              </w:rPr>
              <w:t>Urology Management Associates, LLC</w:t>
            </w:r>
          </w:p>
        </w:tc>
        <w:tc>
          <w:tcPr>
            <w:tcW w:w="64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87"/>
              </w:rPr>
              <w:t>08/30/2024</w:t>
            </w:r>
          </w:p>
        </w:tc>
        <w:tc>
          <w:tcPr>
            <w:tcW w:w="24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6"/>
              </w:rPr>
              <w:t>Healthcare and Pharmaceuticals</w:t>
            </w:r>
          </w:p>
        </w:tc>
        <w:tc>
          <w:tcPr>
            <w:tcW w:w="86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6.80%</w:t>
            </w:r>
          </w:p>
        </w:tc>
        <w:tc>
          <w:tcPr>
            <w:tcW w:w="560" w:type="dxa"/>
            <w:vAlign w:val="bottom"/>
            <w:shd w:val="clear" w:color="auto" w:fill="CCECFF"/>
          </w:tcPr>
          <w:p>
            <w:pPr>
              <w:ind w:left="400"/>
              <w:spacing w:after="0"/>
              <w:rPr>
                <w:sz w:val="20"/>
                <w:szCs w:val="20"/>
                <w:color w:val="auto"/>
              </w:rPr>
            </w:pPr>
            <w:r>
              <w:rPr>
                <w:rFonts w:ascii="Arial" w:cs="Arial" w:eastAsia="Arial" w:hAnsi="Arial"/>
                <w:sz w:val="11"/>
                <w:szCs w:val="11"/>
                <w:color w:val="auto"/>
                <w:w w:val="91"/>
              </w:rPr>
              <w:t>3M</w:t>
            </w:r>
          </w:p>
        </w:tc>
        <w:tc>
          <w:tcPr>
            <w:tcW w:w="540" w:type="dxa"/>
            <w:vAlign w:val="bottom"/>
            <w:gridSpan w:val="3"/>
            <w:shd w:val="clear" w:color="auto" w:fill="CCECFF"/>
          </w:tcPr>
          <w:p>
            <w:pPr>
              <w:jc w:val="right"/>
              <w:ind w:right="220"/>
              <w:spacing w:after="0"/>
              <w:rPr>
                <w:sz w:val="20"/>
                <w:szCs w:val="20"/>
                <w:color w:val="auto"/>
              </w:rPr>
            </w:pPr>
            <w:r>
              <w:rPr>
                <w:rFonts w:ascii="Arial" w:cs="Arial" w:eastAsia="Arial" w:hAnsi="Arial"/>
                <w:sz w:val="11"/>
                <w:szCs w:val="11"/>
                <w:color w:val="auto"/>
                <w:w w:val="96"/>
              </w:rPr>
              <w:t>L+500</w:t>
            </w: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w w:val="98"/>
              </w:rPr>
              <w:t>11,550,932</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11,374,716</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11,550,932</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tcPr>
          <w:p>
            <w:pPr>
              <w:spacing w:after="0"/>
              <w:rPr>
                <w:sz w:val="20"/>
                <w:szCs w:val="20"/>
                <w:color w:val="auto"/>
              </w:rPr>
            </w:pPr>
            <w:r>
              <w:rPr>
                <w:rFonts w:ascii="Arial" w:cs="Arial" w:eastAsia="Arial" w:hAnsi="Arial"/>
                <w:sz w:val="11"/>
                <w:szCs w:val="11"/>
                <w:color w:val="auto"/>
              </w:rPr>
              <w:t>Walker Edison Furniture Company LLC</w:t>
            </w:r>
          </w:p>
        </w:tc>
        <w:tc>
          <w:tcPr>
            <w:tcW w:w="640" w:type="dxa"/>
            <w:vAlign w:val="bottom"/>
            <w:gridSpan w:val="2"/>
          </w:tcPr>
          <w:p>
            <w:pPr>
              <w:jc w:val="center"/>
              <w:ind w:left="66"/>
              <w:spacing w:after="0"/>
              <w:rPr>
                <w:sz w:val="20"/>
                <w:szCs w:val="20"/>
                <w:color w:val="auto"/>
              </w:rPr>
            </w:pPr>
            <w:r>
              <w:rPr>
                <w:rFonts w:ascii="Arial" w:cs="Arial" w:eastAsia="Arial" w:hAnsi="Arial"/>
                <w:sz w:val="11"/>
                <w:szCs w:val="11"/>
                <w:color w:val="auto"/>
                <w:w w:val="87"/>
              </w:rPr>
              <w:t>09/26/2024</w:t>
            </w:r>
          </w:p>
        </w:tc>
        <w:tc>
          <w:tcPr>
            <w:tcW w:w="240" w:type="dxa"/>
            <w:vAlign w:val="bottom"/>
          </w:tcPr>
          <w:p>
            <w:pPr>
              <w:spacing w:after="0"/>
              <w:rPr>
                <w:sz w:val="11"/>
                <w:szCs w:val="11"/>
                <w:color w:val="auto"/>
              </w:rPr>
            </w:pPr>
          </w:p>
        </w:tc>
        <w:tc>
          <w:tcPr>
            <w:tcW w:w="2760" w:type="dxa"/>
            <w:vAlign w:val="bottom"/>
            <w:gridSpan w:val="2"/>
          </w:tcPr>
          <w:p>
            <w:pPr>
              <w:jc w:val="center"/>
              <w:ind w:right="140"/>
              <w:spacing w:after="0"/>
              <w:rPr>
                <w:sz w:val="20"/>
                <w:szCs w:val="20"/>
                <w:color w:val="auto"/>
              </w:rPr>
            </w:pPr>
            <w:r>
              <w:rPr>
                <w:rFonts w:ascii="Arial" w:cs="Arial" w:eastAsia="Arial" w:hAnsi="Arial"/>
                <w:sz w:val="11"/>
                <w:szCs w:val="11"/>
                <w:color w:val="auto"/>
                <w:w w:val="89"/>
              </w:rPr>
              <w:t>Wholesale</w:t>
            </w:r>
          </w:p>
        </w:tc>
        <w:tc>
          <w:tcPr>
            <w:tcW w:w="860" w:type="dxa"/>
            <w:vAlign w:val="bottom"/>
            <w:gridSpan w:val="2"/>
          </w:tcPr>
          <w:p>
            <w:pPr>
              <w:jc w:val="right"/>
              <w:ind w:right="180"/>
              <w:spacing w:after="0"/>
              <w:rPr>
                <w:sz w:val="20"/>
                <w:szCs w:val="20"/>
                <w:color w:val="auto"/>
              </w:rPr>
            </w:pPr>
            <w:r>
              <w:rPr>
                <w:rFonts w:ascii="Arial" w:cs="Arial" w:eastAsia="Arial" w:hAnsi="Arial"/>
                <w:sz w:val="11"/>
                <w:szCs w:val="11"/>
                <w:color w:val="auto"/>
              </w:rPr>
              <w:t>8.60%</w:t>
            </w:r>
          </w:p>
        </w:tc>
        <w:tc>
          <w:tcPr>
            <w:tcW w:w="560" w:type="dxa"/>
            <w:vAlign w:val="bottom"/>
          </w:tcPr>
          <w:p>
            <w:pPr>
              <w:ind w:left="400"/>
              <w:spacing w:after="0"/>
              <w:rPr>
                <w:sz w:val="20"/>
                <w:szCs w:val="20"/>
                <w:color w:val="auto"/>
              </w:rPr>
            </w:pPr>
            <w:r>
              <w:rPr>
                <w:rFonts w:ascii="Arial" w:cs="Arial" w:eastAsia="Arial" w:hAnsi="Arial"/>
                <w:sz w:val="11"/>
                <w:szCs w:val="11"/>
                <w:color w:val="auto"/>
                <w:w w:val="91"/>
              </w:rPr>
              <w:t>3M</w:t>
            </w:r>
          </w:p>
        </w:tc>
        <w:tc>
          <w:tcPr>
            <w:tcW w:w="540" w:type="dxa"/>
            <w:vAlign w:val="bottom"/>
            <w:gridSpan w:val="3"/>
          </w:tcPr>
          <w:p>
            <w:pPr>
              <w:jc w:val="right"/>
              <w:ind w:right="220"/>
              <w:spacing w:after="0"/>
              <w:rPr>
                <w:sz w:val="20"/>
                <w:szCs w:val="20"/>
                <w:color w:val="auto"/>
              </w:rPr>
            </w:pPr>
            <w:r>
              <w:rPr>
                <w:rFonts w:ascii="Arial" w:cs="Arial" w:eastAsia="Arial" w:hAnsi="Arial"/>
                <w:sz w:val="11"/>
                <w:szCs w:val="11"/>
                <w:color w:val="auto"/>
                <w:w w:val="96"/>
              </w:rPr>
              <w:t>L+650</w:t>
            </w:r>
          </w:p>
        </w:tc>
        <w:tc>
          <w:tcPr>
            <w:tcW w:w="580" w:type="dxa"/>
            <w:vAlign w:val="bottom"/>
          </w:tcPr>
          <w:p>
            <w:pPr>
              <w:jc w:val="right"/>
              <w:spacing w:after="0"/>
              <w:rPr>
                <w:sz w:val="20"/>
                <w:szCs w:val="20"/>
                <w:color w:val="auto"/>
              </w:rPr>
            </w:pPr>
            <w:r>
              <w:rPr>
                <w:rFonts w:ascii="Arial" w:cs="Arial" w:eastAsia="Arial" w:hAnsi="Arial"/>
                <w:sz w:val="11"/>
                <w:szCs w:val="11"/>
                <w:color w:val="auto"/>
                <w:w w:val="98"/>
              </w:rPr>
              <w:t>15,899,813</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15,634,610</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15,995,211</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shd w:val="clear" w:color="auto" w:fill="CCECFF"/>
          </w:tcPr>
          <w:p>
            <w:pPr>
              <w:spacing w:after="0"/>
              <w:rPr>
                <w:sz w:val="20"/>
                <w:szCs w:val="20"/>
                <w:color w:val="auto"/>
              </w:rPr>
            </w:pPr>
            <w:r>
              <w:rPr>
                <w:rFonts w:ascii="Arial" w:cs="Arial" w:eastAsia="Arial" w:hAnsi="Arial"/>
                <w:sz w:val="11"/>
                <w:szCs w:val="11"/>
                <w:color w:val="auto"/>
              </w:rPr>
              <w:t>Whitney, Bradley &amp; Brown, Inc.</w:t>
            </w:r>
          </w:p>
        </w:tc>
        <w:tc>
          <w:tcPr>
            <w:tcW w:w="64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87"/>
              </w:rPr>
              <w:t>10/18/2022</w:t>
            </w:r>
          </w:p>
        </w:tc>
        <w:tc>
          <w:tcPr>
            <w:tcW w:w="24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6"/>
              </w:rPr>
              <w:t>Aerospace and Defense</w:t>
            </w:r>
          </w:p>
        </w:tc>
        <w:tc>
          <w:tcPr>
            <w:tcW w:w="86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9.30%</w:t>
            </w:r>
          </w:p>
        </w:tc>
        <w:tc>
          <w:tcPr>
            <w:tcW w:w="560" w:type="dxa"/>
            <w:vAlign w:val="bottom"/>
            <w:shd w:val="clear" w:color="auto" w:fill="CCECFF"/>
          </w:tcPr>
          <w:p>
            <w:pPr>
              <w:ind w:left="400"/>
              <w:spacing w:after="0"/>
              <w:rPr>
                <w:sz w:val="20"/>
                <w:szCs w:val="20"/>
                <w:color w:val="auto"/>
              </w:rPr>
            </w:pPr>
            <w:r>
              <w:rPr>
                <w:rFonts w:ascii="Arial" w:cs="Arial" w:eastAsia="Arial" w:hAnsi="Arial"/>
                <w:sz w:val="11"/>
                <w:szCs w:val="11"/>
                <w:color w:val="auto"/>
                <w:w w:val="91"/>
              </w:rPr>
              <w:t>1M</w:t>
            </w:r>
          </w:p>
        </w:tc>
        <w:tc>
          <w:tcPr>
            <w:tcW w:w="540" w:type="dxa"/>
            <w:vAlign w:val="bottom"/>
            <w:gridSpan w:val="3"/>
            <w:shd w:val="clear" w:color="auto" w:fill="CCECFF"/>
          </w:tcPr>
          <w:p>
            <w:pPr>
              <w:jc w:val="right"/>
              <w:ind w:right="220"/>
              <w:spacing w:after="0"/>
              <w:rPr>
                <w:sz w:val="20"/>
                <w:szCs w:val="20"/>
                <w:color w:val="auto"/>
              </w:rPr>
            </w:pPr>
            <w:r>
              <w:rPr>
                <w:rFonts w:ascii="Arial" w:cs="Arial" w:eastAsia="Arial" w:hAnsi="Arial"/>
                <w:sz w:val="11"/>
                <w:szCs w:val="11"/>
                <w:color w:val="auto"/>
                <w:w w:val="96"/>
              </w:rPr>
              <w:t>L+750</w:t>
            </w: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5,395,982</w:t>
            </w:r>
          </w:p>
        </w:tc>
        <w:tc>
          <w:tcPr>
            <w:tcW w:w="240" w:type="dxa"/>
            <w:vAlign w:val="bottom"/>
            <w:shd w:val="clear" w:color="auto" w:fill="CCECFF"/>
          </w:tcPr>
          <w:p>
            <w:pPr>
              <w:spacing w:after="0"/>
              <w:rPr>
                <w:sz w:val="11"/>
                <w:szCs w:val="11"/>
                <w:color w:val="auto"/>
              </w:rPr>
            </w:pPr>
          </w:p>
        </w:tc>
        <w:tc>
          <w:tcPr>
            <w:tcW w:w="80" w:type="dxa"/>
            <w:vAlign w:val="bottom"/>
            <w:tcBorders>
              <w:bottom w:val="single" w:sz="8" w:color="auto"/>
            </w:tcBorders>
            <w:shd w:val="clear" w:color="auto" w:fill="CCECFF"/>
          </w:tcPr>
          <w:p>
            <w:pPr>
              <w:spacing w:after="0"/>
              <w:rPr>
                <w:sz w:val="11"/>
                <w:szCs w:val="11"/>
                <w:color w:val="auto"/>
              </w:rPr>
            </w:pPr>
          </w:p>
        </w:tc>
        <w:tc>
          <w:tcPr>
            <w:tcW w:w="6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5,325,863</w:t>
            </w:r>
          </w:p>
        </w:tc>
        <w:tc>
          <w:tcPr>
            <w:tcW w:w="220" w:type="dxa"/>
            <w:vAlign w:val="bottom"/>
            <w:shd w:val="clear" w:color="auto" w:fill="CCECFF"/>
          </w:tcPr>
          <w:p>
            <w:pPr>
              <w:spacing w:after="0"/>
              <w:rPr>
                <w:sz w:val="11"/>
                <w:szCs w:val="11"/>
                <w:color w:val="auto"/>
              </w:rPr>
            </w:pPr>
          </w:p>
        </w:tc>
        <w:tc>
          <w:tcPr>
            <w:tcW w:w="100" w:type="dxa"/>
            <w:vAlign w:val="bottom"/>
            <w:tcBorders>
              <w:bottom w:val="single" w:sz="8" w:color="auto"/>
            </w:tcBorders>
            <w:shd w:val="clear" w:color="auto" w:fill="CCECFF"/>
          </w:tcPr>
          <w:p>
            <w:pPr>
              <w:spacing w:after="0"/>
              <w:rPr>
                <w:sz w:val="11"/>
                <w:szCs w:val="11"/>
                <w:color w:val="auto"/>
              </w:rPr>
            </w:pPr>
          </w:p>
        </w:tc>
        <w:tc>
          <w:tcPr>
            <w:tcW w:w="6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5,395,982</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060" w:type="dxa"/>
            <w:vAlign w:val="bottom"/>
            <w:tcBorders>
              <w:bottom w:val="single" w:sz="8" w:color="CCECFF"/>
            </w:tcBorders>
          </w:tcPr>
          <w:p>
            <w:pPr>
              <w:spacing w:after="0"/>
              <w:rPr>
                <w:sz w:val="20"/>
                <w:szCs w:val="20"/>
                <w:color w:val="auto"/>
              </w:rPr>
            </w:pPr>
            <w:r>
              <w:rPr>
                <w:rFonts w:ascii="Arial" w:cs="Arial" w:eastAsia="Arial" w:hAnsi="Arial"/>
                <w:sz w:val="11"/>
                <w:szCs w:val="11"/>
                <w:b w:val="1"/>
                <w:bCs w:val="1"/>
                <w:color w:val="auto"/>
              </w:rPr>
              <w:t>Total First Lien Secured Debt</w:t>
            </w:r>
          </w:p>
        </w:tc>
        <w:tc>
          <w:tcPr>
            <w:tcW w:w="120" w:type="dxa"/>
            <w:vAlign w:val="bottom"/>
            <w:tcBorders>
              <w:bottom w:val="single" w:sz="8" w:color="CCECFF"/>
            </w:tcBorders>
          </w:tcPr>
          <w:p>
            <w:pPr>
              <w:spacing w:after="0"/>
              <w:rPr>
                <w:sz w:val="11"/>
                <w:szCs w:val="11"/>
                <w:color w:val="auto"/>
              </w:rPr>
            </w:pPr>
          </w:p>
        </w:tc>
        <w:tc>
          <w:tcPr>
            <w:tcW w:w="520" w:type="dxa"/>
            <w:vAlign w:val="bottom"/>
            <w:tcBorders>
              <w:bottom w:val="single" w:sz="8" w:color="CCECFF"/>
            </w:tcBorders>
          </w:tcPr>
          <w:p>
            <w:pPr>
              <w:spacing w:after="0"/>
              <w:rPr>
                <w:sz w:val="11"/>
                <w:szCs w:val="11"/>
                <w:color w:val="auto"/>
              </w:rPr>
            </w:pPr>
          </w:p>
        </w:tc>
        <w:tc>
          <w:tcPr>
            <w:tcW w:w="240" w:type="dxa"/>
            <w:vAlign w:val="bottom"/>
            <w:tcBorders>
              <w:bottom w:val="single" w:sz="8" w:color="CCECFF"/>
            </w:tcBorders>
          </w:tcPr>
          <w:p>
            <w:pPr>
              <w:spacing w:after="0"/>
              <w:rPr>
                <w:sz w:val="11"/>
                <w:szCs w:val="11"/>
                <w:color w:val="auto"/>
              </w:rPr>
            </w:pPr>
          </w:p>
        </w:tc>
        <w:tc>
          <w:tcPr>
            <w:tcW w:w="2620" w:type="dxa"/>
            <w:vAlign w:val="bottom"/>
            <w:tcBorders>
              <w:bottom w:val="single" w:sz="8" w:color="CCECFF"/>
            </w:tcBorders>
          </w:tcPr>
          <w:p>
            <w:pPr>
              <w:spacing w:after="0"/>
              <w:rPr>
                <w:sz w:val="11"/>
                <w:szCs w:val="11"/>
                <w:color w:val="auto"/>
              </w:rPr>
            </w:pPr>
          </w:p>
        </w:tc>
        <w:tc>
          <w:tcPr>
            <w:tcW w:w="140" w:type="dxa"/>
            <w:vAlign w:val="bottom"/>
            <w:tcBorders>
              <w:bottom w:val="single" w:sz="8" w:color="CCECFF"/>
            </w:tcBorders>
          </w:tcPr>
          <w:p>
            <w:pPr>
              <w:spacing w:after="0"/>
              <w:rPr>
                <w:sz w:val="11"/>
                <w:szCs w:val="11"/>
                <w:color w:val="auto"/>
              </w:rPr>
            </w:pPr>
          </w:p>
        </w:tc>
        <w:tc>
          <w:tcPr>
            <w:tcW w:w="600" w:type="dxa"/>
            <w:vAlign w:val="bottom"/>
            <w:tcBorders>
              <w:bottom w:val="single" w:sz="8" w:color="CCECFF"/>
            </w:tcBorders>
          </w:tcPr>
          <w:p>
            <w:pPr>
              <w:spacing w:after="0"/>
              <w:rPr>
                <w:sz w:val="11"/>
                <w:szCs w:val="11"/>
                <w:color w:val="auto"/>
              </w:rPr>
            </w:pPr>
          </w:p>
        </w:tc>
        <w:tc>
          <w:tcPr>
            <w:tcW w:w="260" w:type="dxa"/>
            <w:vAlign w:val="bottom"/>
            <w:tcBorders>
              <w:bottom w:val="single" w:sz="8" w:color="CCECFF"/>
            </w:tcBorders>
          </w:tcPr>
          <w:p>
            <w:pPr>
              <w:spacing w:after="0"/>
              <w:rPr>
                <w:sz w:val="11"/>
                <w:szCs w:val="11"/>
                <w:color w:val="auto"/>
              </w:rPr>
            </w:pPr>
          </w:p>
        </w:tc>
        <w:tc>
          <w:tcPr>
            <w:tcW w:w="560" w:type="dxa"/>
            <w:vAlign w:val="bottom"/>
            <w:tcBorders>
              <w:bottom w:val="single" w:sz="8" w:color="CCECFF"/>
            </w:tcBorders>
          </w:tcPr>
          <w:p>
            <w:pPr>
              <w:spacing w:after="0"/>
              <w:rPr>
                <w:sz w:val="11"/>
                <w:szCs w:val="11"/>
                <w:color w:val="auto"/>
              </w:rPr>
            </w:pPr>
          </w:p>
        </w:tc>
        <w:tc>
          <w:tcPr>
            <w:tcW w:w="320" w:type="dxa"/>
            <w:vAlign w:val="bottom"/>
            <w:tcBorders>
              <w:bottom w:val="single" w:sz="8" w:color="CCECFF"/>
            </w:tcBorders>
          </w:tcPr>
          <w:p>
            <w:pPr>
              <w:spacing w:after="0"/>
              <w:rPr>
                <w:sz w:val="11"/>
                <w:szCs w:val="11"/>
                <w:color w:val="auto"/>
              </w:rPr>
            </w:pPr>
          </w:p>
        </w:tc>
        <w:tc>
          <w:tcPr>
            <w:tcW w:w="120" w:type="dxa"/>
            <w:vAlign w:val="bottom"/>
            <w:tcBorders>
              <w:bottom w:val="single" w:sz="8" w:color="CCECFF"/>
            </w:tcBorders>
          </w:tcPr>
          <w:p>
            <w:pPr>
              <w:spacing w:after="0"/>
              <w:rPr>
                <w:sz w:val="11"/>
                <w:szCs w:val="11"/>
                <w:color w:val="auto"/>
              </w:rPr>
            </w:pPr>
          </w:p>
        </w:tc>
        <w:tc>
          <w:tcPr>
            <w:tcW w:w="100" w:type="dxa"/>
            <w:vAlign w:val="bottom"/>
            <w:tcBorders>
              <w:bottom w:val="single" w:sz="8" w:color="CCECFF"/>
            </w:tcBorders>
          </w:tcPr>
          <w:p>
            <w:pPr>
              <w:spacing w:after="0"/>
              <w:rPr>
                <w:sz w:val="11"/>
                <w:szCs w:val="11"/>
                <w:color w:val="auto"/>
              </w:rPr>
            </w:pPr>
          </w:p>
        </w:tc>
        <w:tc>
          <w:tcPr>
            <w:tcW w:w="580" w:type="dxa"/>
            <w:vAlign w:val="bottom"/>
            <w:tcBorders>
              <w:bottom w:val="single" w:sz="8" w:color="CCECFF"/>
            </w:tcBorders>
          </w:tcPr>
          <w:p>
            <w:pPr>
              <w:spacing w:after="0"/>
              <w:rPr>
                <w:sz w:val="11"/>
                <w:szCs w:val="11"/>
                <w:color w:val="auto"/>
              </w:rPr>
            </w:pPr>
          </w:p>
        </w:tc>
        <w:tc>
          <w:tcPr>
            <w:tcW w:w="240" w:type="dxa"/>
            <w:vAlign w:val="bottom"/>
            <w:tcBorders>
              <w:bottom w:val="single" w:sz="8" w:color="CCEC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w w:val="91"/>
              </w:rPr>
              <w:t>482,172,440</w:t>
            </w:r>
          </w:p>
        </w:tc>
        <w:tc>
          <w:tcPr>
            <w:tcW w:w="220" w:type="dxa"/>
            <w:vAlign w:val="bottom"/>
            <w:tcBorders>
              <w:bottom w:val="single" w:sz="8" w:color="CCEC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w w:val="98"/>
              </w:rPr>
              <w:t>479,446,351</w:t>
            </w:r>
          </w:p>
        </w:tc>
        <w:tc>
          <w:tcPr>
            <w:tcW w:w="120" w:type="dxa"/>
            <w:vAlign w:val="bottom"/>
            <w:tcBorders>
              <w:bottom w:val="single" w:sz="8" w:color="CCECFF"/>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060" w:type="dxa"/>
            <w:vAlign w:val="bottom"/>
            <w:shd w:val="clear" w:color="auto" w:fill="CCECFF"/>
          </w:tcPr>
          <w:p>
            <w:pPr>
              <w:spacing w:after="0"/>
              <w:rPr>
                <w:sz w:val="20"/>
                <w:szCs w:val="20"/>
                <w:color w:val="auto"/>
              </w:rPr>
            </w:pPr>
            <w:r>
              <w:rPr>
                <w:rFonts w:ascii="Arial" w:cs="Arial" w:eastAsia="Arial" w:hAnsi="Arial"/>
                <w:sz w:val="11"/>
                <w:szCs w:val="11"/>
                <w:b w:val="1"/>
                <w:bCs w:val="1"/>
                <w:color w:val="auto"/>
              </w:rPr>
              <w:t>Second Lien Secured Debt</w:t>
            </w:r>
          </w:p>
        </w:tc>
        <w:tc>
          <w:tcPr>
            <w:tcW w:w="120" w:type="dxa"/>
            <w:vAlign w:val="bottom"/>
            <w:shd w:val="clear" w:color="auto" w:fill="CCECFF"/>
          </w:tcPr>
          <w:p>
            <w:pPr>
              <w:spacing w:after="0"/>
              <w:rPr>
                <w:sz w:val="11"/>
                <w:szCs w:val="11"/>
                <w:color w:val="auto"/>
              </w:rPr>
            </w:pPr>
          </w:p>
        </w:tc>
        <w:tc>
          <w:tcPr>
            <w:tcW w:w="52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262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600" w:type="dxa"/>
            <w:vAlign w:val="bottom"/>
            <w:shd w:val="clear" w:color="auto" w:fill="CCECFF"/>
          </w:tcPr>
          <w:p>
            <w:pPr>
              <w:spacing w:after="0"/>
              <w:rPr>
                <w:sz w:val="11"/>
                <w:szCs w:val="11"/>
                <w:color w:val="auto"/>
              </w:rPr>
            </w:pPr>
          </w:p>
        </w:tc>
        <w:tc>
          <w:tcPr>
            <w:tcW w:w="260" w:type="dxa"/>
            <w:vAlign w:val="bottom"/>
            <w:shd w:val="clear" w:color="auto" w:fill="CCECFF"/>
          </w:tcPr>
          <w:p>
            <w:pPr>
              <w:spacing w:after="0"/>
              <w:rPr>
                <w:sz w:val="11"/>
                <w:szCs w:val="11"/>
                <w:color w:val="auto"/>
              </w:rPr>
            </w:pPr>
          </w:p>
        </w:tc>
        <w:tc>
          <w:tcPr>
            <w:tcW w:w="560" w:type="dxa"/>
            <w:vAlign w:val="bottom"/>
            <w:shd w:val="clear" w:color="auto" w:fill="CCECFF"/>
          </w:tcPr>
          <w:p>
            <w:pPr>
              <w:spacing w:after="0"/>
              <w:rPr>
                <w:sz w:val="11"/>
                <w:szCs w:val="11"/>
                <w:color w:val="auto"/>
              </w:rPr>
            </w:pPr>
          </w:p>
        </w:tc>
        <w:tc>
          <w:tcPr>
            <w:tcW w:w="3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8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3060" w:type="dxa"/>
            <w:vAlign w:val="bottom"/>
          </w:tcPr>
          <w:p>
            <w:pPr>
              <w:spacing w:after="0"/>
              <w:rPr>
                <w:sz w:val="20"/>
                <w:szCs w:val="20"/>
                <w:color w:val="auto"/>
              </w:rPr>
            </w:pPr>
            <w:r>
              <w:rPr>
                <w:rFonts w:ascii="Arial" w:cs="Arial" w:eastAsia="Arial" w:hAnsi="Arial"/>
                <w:sz w:val="11"/>
                <w:szCs w:val="11"/>
                <w:color w:val="auto"/>
              </w:rPr>
              <w:t>Country Fresh Holdings, LLC</w:t>
            </w:r>
          </w:p>
        </w:tc>
        <w:tc>
          <w:tcPr>
            <w:tcW w:w="640" w:type="dxa"/>
            <w:vAlign w:val="bottom"/>
            <w:gridSpan w:val="2"/>
          </w:tcPr>
          <w:p>
            <w:pPr>
              <w:jc w:val="center"/>
              <w:ind w:left="66"/>
              <w:spacing w:after="0"/>
              <w:rPr>
                <w:sz w:val="20"/>
                <w:szCs w:val="20"/>
                <w:color w:val="auto"/>
              </w:rPr>
            </w:pPr>
            <w:r>
              <w:rPr>
                <w:rFonts w:ascii="Arial" w:cs="Arial" w:eastAsia="Arial" w:hAnsi="Arial"/>
                <w:sz w:val="11"/>
                <w:szCs w:val="11"/>
                <w:color w:val="auto"/>
                <w:w w:val="87"/>
              </w:rPr>
              <w:t>04/29/2024</w:t>
            </w:r>
          </w:p>
        </w:tc>
        <w:tc>
          <w:tcPr>
            <w:tcW w:w="240" w:type="dxa"/>
            <w:vAlign w:val="bottom"/>
          </w:tcPr>
          <w:p>
            <w:pPr>
              <w:spacing w:after="0"/>
              <w:rPr>
                <w:sz w:val="12"/>
                <w:szCs w:val="12"/>
                <w:color w:val="auto"/>
              </w:rPr>
            </w:pPr>
          </w:p>
        </w:tc>
        <w:tc>
          <w:tcPr>
            <w:tcW w:w="2760" w:type="dxa"/>
            <w:vAlign w:val="bottom"/>
            <w:gridSpan w:val="2"/>
          </w:tcPr>
          <w:p>
            <w:pPr>
              <w:jc w:val="center"/>
              <w:ind w:right="140"/>
              <w:spacing w:after="0"/>
              <w:rPr>
                <w:sz w:val="20"/>
                <w:szCs w:val="20"/>
                <w:color w:val="auto"/>
              </w:rPr>
            </w:pPr>
            <w:r>
              <w:rPr>
                <w:rFonts w:ascii="Arial" w:cs="Arial" w:eastAsia="Arial" w:hAnsi="Arial"/>
                <w:sz w:val="11"/>
                <w:szCs w:val="11"/>
                <w:color w:val="auto"/>
                <w:w w:val="86"/>
              </w:rPr>
              <w:t>Beverage, Food and Tobacco</w:t>
            </w:r>
          </w:p>
        </w:tc>
        <w:tc>
          <w:tcPr>
            <w:tcW w:w="860" w:type="dxa"/>
            <w:vAlign w:val="bottom"/>
            <w:gridSpan w:val="2"/>
          </w:tcPr>
          <w:p>
            <w:pPr>
              <w:jc w:val="right"/>
              <w:ind w:right="180"/>
              <w:spacing w:after="0"/>
              <w:rPr>
                <w:sz w:val="20"/>
                <w:szCs w:val="20"/>
                <w:color w:val="auto"/>
              </w:rPr>
            </w:pPr>
            <w:r>
              <w:rPr>
                <w:rFonts w:ascii="Arial" w:cs="Arial" w:eastAsia="Arial" w:hAnsi="Arial"/>
                <w:sz w:val="11"/>
                <w:szCs w:val="11"/>
                <w:color w:val="auto"/>
              </w:rPr>
              <w:t>10.60%</w:t>
            </w:r>
          </w:p>
        </w:tc>
        <w:tc>
          <w:tcPr>
            <w:tcW w:w="560" w:type="dxa"/>
            <w:vAlign w:val="bottom"/>
          </w:tcPr>
          <w:p>
            <w:pPr>
              <w:ind w:left="400"/>
              <w:spacing w:after="0"/>
              <w:rPr>
                <w:sz w:val="20"/>
                <w:szCs w:val="20"/>
                <w:color w:val="auto"/>
              </w:rPr>
            </w:pPr>
            <w:r>
              <w:rPr>
                <w:rFonts w:ascii="Arial" w:cs="Arial" w:eastAsia="Arial" w:hAnsi="Arial"/>
                <w:sz w:val="11"/>
                <w:szCs w:val="11"/>
                <w:color w:val="auto"/>
                <w:w w:val="91"/>
              </w:rPr>
              <w:t>1M</w:t>
            </w:r>
          </w:p>
        </w:tc>
        <w:tc>
          <w:tcPr>
            <w:tcW w:w="540" w:type="dxa"/>
            <w:vAlign w:val="bottom"/>
            <w:gridSpan w:val="3"/>
          </w:tcPr>
          <w:p>
            <w:pPr>
              <w:jc w:val="right"/>
              <w:ind w:right="220"/>
              <w:spacing w:after="0"/>
              <w:rPr>
                <w:sz w:val="20"/>
                <w:szCs w:val="20"/>
                <w:color w:val="auto"/>
              </w:rPr>
            </w:pPr>
            <w:r>
              <w:rPr>
                <w:rFonts w:ascii="Arial" w:cs="Arial" w:eastAsia="Arial" w:hAnsi="Arial"/>
                <w:sz w:val="11"/>
                <w:szCs w:val="11"/>
                <w:color w:val="auto"/>
                <w:w w:val="96"/>
              </w:rPr>
              <w:t>L+850</w:t>
            </w:r>
          </w:p>
        </w:tc>
        <w:tc>
          <w:tcPr>
            <w:tcW w:w="580" w:type="dxa"/>
            <w:vAlign w:val="bottom"/>
          </w:tcPr>
          <w:p>
            <w:pPr>
              <w:jc w:val="right"/>
              <w:spacing w:after="0"/>
              <w:rPr>
                <w:sz w:val="20"/>
                <w:szCs w:val="20"/>
                <w:color w:val="auto"/>
              </w:rPr>
            </w:pPr>
            <w:r>
              <w:rPr>
                <w:rFonts w:ascii="Arial" w:cs="Arial" w:eastAsia="Arial" w:hAnsi="Arial"/>
                <w:sz w:val="11"/>
                <w:szCs w:val="11"/>
                <w:color w:val="auto"/>
              </w:rPr>
              <w:t>894,487</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894,487</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894,487</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30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1"/>
                <w:szCs w:val="11"/>
                <w:color w:val="auto"/>
              </w:rPr>
              <w:t>(PIK 10.60%)</w:t>
            </w: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shd w:val="clear" w:color="auto" w:fill="CCECFF"/>
          </w:tcPr>
          <w:p>
            <w:pPr>
              <w:spacing w:after="0"/>
              <w:rPr>
                <w:sz w:val="20"/>
                <w:szCs w:val="20"/>
                <w:color w:val="auto"/>
              </w:rPr>
            </w:pPr>
            <w:r>
              <w:rPr>
                <w:rFonts w:ascii="Arial" w:cs="Arial" w:eastAsia="Arial" w:hAnsi="Arial"/>
                <w:sz w:val="11"/>
                <w:szCs w:val="11"/>
                <w:color w:val="auto"/>
              </w:rPr>
              <w:t>DBI Holding, LLC, Term Loan B</w:t>
            </w:r>
          </w:p>
        </w:tc>
        <w:tc>
          <w:tcPr>
            <w:tcW w:w="64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87"/>
              </w:rPr>
              <w:t>03/26/2021</w:t>
            </w:r>
          </w:p>
        </w:tc>
        <w:tc>
          <w:tcPr>
            <w:tcW w:w="24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6"/>
              </w:rPr>
              <w:t>Business Services</w:t>
            </w:r>
          </w:p>
        </w:tc>
        <w:tc>
          <w:tcPr>
            <w:tcW w:w="86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8.00%</w:t>
            </w:r>
          </w:p>
        </w:tc>
        <w:tc>
          <w:tcPr>
            <w:tcW w:w="560" w:type="dxa"/>
            <w:vAlign w:val="bottom"/>
            <w:shd w:val="clear" w:color="auto" w:fill="CCECFF"/>
          </w:tcPr>
          <w:p>
            <w:pPr>
              <w:spacing w:after="0"/>
              <w:rPr>
                <w:sz w:val="11"/>
                <w:szCs w:val="11"/>
                <w:color w:val="auto"/>
              </w:rPr>
            </w:pPr>
          </w:p>
        </w:tc>
        <w:tc>
          <w:tcPr>
            <w:tcW w:w="3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15,946</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15,946</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15,946</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2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262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860" w:type="dxa"/>
            <w:vAlign w:val="bottom"/>
            <w:gridSpan w:val="2"/>
            <w:shd w:val="clear" w:color="auto" w:fill="CCECFF"/>
          </w:tcPr>
          <w:p>
            <w:pPr>
              <w:jc w:val="right"/>
              <w:ind w:right="140"/>
              <w:spacing w:after="0"/>
              <w:rPr>
                <w:sz w:val="20"/>
                <w:szCs w:val="20"/>
                <w:color w:val="auto"/>
              </w:rPr>
            </w:pPr>
            <w:r>
              <w:rPr>
                <w:rFonts w:ascii="Arial" w:cs="Arial" w:eastAsia="Arial" w:hAnsi="Arial"/>
                <w:sz w:val="11"/>
                <w:szCs w:val="11"/>
                <w:color w:val="auto"/>
              </w:rPr>
              <w:t>(PIK 8.00%)</w:t>
            </w:r>
          </w:p>
        </w:tc>
        <w:tc>
          <w:tcPr>
            <w:tcW w:w="560" w:type="dxa"/>
            <w:vAlign w:val="bottom"/>
            <w:shd w:val="clear" w:color="auto" w:fill="CCECFF"/>
          </w:tcPr>
          <w:p>
            <w:pPr>
              <w:spacing w:after="0"/>
              <w:rPr>
                <w:sz w:val="11"/>
                <w:szCs w:val="11"/>
                <w:color w:val="auto"/>
              </w:rPr>
            </w:pPr>
          </w:p>
        </w:tc>
        <w:tc>
          <w:tcPr>
            <w:tcW w:w="3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8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3060" w:type="dxa"/>
            <w:vAlign w:val="bottom"/>
          </w:tcPr>
          <w:p>
            <w:pPr>
              <w:spacing w:after="0"/>
              <w:rPr>
                <w:sz w:val="20"/>
                <w:szCs w:val="20"/>
                <w:color w:val="auto"/>
              </w:rPr>
            </w:pPr>
            <w:r>
              <w:rPr>
                <w:rFonts w:ascii="Arial" w:cs="Arial" w:eastAsia="Arial" w:hAnsi="Arial"/>
                <w:sz w:val="11"/>
                <w:szCs w:val="11"/>
                <w:color w:val="auto"/>
              </w:rPr>
              <w:t>DBI Holding, LLC, Term Loan C</w:t>
            </w:r>
          </w:p>
        </w:tc>
        <w:tc>
          <w:tcPr>
            <w:tcW w:w="640" w:type="dxa"/>
            <w:vAlign w:val="bottom"/>
            <w:gridSpan w:val="2"/>
          </w:tcPr>
          <w:p>
            <w:pPr>
              <w:jc w:val="center"/>
              <w:ind w:left="66"/>
              <w:spacing w:after="0"/>
              <w:rPr>
                <w:sz w:val="20"/>
                <w:szCs w:val="20"/>
                <w:color w:val="auto"/>
              </w:rPr>
            </w:pPr>
            <w:r>
              <w:rPr>
                <w:rFonts w:ascii="Arial" w:cs="Arial" w:eastAsia="Arial" w:hAnsi="Arial"/>
                <w:sz w:val="11"/>
                <w:szCs w:val="11"/>
                <w:color w:val="auto"/>
                <w:w w:val="87"/>
              </w:rPr>
              <w:t>02/02/2026</w:t>
            </w:r>
          </w:p>
        </w:tc>
        <w:tc>
          <w:tcPr>
            <w:tcW w:w="240" w:type="dxa"/>
            <w:vAlign w:val="bottom"/>
          </w:tcPr>
          <w:p>
            <w:pPr>
              <w:spacing w:after="0"/>
              <w:rPr>
                <w:sz w:val="12"/>
                <w:szCs w:val="12"/>
                <w:color w:val="auto"/>
              </w:rPr>
            </w:pPr>
          </w:p>
        </w:tc>
        <w:tc>
          <w:tcPr>
            <w:tcW w:w="2760" w:type="dxa"/>
            <w:vAlign w:val="bottom"/>
            <w:gridSpan w:val="2"/>
          </w:tcPr>
          <w:p>
            <w:pPr>
              <w:jc w:val="center"/>
              <w:ind w:right="140"/>
              <w:spacing w:after="0"/>
              <w:rPr>
                <w:sz w:val="20"/>
                <w:szCs w:val="20"/>
                <w:color w:val="auto"/>
              </w:rPr>
            </w:pPr>
            <w:r>
              <w:rPr>
                <w:rFonts w:ascii="Arial" w:cs="Arial" w:eastAsia="Arial" w:hAnsi="Arial"/>
                <w:sz w:val="11"/>
                <w:szCs w:val="11"/>
                <w:color w:val="auto"/>
                <w:w w:val="86"/>
              </w:rPr>
              <w:t>Business Services</w:t>
            </w:r>
          </w:p>
        </w:tc>
        <w:tc>
          <w:tcPr>
            <w:tcW w:w="860" w:type="dxa"/>
            <w:vAlign w:val="bottom"/>
            <w:gridSpan w:val="2"/>
          </w:tcPr>
          <w:p>
            <w:pPr>
              <w:jc w:val="right"/>
              <w:ind w:right="180"/>
              <w:spacing w:after="0"/>
              <w:rPr>
                <w:sz w:val="20"/>
                <w:szCs w:val="20"/>
                <w:color w:val="auto"/>
              </w:rPr>
            </w:pPr>
            <w:r>
              <w:rPr>
                <w:rFonts w:ascii="Arial" w:cs="Arial" w:eastAsia="Arial" w:hAnsi="Arial"/>
                <w:sz w:val="11"/>
                <w:szCs w:val="11"/>
                <w:color w:val="auto"/>
              </w:rPr>
              <w:t>8.00%</w:t>
            </w:r>
          </w:p>
        </w:tc>
        <w:tc>
          <w:tcPr>
            <w:tcW w:w="560" w:type="dxa"/>
            <w:vAlign w:val="bottom"/>
          </w:tcPr>
          <w:p>
            <w:pPr>
              <w:spacing w:after="0"/>
              <w:rPr>
                <w:sz w:val="12"/>
                <w:szCs w:val="12"/>
                <w:color w:val="auto"/>
              </w:rPr>
            </w:pPr>
          </w:p>
        </w:tc>
        <w:tc>
          <w:tcPr>
            <w:tcW w:w="540" w:type="dxa"/>
            <w:vAlign w:val="bottom"/>
            <w:gridSpan w:val="3"/>
          </w:tcPr>
          <w:p>
            <w:pPr>
              <w:jc w:val="right"/>
              <w:ind w:right="220"/>
              <w:spacing w:after="0"/>
              <w:rPr>
                <w:sz w:val="20"/>
                <w:szCs w:val="20"/>
                <w:color w:val="auto"/>
              </w:rPr>
            </w:pPr>
            <w:r>
              <w:rPr>
                <w:rFonts w:ascii="Arial" w:cs="Arial" w:eastAsia="Arial" w:hAnsi="Arial"/>
                <w:sz w:val="11"/>
                <w:szCs w:val="11"/>
                <w:color w:val="auto"/>
              </w:rPr>
              <w:t>—</w:t>
            </w:r>
          </w:p>
        </w:tc>
        <w:tc>
          <w:tcPr>
            <w:tcW w:w="580" w:type="dxa"/>
            <w:vAlign w:val="bottom"/>
          </w:tcPr>
          <w:p>
            <w:pPr>
              <w:jc w:val="right"/>
              <w:spacing w:after="0"/>
              <w:rPr>
                <w:sz w:val="20"/>
                <w:szCs w:val="20"/>
                <w:color w:val="auto"/>
              </w:rPr>
            </w:pPr>
            <w:r>
              <w:rPr>
                <w:rFonts w:ascii="Arial" w:cs="Arial" w:eastAsia="Arial" w:hAnsi="Arial"/>
                <w:sz w:val="11"/>
                <w:szCs w:val="11"/>
                <w:color w:val="auto"/>
              </w:rPr>
              <w:t>7,977,513</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7,977,513</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7,937,625</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3060" w:type="dxa"/>
            <w:vAlign w:val="bottom"/>
            <w:tcBorders>
              <w:bottom w:val="single" w:sz="8" w:color="CCECFF"/>
            </w:tcBorders>
          </w:tcPr>
          <w:p>
            <w:pPr>
              <w:spacing w:after="0"/>
              <w:rPr>
                <w:sz w:val="11"/>
                <w:szCs w:val="11"/>
                <w:color w:val="auto"/>
              </w:rPr>
            </w:pPr>
          </w:p>
        </w:tc>
        <w:tc>
          <w:tcPr>
            <w:tcW w:w="120" w:type="dxa"/>
            <w:vAlign w:val="bottom"/>
            <w:tcBorders>
              <w:bottom w:val="single" w:sz="8" w:color="CCECFF"/>
            </w:tcBorders>
          </w:tcPr>
          <w:p>
            <w:pPr>
              <w:spacing w:after="0"/>
              <w:rPr>
                <w:sz w:val="11"/>
                <w:szCs w:val="11"/>
                <w:color w:val="auto"/>
              </w:rPr>
            </w:pPr>
          </w:p>
        </w:tc>
        <w:tc>
          <w:tcPr>
            <w:tcW w:w="520" w:type="dxa"/>
            <w:vAlign w:val="bottom"/>
            <w:tcBorders>
              <w:bottom w:val="single" w:sz="8" w:color="CCECFF"/>
            </w:tcBorders>
          </w:tcPr>
          <w:p>
            <w:pPr>
              <w:spacing w:after="0"/>
              <w:rPr>
                <w:sz w:val="11"/>
                <w:szCs w:val="11"/>
                <w:color w:val="auto"/>
              </w:rPr>
            </w:pPr>
          </w:p>
        </w:tc>
        <w:tc>
          <w:tcPr>
            <w:tcW w:w="240" w:type="dxa"/>
            <w:vAlign w:val="bottom"/>
            <w:tcBorders>
              <w:bottom w:val="single" w:sz="8" w:color="CCECFF"/>
            </w:tcBorders>
          </w:tcPr>
          <w:p>
            <w:pPr>
              <w:spacing w:after="0"/>
              <w:rPr>
                <w:sz w:val="11"/>
                <w:szCs w:val="11"/>
                <w:color w:val="auto"/>
              </w:rPr>
            </w:pPr>
          </w:p>
        </w:tc>
        <w:tc>
          <w:tcPr>
            <w:tcW w:w="2620" w:type="dxa"/>
            <w:vAlign w:val="bottom"/>
            <w:tcBorders>
              <w:bottom w:val="single" w:sz="8" w:color="CCECFF"/>
            </w:tcBorders>
          </w:tcPr>
          <w:p>
            <w:pPr>
              <w:spacing w:after="0"/>
              <w:rPr>
                <w:sz w:val="11"/>
                <w:szCs w:val="11"/>
                <w:color w:val="auto"/>
              </w:rPr>
            </w:pPr>
          </w:p>
        </w:tc>
        <w:tc>
          <w:tcPr>
            <w:tcW w:w="140" w:type="dxa"/>
            <w:vAlign w:val="bottom"/>
            <w:tcBorders>
              <w:bottom w:val="single" w:sz="8" w:color="CCECFF"/>
            </w:tcBorders>
          </w:tcPr>
          <w:p>
            <w:pPr>
              <w:spacing w:after="0"/>
              <w:rPr>
                <w:sz w:val="11"/>
                <w:szCs w:val="11"/>
                <w:color w:val="auto"/>
              </w:rPr>
            </w:pPr>
          </w:p>
        </w:tc>
        <w:tc>
          <w:tcPr>
            <w:tcW w:w="860" w:type="dxa"/>
            <w:vAlign w:val="bottom"/>
            <w:tcBorders>
              <w:bottom w:val="single" w:sz="8" w:color="CCECFF"/>
            </w:tcBorders>
            <w:gridSpan w:val="2"/>
          </w:tcPr>
          <w:p>
            <w:pPr>
              <w:jc w:val="right"/>
              <w:ind w:right="140"/>
              <w:spacing w:after="0"/>
              <w:rPr>
                <w:sz w:val="20"/>
                <w:szCs w:val="20"/>
                <w:color w:val="auto"/>
              </w:rPr>
            </w:pPr>
            <w:r>
              <w:rPr>
                <w:rFonts w:ascii="Arial" w:cs="Arial" w:eastAsia="Arial" w:hAnsi="Arial"/>
                <w:sz w:val="11"/>
                <w:szCs w:val="11"/>
                <w:color w:val="auto"/>
              </w:rPr>
              <w:t>(PIK 8.00%)</w:t>
            </w:r>
          </w:p>
        </w:tc>
        <w:tc>
          <w:tcPr>
            <w:tcW w:w="560" w:type="dxa"/>
            <w:vAlign w:val="bottom"/>
            <w:tcBorders>
              <w:bottom w:val="single" w:sz="8" w:color="CCECFF"/>
            </w:tcBorders>
          </w:tcPr>
          <w:p>
            <w:pPr>
              <w:spacing w:after="0"/>
              <w:rPr>
                <w:sz w:val="11"/>
                <w:szCs w:val="11"/>
                <w:color w:val="auto"/>
              </w:rPr>
            </w:pPr>
          </w:p>
        </w:tc>
        <w:tc>
          <w:tcPr>
            <w:tcW w:w="320" w:type="dxa"/>
            <w:vAlign w:val="bottom"/>
            <w:tcBorders>
              <w:bottom w:val="single" w:sz="8" w:color="CCECFF"/>
            </w:tcBorders>
          </w:tcPr>
          <w:p>
            <w:pPr>
              <w:spacing w:after="0"/>
              <w:rPr>
                <w:sz w:val="11"/>
                <w:szCs w:val="11"/>
                <w:color w:val="auto"/>
              </w:rPr>
            </w:pPr>
          </w:p>
        </w:tc>
        <w:tc>
          <w:tcPr>
            <w:tcW w:w="120" w:type="dxa"/>
            <w:vAlign w:val="bottom"/>
            <w:tcBorders>
              <w:bottom w:val="single" w:sz="8" w:color="CCECFF"/>
            </w:tcBorders>
          </w:tcPr>
          <w:p>
            <w:pPr>
              <w:spacing w:after="0"/>
              <w:rPr>
                <w:sz w:val="11"/>
                <w:szCs w:val="11"/>
                <w:color w:val="auto"/>
              </w:rPr>
            </w:pPr>
          </w:p>
        </w:tc>
        <w:tc>
          <w:tcPr>
            <w:tcW w:w="100" w:type="dxa"/>
            <w:vAlign w:val="bottom"/>
            <w:tcBorders>
              <w:bottom w:val="single" w:sz="8" w:color="CCECFF"/>
            </w:tcBorders>
          </w:tcPr>
          <w:p>
            <w:pPr>
              <w:spacing w:after="0"/>
              <w:rPr>
                <w:sz w:val="11"/>
                <w:szCs w:val="11"/>
                <w:color w:val="auto"/>
              </w:rPr>
            </w:pPr>
          </w:p>
        </w:tc>
        <w:tc>
          <w:tcPr>
            <w:tcW w:w="580" w:type="dxa"/>
            <w:vAlign w:val="bottom"/>
            <w:tcBorders>
              <w:bottom w:val="single" w:sz="8" w:color="CCECFF"/>
            </w:tcBorders>
          </w:tcPr>
          <w:p>
            <w:pPr>
              <w:spacing w:after="0"/>
              <w:rPr>
                <w:sz w:val="11"/>
                <w:szCs w:val="11"/>
                <w:color w:val="auto"/>
              </w:rPr>
            </w:pPr>
          </w:p>
        </w:tc>
        <w:tc>
          <w:tcPr>
            <w:tcW w:w="240" w:type="dxa"/>
            <w:vAlign w:val="bottom"/>
            <w:tcBorders>
              <w:bottom w:val="single" w:sz="8" w:color="CCEC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220" w:type="dxa"/>
            <w:vAlign w:val="bottom"/>
            <w:tcBorders>
              <w:bottom w:val="single" w:sz="8" w:color="CCEC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120" w:type="dxa"/>
            <w:vAlign w:val="bottom"/>
            <w:tcBorders>
              <w:bottom w:val="single" w:sz="8" w:color="CCECFF"/>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060" w:type="dxa"/>
            <w:vAlign w:val="bottom"/>
            <w:shd w:val="clear" w:color="auto" w:fill="CCECFF"/>
          </w:tcPr>
          <w:p>
            <w:pPr>
              <w:spacing w:after="0"/>
              <w:rPr>
                <w:sz w:val="20"/>
                <w:szCs w:val="20"/>
                <w:color w:val="auto"/>
              </w:rPr>
            </w:pPr>
            <w:r>
              <w:rPr>
                <w:rFonts w:ascii="Arial" w:cs="Arial" w:eastAsia="Arial" w:hAnsi="Arial"/>
                <w:sz w:val="11"/>
                <w:szCs w:val="11"/>
                <w:b w:val="1"/>
                <w:bCs w:val="1"/>
                <w:color w:val="auto"/>
              </w:rPr>
              <w:t>Total Second Lien Secured Debt</w:t>
            </w:r>
          </w:p>
        </w:tc>
        <w:tc>
          <w:tcPr>
            <w:tcW w:w="120" w:type="dxa"/>
            <w:vAlign w:val="bottom"/>
            <w:shd w:val="clear" w:color="auto" w:fill="CCECFF"/>
          </w:tcPr>
          <w:p>
            <w:pPr>
              <w:spacing w:after="0"/>
              <w:rPr>
                <w:sz w:val="11"/>
                <w:szCs w:val="11"/>
                <w:color w:val="auto"/>
              </w:rPr>
            </w:pPr>
          </w:p>
        </w:tc>
        <w:tc>
          <w:tcPr>
            <w:tcW w:w="52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262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600" w:type="dxa"/>
            <w:vAlign w:val="bottom"/>
            <w:shd w:val="clear" w:color="auto" w:fill="CCECFF"/>
          </w:tcPr>
          <w:p>
            <w:pPr>
              <w:spacing w:after="0"/>
              <w:rPr>
                <w:sz w:val="11"/>
                <w:szCs w:val="11"/>
                <w:color w:val="auto"/>
              </w:rPr>
            </w:pPr>
          </w:p>
        </w:tc>
        <w:tc>
          <w:tcPr>
            <w:tcW w:w="260" w:type="dxa"/>
            <w:vAlign w:val="bottom"/>
            <w:shd w:val="clear" w:color="auto" w:fill="CCECFF"/>
          </w:tcPr>
          <w:p>
            <w:pPr>
              <w:spacing w:after="0"/>
              <w:rPr>
                <w:sz w:val="11"/>
                <w:szCs w:val="11"/>
                <w:color w:val="auto"/>
              </w:rPr>
            </w:pPr>
          </w:p>
        </w:tc>
        <w:tc>
          <w:tcPr>
            <w:tcW w:w="560" w:type="dxa"/>
            <w:vAlign w:val="bottom"/>
            <w:shd w:val="clear" w:color="auto" w:fill="CCECFF"/>
          </w:tcPr>
          <w:p>
            <w:pPr>
              <w:spacing w:after="0"/>
              <w:rPr>
                <w:sz w:val="11"/>
                <w:szCs w:val="11"/>
                <w:color w:val="auto"/>
              </w:rPr>
            </w:pPr>
          </w:p>
        </w:tc>
        <w:tc>
          <w:tcPr>
            <w:tcW w:w="3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8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80" w:type="dxa"/>
            <w:vAlign w:val="bottom"/>
            <w:tcBorders>
              <w:bottom w:val="single" w:sz="8" w:color="auto"/>
            </w:tcBorders>
            <w:shd w:val="clear" w:color="auto" w:fill="CCECFF"/>
          </w:tcPr>
          <w:p>
            <w:pPr>
              <w:spacing w:after="0"/>
              <w:rPr>
                <w:sz w:val="11"/>
                <w:szCs w:val="11"/>
                <w:color w:val="auto"/>
              </w:rPr>
            </w:pPr>
          </w:p>
        </w:tc>
        <w:tc>
          <w:tcPr>
            <w:tcW w:w="6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8,887,946</w:t>
            </w:r>
          </w:p>
        </w:tc>
        <w:tc>
          <w:tcPr>
            <w:tcW w:w="220" w:type="dxa"/>
            <w:vAlign w:val="bottom"/>
            <w:shd w:val="clear" w:color="auto" w:fill="CCECFF"/>
          </w:tcPr>
          <w:p>
            <w:pPr>
              <w:spacing w:after="0"/>
              <w:rPr>
                <w:sz w:val="11"/>
                <w:szCs w:val="11"/>
                <w:color w:val="auto"/>
              </w:rPr>
            </w:pPr>
          </w:p>
        </w:tc>
        <w:tc>
          <w:tcPr>
            <w:tcW w:w="100" w:type="dxa"/>
            <w:vAlign w:val="bottom"/>
            <w:tcBorders>
              <w:bottom w:val="single" w:sz="8" w:color="auto"/>
            </w:tcBorders>
            <w:shd w:val="clear" w:color="auto" w:fill="CCECFF"/>
          </w:tcPr>
          <w:p>
            <w:pPr>
              <w:spacing w:after="0"/>
              <w:rPr>
                <w:sz w:val="11"/>
                <w:szCs w:val="11"/>
                <w:color w:val="auto"/>
              </w:rPr>
            </w:pPr>
          </w:p>
        </w:tc>
        <w:tc>
          <w:tcPr>
            <w:tcW w:w="6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8,848,058</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3060" w:type="dxa"/>
            <w:vAlign w:val="bottom"/>
          </w:tcPr>
          <w:p>
            <w:pPr>
              <w:spacing w:after="0"/>
              <w:rPr>
                <w:sz w:val="20"/>
                <w:szCs w:val="20"/>
                <w:color w:val="auto"/>
              </w:rPr>
            </w:pPr>
            <w:r>
              <w:rPr>
                <w:rFonts w:ascii="Arial" w:cs="Arial" w:eastAsia="Arial" w:hAnsi="Arial"/>
                <w:sz w:val="11"/>
                <w:szCs w:val="11"/>
                <w:b w:val="1"/>
                <w:bCs w:val="1"/>
                <w:color w:val="auto"/>
              </w:rPr>
              <w:t>Equity Securities</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shd w:val="clear" w:color="auto" w:fill="CCECFF"/>
          </w:tcPr>
          <w:p>
            <w:pPr>
              <w:spacing w:after="0"/>
              <w:rPr>
                <w:sz w:val="20"/>
                <w:szCs w:val="20"/>
                <w:color w:val="auto"/>
              </w:rPr>
            </w:pPr>
            <w:r>
              <w:rPr>
                <w:rFonts w:ascii="Arial" w:cs="Arial" w:eastAsia="Arial" w:hAnsi="Arial"/>
                <w:sz w:val="11"/>
                <w:szCs w:val="11"/>
                <w:color w:val="auto"/>
              </w:rPr>
              <w:t>Country Fresh Holding Company Inc.</w:t>
            </w:r>
          </w:p>
        </w:tc>
        <w:tc>
          <w:tcPr>
            <w:tcW w:w="120" w:type="dxa"/>
            <w:vAlign w:val="bottom"/>
            <w:shd w:val="clear" w:color="auto" w:fill="CCECFF"/>
          </w:tcPr>
          <w:p>
            <w:pPr>
              <w:spacing w:after="0"/>
              <w:rPr>
                <w:sz w:val="11"/>
                <w:szCs w:val="11"/>
                <w:color w:val="auto"/>
              </w:rPr>
            </w:pPr>
          </w:p>
        </w:tc>
        <w:tc>
          <w:tcPr>
            <w:tcW w:w="760" w:type="dxa"/>
            <w:vAlign w:val="bottom"/>
            <w:gridSpan w:val="2"/>
            <w:shd w:val="clear" w:color="auto" w:fill="CCECFF"/>
          </w:tcPr>
          <w:p>
            <w:pPr>
              <w:ind w:left="260"/>
              <w:spacing w:after="0"/>
              <w:rPr>
                <w:sz w:val="20"/>
                <w:szCs w:val="20"/>
                <w:color w:val="auto"/>
              </w:rPr>
            </w:pPr>
            <w:r>
              <w:rPr>
                <w:rFonts w:ascii="Arial" w:cs="Arial" w:eastAsia="Arial" w:hAnsi="Arial"/>
                <w:sz w:val="11"/>
                <w:szCs w:val="11"/>
                <w:color w:val="auto"/>
              </w:rPr>
              <w:t>—</w:t>
            </w: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6"/>
              </w:rPr>
              <w:t>Beverage, Food and Tobacco</w:t>
            </w:r>
          </w:p>
        </w:tc>
        <w:tc>
          <w:tcPr>
            <w:tcW w:w="600" w:type="dxa"/>
            <w:vAlign w:val="bottom"/>
            <w:shd w:val="clear" w:color="auto" w:fill="CCECFF"/>
          </w:tcPr>
          <w:p>
            <w:pPr>
              <w:spacing w:after="0"/>
              <w:rPr>
                <w:sz w:val="11"/>
                <w:szCs w:val="11"/>
                <w:color w:val="auto"/>
              </w:rPr>
            </w:pPr>
          </w:p>
        </w:tc>
        <w:tc>
          <w:tcPr>
            <w:tcW w:w="260" w:type="dxa"/>
            <w:vAlign w:val="bottom"/>
            <w:shd w:val="clear" w:color="auto" w:fill="CCECFF"/>
          </w:tcPr>
          <w:p>
            <w:pPr>
              <w:spacing w:after="0"/>
              <w:rPr>
                <w:sz w:val="11"/>
                <w:szCs w:val="11"/>
                <w:color w:val="auto"/>
              </w:rPr>
            </w:pPr>
          </w:p>
        </w:tc>
        <w:tc>
          <w:tcPr>
            <w:tcW w:w="560" w:type="dxa"/>
            <w:vAlign w:val="bottom"/>
            <w:shd w:val="clear" w:color="auto" w:fill="CCECFF"/>
          </w:tcPr>
          <w:p>
            <w:pPr>
              <w:spacing w:after="0"/>
              <w:rPr>
                <w:sz w:val="11"/>
                <w:szCs w:val="11"/>
                <w:color w:val="auto"/>
              </w:rPr>
            </w:pPr>
          </w:p>
        </w:tc>
        <w:tc>
          <w:tcPr>
            <w:tcW w:w="3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1,317</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1,713,106</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715,328</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tcPr>
          <w:p>
            <w:pPr>
              <w:spacing w:after="0"/>
              <w:rPr>
                <w:sz w:val="20"/>
                <w:szCs w:val="20"/>
                <w:color w:val="auto"/>
              </w:rPr>
            </w:pPr>
            <w:r>
              <w:rPr>
                <w:rFonts w:ascii="Arial" w:cs="Arial" w:eastAsia="Arial" w:hAnsi="Arial"/>
                <w:sz w:val="11"/>
                <w:szCs w:val="11"/>
                <w:color w:val="auto"/>
              </w:rPr>
              <w:t>DBI Holding, LLC, Series A-1</w:t>
            </w:r>
          </w:p>
        </w:tc>
        <w:tc>
          <w:tcPr>
            <w:tcW w:w="120" w:type="dxa"/>
            <w:vAlign w:val="bottom"/>
          </w:tcPr>
          <w:p>
            <w:pPr>
              <w:spacing w:after="0"/>
              <w:rPr>
                <w:sz w:val="11"/>
                <w:szCs w:val="11"/>
                <w:color w:val="auto"/>
              </w:rPr>
            </w:pPr>
          </w:p>
        </w:tc>
        <w:tc>
          <w:tcPr>
            <w:tcW w:w="760" w:type="dxa"/>
            <w:vAlign w:val="bottom"/>
            <w:gridSpan w:val="2"/>
          </w:tcPr>
          <w:p>
            <w:pPr>
              <w:ind w:left="260"/>
              <w:spacing w:after="0"/>
              <w:rPr>
                <w:sz w:val="20"/>
                <w:szCs w:val="20"/>
                <w:color w:val="auto"/>
              </w:rPr>
            </w:pPr>
            <w:r>
              <w:rPr>
                <w:rFonts w:ascii="Arial" w:cs="Arial" w:eastAsia="Arial" w:hAnsi="Arial"/>
                <w:sz w:val="11"/>
                <w:szCs w:val="11"/>
                <w:color w:val="auto"/>
              </w:rPr>
              <w:t>—</w:t>
            </w:r>
          </w:p>
        </w:tc>
        <w:tc>
          <w:tcPr>
            <w:tcW w:w="2760" w:type="dxa"/>
            <w:vAlign w:val="bottom"/>
            <w:gridSpan w:val="2"/>
          </w:tcPr>
          <w:p>
            <w:pPr>
              <w:jc w:val="center"/>
              <w:ind w:right="140"/>
              <w:spacing w:after="0"/>
              <w:rPr>
                <w:sz w:val="20"/>
                <w:szCs w:val="20"/>
                <w:color w:val="auto"/>
              </w:rPr>
            </w:pPr>
            <w:r>
              <w:rPr>
                <w:rFonts w:ascii="Arial" w:cs="Arial" w:eastAsia="Arial" w:hAnsi="Arial"/>
                <w:sz w:val="11"/>
                <w:szCs w:val="11"/>
                <w:color w:val="auto"/>
                <w:w w:val="86"/>
              </w:rPr>
              <w:t>Business Services</w:t>
            </w:r>
          </w:p>
        </w:tc>
        <w:tc>
          <w:tcPr>
            <w:tcW w:w="86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560" w:type="dxa"/>
            <w:vAlign w:val="bottom"/>
          </w:tcPr>
          <w:p>
            <w:pPr>
              <w:spacing w:after="0"/>
              <w:rPr>
                <w:sz w:val="11"/>
                <w:szCs w:val="11"/>
                <w:color w:val="auto"/>
              </w:rPr>
            </w:pPr>
          </w:p>
        </w:tc>
        <w:tc>
          <w:tcPr>
            <w:tcW w:w="540" w:type="dxa"/>
            <w:vAlign w:val="bottom"/>
            <w:gridSpan w:val="3"/>
          </w:tcPr>
          <w:p>
            <w:pPr>
              <w:jc w:val="right"/>
              <w:ind w:right="220"/>
              <w:spacing w:after="0"/>
              <w:rPr>
                <w:sz w:val="20"/>
                <w:szCs w:val="20"/>
                <w:color w:val="auto"/>
              </w:rPr>
            </w:pPr>
            <w:r>
              <w:rPr>
                <w:rFonts w:ascii="Arial" w:cs="Arial" w:eastAsia="Arial" w:hAnsi="Arial"/>
                <w:sz w:val="11"/>
                <w:szCs w:val="11"/>
                <w:color w:val="auto"/>
              </w:rPr>
              <w:t>—</w:t>
            </w:r>
          </w:p>
        </w:tc>
        <w:tc>
          <w:tcPr>
            <w:tcW w:w="580" w:type="dxa"/>
            <w:vAlign w:val="bottom"/>
          </w:tcPr>
          <w:p>
            <w:pPr>
              <w:jc w:val="right"/>
              <w:spacing w:after="0"/>
              <w:rPr>
                <w:sz w:val="20"/>
                <w:szCs w:val="20"/>
                <w:color w:val="auto"/>
              </w:rPr>
            </w:pPr>
            <w:r>
              <w:rPr>
                <w:rFonts w:ascii="Arial" w:cs="Arial" w:eastAsia="Arial" w:hAnsi="Arial"/>
                <w:sz w:val="11"/>
                <w:szCs w:val="11"/>
                <w:color w:val="auto"/>
              </w:rPr>
              <w:t>5,034</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5,034,310</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4,181,067</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shd w:val="clear" w:color="auto" w:fill="CCECFF"/>
          </w:tcPr>
          <w:p>
            <w:pPr>
              <w:spacing w:after="0"/>
              <w:rPr>
                <w:sz w:val="20"/>
                <w:szCs w:val="20"/>
                <w:color w:val="auto"/>
              </w:rPr>
            </w:pPr>
            <w:r>
              <w:rPr>
                <w:rFonts w:ascii="Arial" w:cs="Arial" w:eastAsia="Arial" w:hAnsi="Arial"/>
                <w:sz w:val="11"/>
                <w:szCs w:val="11"/>
                <w:color w:val="auto"/>
              </w:rPr>
              <w:t>DBI Holding, LLC, Series B</w:t>
            </w:r>
          </w:p>
        </w:tc>
        <w:tc>
          <w:tcPr>
            <w:tcW w:w="120" w:type="dxa"/>
            <w:vAlign w:val="bottom"/>
            <w:shd w:val="clear" w:color="auto" w:fill="CCECFF"/>
          </w:tcPr>
          <w:p>
            <w:pPr>
              <w:spacing w:after="0"/>
              <w:rPr>
                <w:sz w:val="11"/>
                <w:szCs w:val="11"/>
                <w:color w:val="auto"/>
              </w:rPr>
            </w:pPr>
          </w:p>
        </w:tc>
        <w:tc>
          <w:tcPr>
            <w:tcW w:w="760" w:type="dxa"/>
            <w:vAlign w:val="bottom"/>
            <w:gridSpan w:val="2"/>
            <w:shd w:val="clear" w:color="auto" w:fill="CCECFF"/>
          </w:tcPr>
          <w:p>
            <w:pPr>
              <w:ind w:left="260"/>
              <w:spacing w:after="0"/>
              <w:rPr>
                <w:sz w:val="20"/>
                <w:szCs w:val="20"/>
                <w:color w:val="auto"/>
              </w:rPr>
            </w:pPr>
            <w:r>
              <w:rPr>
                <w:rFonts w:ascii="Arial" w:cs="Arial" w:eastAsia="Arial" w:hAnsi="Arial"/>
                <w:sz w:val="11"/>
                <w:szCs w:val="11"/>
                <w:color w:val="auto"/>
              </w:rPr>
              <w:t>—</w:t>
            </w: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6"/>
              </w:rPr>
              <w:t>Business Services</w:t>
            </w:r>
          </w:p>
        </w:tc>
        <w:tc>
          <w:tcPr>
            <w:tcW w:w="86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560" w:type="dxa"/>
            <w:vAlign w:val="bottom"/>
            <w:shd w:val="clear" w:color="auto" w:fill="CCECFF"/>
          </w:tcPr>
          <w:p>
            <w:pPr>
              <w:spacing w:after="0"/>
              <w:rPr>
                <w:sz w:val="11"/>
                <w:szCs w:val="11"/>
                <w:color w:val="auto"/>
              </w:rPr>
            </w:pPr>
          </w:p>
        </w:tc>
        <w:tc>
          <w:tcPr>
            <w:tcW w:w="540" w:type="dxa"/>
            <w:vAlign w:val="bottom"/>
            <w:gridSpan w:val="3"/>
            <w:shd w:val="clear" w:color="auto" w:fill="CCECFF"/>
          </w:tcPr>
          <w:p>
            <w:pPr>
              <w:jc w:val="right"/>
              <w:ind w:right="220"/>
              <w:spacing w:after="0"/>
              <w:rPr>
                <w:sz w:val="20"/>
                <w:szCs w:val="20"/>
                <w:color w:val="auto"/>
              </w:rPr>
            </w:pPr>
            <w:r>
              <w:rPr>
                <w:rFonts w:ascii="Arial" w:cs="Arial" w:eastAsia="Arial" w:hAnsi="Arial"/>
                <w:sz w:val="11"/>
                <w:szCs w:val="11"/>
                <w:color w:val="auto"/>
              </w:rPr>
              <w:t>—</w:t>
            </w: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1,065,021</w:t>
            </w:r>
          </w:p>
        </w:tc>
        <w:tc>
          <w:tcPr>
            <w:tcW w:w="240" w:type="dxa"/>
            <w:vAlign w:val="bottom"/>
            <w:shd w:val="clear" w:color="auto" w:fill="CCECFF"/>
          </w:tcPr>
          <w:p>
            <w:pPr>
              <w:spacing w:after="0"/>
              <w:rPr>
                <w:sz w:val="11"/>
                <w:szCs w:val="11"/>
                <w:color w:val="auto"/>
              </w:rPr>
            </w:pPr>
          </w:p>
        </w:tc>
        <w:tc>
          <w:tcPr>
            <w:tcW w:w="80" w:type="dxa"/>
            <w:vAlign w:val="bottom"/>
            <w:tcBorders>
              <w:bottom w:val="single" w:sz="8" w:color="auto"/>
            </w:tcBorders>
            <w:shd w:val="clear" w:color="auto" w:fill="CCECFF"/>
          </w:tcPr>
          <w:p>
            <w:pPr>
              <w:spacing w:after="0"/>
              <w:rPr>
                <w:sz w:val="11"/>
                <w:szCs w:val="11"/>
                <w:color w:val="auto"/>
              </w:rPr>
            </w:pPr>
          </w:p>
        </w:tc>
        <w:tc>
          <w:tcPr>
            <w:tcW w:w="6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236,521</w:t>
            </w:r>
          </w:p>
        </w:tc>
        <w:tc>
          <w:tcPr>
            <w:tcW w:w="220" w:type="dxa"/>
            <w:vAlign w:val="bottom"/>
            <w:shd w:val="clear" w:color="auto" w:fill="CCECFF"/>
          </w:tcPr>
          <w:p>
            <w:pPr>
              <w:spacing w:after="0"/>
              <w:rPr>
                <w:sz w:val="11"/>
                <w:szCs w:val="11"/>
                <w:color w:val="auto"/>
              </w:rPr>
            </w:pPr>
          </w:p>
        </w:tc>
        <w:tc>
          <w:tcPr>
            <w:tcW w:w="100" w:type="dxa"/>
            <w:vAlign w:val="bottom"/>
            <w:tcBorders>
              <w:bottom w:val="single" w:sz="8" w:color="auto"/>
            </w:tcBorders>
            <w:shd w:val="clear" w:color="auto" w:fill="CCECFF"/>
          </w:tcPr>
          <w:p>
            <w:pPr>
              <w:spacing w:after="0"/>
              <w:rPr>
                <w:sz w:val="11"/>
                <w:szCs w:val="11"/>
                <w:color w:val="auto"/>
              </w:rPr>
            </w:pPr>
          </w:p>
        </w:tc>
        <w:tc>
          <w:tcPr>
            <w:tcW w:w="6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060" w:type="dxa"/>
            <w:vAlign w:val="bottom"/>
            <w:tcBorders>
              <w:bottom w:val="single" w:sz="8" w:color="CCECFF"/>
            </w:tcBorders>
          </w:tcPr>
          <w:p>
            <w:pPr>
              <w:spacing w:after="0"/>
              <w:rPr>
                <w:sz w:val="20"/>
                <w:szCs w:val="20"/>
                <w:color w:val="auto"/>
              </w:rPr>
            </w:pPr>
            <w:r>
              <w:rPr>
                <w:rFonts w:ascii="Arial" w:cs="Arial" w:eastAsia="Arial" w:hAnsi="Arial"/>
                <w:sz w:val="11"/>
                <w:szCs w:val="11"/>
                <w:b w:val="1"/>
                <w:bCs w:val="1"/>
                <w:color w:val="auto"/>
              </w:rPr>
              <w:t>Total Equity Securities</w:t>
            </w:r>
          </w:p>
        </w:tc>
        <w:tc>
          <w:tcPr>
            <w:tcW w:w="120" w:type="dxa"/>
            <w:vAlign w:val="bottom"/>
            <w:tcBorders>
              <w:bottom w:val="single" w:sz="8" w:color="CCECFF"/>
            </w:tcBorders>
          </w:tcPr>
          <w:p>
            <w:pPr>
              <w:spacing w:after="0"/>
              <w:rPr>
                <w:sz w:val="11"/>
                <w:szCs w:val="11"/>
                <w:color w:val="auto"/>
              </w:rPr>
            </w:pPr>
          </w:p>
        </w:tc>
        <w:tc>
          <w:tcPr>
            <w:tcW w:w="520" w:type="dxa"/>
            <w:vAlign w:val="bottom"/>
            <w:tcBorders>
              <w:bottom w:val="single" w:sz="8" w:color="CCECFF"/>
            </w:tcBorders>
          </w:tcPr>
          <w:p>
            <w:pPr>
              <w:spacing w:after="0"/>
              <w:rPr>
                <w:sz w:val="11"/>
                <w:szCs w:val="11"/>
                <w:color w:val="auto"/>
              </w:rPr>
            </w:pPr>
          </w:p>
        </w:tc>
        <w:tc>
          <w:tcPr>
            <w:tcW w:w="240" w:type="dxa"/>
            <w:vAlign w:val="bottom"/>
            <w:tcBorders>
              <w:bottom w:val="single" w:sz="8" w:color="CCECFF"/>
            </w:tcBorders>
          </w:tcPr>
          <w:p>
            <w:pPr>
              <w:spacing w:after="0"/>
              <w:rPr>
                <w:sz w:val="11"/>
                <w:szCs w:val="11"/>
                <w:color w:val="auto"/>
              </w:rPr>
            </w:pPr>
          </w:p>
        </w:tc>
        <w:tc>
          <w:tcPr>
            <w:tcW w:w="2620" w:type="dxa"/>
            <w:vAlign w:val="bottom"/>
            <w:tcBorders>
              <w:bottom w:val="single" w:sz="8" w:color="CCECFF"/>
            </w:tcBorders>
          </w:tcPr>
          <w:p>
            <w:pPr>
              <w:spacing w:after="0"/>
              <w:rPr>
                <w:sz w:val="11"/>
                <w:szCs w:val="11"/>
                <w:color w:val="auto"/>
              </w:rPr>
            </w:pPr>
          </w:p>
        </w:tc>
        <w:tc>
          <w:tcPr>
            <w:tcW w:w="140" w:type="dxa"/>
            <w:vAlign w:val="bottom"/>
            <w:tcBorders>
              <w:bottom w:val="single" w:sz="8" w:color="CCECFF"/>
            </w:tcBorders>
          </w:tcPr>
          <w:p>
            <w:pPr>
              <w:spacing w:after="0"/>
              <w:rPr>
                <w:sz w:val="11"/>
                <w:szCs w:val="11"/>
                <w:color w:val="auto"/>
              </w:rPr>
            </w:pPr>
          </w:p>
        </w:tc>
        <w:tc>
          <w:tcPr>
            <w:tcW w:w="600" w:type="dxa"/>
            <w:vAlign w:val="bottom"/>
            <w:tcBorders>
              <w:bottom w:val="single" w:sz="8" w:color="CCECFF"/>
            </w:tcBorders>
          </w:tcPr>
          <w:p>
            <w:pPr>
              <w:spacing w:after="0"/>
              <w:rPr>
                <w:sz w:val="11"/>
                <w:szCs w:val="11"/>
                <w:color w:val="auto"/>
              </w:rPr>
            </w:pPr>
          </w:p>
        </w:tc>
        <w:tc>
          <w:tcPr>
            <w:tcW w:w="260" w:type="dxa"/>
            <w:vAlign w:val="bottom"/>
            <w:tcBorders>
              <w:bottom w:val="single" w:sz="8" w:color="CCECFF"/>
            </w:tcBorders>
          </w:tcPr>
          <w:p>
            <w:pPr>
              <w:spacing w:after="0"/>
              <w:rPr>
                <w:sz w:val="11"/>
                <w:szCs w:val="11"/>
                <w:color w:val="auto"/>
              </w:rPr>
            </w:pPr>
          </w:p>
        </w:tc>
        <w:tc>
          <w:tcPr>
            <w:tcW w:w="560" w:type="dxa"/>
            <w:vAlign w:val="bottom"/>
            <w:tcBorders>
              <w:bottom w:val="single" w:sz="8" w:color="CCECFF"/>
            </w:tcBorders>
          </w:tcPr>
          <w:p>
            <w:pPr>
              <w:spacing w:after="0"/>
              <w:rPr>
                <w:sz w:val="11"/>
                <w:szCs w:val="11"/>
                <w:color w:val="auto"/>
              </w:rPr>
            </w:pPr>
          </w:p>
        </w:tc>
        <w:tc>
          <w:tcPr>
            <w:tcW w:w="320" w:type="dxa"/>
            <w:vAlign w:val="bottom"/>
            <w:tcBorders>
              <w:bottom w:val="single" w:sz="8" w:color="CCECFF"/>
            </w:tcBorders>
          </w:tcPr>
          <w:p>
            <w:pPr>
              <w:spacing w:after="0"/>
              <w:rPr>
                <w:sz w:val="11"/>
                <w:szCs w:val="11"/>
                <w:color w:val="auto"/>
              </w:rPr>
            </w:pPr>
          </w:p>
        </w:tc>
        <w:tc>
          <w:tcPr>
            <w:tcW w:w="120" w:type="dxa"/>
            <w:vAlign w:val="bottom"/>
            <w:tcBorders>
              <w:bottom w:val="single" w:sz="8" w:color="CCECFF"/>
            </w:tcBorders>
          </w:tcPr>
          <w:p>
            <w:pPr>
              <w:spacing w:after="0"/>
              <w:rPr>
                <w:sz w:val="11"/>
                <w:szCs w:val="11"/>
                <w:color w:val="auto"/>
              </w:rPr>
            </w:pPr>
          </w:p>
        </w:tc>
        <w:tc>
          <w:tcPr>
            <w:tcW w:w="100" w:type="dxa"/>
            <w:vAlign w:val="bottom"/>
            <w:tcBorders>
              <w:bottom w:val="single" w:sz="8" w:color="CCECFF"/>
            </w:tcBorders>
          </w:tcPr>
          <w:p>
            <w:pPr>
              <w:spacing w:after="0"/>
              <w:rPr>
                <w:sz w:val="11"/>
                <w:szCs w:val="11"/>
                <w:color w:val="auto"/>
              </w:rPr>
            </w:pPr>
          </w:p>
        </w:tc>
        <w:tc>
          <w:tcPr>
            <w:tcW w:w="580" w:type="dxa"/>
            <w:vAlign w:val="bottom"/>
            <w:tcBorders>
              <w:bottom w:val="single" w:sz="8" w:color="CCECFF"/>
            </w:tcBorders>
          </w:tcPr>
          <w:p>
            <w:pPr>
              <w:spacing w:after="0"/>
              <w:rPr>
                <w:sz w:val="11"/>
                <w:szCs w:val="11"/>
                <w:color w:val="auto"/>
              </w:rPr>
            </w:pPr>
          </w:p>
        </w:tc>
        <w:tc>
          <w:tcPr>
            <w:tcW w:w="240" w:type="dxa"/>
            <w:vAlign w:val="bottom"/>
            <w:tcBorders>
              <w:bottom w:val="single" w:sz="8" w:color="CCEC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6,983,937</w:t>
            </w:r>
          </w:p>
        </w:tc>
        <w:tc>
          <w:tcPr>
            <w:tcW w:w="220" w:type="dxa"/>
            <w:vAlign w:val="bottom"/>
            <w:tcBorders>
              <w:bottom w:val="single" w:sz="8" w:color="CCEC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4,896,395</w:t>
            </w:r>
          </w:p>
        </w:tc>
        <w:tc>
          <w:tcPr>
            <w:tcW w:w="120" w:type="dxa"/>
            <w:vAlign w:val="bottom"/>
            <w:tcBorders>
              <w:bottom w:val="single" w:sz="8" w:color="CCECFF"/>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3060" w:type="dxa"/>
            <w:vAlign w:val="bottom"/>
            <w:shd w:val="clear" w:color="auto" w:fill="CCECFF"/>
          </w:tcPr>
          <w:p>
            <w:pPr>
              <w:spacing w:after="0"/>
              <w:rPr>
                <w:sz w:val="20"/>
                <w:szCs w:val="20"/>
                <w:color w:val="auto"/>
              </w:rPr>
            </w:pPr>
            <w:r>
              <w:rPr>
                <w:rFonts w:ascii="Arial" w:cs="Arial" w:eastAsia="Arial" w:hAnsi="Arial"/>
                <w:sz w:val="11"/>
                <w:szCs w:val="11"/>
                <w:b w:val="1"/>
                <w:bCs w:val="1"/>
                <w:color w:val="auto"/>
              </w:rPr>
              <w:t>Cash and Cash Equivalents</w:t>
            </w:r>
          </w:p>
        </w:tc>
        <w:tc>
          <w:tcPr>
            <w:tcW w:w="120" w:type="dxa"/>
            <w:vAlign w:val="bottom"/>
            <w:shd w:val="clear" w:color="auto" w:fill="CCECFF"/>
          </w:tcPr>
          <w:p>
            <w:pPr>
              <w:spacing w:after="0"/>
              <w:rPr>
                <w:sz w:val="11"/>
                <w:szCs w:val="11"/>
                <w:color w:val="auto"/>
              </w:rPr>
            </w:pPr>
          </w:p>
        </w:tc>
        <w:tc>
          <w:tcPr>
            <w:tcW w:w="52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262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600" w:type="dxa"/>
            <w:vAlign w:val="bottom"/>
            <w:shd w:val="clear" w:color="auto" w:fill="CCECFF"/>
          </w:tcPr>
          <w:p>
            <w:pPr>
              <w:spacing w:after="0"/>
              <w:rPr>
                <w:sz w:val="11"/>
                <w:szCs w:val="11"/>
                <w:color w:val="auto"/>
              </w:rPr>
            </w:pPr>
          </w:p>
        </w:tc>
        <w:tc>
          <w:tcPr>
            <w:tcW w:w="260" w:type="dxa"/>
            <w:vAlign w:val="bottom"/>
            <w:shd w:val="clear" w:color="auto" w:fill="CCECFF"/>
          </w:tcPr>
          <w:p>
            <w:pPr>
              <w:spacing w:after="0"/>
              <w:rPr>
                <w:sz w:val="11"/>
                <w:szCs w:val="11"/>
                <w:color w:val="auto"/>
              </w:rPr>
            </w:pPr>
          </w:p>
        </w:tc>
        <w:tc>
          <w:tcPr>
            <w:tcW w:w="560" w:type="dxa"/>
            <w:vAlign w:val="bottom"/>
            <w:shd w:val="clear" w:color="auto" w:fill="CCECFF"/>
          </w:tcPr>
          <w:p>
            <w:pPr>
              <w:spacing w:after="0"/>
              <w:rPr>
                <w:sz w:val="11"/>
                <w:szCs w:val="11"/>
                <w:color w:val="auto"/>
              </w:rPr>
            </w:pPr>
          </w:p>
        </w:tc>
        <w:tc>
          <w:tcPr>
            <w:tcW w:w="3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8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tcPr>
          <w:p>
            <w:pPr>
              <w:spacing w:after="0"/>
              <w:rPr>
                <w:sz w:val="20"/>
                <w:szCs w:val="20"/>
                <w:color w:val="auto"/>
              </w:rPr>
            </w:pPr>
            <w:r>
              <w:rPr>
                <w:rFonts w:ascii="Arial" w:cs="Arial" w:eastAsia="Arial" w:hAnsi="Arial"/>
                <w:sz w:val="11"/>
                <w:szCs w:val="11"/>
                <w:color w:val="auto"/>
              </w:rPr>
              <w:t>BlackRock Federal FD Institutional 30</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8,874,900</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8,874,900</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shd w:val="clear" w:color="auto" w:fill="CCECFF"/>
          </w:tcPr>
          <w:p>
            <w:pPr>
              <w:spacing w:after="0"/>
              <w:rPr>
                <w:sz w:val="20"/>
                <w:szCs w:val="20"/>
                <w:color w:val="auto"/>
              </w:rPr>
            </w:pPr>
            <w:r>
              <w:rPr>
                <w:rFonts w:ascii="Arial" w:cs="Arial" w:eastAsia="Arial" w:hAnsi="Arial"/>
                <w:sz w:val="11"/>
                <w:szCs w:val="11"/>
                <w:color w:val="auto"/>
              </w:rPr>
              <w:t>US Bank Cash</w:t>
            </w:r>
          </w:p>
        </w:tc>
        <w:tc>
          <w:tcPr>
            <w:tcW w:w="120" w:type="dxa"/>
            <w:vAlign w:val="bottom"/>
            <w:shd w:val="clear" w:color="auto" w:fill="CCECFF"/>
          </w:tcPr>
          <w:p>
            <w:pPr>
              <w:spacing w:after="0"/>
              <w:rPr>
                <w:sz w:val="11"/>
                <w:szCs w:val="11"/>
                <w:color w:val="auto"/>
              </w:rPr>
            </w:pPr>
          </w:p>
        </w:tc>
        <w:tc>
          <w:tcPr>
            <w:tcW w:w="52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262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600" w:type="dxa"/>
            <w:vAlign w:val="bottom"/>
            <w:shd w:val="clear" w:color="auto" w:fill="CCECFF"/>
          </w:tcPr>
          <w:p>
            <w:pPr>
              <w:spacing w:after="0"/>
              <w:rPr>
                <w:sz w:val="11"/>
                <w:szCs w:val="11"/>
                <w:color w:val="auto"/>
              </w:rPr>
            </w:pPr>
          </w:p>
        </w:tc>
        <w:tc>
          <w:tcPr>
            <w:tcW w:w="260" w:type="dxa"/>
            <w:vAlign w:val="bottom"/>
            <w:shd w:val="clear" w:color="auto" w:fill="CCECFF"/>
          </w:tcPr>
          <w:p>
            <w:pPr>
              <w:spacing w:after="0"/>
              <w:rPr>
                <w:sz w:val="11"/>
                <w:szCs w:val="11"/>
                <w:color w:val="auto"/>
              </w:rPr>
            </w:pPr>
          </w:p>
        </w:tc>
        <w:tc>
          <w:tcPr>
            <w:tcW w:w="560" w:type="dxa"/>
            <w:vAlign w:val="bottom"/>
            <w:shd w:val="clear" w:color="auto" w:fill="CCECFF"/>
          </w:tcPr>
          <w:p>
            <w:pPr>
              <w:spacing w:after="0"/>
              <w:rPr>
                <w:sz w:val="11"/>
                <w:szCs w:val="11"/>
                <w:color w:val="auto"/>
              </w:rPr>
            </w:pPr>
          </w:p>
        </w:tc>
        <w:tc>
          <w:tcPr>
            <w:tcW w:w="3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8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80" w:type="dxa"/>
            <w:vAlign w:val="bottom"/>
            <w:tcBorders>
              <w:bottom w:val="single" w:sz="8" w:color="auto"/>
            </w:tcBorders>
            <w:shd w:val="clear" w:color="auto" w:fill="CCECFF"/>
          </w:tcPr>
          <w:p>
            <w:pPr>
              <w:spacing w:after="0"/>
              <w:rPr>
                <w:sz w:val="11"/>
                <w:szCs w:val="11"/>
                <w:color w:val="auto"/>
              </w:rPr>
            </w:pPr>
          </w:p>
        </w:tc>
        <w:tc>
          <w:tcPr>
            <w:tcW w:w="6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3,113,145</w:t>
            </w:r>
          </w:p>
        </w:tc>
        <w:tc>
          <w:tcPr>
            <w:tcW w:w="220" w:type="dxa"/>
            <w:vAlign w:val="bottom"/>
            <w:shd w:val="clear" w:color="auto" w:fill="CCECFF"/>
          </w:tcPr>
          <w:p>
            <w:pPr>
              <w:spacing w:after="0"/>
              <w:rPr>
                <w:sz w:val="11"/>
                <w:szCs w:val="11"/>
                <w:color w:val="auto"/>
              </w:rPr>
            </w:pPr>
          </w:p>
        </w:tc>
        <w:tc>
          <w:tcPr>
            <w:tcW w:w="100" w:type="dxa"/>
            <w:vAlign w:val="bottom"/>
            <w:tcBorders>
              <w:bottom w:val="single" w:sz="8" w:color="auto"/>
            </w:tcBorders>
            <w:shd w:val="clear" w:color="auto" w:fill="CCECFF"/>
          </w:tcPr>
          <w:p>
            <w:pPr>
              <w:spacing w:after="0"/>
              <w:rPr>
                <w:sz w:val="11"/>
                <w:szCs w:val="11"/>
                <w:color w:val="auto"/>
              </w:rPr>
            </w:pPr>
          </w:p>
        </w:tc>
        <w:tc>
          <w:tcPr>
            <w:tcW w:w="6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3,154,459</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3060" w:type="dxa"/>
            <w:vAlign w:val="bottom"/>
            <w:tcBorders>
              <w:bottom w:val="single" w:sz="8" w:color="CCECFF"/>
            </w:tcBorders>
          </w:tcPr>
          <w:p>
            <w:pPr>
              <w:spacing w:after="0"/>
              <w:rPr>
                <w:sz w:val="20"/>
                <w:szCs w:val="20"/>
                <w:color w:val="auto"/>
              </w:rPr>
            </w:pPr>
            <w:r>
              <w:rPr>
                <w:rFonts w:ascii="Arial" w:cs="Arial" w:eastAsia="Arial" w:hAnsi="Arial"/>
                <w:sz w:val="11"/>
                <w:szCs w:val="11"/>
                <w:b w:val="1"/>
                <w:bCs w:val="1"/>
                <w:color w:val="auto"/>
              </w:rPr>
              <w:t>Total Cash and Cash Equivalents</w:t>
            </w:r>
          </w:p>
        </w:tc>
        <w:tc>
          <w:tcPr>
            <w:tcW w:w="120" w:type="dxa"/>
            <w:vAlign w:val="bottom"/>
            <w:tcBorders>
              <w:bottom w:val="single" w:sz="8" w:color="CCECFF"/>
            </w:tcBorders>
          </w:tcPr>
          <w:p>
            <w:pPr>
              <w:spacing w:after="0"/>
              <w:rPr>
                <w:sz w:val="11"/>
                <w:szCs w:val="11"/>
                <w:color w:val="auto"/>
              </w:rPr>
            </w:pPr>
          </w:p>
        </w:tc>
        <w:tc>
          <w:tcPr>
            <w:tcW w:w="520" w:type="dxa"/>
            <w:vAlign w:val="bottom"/>
            <w:tcBorders>
              <w:bottom w:val="single" w:sz="8" w:color="CCECFF"/>
            </w:tcBorders>
          </w:tcPr>
          <w:p>
            <w:pPr>
              <w:spacing w:after="0"/>
              <w:rPr>
                <w:sz w:val="11"/>
                <w:szCs w:val="11"/>
                <w:color w:val="auto"/>
              </w:rPr>
            </w:pPr>
          </w:p>
        </w:tc>
        <w:tc>
          <w:tcPr>
            <w:tcW w:w="240" w:type="dxa"/>
            <w:vAlign w:val="bottom"/>
            <w:tcBorders>
              <w:bottom w:val="single" w:sz="8" w:color="CCECFF"/>
            </w:tcBorders>
          </w:tcPr>
          <w:p>
            <w:pPr>
              <w:spacing w:after="0"/>
              <w:rPr>
                <w:sz w:val="11"/>
                <w:szCs w:val="11"/>
                <w:color w:val="auto"/>
              </w:rPr>
            </w:pPr>
          </w:p>
        </w:tc>
        <w:tc>
          <w:tcPr>
            <w:tcW w:w="2620" w:type="dxa"/>
            <w:vAlign w:val="bottom"/>
            <w:tcBorders>
              <w:bottom w:val="single" w:sz="8" w:color="CCECFF"/>
            </w:tcBorders>
          </w:tcPr>
          <w:p>
            <w:pPr>
              <w:spacing w:after="0"/>
              <w:rPr>
                <w:sz w:val="11"/>
                <w:szCs w:val="11"/>
                <w:color w:val="auto"/>
              </w:rPr>
            </w:pPr>
          </w:p>
        </w:tc>
        <w:tc>
          <w:tcPr>
            <w:tcW w:w="140" w:type="dxa"/>
            <w:vAlign w:val="bottom"/>
            <w:tcBorders>
              <w:bottom w:val="single" w:sz="8" w:color="CCECFF"/>
            </w:tcBorders>
          </w:tcPr>
          <w:p>
            <w:pPr>
              <w:spacing w:after="0"/>
              <w:rPr>
                <w:sz w:val="11"/>
                <w:szCs w:val="11"/>
                <w:color w:val="auto"/>
              </w:rPr>
            </w:pPr>
          </w:p>
        </w:tc>
        <w:tc>
          <w:tcPr>
            <w:tcW w:w="600" w:type="dxa"/>
            <w:vAlign w:val="bottom"/>
            <w:tcBorders>
              <w:bottom w:val="single" w:sz="8" w:color="CCECFF"/>
            </w:tcBorders>
          </w:tcPr>
          <w:p>
            <w:pPr>
              <w:spacing w:after="0"/>
              <w:rPr>
                <w:sz w:val="11"/>
                <w:szCs w:val="11"/>
                <w:color w:val="auto"/>
              </w:rPr>
            </w:pPr>
          </w:p>
        </w:tc>
        <w:tc>
          <w:tcPr>
            <w:tcW w:w="260" w:type="dxa"/>
            <w:vAlign w:val="bottom"/>
            <w:tcBorders>
              <w:bottom w:val="single" w:sz="8" w:color="CCECFF"/>
            </w:tcBorders>
          </w:tcPr>
          <w:p>
            <w:pPr>
              <w:spacing w:after="0"/>
              <w:rPr>
                <w:sz w:val="11"/>
                <w:szCs w:val="11"/>
                <w:color w:val="auto"/>
              </w:rPr>
            </w:pPr>
          </w:p>
        </w:tc>
        <w:tc>
          <w:tcPr>
            <w:tcW w:w="560" w:type="dxa"/>
            <w:vAlign w:val="bottom"/>
            <w:tcBorders>
              <w:bottom w:val="single" w:sz="8" w:color="CCECFF"/>
            </w:tcBorders>
          </w:tcPr>
          <w:p>
            <w:pPr>
              <w:spacing w:after="0"/>
              <w:rPr>
                <w:sz w:val="11"/>
                <w:szCs w:val="11"/>
                <w:color w:val="auto"/>
              </w:rPr>
            </w:pPr>
          </w:p>
        </w:tc>
        <w:tc>
          <w:tcPr>
            <w:tcW w:w="320" w:type="dxa"/>
            <w:vAlign w:val="bottom"/>
            <w:tcBorders>
              <w:bottom w:val="single" w:sz="8" w:color="CCECFF"/>
            </w:tcBorders>
          </w:tcPr>
          <w:p>
            <w:pPr>
              <w:spacing w:after="0"/>
              <w:rPr>
                <w:sz w:val="11"/>
                <w:szCs w:val="11"/>
                <w:color w:val="auto"/>
              </w:rPr>
            </w:pPr>
          </w:p>
        </w:tc>
        <w:tc>
          <w:tcPr>
            <w:tcW w:w="120" w:type="dxa"/>
            <w:vAlign w:val="bottom"/>
            <w:tcBorders>
              <w:bottom w:val="single" w:sz="8" w:color="CCECFF"/>
            </w:tcBorders>
          </w:tcPr>
          <w:p>
            <w:pPr>
              <w:spacing w:after="0"/>
              <w:rPr>
                <w:sz w:val="11"/>
                <w:szCs w:val="11"/>
                <w:color w:val="auto"/>
              </w:rPr>
            </w:pPr>
          </w:p>
        </w:tc>
        <w:tc>
          <w:tcPr>
            <w:tcW w:w="100" w:type="dxa"/>
            <w:vAlign w:val="bottom"/>
            <w:tcBorders>
              <w:bottom w:val="single" w:sz="8" w:color="CCECFF"/>
            </w:tcBorders>
          </w:tcPr>
          <w:p>
            <w:pPr>
              <w:spacing w:after="0"/>
              <w:rPr>
                <w:sz w:val="11"/>
                <w:szCs w:val="11"/>
                <w:color w:val="auto"/>
              </w:rPr>
            </w:pPr>
          </w:p>
        </w:tc>
        <w:tc>
          <w:tcPr>
            <w:tcW w:w="580" w:type="dxa"/>
            <w:vAlign w:val="bottom"/>
            <w:tcBorders>
              <w:bottom w:val="single" w:sz="8" w:color="CCECFF"/>
            </w:tcBorders>
          </w:tcPr>
          <w:p>
            <w:pPr>
              <w:spacing w:after="0"/>
              <w:rPr>
                <w:sz w:val="11"/>
                <w:szCs w:val="11"/>
                <w:color w:val="auto"/>
              </w:rPr>
            </w:pPr>
          </w:p>
        </w:tc>
        <w:tc>
          <w:tcPr>
            <w:tcW w:w="240" w:type="dxa"/>
            <w:vAlign w:val="bottom"/>
            <w:tcBorders>
              <w:bottom w:val="single" w:sz="8" w:color="CCEC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11,988,045</w:t>
            </w:r>
          </w:p>
        </w:tc>
        <w:tc>
          <w:tcPr>
            <w:tcW w:w="220" w:type="dxa"/>
            <w:vAlign w:val="bottom"/>
            <w:tcBorders>
              <w:bottom w:val="single" w:sz="8" w:color="CCEC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12,029,359</w:t>
            </w:r>
          </w:p>
        </w:tc>
        <w:tc>
          <w:tcPr>
            <w:tcW w:w="120" w:type="dxa"/>
            <w:vAlign w:val="bottom"/>
            <w:tcBorders>
              <w:bottom w:val="single" w:sz="8" w:color="CCECFF"/>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060" w:type="dxa"/>
            <w:vAlign w:val="bottom"/>
            <w:shd w:val="clear" w:color="auto" w:fill="CCECFF"/>
          </w:tcPr>
          <w:p>
            <w:pPr>
              <w:spacing w:after="0"/>
              <w:rPr>
                <w:sz w:val="20"/>
                <w:szCs w:val="20"/>
                <w:color w:val="auto"/>
              </w:rPr>
            </w:pPr>
            <w:r>
              <w:rPr>
                <w:rFonts w:ascii="Arial" w:cs="Arial" w:eastAsia="Arial" w:hAnsi="Arial"/>
                <w:sz w:val="11"/>
                <w:szCs w:val="11"/>
                <w:b w:val="1"/>
                <w:bCs w:val="1"/>
                <w:color w:val="auto"/>
              </w:rPr>
              <w:t>Total Investments and Cash Equivalents</w:t>
            </w:r>
          </w:p>
        </w:tc>
        <w:tc>
          <w:tcPr>
            <w:tcW w:w="120" w:type="dxa"/>
            <w:vAlign w:val="bottom"/>
            <w:shd w:val="clear" w:color="auto" w:fill="CCECFF"/>
          </w:tcPr>
          <w:p>
            <w:pPr>
              <w:spacing w:after="0"/>
              <w:rPr>
                <w:sz w:val="11"/>
                <w:szCs w:val="11"/>
                <w:color w:val="auto"/>
              </w:rPr>
            </w:pPr>
          </w:p>
        </w:tc>
        <w:tc>
          <w:tcPr>
            <w:tcW w:w="52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262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600" w:type="dxa"/>
            <w:vAlign w:val="bottom"/>
            <w:shd w:val="clear" w:color="auto" w:fill="CCECFF"/>
          </w:tcPr>
          <w:p>
            <w:pPr>
              <w:spacing w:after="0"/>
              <w:rPr>
                <w:sz w:val="11"/>
                <w:szCs w:val="11"/>
                <w:color w:val="auto"/>
              </w:rPr>
            </w:pPr>
          </w:p>
        </w:tc>
        <w:tc>
          <w:tcPr>
            <w:tcW w:w="260" w:type="dxa"/>
            <w:vAlign w:val="bottom"/>
            <w:shd w:val="clear" w:color="auto" w:fill="CCECFF"/>
          </w:tcPr>
          <w:p>
            <w:pPr>
              <w:spacing w:after="0"/>
              <w:rPr>
                <w:sz w:val="11"/>
                <w:szCs w:val="11"/>
                <w:color w:val="auto"/>
              </w:rPr>
            </w:pPr>
          </w:p>
        </w:tc>
        <w:tc>
          <w:tcPr>
            <w:tcW w:w="560" w:type="dxa"/>
            <w:vAlign w:val="bottom"/>
            <w:shd w:val="clear" w:color="auto" w:fill="CCECFF"/>
          </w:tcPr>
          <w:p>
            <w:pPr>
              <w:spacing w:after="0"/>
              <w:rPr>
                <w:sz w:val="11"/>
                <w:szCs w:val="11"/>
                <w:color w:val="auto"/>
              </w:rPr>
            </w:pPr>
          </w:p>
        </w:tc>
        <w:tc>
          <w:tcPr>
            <w:tcW w:w="3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80" w:type="dxa"/>
            <w:vAlign w:val="bottom"/>
            <w:shd w:val="clear" w:color="auto" w:fill="CCECFF"/>
          </w:tcPr>
          <w:p>
            <w:pPr>
              <w:spacing w:after="0"/>
              <w:rPr>
                <w:sz w:val="11"/>
                <w:szCs w:val="11"/>
                <w:color w:val="auto"/>
              </w:rPr>
            </w:pPr>
          </w:p>
        </w:tc>
        <w:tc>
          <w:tcPr>
            <w:tcW w:w="320" w:type="dxa"/>
            <w:vAlign w:val="bottom"/>
            <w:gridSpan w:val="2"/>
            <w:shd w:val="clear" w:color="auto" w:fill="CCECFF"/>
          </w:tcPr>
          <w:p>
            <w:pPr>
              <w:jc w:val="right"/>
              <w:ind w:right="40"/>
              <w:spacing w:after="0"/>
              <w:rPr>
                <w:sz w:val="20"/>
                <w:szCs w:val="20"/>
                <w:color w:val="auto"/>
              </w:rPr>
            </w:pPr>
            <w:r>
              <w:rPr>
                <w:rFonts w:ascii="Arial" w:cs="Arial" w:eastAsia="Arial" w:hAnsi="Arial"/>
                <w:sz w:val="11"/>
                <w:szCs w:val="11"/>
                <w:color w:val="auto"/>
              </w:rPr>
              <w:t>$</w:t>
            </w: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w w:val="91"/>
              </w:rPr>
              <w:t>510,032,368</w:t>
            </w:r>
          </w:p>
        </w:tc>
        <w:tc>
          <w:tcPr>
            <w:tcW w:w="3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w w:val="98"/>
              </w:rPr>
              <w:t>505,220,163</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3060" w:type="dxa"/>
            <w:vAlign w:val="bottom"/>
            <w:tcBorders>
              <w:top w:val="single" w:sz="8" w:color="CCECFF"/>
              <w:bottom w:val="single" w:sz="8" w:color="CCECFF"/>
            </w:tcBorders>
            <w:vMerge w:val="restart"/>
          </w:tcPr>
          <w:p>
            <w:pPr>
              <w:spacing w:after="0"/>
              <w:rPr>
                <w:sz w:val="20"/>
                <w:szCs w:val="20"/>
                <w:color w:val="auto"/>
              </w:rPr>
            </w:pPr>
            <w:r>
              <w:rPr>
                <w:rFonts w:ascii="Arial" w:cs="Arial" w:eastAsia="Arial" w:hAnsi="Arial"/>
                <w:sz w:val="11"/>
                <w:szCs w:val="11"/>
                <w:b w:val="1"/>
                <w:bCs w:val="1"/>
                <w:color w:val="auto"/>
              </w:rPr>
              <w:t>Liabilities in Excess of Other Assets</w:t>
            </w:r>
          </w:p>
        </w:tc>
        <w:tc>
          <w:tcPr>
            <w:tcW w:w="120" w:type="dxa"/>
            <w:vAlign w:val="bottom"/>
            <w:tcBorders>
              <w:top w:val="single" w:sz="8" w:color="CCECFF"/>
            </w:tcBorders>
          </w:tcPr>
          <w:p>
            <w:pPr>
              <w:spacing w:after="0" w:line="20" w:lineRule="exact"/>
              <w:rPr>
                <w:sz w:val="1"/>
                <w:szCs w:val="1"/>
                <w:color w:val="auto"/>
              </w:rPr>
            </w:pPr>
          </w:p>
        </w:tc>
        <w:tc>
          <w:tcPr>
            <w:tcW w:w="520" w:type="dxa"/>
            <w:vAlign w:val="bottom"/>
            <w:tcBorders>
              <w:top w:val="single" w:sz="8" w:color="CCECFF"/>
            </w:tcBorders>
          </w:tcPr>
          <w:p>
            <w:pPr>
              <w:spacing w:after="0" w:line="20" w:lineRule="exact"/>
              <w:rPr>
                <w:sz w:val="1"/>
                <w:szCs w:val="1"/>
                <w:color w:val="auto"/>
              </w:rPr>
            </w:pPr>
          </w:p>
        </w:tc>
        <w:tc>
          <w:tcPr>
            <w:tcW w:w="240" w:type="dxa"/>
            <w:vAlign w:val="bottom"/>
            <w:tcBorders>
              <w:top w:val="single" w:sz="8" w:color="CCECFF"/>
            </w:tcBorders>
          </w:tcPr>
          <w:p>
            <w:pPr>
              <w:spacing w:after="0" w:line="20" w:lineRule="exact"/>
              <w:rPr>
                <w:sz w:val="1"/>
                <w:szCs w:val="1"/>
                <w:color w:val="auto"/>
              </w:rPr>
            </w:pPr>
          </w:p>
        </w:tc>
        <w:tc>
          <w:tcPr>
            <w:tcW w:w="2620" w:type="dxa"/>
            <w:vAlign w:val="bottom"/>
            <w:tcBorders>
              <w:top w:val="single" w:sz="8" w:color="CCECFF"/>
            </w:tcBorders>
          </w:tcPr>
          <w:p>
            <w:pPr>
              <w:spacing w:after="0" w:line="20" w:lineRule="exact"/>
              <w:rPr>
                <w:sz w:val="1"/>
                <w:szCs w:val="1"/>
                <w:color w:val="auto"/>
              </w:rPr>
            </w:pPr>
          </w:p>
        </w:tc>
        <w:tc>
          <w:tcPr>
            <w:tcW w:w="140" w:type="dxa"/>
            <w:vAlign w:val="bottom"/>
            <w:tcBorders>
              <w:top w:val="single" w:sz="8" w:color="CCECFF"/>
            </w:tcBorders>
          </w:tcPr>
          <w:p>
            <w:pPr>
              <w:spacing w:after="0" w:line="20" w:lineRule="exact"/>
              <w:rPr>
                <w:sz w:val="1"/>
                <w:szCs w:val="1"/>
                <w:color w:val="auto"/>
              </w:rPr>
            </w:pPr>
          </w:p>
        </w:tc>
        <w:tc>
          <w:tcPr>
            <w:tcW w:w="600" w:type="dxa"/>
            <w:vAlign w:val="bottom"/>
            <w:tcBorders>
              <w:top w:val="single" w:sz="8" w:color="CCECFF"/>
            </w:tcBorders>
          </w:tcPr>
          <w:p>
            <w:pPr>
              <w:spacing w:after="0" w:line="20" w:lineRule="exact"/>
              <w:rPr>
                <w:sz w:val="1"/>
                <w:szCs w:val="1"/>
                <w:color w:val="auto"/>
              </w:rPr>
            </w:pPr>
          </w:p>
        </w:tc>
        <w:tc>
          <w:tcPr>
            <w:tcW w:w="260" w:type="dxa"/>
            <w:vAlign w:val="bottom"/>
            <w:tcBorders>
              <w:top w:val="single" w:sz="8" w:color="CCECFF"/>
            </w:tcBorders>
          </w:tcPr>
          <w:p>
            <w:pPr>
              <w:spacing w:after="0" w:line="20" w:lineRule="exact"/>
              <w:rPr>
                <w:sz w:val="1"/>
                <w:szCs w:val="1"/>
                <w:color w:val="auto"/>
              </w:rPr>
            </w:pPr>
          </w:p>
        </w:tc>
        <w:tc>
          <w:tcPr>
            <w:tcW w:w="560" w:type="dxa"/>
            <w:vAlign w:val="bottom"/>
            <w:tcBorders>
              <w:top w:val="single" w:sz="8" w:color="CCECFF"/>
            </w:tcBorders>
          </w:tcPr>
          <w:p>
            <w:pPr>
              <w:spacing w:after="0" w:line="20" w:lineRule="exact"/>
              <w:rPr>
                <w:sz w:val="1"/>
                <w:szCs w:val="1"/>
                <w:color w:val="auto"/>
              </w:rPr>
            </w:pPr>
          </w:p>
        </w:tc>
        <w:tc>
          <w:tcPr>
            <w:tcW w:w="320" w:type="dxa"/>
            <w:vAlign w:val="bottom"/>
            <w:tcBorders>
              <w:top w:val="single" w:sz="8" w:color="CCECFF"/>
            </w:tcBorders>
          </w:tcPr>
          <w:p>
            <w:pPr>
              <w:spacing w:after="0" w:line="20" w:lineRule="exact"/>
              <w:rPr>
                <w:sz w:val="1"/>
                <w:szCs w:val="1"/>
                <w:color w:val="auto"/>
              </w:rPr>
            </w:pPr>
          </w:p>
        </w:tc>
        <w:tc>
          <w:tcPr>
            <w:tcW w:w="120" w:type="dxa"/>
            <w:vAlign w:val="bottom"/>
            <w:tcBorders>
              <w:top w:val="single" w:sz="8" w:color="CCECFF"/>
            </w:tcBorders>
          </w:tcPr>
          <w:p>
            <w:pPr>
              <w:spacing w:after="0" w:line="20" w:lineRule="exact"/>
              <w:rPr>
                <w:sz w:val="1"/>
                <w:szCs w:val="1"/>
                <w:color w:val="auto"/>
              </w:rPr>
            </w:pPr>
          </w:p>
        </w:tc>
        <w:tc>
          <w:tcPr>
            <w:tcW w:w="100" w:type="dxa"/>
            <w:vAlign w:val="bottom"/>
            <w:tcBorders>
              <w:top w:val="single" w:sz="8" w:color="CCECFF"/>
            </w:tcBorders>
          </w:tcPr>
          <w:p>
            <w:pPr>
              <w:spacing w:after="0" w:line="20" w:lineRule="exact"/>
              <w:rPr>
                <w:sz w:val="1"/>
                <w:szCs w:val="1"/>
                <w:color w:val="auto"/>
              </w:rPr>
            </w:pPr>
          </w:p>
        </w:tc>
        <w:tc>
          <w:tcPr>
            <w:tcW w:w="580" w:type="dxa"/>
            <w:vAlign w:val="bottom"/>
            <w:tcBorders>
              <w:top w:val="single" w:sz="8" w:color="CCECFF"/>
            </w:tcBorders>
          </w:tcPr>
          <w:p>
            <w:pPr>
              <w:spacing w:after="0" w:line="20" w:lineRule="exact"/>
              <w:rPr>
                <w:sz w:val="1"/>
                <w:szCs w:val="1"/>
                <w:color w:val="auto"/>
              </w:rPr>
            </w:pPr>
          </w:p>
        </w:tc>
        <w:tc>
          <w:tcPr>
            <w:tcW w:w="240" w:type="dxa"/>
            <w:vAlign w:val="bottom"/>
            <w:tcBorders>
              <w:top w:val="single" w:sz="8" w:color="CCEC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C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C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306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gridSpan w:val="2"/>
          </w:tcPr>
          <w:p>
            <w:pPr>
              <w:jc w:val="right"/>
              <w:ind w:right="80"/>
              <w:spacing w:after="0" w:line="116" w:lineRule="exact"/>
              <w:rPr>
                <w:sz w:val="20"/>
                <w:szCs w:val="20"/>
                <w:color w:val="auto"/>
              </w:rPr>
            </w:pPr>
            <w:r>
              <w:rPr>
                <w:rFonts w:ascii="Arial" w:cs="Arial" w:eastAsia="Arial" w:hAnsi="Arial"/>
                <w:sz w:val="11"/>
                <w:szCs w:val="11"/>
                <w:color w:val="auto"/>
                <w:w w:val="96"/>
              </w:rPr>
              <w:t>(448,388,336)</w:t>
            </w:r>
          </w:p>
        </w:tc>
        <w:tc>
          <w:tcPr>
            <w:tcW w:w="0" w:type="dxa"/>
            <w:vAlign w:val="bottom"/>
          </w:tcPr>
          <w:p>
            <w:pPr>
              <w:spacing w:after="0"/>
              <w:rPr>
                <w:sz w:val="1"/>
                <w:szCs w:val="1"/>
                <w:color w:val="auto"/>
              </w:rPr>
            </w:pPr>
          </w:p>
        </w:tc>
      </w:tr>
      <w:tr>
        <w:trPr>
          <w:trHeight w:val="129"/>
        </w:trPr>
        <w:tc>
          <w:tcPr>
            <w:tcW w:w="3060" w:type="dxa"/>
            <w:vAlign w:val="bottom"/>
            <w:tcBorders>
              <w:top w:val="single" w:sz="8" w:color="CCECFF"/>
              <w:bottom w:val="single" w:sz="8" w:color="CCECFF"/>
            </w:tcBorders>
            <w:shd w:val="clear" w:color="auto" w:fill="CCECFF"/>
          </w:tcPr>
          <w:p>
            <w:pPr>
              <w:spacing w:after="0"/>
              <w:rPr>
                <w:sz w:val="20"/>
                <w:szCs w:val="20"/>
                <w:color w:val="auto"/>
              </w:rPr>
            </w:pPr>
            <w:r>
              <w:rPr>
                <w:rFonts w:ascii="Arial" w:cs="Arial" w:eastAsia="Arial" w:hAnsi="Arial"/>
                <w:sz w:val="11"/>
                <w:szCs w:val="11"/>
                <w:b w:val="1"/>
                <w:bCs w:val="1"/>
                <w:color w:val="auto"/>
              </w:rPr>
              <w:t>Members' Equity</w:t>
            </w:r>
          </w:p>
        </w:tc>
        <w:tc>
          <w:tcPr>
            <w:tcW w:w="120" w:type="dxa"/>
            <w:vAlign w:val="bottom"/>
            <w:tcBorders>
              <w:top w:val="single" w:sz="8" w:color="CCECFF"/>
              <w:bottom w:val="single" w:sz="8" w:color="CCECFF"/>
            </w:tcBorders>
            <w:shd w:val="clear" w:color="auto" w:fill="CCECFF"/>
          </w:tcPr>
          <w:p>
            <w:pPr>
              <w:spacing w:after="0"/>
              <w:rPr>
                <w:sz w:val="11"/>
                <w:szCs w:val="11"/>
                <w:color w:val="auto"/>
              </w:rPr>
            </w:pPr>
          </w:p>
        </w:tc>
        <w:tc>
          <w:tcPr>
            <w:tcW w:w="520" w:type="dxa"/>
            <w:vAlign w:val="bottom"/>
            <w:tcBorders>
              <w:top w:val="single" w:sz="8" w:color="CCECFF"/>
              <w:bottom w:val="single" w:sz="8" w:color="CCECFF"/>
            </w:tcBorders>
            <w:shd w:val="clear" w:color="auto" w:fill="CCECFF"/>
          </w:tcPr>
          <w:p>
            <w:pPr>
              <w:spacing w:after="0"/>
              <w:rPr>
                <w:sz w:val="11"/>
                <w:szCs w:val="11"/>
                <w:color w:val="auto"/>
              </w:rPr>
            </w:pPr>
          </w:p>
        </w:tc>
        <w:tc>
          <w:tcPr>
            <w:tcW w:w="240" w:type="dxa"/>
            <w:vAlign w:val="bottom"/>
            <w:tcBorders>
              <w:top w:val="single" w:sz="8" w:color="CCECFF"/>
              <w:bottom w:val="single" w:sz="8" w:color="CCECFF"/>
            </w:tcBorders>
            <w:shd w:val="clear" w:color="auto" w:fill="CCECFF"/>
          </w:tcPr>
          <w:p>
            <w:pPr>
              <w:spacing w:after="0"/>
              <w:rPr>
                <w:sz w:val="11"/>
                <w:szCs w:val="11"/>
                <w:color w:val="auto"/>
              </w:rPr>
            </w:pPr>
          </w:p>
        </w:tc>
        <w:tc>
          <w:tcPr>
            <w:tcW w:w="2620" w:type="dxa"/>
            <w:vAlign w:val="bottom"/>
            <w:tcBorders>
              <w:top w:val="single" w:sz="8" w:color="CCECFF"/>
              <w:bottom w:val="single" w:sz="8" w:color="CCECFF"/>
            </w:tcBorders>
            <w:shd w:val="clear" w:color="auto" w:fill="CCECFF"/>
          </w:tcPr>
          <w:p>
            <w:pPr>
              <w:spacing w:after="0"/>
              <w:rPr>
                <w:sz w:val="11"/>
                <w:szCs w:val="11"/>
                <w:color w:val="auto"/>
              </w:rPr>
            </w:pPr>
          </w:p>
        </w:tc>
        <w:tc>
          <w:tcPr>
            <w:tcW w:w="140" w:type="dxa"/>
            <w:vAlign w:val="bottom"/>
            <w:tcBorders>
              <w:top w:val="single" w:sz="8" w:color="CCECFF"/>
              <w:bottom w:val="single" w:sz="8" w:color="CCECFF"/>
            </w:tcBorders>
            <w:shd w:val="clear" w:color="auto" w:fill="CCECFF"/>
          </w:tcPr>
          <w:p>
            <w:pPr>
              <w:spacing w:after="0"/>
              <w:rPr>
                <w:sz w:val="11"/>
                <w:szCs w:val="11"/>
                <w:color w:val="auto"/>
              </w:rPr>
            </w:pPr>
          </w:p>
        </w:tc>
        <w:tc>
          <w:tcPr>
            <w:tcW w:w="600" w:type="dxa"/>
            <w:vAlign w:val="bottom"/>
            <w:tcBorders>
              <w:top w:val="single" w:sz="8" w:color="CCECFF"/>
              <w:bottom w:val="single" w:sz="8" w:color="CCECFF"/>
            </w:tcBorders>
            <w:shd w:val="clear" w:color="auto" w:fill="CCECFF"/>
          </w:tcPr>
          <w:p>
            <w:pPr>
              <w:spacing w:after="0"/>
              <w:rPr>
                <w:sz w:val="11"/>
                <w:szCs w:val="11"/>
                <w:color w:val="auto"/>
              </w:rPr>
            </w:pPr>
          </w:p>
        </w:tc>
        <w:tc>
          <w:tcPr>
            <w:tcW w:w="260" w:type="dxa"/>
            <w:vAlign w:val="bottom"/>
            <w:tcBorders>
              <w:top w:val="single" w:sz="8" w:color="CCECFF"/>
              <w:bottom w:val="single" w:sz="8" w:color="CCECFF"/>
            </w:tcBorders>
            <w:shd w:val="clear" w:color="auto" w:fill="CCECFF"/>
          </w:tcPr>
          <w:p>
            <w:pPr>
              <w:spacing w:after="0"/>
              <w:rPr>
                <w:sz w:val="11"/>
                <w:szCs w:val="11"/>
                <w:color w:val="auto"/>
              </w:rPr>
            </w:pPr>
          </w:p>
        </w:tc>
        <w:tc>
          <w:tcPr>
            <w:tcW w:w="560" w:type="dxa"/>
            <w:vAlign w:val="bottom"/>
            <w:tcBorders>
              <w:top w:val="single" w:sz="8" w:color="CCECFF"/>
              <w:bottom w:val="single" w:sz="8" w:color="CCECFF"/>
            </w:tcBorders>
            <w:shd w:val="clear" w:color="auto" w:fill="CCECFF"/>
          </w:tcPr>
          <w:p>
            <w:pPr>
              <w:spacing w:after="0"/>
              <w:rPr>
                <w:sz w:val="11"/>
                <w:szCs w:val="11"/>
                <w:color w:val="auto"/>
              </w:rPr>
            </w:pPr>
          </w:p>
        </w:tc>
        <w:tc>
          <w:tcPr>
            <w:tcW w:w="320" w:type="dxa"/>
            <w:vAlign w:val="bottom"/>
            <w:tcBorders>
              <w:top w:val="single" w:sz="8" w:color="CCECFF"/>
              <w:bottom w:val="single" w:sz="8" w:color="CCECFF"/>
            </w:tcBorders>
            <w:shd w:val="clear" w:color="auto" w:fill="CCECFF"/>
          </w:tcPr>
          <w:p>
            <w:pPr>
              <w:spacing w:after="0"/>
              <w:rPr>
                <w:sz w:val="11"/>
                <w:szCs w:val="11"/>
                <w:color w:val="auto"/>
              </w:rPr>
            </w:pPr>
          </w:p>
        </w:tc>
        <w:tc>
          <w:tcPr>
            <w:tcW w:w="120" w:type="dxa"/>
            <w:vAlign w:val="bottom"/>
            <w:tcBorders>
              <w:top w:val="single" w:sz="8" w:color="CCECFF"/>
              <w:bottom w:val="single" w:sz="8" w:color="CCECFF"/>
            </w:tcBorders>
            <w:shd w:val="clear" w:color="auto" w:fill="CCECFF"/>
          </w:tcPr>
          <w:p>
            <w:pPr>
              <w:spacing w:after="0"/>
              <w:rPr>
                <w:sz w:val="11"/>
                <w:szCs w:val="11"/>
                <w:color w:val="auto"/>
              </w:rPr>
            </w:pPr>
          </w:p>
        </w:tc>
        <w:tc>
          <w:tcPr>
            <w:tcW w:w="100" w:type="dxa"/>
            <w:vAlign w:val="bottom"/>
            <w:tcBorders>
              <w:top w:val="single" w:sz="8" w:color="CCECFF"/>
              <w:bottom w:val="single" w:sz="8" w:color="CCECFF"/>
            </w:tcBorders>
            <w:shd w:val="clear" w:color="auto" w:fill="CCECFF"/>
          </w:tcPr>
          <w:p>
            <w:pPr>
              <w:spacing w:after="0"/>
              <w:rPr>
                <w:sz w:val="11"/>
                <w:szCs w:val="11"/>
                <w:color w:val="auto"/>
              </w:rPr>
            </w:pPr>
          </w:p>
        </w:tc>
        <w:tc>
          <w:tcPr>
            <w:tcW w:w="580" w:type="dxa"/>
            <w:vAlign w:val="bottom"/>
            <w:tcBorders>
              <w:top w:val="single" w:sz="8" w:color="CCECFF"/>
              <w:bottom w:val="single" w:sz="8" w:color="CCECFF"/>
            </w:tcBorders>
            <w:shd w:val="clear" w:color="auto" w:fill="CCECFF"/>
          </w:tcPr>
          <w:p>
            <w:pPr>
              <w:spacing w:after="0"/>
              <w:rPr>
                <w:sz w:val="11"/>
                <w:szCs w:val="11"/>
                <w:color w:val="auto"/>
              </w:rPr>
            </w:pPr>
          </w:p>
        </w:tc>
        <w:tc>
          <w:tcPr>
            <w:tcW w:w="240" w:type="dxa"/>
            <w:vAlign w:val="bottom"/>
            <w:tcBorders>
              <w:top w:val="single" w:sz="8" w:color="CCECFF"/>
              <w:bottom w:val="single" w:sz="8" w:color="CCECFF"/>
            </w:tcBorders>
            <w:shd w:val="clear" w:color="auto" w:fill="CCECFF"/>
          </w:tcPr>
          <w:p>
            <w:pPr>
              <w:spacing w:after="0"/>
              <w:rPr>
                <w:sz w:val="11"/>
                <w:szCs w:val="11"/>
                <w:color w:val="auto"/>
              </w:rPr>
            </w:pPr>
          </w:p>
        </w:tc>
        <w:tc>
          <w:tcPr>
            <w:tcW w:w="80" w:type="dxa"/>
            <w:vAlign w:val="bottom"/>
            <w:tcBorders>
              <w:top w:val="single" w:sz="8" w:color="CCECFF"/>
              <w:bottom w:val="single" w:sz="8" w:color="CCECFF"/>
            </w:tcBorders>
            <w:shd w:val="clear" w:color="auto" w:fill="CCECFF"/>
          </w:tcPr>
          <w:p>
            <w:pPr>
              <w:spacing w:after="0"/>
              <w:rPr>
                <w:sz w:val="11"/>
                <w:szCs w:val="11"/>
                <w:color w:val="auto"/>
              </w:rPr>
            </w:pPr>
          </w:p>
        </w:tc>
        <w:tc>
          <w:tcPr>
            <w:tcW w:w="600" w:type="dxa"/>
            <w:vAlign w:val="bottom"/>
            <w:tcBorders>
              <w:top w:val="single" w:sz="8" w:color="CCECFF"/>
              <w:bottom w:val="single" w:sz="8" w:color="CCECFF"/>
            </w:tcBorders>
            <w:shd w:val="clear" w:color="auto" w:fill="CCECFF"/>
          </w:tcPr>
          <w:p>
            <w:pPr>
              <w:spacing w:after="0"/>
              <w:rPr>
                <w:sz w:val="11"/>
                <w:szCs w:val="11"/>
                <w:color w:val="auto"/>
              </w:rPr>
            </w:pPr>
          </w:p>
        </w:tc>
        <w:tc>
          <w:tcPr>
            <w:tcW w:w="220" w:type="dxa"/>
            <w:vAlign w:val="bottom"/>
            <w:tcBorders>
              <w:top w:val="single" w:sz="8" w:color="CCECFF"/>
              <w:bottom w:val="single" w:sz="8" w:color="CCECFF"/>
            </w:tcBorders>
            <w:shd w:val="clear" w:color="auto" w:fill="CCECFF"/>
          </w:tcPr>
          <w:p>
            <w:pPr>
              <w:spacing w:after="0"/>
              <w:rPr>
                <w:sz w:val="11"/>
                <w:szCs w:val="11"/>
                <w:color w:val="auto"/>
              </w:rPr>
            </w:pPr>
          </w:p>
        </w:tc>
        <w:tc>
          <w:tcPr>
            <w:tcW w:w="10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56,831,827</w:t>
            </w:r>
          </w:p>
        </w:tc>
        <w:tc>
          <w:tcPr>
            <w:tcW w:w="120" w:type="dxa"/>
            <w:vAlign w:val="bottom"/>
            <w:tcBorders>
              <w:top w:val="single" w:sz="8" w:color="CCECFF"/>
              <w:bottom w:val="single" w:sz="8" w:color="CCECFF"/>
            </w:tcBorders>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3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185991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859915" cy="8255"/>
                    </a:xfrm>
                    <a:prstGeom prst="rect">
                      <a:avLst/>
                    </a:prstGeom>
                    <a:noFill/>
                  </pic:spPr>
                </pic:pic>
              </a:graphicData>
            </a:graphic>
          </wp:anchor>
        </w:drawing>
      </w:r>
    </w:p>
    <w:p>
      <w:pPr>
        <w:spacing w:after="0" w:line="163" w:lineRule="exact"/>
        <w:rPr>
          <w:sz w:val="20"/>
          <w:szCs w:val="20"/>
          <w:color w:val="auto"/>
        </w:rPr>
      </w:pPr>
    </w:p>
    <w:p>
      <w:pPr>
        <w:ind w:left="380" w:right="60" w:hanging="372"/>
        <w:spacing w:after="0" w:line="262" w:lineRule="auto"/>
        <w:tabs>
          <w:tab w:leader="none" w:pos="380" w:val="left"/>
        </w:tabs>
        <w:numPr>
          <w:ilvl w:val="0"/>
          <w:numId w:val="22"/>
        </w:numPr>
        <w:rPr>
          <w:rFonts w:ascii="Arial" w:cs="Arial" w:eastAsia="Arial" w:hAnsi="Arial"/>
          <w:sz w:val="11"/>
          <w:szCs w:val="11"/>
          <w:color w:val="auto"/>
        </w:rPr>
      </w:pPr>
      <w:r>
        <w:rPr>
          <w:rFonts w:ascii="Arial" w:cs="Arial" w:eastAsia="Arial" w:hAnsi="Arial"/>
          <w:sz w:val="11"/>
          <w:szCs w:val="11"/>
          <w:color w:val="auto"/>
        </w:rPr>
        <w:t>Represents floating rate instruments that accrue interest at a predetermined spread relative to an index, typically the applicable LIBOR or “L” or Prime rate or “P”. The spread may change based on the type of rate used. The terms in the Schedule of Investments disclose the actual interest rate in effect as of the reporting period. LIBOR loans are typically indexed to a 30-day, 60-day, 90-day or 180-day LIBOR rate (1M L, 2M L, 3M L, or 6M L, respectively), at the borrower’s option. All securities are subject to a LIBOR or Prime rate floor where a spread is provided, unless noted. The spread provided includes PIK interest and other fee rates, if any.</w:t>
      </w:r>
    </w:p>
    <w:p>
      <w:pPr>
        <w:ind w:left="380" w:hanging="372"/>
        <w:spacing w:after="0" w:line="234" w:lineRule="auto"/>
        <w:tabs>
          <w:tab w:leader="none" w:pos="380" w:val="left"/>
        </w:tabs>
        <w:numPr>
          <w:ilvl w:val="0"/>
          <w:numId w:val="22"/>
        </w:numPr>
        <w:rPr>
          <w:rFonts w:ascii="Arial" w:cs="Arial" w:eastAsia="Arial" w:hAnsi="Arial"/>
          <w:sz w:val="12"/>
          <w:szCs w:val="12"/>
          <w:color w:val="auto"/>
        </w:rPr>
      </w:pPr>
      <w:r>
        <w:rPr>
          <w:rFonts w:ascii="Arial" w:cs="Arial" w:eastAsia="Arial" w:hAnsi="Arial"/>
          <w:sz w:val="12"/>
          <w:szCs w:val="12"/>
          <w:color w:val="auto"/>
        </w:rPr>
        <w:t>Valued based on PSSL’s accounting policy.</w:t>
      </w:r>
    </w:p>
    <w:p>
      <w:pPr>
        <w:ind w:left="380" w:hanging="372"/>
        <w:spacing w:after="0" w:line="234" w:lineRule="auto"/>
        <w:tabs>
          <w:tab w:leader="none" w:pos="380" w:val="left"/>
        </w:tabs>
        <w:numPr>
          <w:ilvl w:val="0"/>
          <w:numId w:val="22"/>
        </w:numPr>
        <w:rPr>
          <w:rFonts w:ascii="Arial" w:cs="Arial" w:eastAsia="Arial" w:hAnsi="Arial"/>
          <w:sz w:val="12"/>
          <w:szCs w:val="12"/>
          <w:color w:val="auto"/>
        </w:rPr>
      </w:pPr>
      <w:r>
        <w:rPr>
          <w:rFonts w:ascii="Arial" w:cs="Arial" w:eastAsia="Arial" w:hAnsi="Arial"/>
          <w:sz w:val="12"/>
          <w:szCs w:val="12"/>
          <w:color w:val="auto"/>
        </w:rPr>
        <w:t>Non-U.S. company or principal place of business outside the United States.</w:t>
      </w:r>
    </w:p>
    <w:p>
      <w:pPr>
        <w:ind w:left="380" w:hanging="372"/>
        <w:spacing w:after="0" w:line="234" w:lineRule="auto"/>
        <w:tabs>
          <w:tab w:leader="none" w:pos="380" w:val="left"/>
        </w:tabs>
        <w:numPr>
          <w:ilvl w:val="0"/>
          <w:numId w:val="22"/>
        </w:numPr>
        <w:rPr>
          <w:rFonts w:ascii="Arial" w:cs="Arial" w:eastAsia="Arial" w:hAnsi="Arial"/>
          <w:sz w:val="12"/>
          <w:szCs w:val="12"/>
          <w:color w:val="auto"/>
        </w:rPr>
      </w:pPr>
      <w:r>
        <w:rPr>
          <w:rFonts w:ascii="Arial" w:cs="Arial" w:eastAsia="Arial" w:hAnsi="Arial"/>
          <w:sz w:val="12"/>
          <w:szCs w:val="12"/>
          <w:color w:val="auto"/>
        </w:rPr>
        <w:t>Par amount is denominated in Australian Dollars (A$) or in Canadian Dollars (C$) as denoted.</w:t>
      </w:r>
    </w:p>
    <w:p>
      <w:pPr>
        <w:ind w:left="380" w:hanging="372"/>
        <w:spacing w:after="0"/>
        <w:tabs>
          <w:tab w:leader="none" w:pos="380" w:val="left"/>
        </w:tabs>
        <w:numPr>
          <w:ilvl w:val="0"/>
          <w:numId w:val="22"/>
        </w:numPr>
        <w:rPr>
          <w:rFonts w:ascii="Arial" w:cs="Arial" w:eastAsia="Arial" w:hAnsi="Arial"/>
          <w:sz w:val="11"/>
          <w:szCs w:val="11"/>
          <w:color w:val="auto"/>
        </w:rPr>
      </w:pPr>
      <w:r>
        <w:rPr>
          <w:rFonts w:ascii="Arial" w:cs="Arial" w:eastAsia="Arial" w:hAnsi="Arial"/>
          <w:sz w:val="11"/>
          <w:szCs w:val="11"/>
          <w:color w:val="auto"/>
        </w:rPr>
        <w:t>Represents the purchase of a security with delayed settlement or a revolving line of credit that is currently an unfunded investment. This security does not earn a basis point spread above an index while it is unfunded.</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149465"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269" w:right="339" w:bottom="1440" w:gutter="0" w:footer="0" w:header="0"/>
        </w:sectPr>
      </w:pPr>
    </w:p>
    <w:bookmarkStart w:id="39" w:name="page40"/>
    <w:bookmarkEnd w:id="39"/>
    <w:p>
      <w:pPr>
        <w:ind w:left="440"/>
        <w:spacing w:after="0"/>
        <w:rPr>
          <w:sz w:val="20"/>
          <w:szCs w:val="20"/>
          <w:color w:val="auto"/>
        </w:rPr>
      </w:pPr>
      <w:r>
        <w:rPr>
          <w:rFonts w:ascii="Arial" w:cs="Arial" w:eastAsia="Arial" w:hAnsi="Arial"/>
          <w:sz w:val="14"/>
          <w:szCs w:val="14"/>
          <w:color w:val="auto"/>
        </w:rPr>
        <w:t>Below is a listing of PSSL’s individual investments as of September 30, 2019:</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30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100" w:type="dxa"/>
            <w:vAlign w:val="bottom"/>
            <w:gridSpan w:val="4"/>
          </w:tcPr>
          <w:p>
            <w:pPr>
              <w:jc w:val="center"/>
              <w:ind w:right="220"/>
              <w:spacing w:after="0"/>
              <w:rPr>
                <w:sz w:val="20"/>
                <w:szCs w:val="20"/>
                <w:color w:val="auto"/>
              </w:rPr>
            </w:pPr>
            <w:r>
              <w:rPr>
                <w:rFonts w:ascii="Arial" w:cs="Arial" w:eastAsia="Arial" w:hAnsi="Arial"/>
                <w:sz w:val="11"/>
                <w:szCs w:val="11"/>
                <w:b w:val="1"/>
                <w:bCs w:val="1"/>
                <w:color w:val="auto"/>
                <w:w w:val="86"/>
              </w:rPr>
              <w:t>Basis Point</w:t>
            </w:r>
          </w:p>
        </w:tc>
        <w:tc>
          <w:tcPr>
            <w:tcW w:w="5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0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gridSpan w:val="2"/>
          </w:tcPr>
          <w:p>
            <w:pPr>
              <w:jc w:val="right"/>
              <w:ind w:right="380"/>
              <w:spacing w:after="0" w:line="122" w:lineRule="exact"/>
              <w:rPr>
                <w:sz w:val="20"/>
                <w:szCs w:val="20"/>
                <w:color w:val="auto"/>
              </w:rPr>
            </w:pPr>
            <w:r>
              <w:rPr>
                <w:rFonts w:ascii="Arial" w:cs="Arial" w:eastAsia="Arial" w:hAnsi="Arial"/>
                <w:sz w:val="11"/>
                <w:szCs w:val="11"/>
                <w:b w:val="1"/>
                <w:bCs w:val="1"/>
                <w:color w:val="auto"/>
              </w:rPr>
              <w:t>Current</w:t>
            </w:r>
          </w:p>
        </w:tc>
        <w:tc>
          <w:tcPr>
            <w:tcW w:w="1100" w:type="dxa"/>
            <w:vAlign w:val="bottom"/>
            <w:gridSpan w:val="4"/>
          </w:tcPr>
          <w:p>
            <w:pPr>
              <w:jc w:val="center"/>
              <w:ind w:right="220"/>
              <w:spacing w:after="0" w:line="122" w:lineRule="exact"/>
              <w:rPr>
                <w:sz w:val="20"/>
                <w:szCs w:val="20"/>
                <w:color w:val="auto"/>
              </w:rPr>
            </w:pPr>
            <w:r>
              <w:rPr>
                <w:rFonts w:ascii="Arial" w:cs="Arial" w:eastAsia="Arial" w:hAnsi="Arial"/>
                <w:sz w:val="11"/>
                <w:szCs w:val="11"/>
                <w:b w:val="1"/>
                <w:bCs w:val="1"/>
                <w:color w:val="auto"/>
                <w:w w:val="86"/>
              </w:rPr>
              <w:t>Spread Above</w:t>
            </w:r>
          </w:p>
        </w:tc>
        <w:tc>
          <w:tcPr>
            <w:tcW w:w="5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3060" w:type="dxa"/>
            <w:vAlign w:val="bottom"/>
          </w:tcPr>
          <w:p>
            <w:pPr>
              <w:spacing w:after="0"/>
              <w:rPr>
                <w:sz w:val="20"/>
                <w:szCs w:val="20"/>
                <w:color w:val="auto"/>
              </w:rPr>
            </w:pPr>
            <w:r>
              <w:rPr>
                <w:rFonts w:ascii="Arial" w:cs="Arial" w:eastAsia="Arial" w:hAnsi="Arial"/>
                <w:sz w:val="11"/>
                <w:szCs w:val="11"/>
                <w:b w:val="1"/>
                <w:bCs w:val="1"/>
                <w:color w:val="auto"/>
              </w:rPr>
              <w:t>Issuer Name</w:t>
            </w:r>
          </w:p>
        </w:tc>
        <w:tc>
          <w:tcPr>
            <w:tcW w:w="120" w:type="dxa"/>
            <w:vAlign w:val="bottom"/>
          </w:tcPr>
          <w:p>
            <w:pPr>
              <w:spacing w:after="0"/>
              <w:rPr>
                <w:sz w:val="11"/>
                <w:szCs w:val="11"/>
                <w:color w:val="auto"/>
              </w:rPr>
            </w:pPr>
          </w:p>
        </w:tc>
        <w:tc>
          <w:tcPr>
            <w:tcW w:w="760" w:type="dxa"/>
            <w:vAlign w:val="bottom"/>
            <w:gridSpan w:val="2"/>
          </w:tcPr>
          <w:p>
            <w:pPr>
              <w:ind w:left="40"/>
              <w:spacing w:after="0"/>
              <w:rPr>
                <w:sz w:val="20"/>
                <w:szCs w:val="20"/>
                <w:color w:val="auto"/>
              </w:rPr>
            </w:pPr>
            <w:r>
              <w:rPr>
                <w:rFonts w:ascii="Arial" w:cs="Arial" w:eastAsia="Arial" w:hAnsi="Arial"/>
                <w:sz w:val="11"/>
                <w:szCs w:val="11"/>
                <w:b w:val="1"/>
                <w:bCs w:val="1"/>
                <w:color w:val="auto"/>
              </w:rPr>
              <w:t>Maturity</w:t>
            </w:r>
          </w:p>
        </w:tc>
        <w:tc>
          <w:tcPr>
            <w:tcW w:w="2760" w:type="dxa"/>
            <w:vAlign w:val="bottom"/>
            <w:gridSpan w:val="2"/>
          </w:tcPr>
          <w:p>
            <w:pPr>
              <w:jc w:val="center"/>
              <w:ind w:right="160"/>
              <w:spacing w:after="0"/>
              <w:rPr>
                <w:sz w:val="20"/>
                <w:szCs w:val="20"/>
                <w:color w:val="auto"/>
              </w:rPr>
            </w:pPr>
            <w:r>
              <w:rPr>
                <w:rFonts w:ascii="Arial" w:cs="Arial" w:eastAsia="Arial" w:hAnsi="Arial"/>
                <w:sz w:val="11"/>
                <w:szCs w:val="11"/>
                <w:b w:val="1"/>
                <w:bCs w:val="1"/>
                <w:color w:val="auto"/>
                <w:w w:val="92"/>
              </w:rPr>
              <w:t>Industry</w:t>
            </w:r>
          </w:p>
        </w:tc>
        <w:tc>
          <w:tcPr>
            <w:tcW w:w="860" w:type="dxa"/>
            <w:vAlign w:val="bottom"/>
            <w:gridSpan w:val="2"/>
          </w:tcPr>
          <w:p>
            <w:pPr>
              <w:jc w:val="right"/>
              <w:ind w:right="380"/>
              <w:spacing w:after="0"/>
              <w:rPr>
                <w:sz w:val="20"/>
                <w:szCs w:val="20"/>
                <w:color w:val="auto"/>
              </w:rPr>
            </w:pPr>
            <w:r>
              <w:rPr>
                <w:rFonts w:ascii="Arial" w:cs="Arial" w:eastAsia="Arial" w:hAnsi="Arial"/>
                <w:sz w:val="11"/>
                <w:szCs w:val="11"/>
                <w:b w:val="1"/>
                <w:bCs w:val="1"/>
                <w:color w:val="auto"/>
              </w:rPr>
              <w:t>Coupon</w:t>
            </w:r>
          </w:p>
        </w:tc>
        <w:tc>
          <w:tcPr>
            <w:tcW w:w="1100" w:type="dxa"/>
            <w:vAlign w:val="bottom"/>
            <w:gridSpan w:val="4"/>
          </w:tcPr>
          <w:p>
            <w:pPr>
              <w:jc w:val="center"/>
              <w:ind w:right="220"/>
              <w:spacing w:after="0"/>
              <w:rPr>
                <w:sz w:val="20"/>
                <w:szCs w:val="20"/>
                <w:color w:val="auto"/>
              </w:rPr>
            </w:pPr>
            <w:r>
              <w:rPr>
                <w:rFonts w:ascii="Arial" w:cs="Arial" w:eastAsia="Arial" w:hAnsi="Arial"/>
                <w:sz w:val="11"/>
                <w:szCs w:val="11"/>
                <w:b w:val="1"/>
                <w:bCs w:val="1"/>
                <w:color w:val="auto"/>
                <w:w w:val="93"/>
              </w:rPr>
              <w:t xml:space="preserve">Index </w:t>
            </w:r>
            <w:r>
              <w:rPr>
                <w:rFonts w:ascii="Arial" w:cs="Arial" w:eastAsia="Arial" w:hAnsi="Arial"/>
                <w:sz w:val="9"/>
                <w:szCs w:val="9"/>
                <w:b w:val="1"/>
                <w:bCs w:val="1"/>
                <w:color w:val="auto"/>
                <w:w w:val="93"/>
              </w:rPr>
              <w:t>(1)</w:t>
            </w:r>
          </w:p>
        </w:tc>
        <w:tc>
          <w:tcPr>
            <w:tcW w:w="580" w:type="dxa"/>
            <w:vAlign w:val="bottom"/>
          </w:tcPr>
          <w:p>
            <w:pPr>
              <w:jc w:val="right"/>
              <w:ind w:right="206"/>
              <w:spacing w:after="0"/>
              <w:rPr>
                <w:sz w:val="20"/>
                <w:szCs w:val="20"/>
                <w:color w:val="auto"/>
              </w:rPr>
            </w:pPr>
            <w:r>
              <w:rPr>
                <w:rFonts w:ascii="Arial" w:cs="Arial" w:eastAsia="Arial" w:hAnsi="Arial"/>
                <w:sz w:val="11"/>
                <w:szCs w:val="11"/>
                <w:b w:val="1"/>
                <w:bCs w:val="1"/>
                <w:color w:val="auto"/>
              </w:rPr>
              <w:t>Par</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gridSpan w:val="2"/>
          </w:tcPr>
          <w:p>
            <w:pPr>
              <w:ind w:left="140"/>
              <w:spacing w:after="0"/>
              <w:rPr>
                <w:sz w:val="20"/>
                <w:szCs w:val="20"/>
                <w:color w:val="auto"/>
              </w:rPr>
            </w:pPr>
            <w:r>
              <w:rPr>
                <w:rFonts w:ascii="Arial" w:cs="Arial" w:eastAsia="Arial" w:hAnsi="Arial"/>
                <w:sz w:val="11"/>
                <w:szCs w:val="11"/>
                <w:b w:val="1"/>
                <w:bCs w:val="1"/>
                <w:color w:val="auto"/>
              </w:rPr>
              <w:t>Cost</w:t>
            </w:r>
          </w:p>
        </w:tc>
        <w:tc>
          <w:tcPr>
            <w:tcW w:w="860" w:type="dxa"/>
            <w:vAlign w:val="bottom"/>
            <w:gridSpan w:val="3"/>
          </w:tcPr>
          <w:p>
            <w:pPr>
              <w:jc w:val="right"/>
              <w:ind w:right="180"/>
              <w:spacing w:after="0"/>
              <w:rPr>
                <w:sz w:val="20"/>
                <w:szCs w:val="20"/>
                <w:color w:val="auto"/>
              </w:rPr>
            </w:pPr>
            <w:r>
              <w:rPr>
                <w:rFonts w:ascii="Arial" w:cs="Arial" w:eastAsia="Arial" w:hAnsi="Arial"/>
                <w:sz w:val="11"/>
                <w:szCs w:val="11"/>
                <w:b w:val="1"/>
                <w:bCs w:val="1"/>
                <w:color w:val="auto"/>
                <w:w w:val="98"/>
              </w:rPr>
              <w:t xml:space="preserve">Fair Value </w:t>
            </w:r>
            <w:r>
              <w:rPr>
                <w:rFonts w:ascii="Arial" w:cs="Arial" w:eastAsia="Arial" w:hAnsi="Arial"/>
                <w:sz w:val="9"/>
                <w:szCs w:val="9"/>
                <w:b w:val="1"/>
                <w:bCs w:val="1"/>
                <w:color w:val="auto"/>
                <w:w w:val="98"/>
              </w:rPr>
              <w:t>(2)</w:t>
            </w:r>
          </w:p>
        </w:tc>
        <w:tc>
          <w:tcPr>
            <w:tcW w:w="0" w:type="dxa"/>
            <w:vAlign w:val="bottom"/>
          </w:tcPr>
          <w:p>
            <w:pPr>
              <w:spacing w:after="0"/>
              <w:rPr>
                <w:sz w:val="1"/>
                <w:szCs w:val="1"/>
                <w:color w:val="auto"/>
              </w:rPr>
            </w:pPr>
          </w:p>
        </w:tc>
      </w:tr>
      <w:tr>
        <w:trPr>
          <w:trHeight w:val="129"/>
        </w:trPr>
        <w:tc>
          <w:tcPr>
            <w:tcW w:w="3060" w:type="dxa"/>
            <w:vAlign w:val="bottom"/>
            <w:tcBorders>
              <w:top w:val="single" w:sz="8" w:color="auto"/>
            </w:tcBorders>
            <w:shd w:val="clear" w:color="auto" w:fill="CCECFF"/>
          </w:tcPr>
          <w:p>
            <w:pPr>
              <w:spacing w:after="0"/>
              <w:rPr>
                <w:sz w:val="20"/>
                <w:szCs w:val="20"/>
                <w:color w:val="auto"/>
              </w:rPr>
            </w:pPr>
            <w:r>
              <w:rPr>
                <w:rFonts w:ascii="Arial" w:cs="Arial" w:eastAsia="Arial" w:hAnsi="Arial"/>
                <w:sz w:val="11"/>
                <w:szCs w:val="11"/>
                <w:b w:val="1"/>
                <w:bCs w:val="1"/>
                <w:color w:val="auto"/>
              </w:rPr>
              <w:t>First Lien Secured Debt</w:t>
            </w:r>
          </w:p>
        </w:tc>
        <w:tc>
          <w:tcPr>
            <w:tcW w:w="120" w:type="dxa"/>
            <w:vAlign w:val="bottom"/>
            <w:tcBorders>
              <w:top w:val="single" w:sz="8" w:color="CCECFF"/>
            </w:tcBorders>
            <w:shd w:val="clear" w:color="auto" w:fill="CCECFF"/>
          </w:tcPr>
          <w:p>
            <w:pPr>
              <w:spacing w:after="0"/>
              <w:rPr>
                <w:sz w:val="11"/>
                <w:szCs w:val="11"/>
                <w:color w:val="auto"/>
              </w:rPr>
            </w:pPr>
          </w:p>
        </w:tc>
        <w:tc>
          <w:tcPr>
            <w:tcW w:w="520" w:type="dxa"/>
            <w:vAlign w:val="bottom"/>
            <w:tcBorders>
              <w:top w:val="single" w:sz="8" w:color="auto"/>
            </w:tcBorders>
            <w:shd w:val="clear" w:color="auto" w:fill="CCECFF"/>
          </w:tcPr>
          <w:p>
            <w:pPr>
              <w:spacing w:after="0"/>
              <w:rPr>
                <w:sz w:val="11"/>
                <w:szCs w:val="11"/>
                <w:color w:val="auto"/>
              </w:rPr>
            </w:pPr>
          </w:p>
        </w:tc>
        <w:tc>
          <w:tcPr>
            <w:tcW w:w="240" w:type="dxa"/>
            <w:vAlign w:val="bottom"/>
            <w:tcBorders>
              <w:top w:val="single" w:sz="8" w:color="CCECFF"/>
            </w:tcBorders>
            <w:shd w:val="clear" w:color="auto" w:fill="CCECFF"/>
          </w:tcPr>
          <w:p>
            <w:pPr>
              <w:spacing w:after="0"/>
              <w:rPr>
                <w:sz w:val="11"/>
                <w:szCs w:val="11"/>
                <w:color w:val="auto"/>
              </w:rPr>
            </w:pPr>
          </w:p>
        </w:tc>
        <w:tc>
          <w:tcPr>
            <w:tcW w:w="2620" w:type="dxa"/>
            <w:vAlign w:val="bottom"/>
            <w:tcBorders>
              <w:top w:val="single" w:sz="8" w:color="auto"/>
            </w:tcBorders>
            <w:shd w:val="clear" w:color="auto" w:fill="CCECFF"/>
          </w:tcPr>
          <w:p>
            <w:pPr>
              <w:spacing w:after="0"/>
              <w:rPr>
                <w:sz w:val="11"/>
                <w:szCs w:val="11"/>
                <w:color w:val="auto"/>
              </w:rPr>
            </w:pPr>
          </w:p>
        </w:tc>
        <w:tc>
          <w:tcPr>
            <w:tcW w:w="140" w:type="dxa"/>
            <w:vAlign w:val="bottom"/>
            <w:tcBorders>
              <w:top w:val="single" w:sz="8" w:color="CCECFF"/>
            </w:tcBorders>
            <w:shd w:val="clear" w:color="auto" w:fill="CCECFF"/>
          </w:tcPr>
          <w:p>
            <w:pPr>
              <w:spacing w:after="0"/>
              <w:rPr>
                <w:sz w:val="11"/>
                <w:szCs w:val="11"/>
                <w:color w:val="auto"/>
              </w:rPr>
            </w:pPr>
          </w:p>
        </w:tc>
        <w:tc>
          <w:tcPr>
            <w:tcW w:w="600" w:type="dxa"/>
            <w:vAlign w:val="bottom"/>
            <w:tcBorders>
              <w:top w:val="single" w:sz="8" w:color="auto"/>
            </w:tcBorders>
            <w:shd w:val="clear" w:color="auto" w:fill="CCECFF"/>
          </w:tcPr>
          <w:p>
            <w:pPr>
              <w:spacing w:after="0"/>
              <w:rPr>
                <w:sz w:val="11"/>
                <w:szCs w:val="11"/>
                <w:color w:val="auto"/>
              </w:rPr>
            </w:pPr>
          </w:p>
        </w:tc>
        <w:tc>
          <w:tcPr>
            <w:tcW w:w="260" w:type="dxa"/>
            <w:vAlign w:val="bottom"/>
            <w:tcBorders>
              <w:top w:val="single" w:sz="8" w:color="CCECFF"/>
            </w:tcBorders>
            <w:shd w:val="clear" w:color="auto" w:fill="CCECFF"/>
          </w:tcPr>
          <w:p>
            <w:pPr>
              <w:spacing w:after="0"/>
              <w:rPr>
                <w:sz w:val="11"/>
                <w:szCs w:val="11"/>
                <w:color w:val="auto"/>
              </w:rPr>
            </w:pPr>
          </w:p>
        </w:tc>
        <w:tc>
          <w:tcPr>
            <w:tcW w:w="560" w:type="dxa"/>
            <w:vAlign w:val="bottom"/>
            <w:tcBorders>
              <w:top w:val="single" w:sz="8" w:color="auto"/>
            </w:tcBorders>
            <w:shd w:val="clear" w:color="auto" w:fill="CCECFF"/>
          </w:tcPr>
          <w:p>
            <w:pPr>
              <w:spacing w:after="0"/>
              <w:rPr>
                <w:sz w:val="11"/>
                <w:szCs w:val="11"/>
                <w:color w:val="auto"/>
              </w:rPr>
            </w:pPr>
          </w:p>
        </w:tc>
        <w:tc>
          <w:tcPr>
            <w:tcW w:w="320" w:type="dxa"/>
            <w:vAlign w:val="bottom"/>
            <w:tcBorders>
              <w:top w:val="single" w:sz="8" w:color="auto"/>
            </w:tcBorders>
            <w:shd w:val="clear" w:color="auto" w:fill="CCECFF"/>
          </w:tcPr>
          <w:p>
            <w:pPr>
              <w:spacing w:after="0"/>
              <w:rPr>
                <w:sz w:val="11"/>
                <w:szCs w:val="11"/>
                <w:color w:val="auto"/>
              </w:rPr>
            </w:pPr>
          </w:p>
        </w:tc>
        <w:tc>
          <w:tcPr>
            <w:tcW w:w="120" w:type="dxa"/>
            <w:vAlign w:val="bottom"/>
            <w:tcBorders>
              <w:top w:val="single" w:sz="8" w:color="CCECFF"/>
            </w:tcBorders>
            <w:shd w:val="clear" w:color="auto" w:fill="CCECFF"/>
          </w:tcPr>
          <w:p>
            <w:pPr>
              <w:spacing w:after="0"/>
              <w:rPr>
                <w:sz w:val="11"/>
                <w:szCs w:val="11"/>
                <w:color w:val="auto"/>
              </w:rPr>
            </w:pPr>
          </w:p>
        </w:tc>
        <w:tc>
          <w:tcPr>
            <w:tcW w:w="100" w:type="dxa"/>
            <w:vAlign w:val="bottom"/>
            <w:tcBorders>
              <w:top w:val="single" w:sz="8" w:color="auto"/>
            </w:tcBorders>
            <w:shd w:val="clear" w:color="auto" w:fill="CCECFF"/>
          </w:tcPr>
          <w:p>
            <w:pPr>
              <w:spacing w:after="0"/>
              <w:rPr>
                <w:sz w:val="11"/>
                <w:szCs w:val="11"/>
                <w:color w:val="auto"/>
              </w:rPr>
            </w:pPr>
          </w:p>
        </w:tc>
        <w:tc>
          <w:tcPr>
            <w:tcW w:w="580" w:type="dxa"/>
            <w:vAlign w:val="bottom"/>
            <w:tcBorders>
              <w:top w:val="single" w:sz="8" w:color="auto"/>
            </w:tcBorders>
            <w:shd w:val="clear" w:color="auto" w:fill="CCECFF"/>
          </w:tcPr>
          <w:p>
            <w:pPr>
              <w:spacing w:after="0"/>
              <w:rPr>
                <w:sz w:val="11"/>
                <w:szCs w:val="11"/>
                <w:color w:val="auto"/>
              </w:rPr>
            </w:pPr>
          </w:p>
        </w:tc>
        <w:tc>
          <w:tcPr>
            <w:tcW w:w="240" w:type="dxa"/>
            <w:vAlign w:val="bottom"/>
            <w:tcBorders>
              <w:top w:val="single" w:sz="8" w:color="CCECFF"/>
            </w:tcBorders>
            <w:shd w:val="clear" w:color="auto" w:fill="CCECFF"/>
          </w:tcPr>
          <w:p>
            <w:pPr>
              <w:spacing w:after="0"/>
              <w:rPr>
                <w:sz w:val="11"/>
                <w:szCs w:val="11"/>
                <w:color w:val="auto"/>
              </w:rPr>
            </w:pPr>
          </w:p>
        </w:tc>
        <w:tc>
          <w:tcPr>
            <w:tcW w:w="80" w:type="dxa"/>
            <w:vAlign w:val="bottom"/>
            <w:tcBorders>
              <w:top w:val="single" w:sz="8" w:color="auto"/>
            </w:tcBorders>
            <w:shd w:val="clear" w:color="auto" w:fill="CCECFF"/>
          </w:tcPr>
          <w:p>
            <w:pPr>
              <w:spacing w:after="0"/>
              <w:rPr>
                <w:sz w:val="11"/>
                <w:szCs w:val="11"/>
                <w:color w:val="auto"/>
              </w:rPr>
            </w:pPr>
          </w:p>
        </w:tc>
        <w:tc>
          <w:tcPr>
            <w:tcW w:w="600" w:type="dxa"/>
            <w:vAlign w:val="bottom"/>
            <w:tcBorders>
              <w:top w:val="single" w:sz="8" w:color="auto"/>
            </w:tcBorders>
            <w:shd w:val="clear" w:color="auto" w:fill="CCECFF"/>
          </w:tcPr>
          <w:p>
            <w:pPr>
              <w:spacing w:after="0"/>
              <w:rPr>
                <w:sz w:val="11"/>
                <w:szCs w:val="11"/>
                <w:color w:val="auto"/>
              </w:rPr>
            </w:pPr>
          </w:p>
        </w:tc>
        <w:tc>
          <w:tcPr>
            <w:tcW w:w="220" w:type="dxa"/>
            <w:vAlign w:val="bottom"/>
            <w:tcBorders>
              <w:top w:val="single" w:sz="8" w:color="CCECFF"/>
            </w:tcBorders>
            <w:shd w:val="clear" w:color="auto" w:fill="CCECFF"/>
          </w:tcPr>
          <w:p>
            <w:pPr>
              <w:spacing w:after="0"/>
              <w:rPr>
                <w:sz w:val="11"/>
                <w:szCs w:val="11"/>
                <w:color w:val="auto"/>
              </w:rPr>
            </w:pPr>
          </w:p>
        </w:tc>
        <w:tc>
          <w:tcPr>
            <w:tcW w:w="100" w:type="dxa"/>
            <w:vAlign w:val="bottom"/>
            <w:tcBorders>
              <w:top w:val="single" w:sz="8" w:color="auto"/>
            </w:tcBorders>
            <w:shd w:val="clear" w:color="auto" w:fill="CCECFF"/>
          </w:tcPr>
          <w:p>
            <w:pPr>
              <w:spacing w:after="0"/>
              <w:rPr>
                <w:sz w:val="11"/>
                <w:szCs w:val="11"/>
                <w:color w:val="auto"/>
              </w:rPr>
            </w:pPr>
          </w:p>
        </w:tc>
        <w:tc>
          <w:tcPr>
            <w:tcW w:w="640" w:type="dxa"/>
            <w:vAlign w:val="bottom"/>
            <w:tcBorders>
              <w:top w:val="single" w:sz="8" w:color="auto"/>
            </w:tcBorders>
            <w:shd w:val="clear" w:color="auto" w:fill="CCECFF"/>
          </w:tcPr>
          <w:p>
            <w:pPr>
              <w:spacing w:after="0"/>
              <w:rPr>
                <w:sz w:val="11"/>
                <w:szCs w:val="11"/>
                <w:color w:val="auto"/>
              </w:rPr>
            </w:pPr>
          </w:p>
        </w:tc>
        <w:tc>
          <w:tcPr>
            <w:tcW w:w="120" w:type="dxa"/>
            <w:vAlign w:val="bottom"/>
            <w:tcBorders>
              <w:top w:val="single" w:sz="8" w:color="CCECFF"/>
            </w:tcBorders>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tcPr>
          <w:p>
            <w:pPr>
              <w:spacing w:after="0"/>
              <w:rPr>
                <w:sz w:val="20"/>
                <w:szCs w:val="20"/>
                <w:color w:val="auto"/>
              </w:rPr>
            </w:pPr>
            <w:r>
              <w:rPr>
                <w:rFonts w:ascii="Arial" w:cs="Arial" w:eastAsia="Arial" w:hAnsi="Arial"/>
                <w:sz w:val="11"/>
                <w:szCs w:val="11"/>
                <w:color w:val="auto"/>
              </w:rPr>
              <w:t>Altamira Technologies, LLC</w:t>
            </w:r>
          </w:p>
        </w:tc>
        <w:tc>
          <w:tcPr>
            <w:tcW w:w="640" w:type="dxa"/>
            <w:vAlign w:val="bottom"/>
            <w:gridSpan w:val="2"/>
          </w:tcPr>
          <w:p>
            <w:pPr>
              <w:jc w:val="center"/>
              <w:ind w:left="66"/>
              <w:spacing w:after="0"/>
              <w:rPr>
                <w:sz w:val="20"/>
                <w:szCs w:val="20"/>
                <w:color w:val="auto"/>
              </w:rPr>
            </w:pPr>
            <w:r>
              <w:rPr>
                <w:rFonts w:ascii="Arial" w:cs="Arial" w:eastAsia="Arial" w:hAnsi="Arial"/>
                <w:sz w:val="11"/>
                <w:szCs w:val="11"/>
                <w:color w:val="auto"/>
                <w:w w:val="87"/>
              </w:rPr>
              <w:t>07/24/2025</w:t>
            </w:r>
          </w:p>
        </w:tc>
        <w:tc>
          <w:tcPr>
            <w:tcW w:w="240" w:type="dxa"/>
            <w:vAlign w:val="bottom"/>
          </w:tcPr>
          <w:p>
            <w:pPr>
              <w:spacing w:after="0"/>
              <w:rPr>
                <w:sz w:val="11"/>
                <w:szCs w:val="11"/>
                <w:color w:val="auto"/>
              </w:rPr>
            </w:pPr>
          </w:p>
        </w:tc>
        <w:tc>
          <w:tcPr>
            <w:tcW w:w="2760" w:type="dxa"/>
            <w:vAlign w:val="bottom"/>
            <w:gridSpan w:val="2"/>
          </w:tcPr>
          <w:p>
            <w:pPr>
              <w:jc w:val="center"/>
              <w:ind w:right="140"/>
              <w:spacing w:after="0"/>
              <w:rPr>
                <w:sz w:val="20"/>
                <w:szCs w:val="20"/>
                <w:color w:val="auto"/>
              </w:rPr>
            </w:pPr>
            <w:r>
              <w:rPr>
                <w:rFonts w:ascii="Arial" w:cs="Arial" w:eastAsia="Arial" w:hAnsi="Arial"/>
                <w:sz w:val="11"/>
                <w:szCs w:val="11"/>
                <w:color w:val="auto"/>
                <w:w w:val="89"/>
              </w:rPr>
              <w:t>High Tech Industries</w:t>
            </w:r>
          </w:p>
        </w:tc>
        <w:tc>
          <w:tcPr>
            <w:tcW w:w="860" w:type="dxa"/>
            <w:vAlign w:val="bottom"/>
            <w:gridSpan w:val="2"/>
          </w:tcPr>
          <w:p>
            <w:pPr>
              <w:jc w:val="right"/>
              <w:ind w:right="180"/>
              <w:spacing w:after="0"/>
              <w:rPr>
                <w:sz w:val="20"/>
                <w:szCs w:val="20"/>
                <w:color w:val="auto"/>
              </w:rPr>
            </w:pPr>
            <w:r>
              <w:rPr>
                <w:rFonts w:ascii="Arial" w:cs="Arial" w:eastAsia="Arial" w:hAnsi="Arial"/>
                <w:sz w:val="11"/>
                <w:szCs w:val="11"/>
                <w:color w:val="auto"/>
              </w:rPr>
              <w:t>8.28%</w:t>
            </w:r>
          </w:p>
        </w:tc>
        <w:tc>
          <w:tcPr>
            <w:tcW w:w="560" w:type="dxa"/>
            <w:vAlign w:val="bottom"/>
          </w:tcPr>
          <w:p>
            <w:pPr>
              <w:ind w:left="400"/>
              <w:spacing w:after="0"/>
              <w:rPr>
                <w:sz w:val="20"/>
                <w:szCs w:val="20"/>
                <w:color w:val="auto"/>
              </w:rPr>
            </w:pPr>
            <w:r>
              <w:rPr>
                <w:rFonts w:ascii="Arial" w:cs="Arial" w:eastAsia="Arial" w:hAnsi="Arial"/>
                <w:sz w:val="11"/>
                <w:szCs w:val="11"/>
                <w:color w:val="auto"/>
                <w:w w:val="91"/>
              </w:rPr>
              <w:t>3M</w:t>
            </w:r>
          </w:p>
        </w:tc>
        <w:tc>
          <w:tcPr>
            <w:tcW w:w="540" w:type="dxa"/>
            <w:vAlign w:val="bottom"/>
            <w:gridSpan w:val="3"/>
          </w:tcPr>
          <w:p>
            <w:pPr>
              <w:jc w:val="right"/>
              <w:ind w:right="220"/>
              <w:spacing w:after="0"/>
              <w:rPr>
                <w:sz w:val="20"/>
                <w:szCs w:val="20"/>
                <w:color w:val="auto"/>
              </w:rPr>
            </w:pPr>
            <w:r>
              <w:rPr>
                <w:rFonts w:ascii="Arial" w:cs="Arial" w:eastAsia="Arial" w:hAnsi="Arial"/>
                <w:sz w:val="11"/>
                <w:szCs w:val="11"/>
                <w:color w:val="auto"/>
                <w:w w:val="96"/>
              </w:rPr>
              <w:t>L+600</w:t>
            </w:r>
          </w:p>
        </w:tc>
        <w:tc>
          <w:tcPr>
            <w:tcW w:w="580" w:type="dxa"/>
            <w:vAlign w:val="bottom"/>
          </w:tcPr>
          <w:p>
            <w:pPr>
              <w:jc w:val="right"/>
              <w:spacing w:after="0"/>
              <w:rPr>
                <w:sz w:val="20"/>
                <w:szCs w:val="20"/>
                <w:color w:val="auto"/>
              </w:rPr>
            </w:pPr>
            <w:r>
              <w:rPr>
                <w:rFonts w:ascii="Arial" w:cs="Arial" w:eastAsia="Arial" w:hAnsi="Arial"/>
                <w:sz w:val="11"/>
                <w:szCs w:val="11"/>
                <w:color w:val="auto"/>
              </w:rPr>
              <w:t>5,000,000</w:t>
            </w:r>
          </w:p>
        </w:tc>
        <w:tc>
          <w:tcPr>
            <w:tcW w:w="320" w:type="dxa"/>
            <w:vAlign w:val="bottom"/>
            <w:gridSpan w:val="2"/>
          </w:tcPr>
          <w:p>
            <w:pPr>
              <w:jc w:val="right"/>
              <w:ind w:right="40"/>
              <w:spacing w:after="0"/>
              <w:rPr>
                <w:sz w:val="20"/>
                <w:szCs w:val="20"/>
                <w:color w:val="auto"/>
              </w:rPr>
            </w:pPr>
            <w:r>
              <w:rPr>
                <w:rFonts w:ascii="Arial" w:cs="Arial" w:eastAsia="Arial" w:hAnsi="Arial"/>
                <w:sz w:val="11"/>
                <w:szCs w:val="11"/>
                <w:color w:val="auto"/>
              </w:rPr>
              <w:t>$</w:t>
            </w:r>
          </w:p>
        </w:tc>
        <w:tc>
          <w:tcPr>
            <w:tcW w:w="600" w:type="dxa"/>
            <w:vAlign w:val="bottom"/>
          </w:tcPr>
          <w:p>
            <w:pPr>
              <w:jc w:val="right"/>
              <w:spacing w:after="0"/>
              <w:rPr>
                <w:sz w:val="20"/>
                <w:szCs w:val="20"/>
                <w:color w:val="auto"/>
              </w:rPr>
            </w:pPr>
            <w:r>
              <w:rPr>
                <w:rFonts w:ascii="Arial" w:cs="Arial" w:eastAsia="Arial" w:hAnsi="Arial"/>
                <w:sz w:val="11"/>
                <w:szCs w:val="11"/>
                <w:color w:val="auto"/>
              </w:rPr>
              <w:t>4,927,149</w:t>
            </w:r>
          </w:p>
        </w:tc>
        <w:tc>
          <w:tcPr>
            <w:tcW w:w="220" w:type="dxa"/>
            <w:vAlign w:val="bottom"/>
          </w:tcPr>
          <w:p>
            <w:pPr>
              <w:spacing w:after="0"/>
              <w:rPr>
                <w:sz w:val="11"/>
                <w:szCs w:val="11"/>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tcPr>
          <w:p>
            <w:pPr>
              <w:jc w:val="right"/>
              <w:spacing w:after="0"/>
              <w:rPr>
                <w:sz w:val="20"/>
                <w:szCs w:val="20"/>
                <w:color w:val="auto"/>
              </w:rPr>
            </w:pPr>
            <w:r>
              <w:rPr>
                <w:rFonts w:ascii="Arial" w:cs="Arial" w:eastAsia="Arial" w:hAnsi="Arial"/>
                <w:sz w:val="11"/>
                <w:szCs w:val="11"/>
                <w:color w:val="auto"/>
              </w:rPr>
              <w:t>5,000,000</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shd w:val="clear" w:color="auto" w:fill="CCECFF"/>
          </w:tcPr>
          <w:p>
            <w:pPr>
              <w:spacing w:after="0"/>
              <w:rPr>
                <w:sz w:val="20"/>
                <w:szCs w:val="20"/>
                <w:color w:val="auto"/>
              </w:rPr>
            </w:pPr>
            <w:r>
              <w:rPr>
                <w:rFonts w:ascii="Arial" w:cs="Arial" w:eastAsia="Arial" w:hAnsi="Arial"/>
                <w:sz w:val="11"/>
                <w:szCs w:val="11"/>
                <w:color w:val="auto"/>
              </w:rPr>
              <w:t>American Auto Auction Group, LLC</w:t>
            </w:r>
          </w:p>
        </w:tc>
        <w:tc>
          <w:tcPr>
            <w:tcW w:w="64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87"/>
              </w:rPr>
              <w:t>01/02/2024</w:t>
            </w:r>
          </w:p>
        </w:tc>
        <w:tc>
          <w:tcPr>
            <w:tcW w:w="24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9"/>
              </w:rPr>
              <w:t>Transportation: Consumer</w:t>
            </w:r>
          </w:p>
        </w:tc>
        <w:tc>
          <w:tcPr>
            <w:tcW w:w="86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6.85%</w:t>
            </w:r>
          </w:p>
        </w:tc>
        <w:tc>
          <w:tcPr>
            <w:tcW w:w="560" w:type="dxa"/>
            <w:vAlign w:val="bottom"/>
            <w:shd w:val="clear" w:color="auto" w:fill="CCECFF"/>
          </w:tcPr>
          <w:p>
            <w:pPr>
              <w:ind w:left="400"/>
              <w:spacing w:after="0"/>
              <w:rPr>
                <w:sz w:val="20"/>
                <w:szCs w:val="20"/>
                <w:color w:val="auto"/>
              </w:rPr>
            </w:pPr>
            <w:r>
              <w:rPr>
                <w:rFonts w:ascii="Arial" w:cs="Arial" w:eastAsia="Arial" w:hAnsi="Arial"/>
                <w:sz w:val="11"/>
                <w:szCs w:val="11"/>
                <w:color w:val="auto"/>
                <w:w w:val="91"/>
              </w:rPr>
              <w:t>3M</w:t>
            </w:r>
          </w:p>
        </w:tc>
        <w:tc>
          <w:tcPr>
            <w:tcW w:w="540" w:type="dxa"/>
            <w:vAlign w:val="bottom"/>
            <w:gridSpan w:val="3"/>
            <w:shd w:val="clear" w:color="auto" w:fill="CCECFF"/>
          </w:tcPr>
          <w:p>
            <w:pPr>
              <w:jc w:val="right"/>
              <w:ind w:right="220"/>
              <w:spacing w:after="0"/>
              <w:rPr>
                <w:sz w:val="20"/>
                <w:szCs w:val="20"/>
                <w:color w:val="auto"/>
              </w:rPr>
            </w:pPr>
            <w:r>
              <w:rPr>
                <w:rFonts w:ascii="Arial" w:cs="Arial" w:eastAsia="Arial" w:hAnsi="Arial"/>
                <w:sz w:val="11"/>
                <w:szCs w:val="11"/>
                <w:color w:val="auto"/>
                <w:w w:val="96"/>
              </w:rPr>
              <w:t>L+475</w:t>
            </w: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7,749,274</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7,674,216</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7,671,781</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tcPr>
          <w:p>
            <w:pPr>
              <w:spacing w:after="0"/>
              <w:rPr>
                <w:sz w:val="20"/>
                <w:szCs w:val="20"/>
                <w:color w:val="auto"/>
              </w:rPr>
            </w:pPr>
            <w:r>
              <w:rPr>
                <w:rFonts w:ascii="Arial" w:cs="Arial" w:eastAsia="Arial" w:hAnsi="Arial"/>
                <w:sz w:val="11"/>
                <w:szCs w:val="11"/>
                <w:color w:val="auto"/>
              </w:rPr>
              <w:t>By Light Professional IT Services, LLC</w:t>
            </w:r>
          </w:p>
        </w:tc>
        <w:tc>
          <w:tcPr>
            <w:tcW w:w="640" w:type="dxa"/>
            <w:vAlign w:val="bottom"/>
            <w:gridSpan w:val="2"/>
          </w:tcPr>
          <w:p>
            <w:pPr>
              <w:jc w:val="center"/>
              <w:ind w:left="66"/>
              <w:spacing w:after="0"/>
              <w:rPr>
                <w:sz w:val="20"/>
                <w:szCs w:val="20"/>
                <w:color w:val="auto"/>
              </w:rPr>
            </w:pPr>
            <w:r>
              <w:rPr>
                <w:rFonts w:ascii="Arial" w:cs="Arial" w:eastAsia="Arial" w:hAnsi="Arial"/>
                <w:sz w:val="11"/>
                <w:szCs w:val="11"/>
                <w:color w:val="auto"/>
                <w:w w:val="87"/>
              </w:rPr>
              <w:t>05/16/2022</w:t>
            </w:r>
          </w:p>
        </w:tc>
        <w:tc>
          <w:tcPr>
            <w:tcW w:w="240" w:type="dxa"/>
            <w:vAlign w:val="bottom"/>
          </w:tcPr>
          <w:p>
            <w:pPr>
              <w:spacing w:after="0"/>
              <w:rPr>
                <w:sz w:val="11"/>
                <w:szCs w:val="11"/>
                <w:color w:val="auto"/>
              </w:rPr>
            </w:pPr>
          </w:p>
        </w:tc>
        <w:tc>
          <w:tcPr>
            <w:tcW w:w="2760" w:type="dxa"/>
            <w:vAlign w:val="bottom"/>
            <w:gridSpan w:val="2"/>
          </w:tcPr>
          <w:p>
            <w:pPr>
              <w:jc w:val="center"/>
              <w:ind w:right="140"/>
              <w:spacing w:after="0"/>
              <w:rPr>
                <w:sz w:val="20"/>
                <w:szCs w:val="20"/>
                <w:color w:val="auto"/>
              </w:rPr>
            </w:pPr>
            <w:r>
              <w:rPr>
                <w:rFonts w:ascii="Arial" w:cs="Arial" w:eastAsia="Arial" w:hAnsi="Arial"/>
                <w:sz w:val="11"/>
                <w:szCs w:val="11"/>
                <w:color w:val="auto"/>
                <w:w w:val="89"/>
              </w:rPr>
              <w:t>High Tech Industries</w:t>
            </w:r>
          </w:p>
        </w:tc>
        <w:tc>
          <w:tcPr>
            <w:tcW w:w="860" w:type="dxa"/>
            <w:vAlign w:val="bottom"/>
            <w:gridSpan w:val="2"/>
          </w:tcPr>
          <w:p>
            <w:pPr>
              <w:jc w:val="right"/>
              <w:ind w:right="180"/>
              <w:spacing w:after="0"/>
              <w:rPr>
                <w:sz w:val="20"/>
                <w:szCs w:val="20"/>
                <w:color w:val="auto"/>
              </w:rPr>
            </w:pPr>
            <w:r>
              <w:rPr>
                <w:rFonts w:ascii="Arial" w:cs="Arial" w:eastAsia="Arial" w:hAnsi="Arial"/>
                <w:sz w:val="11"/>
                <w:szCs w:val="11"/>
                <w:color w:val="auto"/>
              </w:rPr>
              <w:t>8.52%</w:t>
            </w:r>
          </w:p>
        </w:tc>
        <w:tc>
          <w:tcPr>
            <w:tcW w:w="560" w:type="dxa"/>
            <w:vAlign w:val="bottom"/>
          </w:tcPr>
          <w:p>
            <w:pPr>
              <w:ind w:left="400"/>
              <w:spacing w:after="0"/>
              <w:rPr>
                <w:sz w:val="20"/>
                <w:szCs w:val="20"/>
                <w:color w:val="auto"/>
              </w:rPr>
            </w:pPr>
            <w:r>
              <w:rPr>
                <w:rFonts w:ascii="Arial" w:cs="Arial" w:eastAsia="Arial" w:hAnsi="Arial"/>
                <w:sz w:val="11"/>
                <w:szCs w:val="11"/>
                <w:color w:val="auto"/>
                <w:w w:val="91"/>
              </w:rPr>
              <w:t>1M</w:t>
            </w:r>
          </w:p>
        </w:tc>
        <w:tc>
          <w:tcPr>
            <w:tcW w:w="540" w:type="dxa"/>
            <w:vAlign w:val="bottom"/>
            <w:gridSpan w:val="3"/>
          </w:tcPr>
          <w:p>
            <w:pPr>
              <w:jc w:val="right"/>
              <w:ind w:right="220"/>
              <w:spacing w:after="0"/>
              <w:rPr>
                <w:sz w:val="20"/>
                <w:szCs w:val="20"/>
                <w:color w:val="auto"/>
              </w:rPr>
            </w:pPr>
            <w:r>
              <w:rPr>
                <w:rFonts w:ascii="Arial" w:cs="Arial" w:eastAsia="Arial" w:hAnsi="Arial"/>
                <w:sz w:val="11"/>
                <w:szCs w:val="11"/>
                <w:color w:val="auto"/>
                <w:w w:val="96"/>
              </w:rPr>
              <w:t>L+725</w:t>
            </w:r>
          </w:p>
        </w:tc>
        <w:tc>
          <w:tcPr>
            <w:tcW w:w="580" w:type="dxa"/>
            <w:vAlign w:val="bottom"/>
          </w:tcPr>
          <w:p>
            <w:pPr>
              <w:jc w:val="right"/>
              <w:spacing w:after="0"/>
              <w:rPr>
                <w:sz w:val="20"/>
                <w:szCs w:val="20"/>
                <w:color w:val="auto"/>
              </w:rPr>
            </w:pPr>
            <w:r>
              <w:rPr>
                <w:rFonts w:ascii="Arial" w:cs="Arial" w:eastAsia="Arial" w:hAnsi="Arial"/>
                <w:sz w:val="11"/>
                <w:szCs w:val="11"/>
                <w:color w:val="auto"/>
                <w:w w:val="98"/>
              </w:rPr>
              <w:t>13,772,261</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13,531,751</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13,772,261</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shd w:val="clear" w:color="auto" w:fill="CCECFF"/>
          </w:tcPr>
          <w:p>
            <w:pPr>
              <w:spacing w:after="0"/>
              <w:rPr>
                <w:sz w:val="20"/>
                <w:szCs w:val="20"/>
                <w:color w:val="auto"/>
              </w:rPr>
            </w:pPr>
            <w:r>
              <w:rPr>
                <w:rFonts w:ascii="Arial" w:cs="Arial" w:eastAsia="Arial" w:hAnsi="Arial"/>
                <w:sz w:val="11"/>
                <w:szCs w:val="11"/>
                <w:color w:val="auto"/>
              </w:rPr>
              <w:t>Cadence Aerospace, LLC</w:t>
            </w:r>
          </w:p>
        </w:tc>
        <w:tc>
          <w:tcPr>
            <w:tcW w:w="64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87"/>
              </w:rPr>
              <w:t>11/14/2023</w:t>
            </w:r>
          </w:p>
        </w:tc>
        <w:tc>
          <w:tcPr>
            <w:tcW w:w="24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6"/>
              </w:rPr>
              <w:t>Aerospace and Defense</w:t>
            </w:r>
          </w:p>
        </w:tc>
        <w:tc>
          <w:tcPr>
            <w:tcW w:w="86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8.54%</w:t>
            </w:r>
          </w:p>
        </w:tc>
        <w:tc>
          <w:tcPr>
            <w:tcW w:w="560" w:type="dxa"/>
            <w:vAlign w:val="bottom"/>
            <w:shd w:val="clear" w:color="auto" w:fill="CCECFF"/>
          </w:tcPr>
          <w:p>
            <w:pPr>
              <w:ind w:left="400"/>
              <w:spacing w:after="0"/>
              <w:rPr>
                <w:sz w:val="20"/>
                <w:szCs w:val="20"/>
                <w:color w:val="auto"/>
              </w:rPr>
            </w:pPr>
            <w:r>
              <w:rPr>
                <w:rFonts w:ascii="Arial" w:cs="Arial" w:eastAsia="Arial" w:hAnsi="Arial"/>
                <w:sz w:val="11"/>
                <w:szCs w:val="11"/>
                <w:color w:val="auto"/>
                <w:w w:val="91"/>
              </w:rPr>
              <w:t>3M</w:t>
            </w:r>
          </w:p>
        </w:tc>
        <w:tc>
          <w:tcPr>
            <w:tcW w:w="540" w:type="dxa"/>
            <w:vAlign w:val="bottom"/>
            <w:gridSpan w:val="3"/>
            <w:shd w:val="clear" w:color="auto" w:fill="CCECFF"/>
          </w:tcPr>
          <w:p>
            <w:pPr>
              <w:jc w:val="right"/>
              <w:ind w:right="220"/>
              <w:spacing w:after="0"/>
              <w:rPr>
                <w:sz w:val="20"/>
                <w:szCs w:val="20"/>
                <w:color w:val="auto"/>
              </w:rPr>
            </w:pPr>
            <w:r>
              <w:rPr>
                <w:rFonts w:ascii="Arial" w:cs="Arial" w:eastAsia="Arial" w:hAnsi="Arial"/>
                <w:sz w:val="11"/>
                <w:szCs w:val="11"/>
                <w:color w:val="auto"/>
                <w:w w:val="96"/>
              </w:rPr>
              <w:t>L+650</w:t>
            </w: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w w:val="98"/>
              </w:rPr>
              <w:t>11,735,208</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11,644,440</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11,680,054</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tcPr>
          <w:p>
            <w:pPr>
              <w:spacing w:after="0"/>
              <w:rPr>
                <w:sz w:val="20"/>
                <w:szCs w:val="20"/>
                <w:color w:val="auto"/>
              </w:rPr>
            </w:pPr>
            <w:r>
              <w:rPr>
                <w:rFonts w:ascii="Arial" w:cs="Arial" w:eastAsia="Arial" w:hAnsi="Arial"/>
                <w:sz w:val="11"/>
                <w:szCs w:val="11"/>
                <w:color w:val="auto"/>
              </w:rPr>
              <w:t>Cardenas Markets LLC</w:t>
            </w:r>
          </w:p>
        </w:tc>
        <w:tc>
          <w:tcPr>
            <w:tcW w:w="640" w:type="dxa"/>
            <w:vAlign w:val="bottom"/>
            <w:gridSpan w:val="2"/>
          </w:tcPr>
          <w:p>
            <w:pPr>
              <w:jc w:val="center"/>
              <w:ind w:left="66"/>
              <w:spacing w:after="0"/>
              <w:rPr>
                <w:sz w:val="20"/>
                <w:szCs w:val="20"/>
                <w:color w:val="auto"/>
              </w:rPr>
            </w:pPr>
            <w:r>
              <w:rPr>
                <w:rFonts w:ascii="Arial" w:cs="Arial" w:eastAsia="Arial" w:hAnsi="Arial"/>
                <w:sz w:val="11"/>
                <w:szCs w:val="11"/>
                <w:color w:val="auto"/>
                <w:w w:val="87"/>
              </w:rPr>
              <w:t>11/29/2023</w:t>
            </w:r>
          </w:p>
        </w:tc>
        <w:tc>
          <w:tcPr>
            <w:tcW w:w="240" w:type="dxa"/>
            <w:vAlign w:val="bottom"/>
          </w:tcPr>
          <w:p>
            <w:pPr>
              <w:spacing w:after="0"/>
              <w:rPr>
                <w:sz w:val="11"/>
                <w:szCs w:val="11"/>
                <w:color w:val="auto"/>
              </w:rPr>
            </w:pPr>
          </w:p>
        </w:tc>
        <w:tc>
          <w:tcPr>
            <w:tcW w:w="2760" w:type="dxa"/>
            <w:vAlign w:val="bottom"/>
            <w:gridSpan w:val="2"/>
          </w:tcPr>
          <w:p>
            <w:pPr>
              <w:jc w:val="center"/>
              <w:ind w:right="140"/>
              <w:spacing w:after="0"/>
              <w:rPr>
                <w:sz w:val="20"/>
                <w:szCs w:val="20"/>
                <w:color w:val="auto"/>
              </w:rPr>
            </w:pPr>
            <w:r>
              <w:rPr>
                <w:rFonts w:ascii="Arial" w:cs="Arial" w:eastAsia="Arial" w:hAnsi="Arial"/>
                <w:sz w:val="11"/>
                <w:szCs w:val="11"/>
                <w:color w:val="auto"/>
                <w:w w:val="86"/>
              </w:rPr>
              <w:t>Beverage, Food and Tobacco</w:t>
            </w:r>
          </w:p>
        </w:tc>
        <w:tc>
          <w:tcPr>
            <w:tcW w:w="860" w:type="dxa"/>
            <w:vAlign w:val="bottom"/>
            <w:gridSpan w:val="2"/>
          </w:tcPr>
          <w:p>
            <w:pPr>
              <w:jc w:val="right"/>
              <w:ind w:right="180"/>
              <w:spacing w:after="0"/>
              <w:rPr>
                <w:sz w:val="20"/>
                <w:szCs w:val="20"/>
                <w:color w:val="auto"/>
              </w:rPr>
            </w:pPr>
            <w:r>
              <w:rPr>
                <w:rFonts w:ascii="Arial" w:cs="Arial" w:eastAsia="Arial" w:hAnsi="Arial"/>
                <w:sz w:val="11"/>
                <w:szCs w:val="11"/>
                <w:color w:val="auto"/>
              </w:rPr>
              <w:t>7.79%</w:t>
            </w:r>
          </w:p>
        </w:tc>
        <w:tc>
          <w:tcPr>
            <w:tcW w:w="560" w:type="dxa"/>
            <w:vAlign w:val="bottom"/>
          </w:tcPr>
          <w:p>
            <w:pPr>
              <w:ind w:left="400"/>
              <w:spacing w:after="0"/>
              <w:rPr>
                <w:sz w:val="20"/>
                <w:szCs w:val="20"/>
                <w:color w:val="auto"/>
              </w:rPr>
            </w:pPr>
            <w:r>
              <w:rPr>
                <w:rFonts w:ascii="Arial" w:cs="Arial" w:eastAsia="Arial" w:hAnsi="Arial"/>
                <w:sz w:val="11"/>
                <w:szCs w:val="11"/>
                <w:color w:val="auto"/>
                <w:w w:val="91"/>
              </w:rPr>
              <w:t>1M</w:t>
            </w:r>
          </w:p>
        </w:tc>
        <w:tc>
          <w:tcPr>
            <w:tcW w:w="540" w:type="dxa"/>
            <w:vAlign w:val="bottom"/>
            <w:gridSpan w:val="3"/>
          </w:tcPr>
          <w:p>
            <w:pPr>
              <w:jc w:val="right"/>
              <w:ind w:right="220"/>
              <w:spacing w:after="0"/>
              <w:rPr>
                <w:sz w:val="20"/>
                <w:szCs w:val="20"/>
                <w:color w:val="auto"/>
              </w:rPr>
            </w:pPr>
            <w:r>
              <w:rPr>
                <w:rFonts w:ascii="Arial" w:cs="Arial" w:eastAsia="Arial" w:hAnsi="Arial"/>
                <w:sz w:val="11"/>
                <w:szCs w:val="11"/>
                <w:color w:val="auto"/>
                <w:w w:val="96"/>
              </w:rPr>
              <w:t>L+575</w:t>
            </w:r>
          </w:p>
        </w:tc>
        <w:tc>
          <w:tcPr>
            <w:tcW w:w="580" w:type="dxa"/>
            <w:vAlign w:val="bottom"/>
          </w:tcPr>
          <w:p>
            <w:pPr>
              <w:jc w:val="right"/>
              <w:spacing w:after="0"/>
              <w:rPr>
                <w:sz w:val="20"/>
                <w:szCs w:val="20"/>
                <w:color w:val="auto"/>
              </w:rPr>
            </w:pPr>
            <w:r>
              <w:rPr>
                <w:rFonts w:ascii="Arial" w:cs="Arial" w:eastAsia="Arial" w:hAnsi="Arial"/>
                <w:sz w:val="11"/>
                <w:szCs w:val="11"/>
                <w:color w:val="auto"/>
              </w:rPr>
              <w:t>7,348,866</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7,311,507</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7,128,400</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shd w:val="clear" w:color="auto" w:fill="CCECFF"/>
          </w:tcPr>
          <w:p>
            <w:pPr>
              <w:spacing w:after="0"/>
              <w:rPr>
                <w:sz w:val="20"/>
                <w:szCs w:val="20"/>
                <w:color w:val="auto"/>
              </w:rPr>
            </w:pPr>
            <w:r>
              <w:rPr>
                <w:rFonts w:ascii="Arial" w:cs="Arial" w:eastAsia="Arial" w:hAnsi="Arial"/>
                <w:sz w:val="11"/>
                <w:szCs w:val="11"/>
                <w:color w:val="auto"/>
              </w:rPr>
              <w:t>Centauri Group Holdings, LLC</w:t>
            </w:r>
          </w:p>
        </w:tc>
        <w:tc>
          <w:tcPr>
            <w:tcW w:w="64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87"/>
              </w:rPr>
              <w:t>02/12/2024</w:t>
            </w:r>
          </w:p>
        </w:tc>
        <w:tc>
          <w:tcPr>
            <w:tcW w:w="24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6"/>
              </w:rPr>
              <w:t>Aerospace and Defense</w:t>
            </w:r>
          </w:p>
        </w:tc>
        <w:tc>
          <w:tcPr>
            <w:tcW w:w="86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7.36%</w:t>
            </w:r>
          </w:p>
        </w:tc>
        <w:tc>
          <w:tcPr>
            <w:tcW w:w="560" w:type="dxa"/>
            <w:vAlign w:val="bottom"/>
            <w:shd w:val="clear" w:color="auto" w:fill="CCECFF"/>
          </w:tcPr>
          <w:p>
            <w:pPr>
              <w:ind w:left="400"/>
              <w:spacing w:after="0"/>
              <w:rPr>
                <w:sz w:val="20"/>
                <w:szCs w:val="20"/>
                <w:color w:val="auto"/>
              </w:rPr>
            </w:pPr>
            <w:r>
              <w:rPr>
                <w:rFonts w:ascii="Arial" w:cs="Arial" w:eastAsia="Arial" w:hAnsi="Arial"/>
                <w:sz w:val="11"/>
                <w:szCs w:val="11"/>
                <w:color w:val="auto"/>
                <w:w w:val="91"/>
              </w:rPr>
              <w:t>1M</w:t>
            </w:r>
          </w:p>
        </w:tc>
        <w:tc>
          <w:tcPr>
            <w:tcW w:w="540" w:type="dxa"/>
            <w:vAlign w:val="bottom"/>
            <w:gridSpan w:val="3"/>
            <w:shd w:val="clear" w:color="auto" w:fill="CCECFF"/>
          </w:tcPr>
          <w:p>
            <w:pPr>
              <w:jc w:val="right"/>
              <w:ind w:right="220"/>
              <w:spacing w:after="0"/>
              <w:rPr>
                <w:sz w:val="20"/>
                <w:szCs w:val="20"/>
                <w:color w:val="auto"/>
              </w:rPr>
            </w:pPr>
            <w:r>
              <w:rPr>
                <w:rFonts w:ascii="Arial" w:cs="Arial" w:eastAsia="Arial" w:hAnsi="Arial"/>
                <w:sz w:val="11"/>
                <w:szCs w:val="11"/>
                <w:color w:val="auto"/>
                <w:w w:val="96"/>
              </w:rPr>
              <w:t>L+525</w:t>
            </w: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w w:val="98"/>
              </w:rPr>
              <w:t>10,422,726</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10,413,416</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10,396,669</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tcPr>
          <w:p>
            <w:pPr>
              <w:spacing w:after="0"/>
              <w:rPr>
                <w:sz w:val="20"/>
                <w:szCs w:val="20"/>
                <w:color w:val="auto"/>
              </w:rPr>
            </w:pPr>
            <w:r>
              <w:rPr>
                <w:rFonts w:ascii="Arial" w:cs="Arial" w:eastAsia="Arial" w:hAnsi="Arial"/>
                <w:sz w:val="11"/>
                <w:szCs w:val="11"/>
                <w:color w:val="auto"/>
              </w:rPr>
              <w:t>Challenger Performance Optimization, Inc.</w:t>
            </w:r>
          </w:p>
        </w:tc>
        <w:tc>
          <w:tcPr>
            <w:tcW w:w="640" w:type="dxa"/>
            <w:vAlign w:val="bottom"/>
            <w:gridSpan w:val="2"/>
          </w:tcPr>
          <w:p>
            <w:pPr>
              <w:jc w:val="center"/>
              <w:ind w:left="66"/>
              <w:spacing w:after="0"/>
              <w:rPr>
                <w:sz w:val="20"/>
                <w:szCs w:val="20"/>
                <w:color w:val="auto"/>
              </w:rPr>
            </w:pPr>
            <w:r>
              <w:rPr>
                <w:rFonts w:ascii="Arial" w:cs="Arial" w:eastAsia="Arial" w:hAnsi="Arial"/>
                <w:sz w:val="11"/>
                <w:szCs w:val="11"/>
                <w:color w:val="auto"/>
                <w:w w:val="87"/>
              </w:rPr>
              <w:t>08/31/2023</w:t>
            </w:r>
          </w:p>
        </w:tc>
        <w:tc>
          <w:tcPr>
            <w:tcW w:w="240" w:type="dxa"/>
            <w:vAlign w:val="bottom"/>
          </w:tcPr>
          <w:p>
            <w:pPr>
              <w:spacing w:after="0"/>
              <w:rPr>
                <w:sz w:val="11"/>
                <w:szCs w:val="11"/>
                <w:color w:val="auto"/>
              </w:rPr>
            </w:pPr>
          </w:p>
        </w:tc>
        <w:tc>
          <w:tcPr>
            <w:tcW w:w="2760" w:type="dxa"/>
            <w:vAlign w:val="bottom"/>
            <w:gridSpan w:val="2"/>
          </w:tcPr>
          <w:p>
            <w:pPr>
              <w:jc w:val="center"/>
              <w:ind w:right="140"/>
              <w:spacing w:after="0"/>
              <w:rPr>
                <w:sz w:val="20"/>
                <w:szCs w:val="20"/>
                <w:color w:val="auto"/>
              </w:rPr>
            </w:pPr>
            <w:r>
              <w:rPr>
                <w:rFonts w:ascii="Arial" w:cs="Arial" w:eastAsia="Arial" w:hAnsi="Arial"/>
                <w:sz w:val="11"/>
                <w:szCs w:val="11"/>
                <w:color w:val="auto"/>
                <w:w w:val="86"/>
              </w:rPr>
              <w:t>Business Services</w:t>
            </w:r>
          </w:p>
        </w:tc>
        <w:tc>
          <w:tcPr>
            <w:tcW w:w="860" w:type="dxa"/>
            <w:vAlign w:val="bottom"/>
            <w:gridSpan w:val="2"/>
          </w:tcPr>
          <w:p>
            <w:pPr>
              <w:jc w:val="right"/>
              <w:ind w:right="180"/>
              <w:spacing w:after="0"/>
              <w:rPr>
                <w:sz w:val="20"/>
                <w:szCs w:val="20"/>
                <w:color w:val="auto"/>
              </w:rPr>
            </w:pPr>
            <w:r>
              <w:rPr>
                <w:rFonts w:ascii="Arial" w:cs="Arial" w:eastAsia="Arial" w:hAnsi="Arial"/>
                <w:sz w:val="11"/>
                <w:szCs w:val="11"/>
                <w:color w:val="auto"/>
              </w:rPr>
              <w:t>7.87%</w:t>
            </w:r>
          </w:p>
        </w:tc>
        <w:tc>
          <w:tcPr>
            <w:tcW w:w="560" w:type="dxa"/>
            <w:vAlign w:val="bottom"/>
          </w:tcPr>
          <w:p>
            <w:pPr>
              <w:ind w:left="400"/>
              <w:spacing w:after="0"/>
              <w:rPr>
                <w:sz w:val="20"/>
                <w:szCs w:val="20"/>
                <w:color w:val="auto"/>
              </w:rPr>
            </w:pPr>
            <w:r>
              <w:rPr>
                <w:rFonts w:ascii="Arial" w:cs="Arial" w:eastAsia="Arial" w:hAnsi="Arial"/>
                <w:sz w:val="11"/>
                <w:szCs w:val="11"/>
                <w:color w:val="auto"/>
                <w:w w:val="91"/>
              </w:rPr>
              <w:t>1M</w:t>
            </w:r>
          </w:p>
        </w:tc>
        <w:tc>
          <w:tcPr>
            <w:tcW w:w="540" w:type="dxa"/>
            <w:vAlign w:val="bottom"/>
            <w:gridSpan w:val="3"/>
          </w:tcPr>
          <w:p>
            <w:pPr>
              <w:jc w:val="right"/>
              <w:ind w:right="220"/>
              <w:spacing w:after="0"/>
              <w:rPr>
                <w:sz w:val="20"/>
                <w:szCs w:val="20"/>
                <w:color w:val="auto"/>
              </w:rPr>
            </w:pPr>
            <w:r>
              <w:rPr>
                <w:rFonts w:ascii="Arial" w:cs="Arial" w:eastAsia="Arial" w:hAnsi="Arial"/>
                <w:sz w:val="11"/>
                <w:szCs w:val="11"/>
                <w:color w:val="auto"/>
                <w:w w:val="96"/>
              </w:rPr>
              <w:t>L+575</w:t>
            </w:r>
          </w:p>
        </w:tc>
        <w:tc>
          <w:tcPr>
            <w:tcW w:w="580" w:type="dxa"/>
            <w:vAlign w:val="bottom"/>
          </w:tcPr>
          <w:p>
            <w:pPr>
              <w:jc w:val="right"/>
              <w:spacing w:after="0"/>
              <w:rPr>
                <w:sz w:val="20"/>
                <w:szCs w:val="20"/>
                <w:color w:val="auto"/>
              </w:rPr>
            </w:pPr>
            <w:r>
              <w:rPr>
                <w:rFonts w:ascii="Arial" w:cs="Arial" w:eastAsia="Arial" w:hAnsi="Arial"/>
                <w:sz w:val="11"/>
                <w:szCs w:val="11"/>
                <w:color w:val="auto"/>
                <w:w w:val="98"/>
              </w:rPr>
              <w:t>10,127,447</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10,040,432</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9,874,261</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shd w:val="clear" w:color="auto" w:fill="CCECFF"/>
          </w:tcPr>
          <w:p>
            <w:pPr>
              <w:spacing w:after="0"/>
              <w:rPr>
                <w:sz w:val="20"/>
                <w:szCs w:val="20"/>
                <w:color w:val="auto"/>
              </w:rPr>
            </w:pPr>
            <w:r>
              <w:rPr>
                <w:rFonts w:ascii="Arial" w:cs="Arial" w:eastAsia="Arial" w:hAnsi="Arial"/>
                <w:sz w:val="11"/>
                <w:szCs w:val="11"/>
                <w:color w:val="auto"/>
              </w:rPr>
              <w:t>Country Fresh Holdings, LLC</w:t>
            </w:r>
          </w:p>
        </w:tc>
        <w:tc>
          <w:tcPr>
            <w:tcW w:w="64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87"/>
              </w:rPr>
              <w:t>05/01/2023</w:t>
            </w:r>
          </w:p>
        </w:tc>
        <w:tc>
          <w:tcPr>
            <w:tcW w:w="24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6"/>
              </w:rPr>
              <w:t>Beverage, Food and Tobacco</w:t>
            </w:r>
          </w:p>
        </w:tc>
        <w:tc>
          <w:tcPr>
            <w:tcW w:w="86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7.10%</w:t>
            </w:r>
          </w:p>
        </w:tc>
        <w:tc>
          <w:tcPr>
            <w:tcW w:w="560" w:type="dxa"/>
            <w:vAlign w:val="bottom"/>
            <w:shd w:val="clear" w:color="auto" w:fill="CCECFF"/>
          </w:tcPr>
          <w:p>
            <w:pPr>
              <w:ind w:left="400"/>
              <w:spacing w:after="0"/>
              <w:rPr>
                <w:sz w:val="20"/>
                <w:szCs w:val="20"/>
                <w:color w:val="auto"/>
              </w:rPr>
            </w:pPr>
            <w:r>
              <w:rPr>
                <w:rFonts w:ascii="Arial" w:cs="Arial" w:eastAsia="Arial" w:hAnsi="Arial"/>
                <w:sz w:val="11"/>
                <w:szCs w:val="11"/>
                <w:color w:val="auto"/>
                <w:w w:val="91"/>
              </w:rPr>
              <w:t>1M</w:t>
            </w:r>
          </w:p>
        </w:tc>
        <w:tc>
          <w:tcPr>
            <w:tcW w:w="540" w:type="dxa"/>
            <w:vAlign w:val="bottom"/>
            <w:gridSpan w:val="3"/>
            <w:shd w:val="clear" w:color="auto" w:fill="CCECFF"/>
          </w:tcPr>
          <w:p>
            <w:pPr>
              <w:jc w:val="right"/>
              <w:ind w:right="220"/>
              <w:spacing w:after="0"/>
              <w:rPr>
                <w:sz w:val="20"/>
                <w:szCs w:val="20"/>
                <w:color w:val="auto"/>
              </w:rPr>
            </w:pPr>
            <w:r>
              <w:rPr>
                <w:rFonts w:ascii="Arial" w:cs="Arial" w:eastAsia="Arial" w:hAnsi="Arial"/>
                <w:sz w:val="11"/>
                <w:szCs w:val="11"/>
                <w:color w:val="auto"/>
                <w:w w:val="96"/>
              </w:rPr>
              <w:t>L+500</w:t>
            </w: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182,403</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179,170</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182,403</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tcPr>
          <w:p>
            <w:pPr>
              <w:spacing w:after="0"/>
              <w:rPr>
                <w:sz w:val="20"/>
                <w:szCs w:val="20"/>
                <w:color w:val="auto"/>
              </w:rPr>
            </w:pPr>
            <w:r>
              <w:rPr>
                <w:rFonts w:ascii="Arial" w:cs="Arial" w:eastAsia="Arial" w:hAnsi="Arial"/>
                <w:sz w:val="11"/>
                <w:szCs w:val="11"/>
                <w:color w:val="auto"/>
              </w:rPr>
              <w:t>Country Fresh Holdings, LLC (Revolver)</w:t>
            </w:r>
          </w:p>
        </w:tc>
        <w:tc>
          <w:tcPr>
            <w:tcW w:w="640" w:type="dxa"/>
            <w:vAlign w:val="bottom"/>
            <w:gridSpan w:val="2"/>
          </w:tcPr>
          <w:p>
            <w:pPr>
              <w:jc w:val="center"/>
              <w:ind w:left="66"/>
              <w:spacing w:after="0"/>
              <w:rPr>
                <w:sz w:val="20"/>
                <w:szCs w:val="20"/>
                <w:color w:val="auto"/>
              </w:rPr>
            </w:pPr>
            <w:r>
              <w:rPr>
                <w:rFonts w:ascii="Arial" w:cs="Arial" w:eastAsia="Arial" w:hAnsi="Arial"/>
                <w:sz w:val="11"/>
                <w:szCs w:val="11"/>
                <w:color w:val="auto"/>
                <w:w w:val="87"/>
              </w:rPr>
              <w:t>05/01/2023</w:t>
            </w:r>
          </w:p>
        </w:tc>
        <w:tc>
          <w:tcPr>
            <w:tcW w:w="240" w:type="dxa"/>
            <w:vAlign w:val="bottom"/>
          </w:tcPr>
          <w:p>
            <w:pPr>
              <w:spacing w:after="0"/>
              <w:rPr>
                <w:sz w:val="11"/>
                <w:szCs w:val="11"/>
                <w:color w:val="auto"/>
              </w:rPr>
            </w:pPr>
          </w:p>
        </w:tc>
        <w:tc>
          <w:tcPr>
            <w:tcW w:w="2760" w:type="dxa"/>
            <w:vAlign w:val="bottom"/>
            <w:gridSpan w:val="2"/>
          </w:tcPr>
          <w:p>
            <w:pPr>
              <w:jc w:val="center"/>
              <w:ind w:right="140"/>
              <w:spacing w:after="0"/>
              <w:rPr>
                <w:sz w:val="20"/>
                <w:szCs w:val="20"/>
                <w:color w:val="auto"/>
              </w:rPr>
            </w:pPr>
            <w:r>
              <w:rPr>
                <w:rFonts w:ascii="Arial" w:cs="Arial" w:eastAsia="Arial" w:hAnsi="Arial"/>
                <w:sz w:val="11"/>
                <w:szCs w:val="11"/>
                <w:color w:val="auto"/>
                <w:w w:val="86"/>
              </w:rPr>
              <w:t>Beverage, Food and Tobacco</w:t>
            </w:r>
          </w:p>
        </w:tc>
        <w:tc>
          <w:tcPr>
            <w:tcW w:w="860" w:type="dxa"/>
            <w:vAlign w:val="bottom"/>
            <w:gridSpan w:val="2"/>
          </w:tcPr>
          <w:p>
            <w:pPr>
              <w:jc w:val="right"/>
              <w:ind w:right="180"/>
              <w:spacing w:after="0"/>
              <w:rPr>
                <w:sz w:val="20"/>
                <w:szCs w:val="20"/>
                <w:color w:val="auto"/>
              </w:rPr>
            </w:pPr>
            <w:r>
              <w:rPr>
                <w:rFonts w:ascii="Arial" w:cs="Arial" w:eastAsia="Arial" w:hAnsi="Arial"/>
                <w:sz w:val="11"/>
                <w:szCs w:val="11"/>
                <w:color w:val="auto"/>
              </w:rPr>
              <w:t>7.10%</w:t>
            </w:r>
          </w:p>
        </w:tc>
        <w:tc>
          <w:tcPr>
            <w:tcW w:w="560" w:type="dxa"/>
            <w:vAlign w:val="bottom"/>
          </w:tcPr>
          <w:p>
            <w:pPr>
              <w:ind w:left="400"/>
              <w:spacing w:after="0"/>
              <w:rPr>
                <w:sz w:val="20"/>
                <w:szCs w:val="20"/>
                <w:color w:val="auto"/>
              </w:rPr>
            </w:pPr>
            <w:r>
              <w:rPr>
                <w:rFonts w:ascii="Arial" w:cs="Arial" w:eastAsia="Arial" w:hAnsi="Arial"/>
                <w:sz w:val="11"/>
                <w:szCs w:val="11"/>
                <w:color w:val="auto"/>
                <w:w w:val="91"/>
              </w:rPr>
              <w:t>1M</w:t>
            </w:r>
          </w:p>
        </w:tc>
        <w:tc>
          <w:tcPr>
            <w:tcW w:w="540" w:type="dxa"/>
            <w:vAlign w:val="bottom"/>
            <w:gridSpan w:val="3"/>
          </w:tcPr>
          <w:p>
            <w:pPr>
              <w:jc w:val="right"/>
              <w:ind w:right="220"/>
              <w:spacing w:after="0"/>
              <w:rPr>
                <w:sz w:val="20"/>
                <w:szCs w:val="20"/>
                <w:color w:val="auto"/>
              </w:rPr>
            </w:pPr>
            <w:r>
              <w:rPr>
                <w:rFonts w:ascii="Arial" w:cs="Arial" w:eastAsia="Arial" w:hAnsi="Arial"/>
                <w:sz w:val="11"/>
                <w:szCs w:val="11"/>
                <w:color w:val="auto"/>
                <w:w w:val="96"/>
              </w:rPr>
              <w:t>L+500</w:t>
            </w:r>
          </w:p>
        </w:tc>
        <w:tc>
          <w:tcPr>
            <w:tcW w:w="580" w:type="dxa"/>
            <w:vAlign w:val="bottom"/>
          </w:tcPr>
          <w:p>
            <w:pPr>
              <w:jc w:val="right"/>
              <w:spacing w:after="0"/>
              <w:rPr>
                <w:sz w:val="20"/>
                <w:szCs w:val="20"/>
                <w:color w:val="auto"/>
              </w:rPr>
            </w:pPr>
            <w:r>
              <w:rPr>
                <w:rFonts w:ascii="Arial" w:cs="Arial" w:eastAsia="Arial" w:hAnsi="Arial"/>
                <w:sz w:val="11"/>
                <w:szCs w:val="11"/>
                <w:color w:val="auto"/>
              </w:rPr>
              <w:t>126,031</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126,031</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126,031</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Country Fresh Holdings, LLC - (Revolver) </w:t>
            </w:r>
            <w:r>
              <w:rPr>
                <w:rFonts w:ascii="Arial" w:cs="Arial" w:eastAsia="Arial" w:hAnsi="Arial"/>
                <w:sz w:val="9"/>
                <w:szCs w:val="9"/>
                <w:color w:val="auto"/>
              </w:rPr>
              <w:t>(5)</w:t>
            </w:r>
          </w:p>
        </w:tc>
        <w:tc>
          <w:tcPr>
            <w:tcW w:w="64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87"/>
              </w:rPr>
              <w:t>05/01/2023</w:t>
            </w:r>
          </w:p>
        </w:tc>
        <w:tc>
          <w:tcPr>
            <w:tcW w:w="24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6"/>
              </w:rPr>
              <w:t>Beverage, Food and Tobacco</w:t>
            </w:r>
          </w:p>
        </w:tc>
        <w:tc>
          <w:tcPr>
            <w:tcW w:w="86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560" w:type="dxa"/>
            <w:vAlign w:val="bottom"/>
            <w:shd w:val="clear" w:color="auto" w:fill="CCECFF"/>
          </w:tcPr>
          <w:p>
            <w:pPr>
              <w:spacing w:after="0"/>
              <w:rPr>
                <w:sz w:val="11"/>
                <w:szCs w:val="11"/>
                <w:color w:val="auto"/>
              </w:rPr>
            </w:pPr>
          </w:p>
        </w:tc>
        <w:tc>
          <w:tcPr>
            <w:tcW w:w="540" w:type="dxa"/>
            <w:vAlign w:val="bottom"/>
            <w:gridSpan w:val="3"/>
            <w:shd w:val="clear" w:color="auto" w:fill="CCECFF"/>
          </w:tcPr>
          <w:p>
            <w:pPr>
              <w:jc w:val="right"/>
              <w:ind w:right="220"/>
              <w:spacing w:after="0"/>
              <w:rPr>
                <w:sz w:val="20"/>
                <w:szCs w:val="20"/>
                <w:color w:val="auto"/>
              </w:rPr>
            </w:pPr>
            <w:r>
              <w:rPr>
                <w:rFonts w:ascii="Arial" w:cs="Arial" w:eastAsia="Arial" w:hAnsi="Arial"/>
                <w:sz w:val="11"/>
                <w:szCs w:val="11"/>
                <w:color w:val="auto"/>
              </w:rPr>
              <w:t>—</w:t>
            </w: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324,080</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82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CFF"/>
          </w:tcPr>
          <w:p>
            <w:pPr>
              <w:spacing w:after="0"/>
              <w:rPr>
                <w:sz w:val="11"/>
                <w:szCs w:val="11"/>
                <w:color w:val="auto"/>
              </w:rPr>
            </w:pPr>
          </w:p>
        </w:tc>
        <w:tc>
          <w:tcPr>
            <w:tcW w:w="760" w:type="dxa"/>
            <w:vAlign w:val="bottom"/>
            <w:gridSpan w:val="2"/>
            <w:shd w:val="clear" w:color="auto" w:fill="CCECFF"/>
          </w:tcPr>
          <w:p>
            <w:pPr>
              <w:jc w:val="right"/>
              <w:ind w:right="14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5"/>
        </w:trPr>
        <w:tc>
          <w:tcPr>
            <w:tcW w:w="3060" w:type="dxa"/>
            <w:vAlign w:val="bottom"/>
          </w:tcPr>
          <w:p>
            <w:pPr>
              <w:spacing w:after="0"/>
              <w:rPr>
                <w:sz w:val="20"/>
                <w:szCs w:val="20"/>
                <w:color w:val="auto"/>
              </w:rPr>
            </w:pPr>
            <w:r>
              <w:rPr>
                <w:rFonts w:ascii="Arial" w:cs="Arial" w:eastAsia="Arial" w:hAnsi="Arial"/>
                <w:sz w:val="11"/>
                <w:szCs w:val="11"/>
                <w:color w:val="auto"/>
              </w:rPr>
              <w:t>Deva Holdings, Inc.</w:t>
            </w:r>
          </w:p>
        </w:tc>
        <w:tc>
          <w:tcPr>
            <w:tcW w:w="640" w:type="dxa"/>
            <w:vAlign w:val="bottom"/>
            <w:gridSpan w:val="2"/>
          </w:tcPr>
          <w:p>
            <w:pPr>
              <w:jc w:val="center"/>
              <w:ind w:left="66"/>
              <w:spacing w:after="0"/>
              <w:rPr>
                <w:sz w:val="20"/>
                <w:szCs w:val="20"/>
                <w:color w:val="auto"/>
              </w:rPr>
            </w:pPr>
            <w:r>
              <w:rPr>
                <w:rFonts w:ascii="Arial" w:cs="Arial" w:eastAsia="Arial" w:hAnsi="Arial"/>
                <w:sz w:val="11"/>
                <w:szCs w:val="11"/>
                <w:color w:val="auto"/>
                <w:w w:val="87"/>
              </w:rPr>
              <w:t>10/31/2023</w:t>
            </w:r>
          </w:p>
        </w:tc>
        <w:tc>
          <w:tcPr>
            <w:tcW w:w="240" w:type="dxa"/>
            <w:vAlign w:val="bottom"/>
          </w:tcPr>
          <w:p>
            <w:pPr>
              <w:spacing w:after="0"/>
              <w:rPr>
                <w:sz w:val="11"/>
                <w:szCs w:val="11"/>
                <w:color w:val="auto"/>
              </w:rPr>
            </w:pPr>
          </w:p>
        </w:tc>
        <w:tc>
          <w:tcPr>
            <w:tcW w:w="2760" w:type="dxa"/>
            <w:vAlign w:val="bottom"/>
            <w:gridSpan w:val="2"/>
          </w:tcPr>
          <w:p>
            <w:pPr>
              <w:jc w:val="center"/>
              <w:ind w:right="140"/>
              <w:spacing w:after="0"/>
              <w:rPr>
                <w:sz w:val="20"/>
                <w:szCs w:val="20"/>
                <w:color w:val="auto"/>
              </w:rPr>
            </w:pPr>
            <w:r>
              <w:rPr>
                <w:rFonts w:ascii="Arial" w:cs="Arial" w:eastAsia="Arial" w:hAnsi="Arial"/>
                <w:sz w:val="11"/>
                <w:szCs w:val="11"/>
                <w:color w:val="auto"/>
                <w:w w:val="89"/>
              </w:rPr>
              <w:t>Consumer Goods: Non-Durable</w:t>
            </w:r>
          </w:p>
        </w:tc>
        <w:tc>
          <w:tcPr>
            <w:tcW w:w="860" w:type="dxa"/>
            <w:vAlign w:val="bottom"/>
            <w:gridSpan w:val="2"/>
          </w:tcPr>
          <w:p>
            <w:pPr>
              <w:jc w:val="right"/>
              <w:ind w:right="180"/>
              <w:spacing w:after="0"/>
              <w:rPr>
                <w:sz w:val="20"/>
                <w:szCs w:val="20"/>
                <w:color w:val="auto"/>
              </w:rPr>
            </w:pPr>
            <w:r>
              <w:rPr>
                <w:rFonts w:ascii="Arial" w:cs="Arial" w:eastAsia="Arial" w:hAnsi="Arial"/>
                <w:sz w:val="11"/>
                <w:szCs w:val="11"/>
                <w:color w:val="auto"/>
              </w:rPr>
              <w:t>7.54%</w:t>
            </w:r>
          </w:p>
        </w:tc>
        <w:tc>
          <w:tcPr>
            <w:tcW w:w="560" w:type="dxa"/>
            <w:vAlign w:val="bottom"/>
          </w:tcPr>
          <w:p>
            <w:pPr>
              <w:ind w:left="400"/>
              <w:spacing w:after="0"/>
              <w:rPr>
                <w:sz w:val="20"/>
                <w:szCs w:val="20"/>
                <w:color w:val="auto"/>
              </w:rPr>
            </w:pPr>
            <w:r>
              <w:rPr>
                <w:rFonts w:ascii="Arial" w:cs="Arial" w:eastAsia="Arial" w:hAnsi="Arial"/>
                <w:sz w:val="11"/>
                <w:szCs w:val="11"/>
                <w:color w:val="auto"/>
                <w:w w:val="91"/>
              </w:rPr>
              <w:t>3M</w:t>
            </w:r>
          </w:p>
        </w:tc>
        <w:tc>
          <w:tcPr>
            <w:tcW w:w="540" w:type="dxa"/>
            <w:vAlign w:val="bottom"/>
            <w:gridSpan w:val="3"/>
          </w:tcPr>
          <w:p>
            <w:pPr>
              <w:jc w:val="right"/>
              <w:ind w:right="220"/>
              <w:spacing w:after="0"/>
              <w:rPr>
                <w:sz w:val="20"/>
                <w:szCs w:val="20"/>
                <w:color w:val="auto"/>
              </w:rPr>
            </w:pPr>
            <w:r>
              <w:rPr>
                <w:rFonts w:ascii="Arial" w:cs="Arial" w:eastAsia="Arial" w:hAnsi="Arial"/>
                <w:sz w:val="11"/>
                <w:szCs w:val="11"/>
                <w:color w:val="auto"/>
                <w:w w:val="96"/>
              </w:rPr>
              <w:t>L+625</w:t>
            </w:r>
          </w:p>
        </w:tc>
        <w:tc>
          <w:tcPr>
            <w:tcW w:w="580" w:type="dxa"/>
            <w:vAlign w:val="bottom"/>
          </w:tcPr>
          <w:p>
            <w:pPr>
              <w:jc w:val="right"/>
              <w:spacing w:after="0"/>
              <w:rPr>
                <w:sz w:val="20"/>
                <w:szCs w:val="20"/>
                <w:color w:val="auto"/>
              </w:rPr>
            </w:pPr>
            <w:r>
              <w:rPr>
                <w:rFonts w:ascii="Arial" w:cs="Arial" w:eastAsia="Arial" w:hAnsi="Arial"/>
                <w:sz w:val="11"/>
                <w:szCs w:val="11"/>
                <w:color w:val="auto"/>
                <w:w w:val="98"/>
              </w:rPr>
              <w:t>19,748,744</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19,748,744</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19,748,744</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shd w:val="clear" w:color="auto" w:fill="CCECFF"/>
          </w:tcPr>
          <w:p>
            <w:pPr>
              <w:spacing w:after="0"/>
              <w:rPr>
                <w:sz w:val="20"/>
                <w:szCs w:val="20"/>
                <w:color w:val="auto"/>
              </w:rPr>
            </w:pPr>
            <w:r>
              <w:rPr>
                <w:rFonts w:ascii="Arial" w:cs="Arial" w:eastAsia="Arial" w:hAnsi="Arial"/>
                <w:sz w:val="11"/>
                <w:szCs w:val="11"/>
                <w:color w:val="auto"/>
              </w:rPr>
              <w:t>Douglas Products and Packaging Company LLC</w:t>
            </w:r>
          </w:p>
        </w:tc>
        <w:tc>
          <w:tcPr>
            <w:tcW w:w="64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87"/>
              </w:rPr>
              <w:t>10/19/2022</w:t>
            </w:r>
          </w:p>
        </w:tc>
        <w:tc>
          <w:tcPr>
            <w:tcW w:w="24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8"/>
              </w:rPr>
              <w:t>Chemicals, Plastics and Rubber</w:t>
            </w:r>
          </w:p>
        </w:tc>
        <w:tc>
          <w:tcPr>
            <w:tcW w:w="86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7.85%</w:t>
            </w:r>
          </w:p>
        </w:tc>
        <w:tc>
          <w:tcPr>
            <w:tcW w:w="560" w:type="dxa"/>
            <w:vAlign w:val="bottom"/>
            <w:shd w:val="clear" w:color="auto" w:fill="CCECFF"/>
          </w:tcPr>
          <w:p>
            <w:pPr>
              <w:ind w:left="400"/>
              <w:spacing w:after="0"/>
              <w:rPr>
                <w:sz w:val="20"/>
                <w:szCs w:val="20"/>
                <w:color w:val="auto"/>
              </w:rPr>
            </w:pPr>
            <w:r>
              <w:rPr>
                <w:rFonts w:ascii="Arial" w:cs="Arial" w:eastAsia="Arial" w:hAnsi="Arial"/>
                <w:sz w:val="11"/>
                <w:szCs w:val="11"/>
                <w:color w:val="auto"/>
                <w:w w:val="91"/>
              </w:rPr>
              <w:t>3M</w:t>
            </w:r>
          </w:p>
        </w:tc>
        <w:tc>
          <w:tcPr>
            <w:tcW w:w="540" w:type="dxa"/>
            <w:vAlign w:val="bottom"/>
            <w:gridSpan w:val="3"/>
            <w:shd w:val="clear" w:color="auto" w:fill="CCECFF"/>
          </w:tcPr>
          <w:p>
            <w:pPr>
              <w:jc w:val="right"/>
              <w:ind w:right="220"/>
              <w:spacing w:after="0"/>
              <w:rPr>
                <w:sz w:val="20"/>
                <w:szCs w:val="20"/>
                <w:color w:val="auto"/>
              </w:rPr>
            </w:pPr>
            <w:r>
              <w:rPr>
                <w:rFonts w:ascii="Arial" w:cs="Arial" w:eastAsia="Arial" w:hAnsi="Arial"/>
                <w:sz w:val="11"/>
                <w:szCs w:val="11"/>
                <w:color w:val="auto"/>
                <w:w w:val="96"/>
              </w:rPr>
              <w:t>L+575</w:t>
            </w: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w w:val="98"/>
              </w:rPr>
              <w:t>12,312,500</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12,157,345</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12,189,375</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tcPr>
          <w:p>
            <w:pPr>
              <w:spacing w:after="0"/>
              <w:rPr>
                <w:sz w:val="20"/>
                <w:szCs w:val="20"/>
                <w:color w:val="auto"/>
              </w:rPr>
            </w:pPr>
            <w:r>
              <w:rPr>
                <w:rFonts w:ascii="Arial" w:cs="Arial" w:eastAsia="Arial" w:hAnsi="Arial"/>
                <w:sz w:val="11"/>
                <w:szCs w:val="11"/>
                <w:color w:val="auto"/>
              </w:rPr>
              <w:t>Douglas Sewer Intermediate, LLC</w:t>
            </w:r>
          </w:p>
        </w:tc>
        <w:tc>
          <w:tcPr>
            <w:tcW w:w="640" w:type="dxa"/>
            <w:vAlign w:val="bottom"/>
            <w:gridSpan w:val="2"/>
          </w:tcPr>
          <w:p>
            <w:pPr>
              <w:jc w:val="center"/>
              <w:ind w:left="66"/>
              <w:spacing w:after="0"/>
              <w:rPr>
                <w:sz w:val="20"/>
                <w:szCs w:val="20"/>
                <w:color w:val="auto"/>
              </w:rPr>
            </w:pPr>
            <w:r>
              <w:rPr>
                <w:rFonts w:ascii="Arial" w:cs="Arial" w:eastAsia="Arial" w:hAnsi="Arial"/>
                <w:sz w:val="11"/>
                <w:szCs w:val="11"/>
                <w:color w:val="auto"/>
                <w:w w:val="87"/>
              </w:rPr>
              <w:t>10/19/2022</w:t>
            </w:r>
          </w:p>
        </w:tc>
        <w:tc>
          <w:tcPr>
            <w:tcW w:w="240" w:type="dxa"/>
            <w:vAlign w:val="bottom"/>
          </w:tcPr>
          <w:p>
            <w:pPr>
              <w:spacing w:after="0"/>
              <w:rPr>
                <w:sz w:val="11"/>
                <w:szCs w:val="11"/>
                <w:color w:val="auto"/>
              </w:rPr>
            </w:pPr>
          </w:p>
        </w:tc>
        <w:tc>
          <w:tcPr>
            <w:tcW w:w="2760" w:type="dxa"/>
            <w:vAlign w:val="bottom"/>
            <w:gridSpan w:val="2"/>
          </w:tcPr>
          <w:p>
            <w:pPr>
              <w:jc w:val="center"/>
              <w:ind w:right="140"/>
              <w:spacing w:after="0"/>
              <w:rPr>
                <w:sz w:val="20"/>
                <w:szCs w:val="20"/>
                <w:color w:val="auto"/>
              </w:rPr>
            </w:pPr>
            <w:r>
              <w:rPr>
                <w:rFonts w:ascii="Arial" w:cs="Arial" w:eastAsia="Arial" w:hAnsi="Arial"/>
                <w:sz w:val="11"/>
                <w:szCs w:val="11"/>
                <w:color w:val="auto"/>
                <w:w w:val="88"/>
              </w:rPr>
              <w:t>Chemicals, Plastics and Rubber</w:t>
            </w:r>
          </w:p>
        </w:tc>
        <w:tc>
          <w:tcPr>
            <w:tcW w:w="860" w:type="dxa"/>
            <w:vAlign w:val="bottom"/>
            <w:gridSpan w:val="2"/>
          </w:tcPr>
          <w:p>
            <w:pPr>
              <w:jc w:val="right"/>
              <w:ind w:right="180"/>
              <w:spacing w:after="0"/>
              <w:rPr>
                <w:sz w:val="20"/>
                <w:szCs w:val="20"/>
                <w:color w:val="auto"/>
              </w:rPr>
            </w:pPr>
            <w:r>
              <w:rPr>
                <w:rFonts w:ascii="Arial" w:cs="Arial" w:eastAsia="Arial" w:hAnsi="Arial"/>
                <w:sz w:val="11"/>
                <w:szCs w:val="11"/>
                <w:color w:val="auto"/>
              </w:rPr>
              <w:t>7.85%</w:t>
            </w:r>
          </w:p>
        </w:tc>
        <w:tc>
          <w:tcPr>
            <w:tcW w:w="560" w:type="dxa"/>
            <w:vAlign w:val="bottom"/>
          </w:tcPr>
          <w:p>
            <w:pPr>
              <w:ind w:left="400"/>
              <w:spacing w:after="0"/>
              <w:rPr>
                <w:sz w:val="20"/>
                <w:szCs w:val="20"/>
                <w:color w:val="auto"/>
              </w:rPr>
            </w:pPr>
            <w:r>
              <w:rPr>
                <w:rFonts w:ascii="Arial" w:cs="Arial" w:eastAsia="Arial" w:hAnsi="Arial"/>
                <w:sz w:val="11"/>
                <w:szCs w:val="11"/>
                <w:color w:val="auto"/>
                <w:w w:val="91"/>
              </w:rPr>
              <w:t>3M</w:t>
            </w:r>
          </w:p>
        </w:tc>
        <w:tc>
          <w:tcPr>
            <w:tcW w:w="540" w:type="dxa"/>
            <w:vAlign w:val="bottom"/>
            <w:gridSpan w:val="3"/>
          </w:tcPr>
          <w:p>
            <w:pPr>
              <w:jc w:val="right"/>
              <w:ind w:right="220"/>
              <w:spacing w:after="0"/>
              <w:rPr>
                <w:sz w:val="20"/>
                <w:szCs w:val="20"/>
                <w:color w:val="auto"/>
              </w:rPr>
            </w:pPr>
            <w:r>
              <w:rPr>
                <w:rFonts w:ascii="Arial" w:cs="Arial" w:eastAsia="Arial" w:hAnsi="Arial"/>
                <w:sz w:val="11"/>
                <w:szCs w:val="11"/>
                <w:color w:val="auto"/>
                <w:w w:val="96"/>
              </w:rPr>
              <w:t>L+575</w:t>
            </w:r>
          </w:p>
        </w:tc>
        <w:tc>
          <w:tcPr>
            <w:tcW w:w="580" w:type="dxa"/>
            <w:vAlign w:val="bottom"/>
          </w:tcPr>
          <w:p>
            <w:pPr>
              <w:jc w:val="right"/>
              <w:spacing w:after="0"/>
              <w:rPr>
                <w:sz w:val="20"/>
                <w:szCs w:val="20"/>
                <w:color w:val="auto"/>
              </w:rPr>
            </w:pPr>
            <w:r>
              <w:rPr>
                <w:rFonts w:ascii="Arial" w:cs="Arial" w:eastAsia="Arial" w:hAnsi="Arial"/>
                <w:sz w:val="11"/>
                <w:szCs w:val="11"/>
                <w:color w:val="auto"/>
              </w:rPr>
              <w:t>8,166,594</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8,116,022</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8,084,928</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06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Findex Group Limited </w:t>
            </w:r>
            <w:r>
              <w:rPr>
                <w:rFonts w:ascii="Arial" w:cs="Arial" w:eastAsia="Arial" w:hAnsi="Arial"/>
                <w:sz w:val="9"/>
                <w:szCs w:val="9"/>
                <w:color w:val="auto"/>
              </w:rPr>
              <w:t>(3), (4)</w:t>
            </w:r>
          </w:p>
        </w:tc>
        <w:tc>
          <w:tcPr>
            <w:tcW w:w="64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87"/>
              </w:rPr>
              <w:t>05/31/2024</w:t>
            </w:r>
          </w:p>
        </w:tc>
        <w:tc>
          <w:tcPr>
            <w:tcW w:w="240" w:type="dxa"/>
            <w:vAlign w:val="bottom"/>
            <w:shd w:val="clear" w:color="auto" w:fill="CCECFF"/>
          </w:tcPr>
          <w:p>
            <w:pPr>
              <w:spacing w:after="0"/>
              <w:rPr>
                <w:sz w:val="12"/>
                <w:szCs w:val="12"/>
                <w:color w:val="auto"/>
              </w:rPr>
            </w:pP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7"/>
              </w:rPr>
              <w:t>Banking, Finance, Insurance and Real Estate</w:t>
            </w:r>
          </w:p>
        </w:tc>
        <w:tc>
          <w:tcPr>
            <w:tcW w:w="86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6.26%</w:t>
            </w:r>
          </w:p>
        </w:tc>
        <w:tc>
          <w:tcPr>
            <w:tcW w:w="560" w:type="dxa"/>
            <w:vAlign w:val="bottom"/>
            <w:shd w:val="clear" w:color="auto" w:fill="CCECFF"/>
          </w:tcPr>
          <w:p>
            <w:pPr>
              <w:ind w:left="400"/>
              <w:spacing w:after="0"/>
              <w:rPr>
                <w:sz w:val="20"/>
                <w:szCs w:val="20"/>
                <w:color w:val="auto"/>
              </w:rPr>
            </w:pPr>
            <w:r>
              <w:rPr>
                <w:rFonts w:ascii="Arial" w:cs="Arial" w:eastAsia="Arial" w:hAnsi="Arial"/>
                <w:sz w:val="11"/>
                <w:szCs w:val="11"/>
                <w:color w:val="auto"/>
                <w:w w:val="91"/>
              </w:rPr>
              <w:t>3M</w:t>
            </w:r>
          </w:p>
        </w:tc>
        <w:tc>
          <w:tcPr>
            <w:tcW w:w="540" w:type="dxa"/>
            <w:vAlign w:val="bottom"/>
            <w:gridSpan w:val="3"/>
            <w:shd w:val="clear" w:color="auto" w:fill="CCECFF"/>
          </w:tcPr>
          <w:p>
            <w:pPr>
              <w:jc w:val="right"/>
              <w:ind w:right="40"/>
              <w:spacing w:after="0"/>
              <w:rPr>
                <w:sz w:val="20"/>
                <w:szCs w:val="20"/>
                <w:color w:val="auto"/>
              </w:rPr>
            </w:pPr>
            <w:r>
              <w:rPr>
                <w:rFonts w:ascii="Arial" w:cs="Arial" w:eastAsia="Arial" w:hAnsi="Arial"/>
                <w:sz w:val="11"/>
                <w:szCs w:val="11"/>
                <w:color w:val="auto"/>
              </w:rPr>
              <w:t>L+525A $</w:t>
            </w: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w w:val="89"/>
              </w:rPr>
              <w:t>10,000,000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7,376,173</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6,542,165</w:t>
            </w:r>
          </w:p>
        </w:tc>
        <w:tc>
          <w:tcPr>
            <w:tcW w:w="12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060" w:type="dxa"/>
            <w:vAlign w:val="bottom"/>
          </w:tcPr>
          <w:p>
            <w:pPr>
              <w:spacing w:after="0"/>
              <w:rPr>
                <w:sz w:val="20"/>
                <w:szCs w:val="20"/>
                <w:color w:val="auto"/>
              </w:rPr>
            </w:pPr>
            <w:r>
              <w:rPr>
                <w:rFonts w:ascii="Arial" w:cs="Arial" w:eastAsia="Arial" w:hAnsi="Arial"/>
                <w:sz w:val="11"/>
                <w:szCs w:val="11"/>
                <w:color w:val="auto"/>
              </w:rPr>
              <w:t>GCOM Software LLC</w:t>
            </w:r>
          </w:p>
        </w:tc>
        <w:tc>
          <w:tcPr>
            <w:tcW w:w="640" w:type="dxa"/>
            <w:vAlign w:val="bottom"/>
            <w:gridSpan w:val="2"/>
          </w:tcPr>
          <w:p>
            <w:pPr>
              <w:jc w:val="center"/>
              <w:ind w:left="66"/>
              <w:spacing w:after="0"/>
              <w:rPr>
                <w:sz w:val="20"/>
                <w:szCs w:val="20"/>
                <w:color w:val="auto"/>
              </w:rPr>
            </w:pPr>
            <w:r>
              <w:rPr>
                <w:rFonts w:ascii="Arial" w:cs="Arial" w:eastAsia="Arial" w:hAnsi="Arial"/>
                <w:sz w:val="11"/>
                <w:szCs w:val="11"/>
                <w:color w:val="auto"/>
                <w:w w:val="87"/>
              </w:rPr>
              <w:t>11/14/2022</w:t>
            </w:r>
          </w:p>
        </w:tc>
        <w:tc>
          <w:tcPr>
            <w:tcW w:w="240" w:type="dxa"/>
            <w:vAlign w:val="bottom"/>
          </w:tcPr>
          <w:p>
            <w:pPr>
              <w:spacing w:after="0"/>
              <w:rPr>
                <w:sz w:val="11"/>
                <w:szCs w:val="11"/>
                <w:color w:val="auto"/>
              </w:rPr>
            </w:pPr>
          </w:p>
        </w:tc>
        <w:tc>
          <w:tcPr>
            <w:tcW w:w="2760" w:type="dxa"/>
            <w:vAlign w:val="bottom"/>
            <w:gridSpan w:val="2"/>
          </w:tcPr>
          <w:p>
            <w:pPr>
              <w:jc w:val="center"/>
              <w:ind w:right="140"/>
              <w:spacing w:after="0"/>
              <w:rPr>
                <w:sz w:val="20"/>
                <w:szCs w:val="20"/>
                <w:color w:val="auto"/>
              </w:rPr>
            </w:pPr>
            <w:r>
              <w:rPr>
                <w:rFonts w:ascii="Arial" w:cs="Arial" w:eastAsia="Arial" w:hAnsi="Arial"/>
                <w:sz w:val="11"/>
                <w:szCs w:val="11"/>
                <w:color w:val="auto"/>
                <w:w w:val="89"/>
              </w:rPr>
              <w:t>High Tech Industries</w:t>
            </w:r>
          </w:p>
        </w:tc>
        <w:tc>
          <w:tcPr>
            <w:tcW w:w="860" w:type="dxa"/>
            <w:vAlign w:val="bottom"/>
            <w:gridSpan w:val="2"/>
          </w:tcPr>
          <w:p>
            <w:pPr>
              <w:jc w:val="right"/>
              <w:ind w:right="180"/>
              <w:spacing w:after="0"/>
              <w:rPr>
                <w:sz w:val="20"/>
                <w:szCs w:val="20"/>
                <w:color w:val="auto"/>
              </w:rPr>
            </w:pPr>
            <w:r>
              <w:rPr>
                <w:rFonts w:ascii="Arial" w:cs="Arial" w:eastAsia="Arial" w:hAnsi="Arial"/>
                <w:sz w:val="11"/>
                <w:szCs w:val="11"/>
                <w:color w:val="auto"/>
              </w:rPr>
              <w:t>8.37%</w:t>
            </w:r>
          </w:p>
        </w:tc>
        <w:tc>
          <w:tcPr>
            <w:tcW w:w="560" w:type="dxa"/>
            <w:vAlign w:val="bottom"/>
          </w:tcPr>
          <w:p>
            <w:pPr>
              <w:ind w:left="400"/>
              <w:spacing w:after="0"/>
              <w:rPr>
                <w:sz w:val="20"/>
                <w:szCs w:val="20"/>
                <w:color w:val="auto"/>
              </w:rPr>
            </w:pPr>
            <w:r>
              <w:rPr>
                <w:rFonts w:ascii="Arial" w:cs="Arial" w:eastAsia="Arial" w:hAnsi="Arial"/>
                <w:sz w:val="11"/>
                <w:szCs w:val="11"/>
                <w:color w:val="auto"/>
                <w:w w:val="91"/>
              </w:rPr>
              <w:t>1M</w:t>
            </w:r>
          </w:p>
        </w:tc>
        <w:tc>
          <w:tcPr>
            <w:tcW w:w="540" w:type="dxa"/>
            <w:vAlign w:val="bottom"/>
            <w:gridSpan w:val="3"/>
          </w:tcPr>
          <w:p>
            <w:pPr>
              <w:jc w:val="right"/>
              <w:ind w:right="220"/>
              <w:spacing w:after="0"/>
              <w:rPr>
                <w:sz w:val="20"/>
                <w:szCs w:val="20"/>
                <w:color w:val="auto"/>
              </w:rPr>
            </w:pPr>
            <w:r>
              <w:rPr>
                <w:rFonts w:ascii="Arial" w:cs="Arial" w:eastAsia="Arial" w:hAnsi="Arial"/>
                <w:sz w:val="11"/>
                <w:szCs w:val="11"/>
                <w:color w:val="auto"/>
                <w:w w:val="96"/>
              </w:rPr>
              <w:t>L+750</w:t>
            </w:r>
          </w:p>
        </w:tc>
        <w:tc>
          <w:tcPr>
            <w:tcW w:w="580" w:type="dxa"/>
            <w:vAlign w:val="bottom"/>
          </w:tcPr>
          <w:p>
            <w:pPr>
              <w:jc w:val="right"/>
              <w:spacing w:after="0"/>
              <w:rPr>
                <w:sz w:val="20"/>
                <w:szCs w:val="20"/>
                <w:color w:val="auto"/>
              </w:rPr>
            </w:pPr>
            <w:r>
              <w:rPr>
                <w:rFonts w:ascii="Arial" w:cs="Arial" w:eastAsia="Arial" w:hAnsi="Arial"/>
                <w:sz w:val="11"/>
                <w:szCs w:val="11"/>
                <w:color w:val="auto"/>
                <w:w w:val="98"/>
              </w:rPr>
              <w:t>17,384,864</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17,263,748</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17,384,864</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shd w:val="clear" w:color="auto" w:fill="CCECFF"/>
          </w:tcPr>
          <w:p>
            <w:pPr>
              <w:spacing w:after="0"/>
              <w:rPr>
                <w:sz w:val="20"/>
                <w:szCs w:val="20"/>
                <w:color w:val="auto"/>
              </w:rPr>
            </w:pPr>
            <w:r>
              <w:rPr>
                <w:rFonts w:ascii="Arial" w:cs="Arial" w:eastAsia="Arial" w:hAnsi="Arial"/>
                <w:sz w:val="11"/>
                <w:szCs w:val="11"/>
                <w:color w:val="auto"/>
              </w:rPr>
              <w:t>Good2Grow LLC</w:t>
            </w:r>
          </w:p>
        </w:tc>
        <w:tc>
          <w:tcPr>
            <w:tcW w:w="64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87"/>
              </w:rPr>
              <w:t>11/18/2024</w:t>
            </w:r>
          </w:p>
        </w:tc>
        <w:tc>
          <w:tcPr>
            <w:tcW w:w="24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7"/>
              </w:rPr>
              <w:t>Beverages</w:t>
            </w:r>
          </w:p>
        </w:tc>
        <w:tc>
          <w:tcPr>
            <w:tcW w:w="86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6.35%</w:t>
            </w:r>
          </w:p>
        </w:tc>
        <w:tc>
          <w:tcPr>
            <w:tcW w:w="560" w:type="dxa"/>
            <w:vAlign w:val="bottom"/>
            <w:shd w:val="clear" w:color="auto" w:fill="CCECFF"/>
          </w:tcPr>
          <w:p>
            <w:pPr>
              <w:ind w:left="400"/>
              <w:spacing w:after="0"/>
              <w:rPr>
                <w:sz w:val="20"/>
                <w:szCs w:val="20"/>
                <w:color w:val="auto"/>
              </w:rPr>
            </w:pPr>
            <w:r>
              <w:rPr>
                <w:rFonts w:ascii="Arial" w:cs="Arial" w:eastAsia="Arial" w:hAnsi="Arial"/>
                <w:sz w:val="11"/>
                <w:szCs w:val="11"/>
                <w:color w:val="auto"/>
                <w:w w:val="91"/>
              </w:rPr>
              <w:t>3M</w:t>
            </w:r>
          </w:p>
        </w:tc>
        <w:tc>
          <w:tcPr>
            <w:tcW w:w="540" w:type="dxa"/>
            <w:vAlign w:val="bottom"/>
            <w:gridSpan w:val="3"/>
            <w:shd w:val="clear" w:color="auto" w:fill="CCECFF"/>
          </w:tcPr>
          <w:p>
            <w:pPr>
              <w:jc w:val="right"/>
              <w:ind w:right="220"/>
              <w:spacing w:after="0"/>
              <w:rPr>
                <w:sz w:val="20"/>
                <w:szCs w:val="20"/>
                <w:color w:val="auto"/>
              </w:rPr>
            </w:pPr>
            <w:r>
              <w:rPr>
                <w:rFonts w:ascii="Arial" w:cs="Arial" w:eastAsia="Arial" w:hAnsi="Arial"/>
                <w:sz w:val="11"/>
                <w:szCs w:val="11"/>
                <w:color w:val="auto"/>
                <w:w w:val="96"/>
              </w:rPr>
              <w:t>L+425</w:t>
            </w: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w w:val="98"/>
              </w:rPr>
              <w:t>11,752,655</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11,649,126</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11,576,366</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tcPr>
          <w:p>
            <w:pPr>
              <w:spacing w:after="0"/>
              <w:rPr>
                <w:sz w:val="20"/>
                <w:szCs w:val="20"/>
                <w:color w:val="auto"/>
              </w:rPr>
            </w:pPr>
            <w:r>
              <w:rPr>
                <w:rFonts w:ascii="Arial" w:cs="Arial" w:eastAsia="Arial" w:hAnsi="Arial"/>
                <w:sz w:val="11"/>
                <w:szCs w:val="11"/>
                <w:color w:val="auto"/>
              </w:rPr>
              <w:t>Good Source Solutions, Inc.</w:t>
            </w:r>
          </w:p>
        </w:tc>
        <w:tc>
          <w:tcPr>
            <w:tcW w:w="640" w:type="dxa"/>
            <w:vAlign w:val="bottom"/>
            <w:gridSpan w:val="2"/>
          </w:tcPr>
          <w:p>
            <w:pPr>
              <w:jc w:val="center"/>
              <w:ind w:left="66"/>
              <w:spacing w:after="0"/>
              <w:rPr>
                <w:sz w:val="20"/>
                <w:szCs w:val="20"/>
                <w:color w:val="auto"/>
              </w:rPr>
            </w:pPr>
            <w:r>
              <w:rPr>
                <w:rFonts w:ascii="Arial" w:cs="Arial" w:eastAsia="Arial" w:hAnsi="Arial"/>
                <w:sz w:val="11"/>
                <w:szCs w:val="11"/>
                <w:color w:val="auto"/>
                <w:w w:val="87"/>
              </w:rPr>
              <w:t>06/29/2023</w:t>
            </w:r>
          </w:p>
        </w:tc>
        <w:tc>
          <w:tcPr>
            <w:tcW w:w="240" w:type="dxa"/>
            <w:vAlign w:val="bottom"/>
          </w:tcPr>
          <w:p>
            <w:pPr>
              <w:spacing w:after="0"/>
              <w:rPr>
                <w:sz w:val="11"/>
                <w:szCs w:val="11"/>
                <w:color w:val="auto"/>
              </w:rPr>
            </w:pPr>
          </w:p>
        </w:tc>
        <w:tc>
          <w:tcPr>
            <w:tcW w:w="2760" w:type="dxa"/>
            <w:vAlign w:val="bottom"/>
            <w:gridSpan w:val="2"/>
          </w:tcPr>
          <w:p>
            <w:pPr>
              <w:jc w:val="center"/>
              <w:ind w:right="140"/>
              <w:spacing w:after="0"/>
              <w:rPr>
                <w:sz w:val="20"/>
                <w:szCs w:val="20"/>
                <w:color w:val="auto"/>
              </w:rPr>
            </w:pPr>
            <w:r>
              <w:rPr>
                <w:rFonts w:ascii="Arial" w:cs="Arial" w:eastAsia="Arial" w:hAnsi="Arial"/>
                <w:sz w:val="11"/>
                <w:szCs w:val="11"/>
                <w:color w:val="auto"/>
                <w:w w:val="86"/>
              </w:rPr>
              <w:t>Beverage, Food and Tobacco</w:t>
            </w:r>
          </w:p>
        </w:tc>
        <w:tc>
          <w:tcPr>
            <w:tcW w:w="860" w:type="dxa"/>
            <w:vAlign w:val="bottom"/>
            <w:gridSpan w:val="2"/>
          </w:tcPr>
          <w:p>
            <w:pPr>
              <w:jc w:val="right"/>
              <w:ind w:right="180"/>
              <w:spacing w:after="0"/>
              <w:rPr>
                <w:sz w:val="20"/>
                <w:szCs w:val="20"/>
                <w:color w:val="auto"/>
              </w:rPr>
            </w:pPr>
            <w:r>
              <w:rPr>
                <w:rFonts w:ascii="Arial" w:cs="Arial" w:eastAsia="Arial" w:hAnsi="Arial"/>
                <w:sz w:val="11"/>
                <w:szCs w:val="11"/>
                <w:color w:val="auto"/>
              </w:rPr>
              <w:t>6.37%</w:t>
            </w:r>
          </w:p>
        </w:tc>
        <w:tc>
          <w:tcPr>
            <w:tcW w:w="560" w:type="dxa"/>
            <w:vAlign w:val="bottom"/>
          </w:tcPr>
          <w:p>
            <w:pPr>
              <w:ind w:left="400"/>
              <w:spacing w:after="0"/>
              <w:rPr>
                <w:sz w:val="20"/>
                <w:szCs w:val="20"/>
                <w:color w:val="auto"/>
              </w:rPr>
            </w:pPr>
            <w:r>
              <w:rPr>
                <w:rFonts w:ascii="Arial" w:cs="Arial" w:eastAsia="Arial" w:hAnsi="Arial"/>
                <w:sz w:val="11"/>
                <w:szCs w:val="11"/>
                <w:color w:val="auto"/>
                <w:w w:val="91"/>
              </w:rPr>
              <w:t>3M</w:t>
            </w:r>
          </w:p>
        </w:tc>
        <w:tc>
          <w:tcPr>
            <w:tcW w:w="540" w:type="dxa"/>
            <w:vAlign w:val="bottom"/>
            <w:gridSpan w:val="3"/>
          </w:tcPr>
          <w:p>
            <w:pPr>
              <w:jc w:val="right"/>
              <w:ind w:right="220"/>
              <w:spacing w:after="0"/>
              <w:rPr>
                <w:sz w:val="20"/>
                <w:szCs w:val="20"/>
                <w:color w:val="auto"/>
              </w:rPr>
            </w:pPr>
            <w:r>
              <w:rPr>
                <w:rFonts w:ascii="Arial" w:cs="Arial" w:eastAsia="Arial" w:hAnsi="Arial"/>
                <w:sz w:val="11"/>
                <w:szCs w:val="11"/>
                <w:color w:val="auto"/>
                <w:w w:val="96"/>
              </w:rPr>
              <w:t>L+600</w:t>
            </w:r>
          </w:p>
        </w:tc>
        <w:tc>
          <w:tcPr>
            <w:tcW w:w="580" w:type="dxa"/>
            <w:vAlign w:val="bottom"/>
          </w:tcPr>
          <w:p>
            <w:pPr>
              <w:jc w:val="right"/>
              <w:spacing w:after="0"/>
              <w:rPr>
                <w:sz w:val="20"/>
                <w:szCs w:val="20"/>
                <w:color w:val="auto"/>
              </w:rPr>
            </w:pPr>
            <w:r>
              <w:rPr>
                <w:rFonts w:ascii="Arial" w:cs="Arial" w:eastAsia="Arial" w:hAnsi="Arial"/>
                <w:sz w:val="11"/>
                <w:szCs w:val="11"/>
                <w:color w:val="auto"/>
                <w:w w:val="98"/>
              </w:rPr>
              <w:t>14,357,813</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14,241,579</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14,135,267</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shd w:val="clear" w:color="auto" w:fill="CCECFF"/>
          </w:tcPr>
          <w:p>
            <w:pPr>
              <w:spacing w:after="0"/>
              <w:rPr>
                <w:sz w:val="20"/>
                <w:szCs w:val="20"/>
                <w:color w:val="auto"/>
              </w:rPr>
            </w:pPr>
            <w:r>
              <w:rPr>
                <w:rFonts w:ascii="Arial" w:cs="Arial" w:eastAsia="Arial" w:hAnsi="Arial"/>
                <w:sz w:val="11"/>
                <w:szCs w:val="11"/>
                <w:color w:val="auto"/>
              </w:rPr>
              <w:t>GSM Holdings, Inc.</w:t>
            </w:r>
          </w:p>
        </w:tc>
        <w:tc>
          <w:tcPr>
            <w:tcW w:w="64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87"/>
              </w:rPr>
              <w:t>06/03/2024</w:t>
            </w:r>
          </w:p>
        </w:tc>
        <w:tc>
          <w:tcPr>
            <w:tcW w:w="24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60"/>
              <w:spacing w:after="0"/>
              <w:rPr>
                <w:sz w:val="20"/>
                <w:szCs w:val="20"/>
                <w:color w:val="auto"/>
              </w:rPr>
            </w:pPr>
            <w:r>
              <w:rPr>
                <w:rFonts w:ascii="Arial" w:cs="Arial" w:eastAsia="Arial" w:hAnsi="Arial"/>
                <w:sz w:val="11"/>
                <w:szCs w:val="11"/>
                <w:color w:val="auto"/>
                <w:w w:val="88"/>
              </w:rPr>
              <w:t>Consumer Goods: Durable</w:t>
            </w:r>
          </w:p>
        </w:tc>
        <w:tc>
          <w:tcPr>
            <w:tcW w:w="86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6.60%</w:t>
            </w:r>
          </w:p>
        </w:tc>
        <w:tc>
          <w:tcPr>
            <w:tcW w:w="560" w:type="dxa"/>
            <w:vAlign w:val="bottom"/>
            <w:shd w:val="clear" w:color="auto" w:fill="CCECFF"/>
          </w:tcPr>
          <w:p>
            <w:pPr>
              <w:ind w:left="400"/>
              <w:spacing w:after="0"/>
              <w:rPr>
                <w:sz w:val="20"/>
                <w:szCs w:val="20"/>
                <w:color w:val="auto"/>
              </w:rPr>
            </w:pPr>
            <w:r>
              <w:rPr>
                <w:rFonts w:ascii="Arial" w:cs="Arial" w:eastAsia="Arial" w:hAnsi="Arial"/>
                <w:sz w:val="11"/>
                <w:szCs w:val="11"/>
                <w:color w:val="auto"/>
                <w:w w:val="91"/>
              </w:rPr>
              <w:t>3M</w:t>
            </w:r>
          </w:p>
        </w:tc>
        <w:tc>
          <w:tcPr>
            <w:tcW w:w="540" w:type="dxa"/>
            <w:vAlign w:val="bottom"/>
            <w:gridSpan w:val="3"/>
            <w:shd w:val="clear" w:color="auto" w:fill="CCECFF"/>
          </w:tcPr>
          <w:p>
            <w:pPr>
              <w:jc w:val="right"/>
              <w:ind w:right="220"/>
              <w:spacing w:after="0"/>
              <w:rPr>
                <w:sz w:val="20"/>
                <w:szCs w:val="20"/>
                <w:color w:val="auto"/>
              </w:rPr>
            </w:pPr>
            <w:r>
              <w:rPr>
                <w:rFonts w:ascii="Arial" w:cs="Arial" w:eastAsia="Arial" w:hAnsi="Arial"/>
                <w:sz w:val="11"/>
                <w:szCs w:val="11"/>
                <w:color w:val="auto"/>
                <w:w w:val="96"/>
              </w:rPr>
              <w:t>L+450</w:t>
            </w: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w w:val="98"/>
              </w:rPr>
              <w:t>19,669,098</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19,524,460</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19,472,406</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tcPr>
          <w:p>
            <w:pPr>
              <w:spacing w:after="0"/>
              <w:rPr>
                <w:sz w:val="20"/>
                <w:szCs w:val="20"/>
                <w:color w:val="auto"/>
              </w:rPr>
            </w:pPr>
            <w:r>
              <w:rPr>
                <w:rFonts w:ascii="Arial" w:cs="Arial" w:eastAsia="Arial" w:hAnsi="Arial"/>
                <w:sz w:val="11"/>
                <w:szCs w:val="11"/>
                <w:color w:val="auto"/>
              </w:rPr>
              <w:t>IMIA Holdings, Inc.</w:t>
            </w:r>
          </w:p>
        </w:tc>
        <w:tc>
          <w:tcPr>
            <w:tcW w:w="640" w:type="dxa"/>
            <w:vAlign w:val="bottom"/>
            <w:gridSpan w:val="2"/>
          </w:tcPr>
          <w:p>
            <w:pPr>
              <w:jc w:val="center"/>
              <w:ind w:left="66"/>
              <w:spacing w:after="0"/>
              <w:rPr>
                <w:sz w:val="20"/>
                <w:szCs w:val="20"/>
                <w:color w:val="auto"/>
              </w:rPr>
            </w:pPr>
            <w:r>
              <w:rPr>
                <w:rFonts w:ascii="Arial" w:cs="Arial" w:eastAsia="Arial" w:hAnsi="Arial"/>
                <w:sz w:val="11"/>
                <w:szCs w:val="11"/>
                <w:color w:val="auto"/>
                <w:w w:val="87"/>
              </w:rPr>
              <w:t>10/28/2024</w:t>
            </w:r>
          </w:p>
        </w:tc>
        <w:tc>
          <w:tcPr>
            <w:tcW w:w="240" w:type="dxa"/>
            <w:vAlign w:val="bottom"/>
          </w:tcPr>
          <w:p>
            <w:pPr>
              <w:spacing w:after="0"/>
              <w:rPr>
                <w:sz w:val="11"/>
                <w:szCs w:val="11"/>
                <w:color w:val="auto"/>
              </w:rPr>
            </w:pPr>
          </w:p>
        </w:tc>
        <w:tc>
          <w:tcPr>
            <w:tcW w:w="2760" w:type="dxa"/>
            <w:vAlign w:val="bottom"/>
            <w:gridSpan w:val="2"/>
          </w:tcPr>
          <w:p>
            <w:pPr>
              <w:jc w:val="center"/>
              <w:ind w:right="140"/>
              <w:spacing w:after="0"/>
              <w:rPr>
                <w:sz w:val="20"/>
                <w:szCs w:val="20"/>
                <w:color w:val="auto"/>
              </w:rPr>
            </w:pPr>
            <w:r>
              <w:rPr>
                <w:rFonts w:ascii="Arial" w:cs="Arial" w:eastAsia="Arial" w:hAnsi="Arial"/>
                <w:sz w:val="11"/>
                <w:szCs w:val="11"/>
                <w:color w:val="auto"/>
                <w:w w:val="86"/>
              </w:rPr>
              <w:t>Aerospace and Defense</w:t>
            </w:r>
          </w:p>
        </w:tc>
        <w:tc>
          <w:tcPr>
            <w:tcW w:w="860" w:type="dxa"/>
            <w:vAlign w:val="bottom"/>
            <w:gridSpan w:val="2"/>
          </w:tcPr>
          <w:p>
            <w:pPr>
              <w:jc w:val="right"/>
              <w:ind w:right="180"/>
              <w:spacing w:after="0"/>
              <w:rPr>
                <w:sz w:val="20"/>
                <w:szCs w:val="20"/>
                <w:color w:val="auto"/>
              </w:rPr>
            </w:pPr>
            <w:r>
              <w:rPr>
                <w:rFonts w:ascii="Arial" w:cs="Arial" w:eastAsia="Arial" w:hAnsi="Arial"/>
                <w:sz w:val="11"/>
                <w:szCs w:val="11"/>
                <w:color w:val="auto"/>
              </w:rPr>
              <w:t>6.60%</w:t>
            </w:r>
          </w:p>
        </w:tc>
        <w:tc>
          <w:tcPr>
            <w:tcW w:w="560" w:type="dxa"/>
            <w:vAlign w:val="bottom"/>
          </w:tcPr>
          <w:p>
            <w:pPr>
              <w:ind w:left="400"/>
              <w:spacing w:after="0"/>
              <w:rPr>
                <w:sz w:val="20"/>
                <w:szCs w:val="20"/>
                <w:color w:val="auto"/>
              </w:rPr>
            </w:pPr>
            <w:r>
              <w:rPr>
                <w:rFonts w:ascii="Arial" w:cs="Arial" w:eastAsia="Arial" w:hAnsi="Arial"/>
                <w:sz w:val="11"/>
                <w:szCs w:val="11"/>
                <w:color w:val="auto"/>
                <w:w w:val="91"/>
              </w:rPr>
              <w:t>3M</w:t>
            </w:r>
          </w:p>
        </w:tc>
        <w:tc>
          <w:tcPr>
            <w:tcW w:w="540" w:type="dxa"/>
            <w:vAlign w:val="bottom"/>
            <w:gridSpan w:val="3"/>
          </w:tcPr>
          <w:p>
            <w:pPr>
              <w:jc w:val="right"/>
              <w:ind w:right="220"/>
              <w:spacing w:after="0"/>
              <w:rPr>
                <w:sz w:val="20"/>
                <w:szCs w:val="20"/>
                <w:color w:val="auto"/>
              </w:rPr>
            </w:pPr>
            <w:r>
              <w:rPr>
                <w:rFonts w:ascii="Arial" w:cs="Arial" w:eastAsia="Arial" w:hAnsi="Arial"/>
                <w:sz w:val="11"/>
                <w:szCs w:val="11"/>
                <w:color w:val="auto"/>
                <w:w w:val="96"/>
              </w:rPr>
              <w:t>L+450</w:t>
            </w:r>
          </w:p>
        </w:tc>
        <w:tc>
          <w:tcPr>
            <w:tcW w:w="580" w:type="dxa"/>
            <w:vAlign w:val="bottom"/>
          </w:tcPr>
          <w:p>
            <w:pPr>
              <w:jc w:val="right"/>
              <w:spacing w:after="0"/>
              <w:rPr>
                <w:sz w:val="20"/>
                <w:szCs w:val="20"/>
                <w:color w:val="auto"/>
              </w:rPr>
            </w:pPr>
            <w:r>
              <w:rPr>
                <w:rFonts w:ascii="Arial" w:cs="Arial" w:eastAsia="Arial" w:hAnsi="Arial"/>
                <w:sz w:val="11"/>
                <w:szCs w:val="11"/>
                <w:color w:val="auto"/>
                <w:w w:val="98"/>
              </w:rPr>
              <w:t>12,406,250</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12,351,255</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12,344,219</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shd w:val="clear" w:color="auto" w:fill="CCECFF"/>
          </w:tcPr>
          <w:p>
            <w:pPr>
              <w:spacing w:after="0"/>
              <w:rPr>
                <w:sz w:val="20"/>
                <w:szCs w:val="20"/>
                <w:color w:val="auto"/>
              </w:rPr>
            </w:pPr>
            <w:r>
              <w:rPr>
                <w:rFonts w:ascii="Arial" w:cs="Arial" w:eastAsia="Arial" w:hAnsi="Arial"/>
                <w:sz w:val="11"/>
                <w:szCs w:val="11"/>
                <w:color w:val="auto"/>
              </w:rPr>
              <w:t>Impact Group, LLC</w:t>
            </w:r>
          </w:p>
        </w:tc>
        <w:tc>
          <w:tcPr>
            <w:tcW w:w="64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87"/>
              </w:rPr>
              <w:t>06/27/2023</w:t>
            </w:r>
          </w:p>
        </w:tc>
        <w:tc>
          <w:tcPr>
            <w:tcW w:w="24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9"/>
              </w:rPr>
              <w:t>Wholesale</w:t>
            </w:r>
          </w:p>
        </w:tc>
        <w:tc>
          <w:tcPr>
            <w:tcW w:w="86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8.60%</w:t>
            </w:r>
          </w:p>
        </w:tc>
        <w:tc>
          <w:tcPr>
            <w:tcW w:w="560" w:type="dxa"/>
            <w:vAlign w:val="bottom"/>
            <w:shd w:val="clear" w:color="auto" w:fill="CCECFF"/>
          </w:tcPr>
          <w:p>
            <w:pPr>
              <w:ind w:left="400"/>
              <w:spacing w:after="0"/>
              <w:rPr>
                <w:sz w:val="20"/>
                <w:szCs w:val="20"/>
                <w:color w:val="auto"/>
              </w:rPr>
            </w:pPr>
            <w:r>
              <w:rPr>
                <w:rFonts w:ascii="Arial" w:cs="Arial" w:eastAsia="Arial" w:hAnsi="Arial"/>
                <w:sz w:val="11"/>
                <w:szCs w:val="11"/>
                <w:color w:val="auto"/>
                <w:w w:val="91"/>
              </w:rPr>
              <w:t>1M</w:t>
            </w:r>
          </w:p>
        </w:tc>
        <w:tc>
          <w:tcPr>
            <w:tcW w:w="540" w:type="dxa"/>
            <w:vAlign w:val="bottom"/>
            <w:gridSpan w:val="3"/>
            <w:shd w:val="clear" w:color="auto" w:fill="CCECFF"/>
          </w:tcPr>
          <w:p>
            <w:pPr>
              <w:jc w:val="right"/>
              <w:ind w:right="220"/>
              <w:spacing w:after="0"/>
              <w:rPr>
                <w:sz w:val="20"/>
                <w:szCs w:val="20"/>
                <w:color w:val="auto"/>
              </w:rPr>
            </w:pPr>
            <w:r>
              <w:rPr>
                <w:rFonts w:ascii="Arial" w:cs="Arial" w:eastAsia="Arial" w:hAnsi="Arial"/>
                <w:sz w:val="11"/>
                <w:szCs w:val="11"/>
                <w:color w:val="auto"/>
                <w:w w:val="96"/>
              </w:rPr>
              <w:t>L+650</w:t>
            </w: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9,390,185</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9,296,753</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9,296,283</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060" w:type="dxa"/>
            <w:vAlign w:val="bottom"/>
          </w:tcPr>
          <w:p>
            <w:pPr>
              <w:spacing w:after="0"/>
              <w:rPr>
                <w:sz w:val="20"/>
                <w:szCs w:val="20"/>
                <w:color w:val="auto"/>
              </w:rPr>
            </w:pPr>
            <w:r>
              <w:rPr>
                <w:rFonts w:ascii="Arial" w:cs="Arial" w:eastAsia="Arial" w:hAnsi="Arial"/>
                <w:sz w:val="11"/>
                <w:szCs w:val="11"/>
                <w:color w:val="auto"/>
              </w:rPr>
              <w:t xml:space="preserve">Infrastructure Supply Operations Pty Ltd. </w:t>
            </w:r>
            <w:r>
              <w:rPr>
                <w:rFonts w:ascii="Arial" w:cs="Arial" w:eastAsia="Arial" w:hAnsi="Arial"/>
                <w:sz w:val="9"/>
                <w:szCs w:val="9"/>
                <w:color w:val="auto"/>
              </w:rPr>
              <w:t>(3), (4)</w:t>
            </w:r>
          </w:p>
        </w:tc>
        <w:tc>
          <w:tcPr>
            <w:tcW w:w="640" w:type="dxa"/>
            <w:vAlign w:val="bottom"/>
            <w:gridSpan w:val="2"/>
          </w:tcPr>
          <w:p>
            <w:pPr>
              <w:jc w:val="center"/>
              <w:ind w:left="66"/>
              <w:spacing w:after="0"/>
              <w:rPr>
                <w:sz w:val="20"/>
                <w:szCs w:val="20"/>
                <w:color w:val="auto"/>
              </w:rPr>
            </w:pPr>
            <w:r>
              <w:rPr>
                <w:rFonts w:ascii="Arial" w:cs="Arial" w:eastAsia="Arial" w:hAnsi="Arial"/>
                <w:sz w:val="11"/>
                <w:szCs w:val="11"/>
                <w:color w:val="auto"/>
                <w:w w:val="87"/>
              </w:rPr>
              <w:t>12/12/2023</w:t>
            </w:r>
          </w:p>
        </w:tc>
        <w:tc>
          <w:tcPr>
            <w:tcW w:w="240" w:type="dxa"/>
            <w:vAlign w:val="bottom"/>
          </w:tcPr>
          <w:p>
            <w:pPr>
              <w:spacing w:after="0"/>
              <w:rPr>
                <w:sz w:val="12"/>
                <w:szCs w:val="12"/>
                <w:color w:val="auto"/>
              </w:rPr>
            </w:pPr>
          </w:p>
        </w:tc>
        <w:tc>
          <w:tcPr>
            <w:tcW w:w="2760" w:type="dxa"/>
            <w:vAlign w:val="bottom"/>
            <w:gridSpan w:val="2"/>
          </w:tcPr>
          <w:p>
            <w:pPr>
              <w:jc w:val="center"/>
              <w:ind w:right="140"/>
              <w:spacing w:after="0"/>
              <w:rPr>
                <w:sz w:val="20"/>
                <w:szCs w:val="20"/>
                <w:color w:val="auto"/>
              </w:rPr>
            </w:pPr>
            <w:r>
              <w:rPr>
                <w:rFonts w:ascii="Arial" w:cs="Arial" w:eastAsia="Arial" w:hAnsi="Arial"/>
                <w:sz w:val="11"/>
                <w:szCs w:val="11"/>
                <w:color w:val="auto"/>
                <w:w w:val="89"/>
              </w:rPr>
              <w:t>Wholesale</w:t>
            </w:r>
          </w:p>
        </w:tc>
        <w:tc>
          <w:tcPr>
            <w:tcW w:w="860" w:type="dxa"/>
            <w:vAlign w:val="bottom"/>
            <w:gridSpan w:val="2"/>
          </w:tcPr>
          <w:p>
            <w:pPr>
              <w:jc w:val="right"/>
              <w:ind w:right="180"/>
              <w:spacing w:after="0"/>
              <w:rPr>
                <w:sz w:val="20"/>
                <w:szCs w:val="20"/>
                <w:color w:val="auto"/>
              </w:rPr>
            </w:pPr>
            <w:r>
              <w:rPr>
                <w:rFonts w:ascii="Arial" w:cs="Arial" w:eastAsia="Arial" w:hAnsi="Arial"/>
                <w:sz w:val="11"/>
                <w:szCs w:val="11"/>
                <w:color w:val="auto"/>
              </w:rPr>
              <w:t>5.80%</w:t>
            </w:r>
          </w:p>
        </w:tc>
        <w:tc>
          <w:tcPr>
            <w:tcW w:w="560" w:type="dxa"/>
            <w:vAlign w:val="bottom"/>
          </w:tcPr>
          <w:p>
            <w:pPr>
              <w:ind w:left="400"/>
              <w:spacing w:after="0"/>
              <w:rPr>
                <w:sz w:val="20"/>
                <w:szCs w:val="20"/>
                <w:color w:val="auto"/>
              </w:rPr>
            </w:pPr>
            <w:r>
              <w:rPr>
                <w:rFonts w:ascii="Arial" w:cs="Arial" w:eastAsia="Arial" w:hAnsi="Arial"/>
                <w:sz w:val="11"/>
                <w:szCs w:val="11"/>
                <w:color w:val="auto"/>
                <w:w w:val="91"/>
              </w:rPr>
              <w:t>1M</w:t>
            </w:r>
          </w:p>
        </w:tc>
        <w:tc>
          <w:tcPr>
            <w:tcW w:w="540" w:type="dxa"/>
            <w:vAlign w:val="bottom"/>
            <w:gridSpan w:val="3"/>
          </w:tcPr>
          <w:p>
            <w:pPr>
              <w:jc w:val="right"/>
              <w:ind w:right="40"/>
              <w:spacing w:after="0"/>
              <w:rPr>
                <w:sz w:val="20"/>
                <w:szCs w:val="20"/>
                <w:color w:val="auto"/>
              </w:rPr>
            </w:pPr>
            <w:r>
              <w:rPr>
                <w:rFonts w:ascii="Arial" w:cs="Arial" w:eastAsia="Arial" w:hAnsi="Arial"/>
                <w:sz w:val="11"/>
                <w:szCs w:val="11"/>
                <w:color w:val="auto"/>
              </w:rPr>
              <w:t>L+425A $</w:t>
            </w:r>
          </w:p>
        </w:tc>
        <w:tc>
          <w:tcPr>
            <w:tcW w:w="580" w:type="dxa"/>
            <w:vAlign w:val="bottom"/>
          </w:tcPr>
          <w:p>
            <w:pPr>
              <w:jc w:val="right"/>
              <w:spacing w:after="0"/>
              <w:rPr>
                <w:sz w:val="20"/>
                <w:szCs w:val="20"/>
                <w:color w:val="auto"/>
              </w:rPr>
            </w:pPr>
            <w:r>
              <w:rPr>
                <w:rFonts w:ascii="Arial" w:cs="Arial" w:eastAsia="Arial" w:hAnsi="Arial"/>
                <w:sz w:val="12"/>
                <w:szCs w:val="12"/>
                <w:color w:val="auto"/>
                <w:w w:val="89"/>
              </w:rPr>
              <w:t>15,000,000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10,973,919</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9,717,138</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060" w:type="dxa"/>
            <w:vAlign w:val="bottom"/>
            <w:shd w:val="clear" w:color="auto" w:fill="CCECFF"/>
          </w:tcPr>
          <w:p>
            <w:pPr>
              <w:spacing w:after="0"/>
              <w:rPr>
                <w:sz w:val="20"/>
                <w:szCs w:val="20"/>
                <w:color w:val="auto"/>
              </w:rPr>
            </w:pPr>
            <w:r>
              <w:rPr>
                <w:rFonts w:ascii="Arial" w:cs="Arial" w:eastAsia="Arial" w:hAnsi="Arial"/>
                <w:sz w:val="11"/>
                <w:szCs w:val="11"/>
                <w:color w:val="auto"/>
              </w:rPr>
              <w:t>Integrative Nutrition, LLC</w:t>
            </w:r>
          </w:p>
        </w:tc>
        <w:tc>
          <w:tcPr>
            <w:tcW w:w="64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87"/>
              </w:rPr>
              <w:t>09/29/2023</w:t>
            </w:r>
          </w:p>
        </w:tc>
        <w:tc>
          <w:tcPr>
            <w:tcW w:w="24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9"/>
              </w:rPr>
              <w:t>Diversified Consumer Services</w:t>
            </w:r>
          </w:p>
        </w:tc>
        <w:tc>
          <w:tcPr>
            <w:tcW w:w="86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6.85%</w:t>
            </w:r>
          </w:p>
        </w:tc>
        <w:tc>
          <w:tcPr>
            <w:tcW w:w="560" w:type="dxa"/>
            <w:vAlign w:val="bottom"/>
            <w:shd w:val="clear" w:color="auto" w:fill="CCECFF"/>
          </w:tcPr>
          <w:p>
            <w:pPr>
              <w:ind w:left="400"/>
              <w:spacing w:after="0"/>
              <w:rPr>
                <w:sz w:val="20"/>
                <w:szCs w:val="20"/>
                <w:color w:val="auto"/>
              </w:rPr>
            </w:pPr>
            <w:r>
              <w:rPr>
                <w:rFonts w:ascii="Arial" w:cs="Arial" w:eastAsia="Arial" w:hAnsi="Arial"/>
                <w:sz w:val="11"/>
                <w:szCs w:val="11"/>
                <w:color w:val="auto"/>
                <w:w w:val="91"/>
              </w:rPr>
              <w:t>1M</w:t>
            </w:r>
          </w:p>
        </w:tc>
        <w:tc>
          <w:tcPr>
            <w:tcW w:w="540" w:type="dxa"/>
            <w:vAlign w:val="bottom"/>
            <w:gridSpan w:val="3"/>
            <w:shd w:val="clear" w:color="auto" w:fill="CCECFF"/>
          </w:tcPr>
          <w:p>
            <w:pPr>
              <w:jc w:val="right"/>
              <w:ind w:right="220"/>
              <w:spacing w:after="0"/>
              <w:rPr>
                <w:sz w:val="20"/>
                <w:szCs w:val="20"/>
                <w:color w:val="auto"/>
              </w:rPr>
            </w:pPr>
            <w:r>
              <w:rPr>
                <w:rFonts w:ascii="Arial" w:cs="Arial" w:eastAsia="Arial" w:hAnsi="Arial"/>
                <w:sz w:val="11"/>
                <w:szCs w:val="11"/>
                <w:color w:val="auto"/>
                <w:w w:val="96"/>
              </w:rPr>
              <w:t>L+475</w:t>
            </w: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9,974,874</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9,974,874</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9,974,874</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tcPr>
          <w:p>
            <w:pPr>
              <w:spacing w:after="0"/>
              <w:rPr>
                <w:sz w:val="20"/>
                <w:szCs w:val="20"/>
                <w:color w:val="auto"/>
              </w:rPr>
            </w:pPr>
            <w:r>
              <w:rPr>
                <w:rFonts w:ascii="Arial" w:cs="Arial" w:eastAsia="Arial" w:hAnsi="Arial"/>
                <w:sz w:val="11"/>
                <w:szCs w:val="11"/>
                <w:color w:val="auto"/>
              </w:rPr>
              <w:t>K2 Pure Solutions NoCal, L.P.</w:t>
            </w:r>
          </w:p>
        </w:tc>
        <w:tc>
          <w:tcPr>
            <w:tcW w:w="640" w:type="dxa"/>
            <w:vAlign w:val="bottom"/>
            <w:gridSpan w:val="2"/>
          </w:tcPr>
          <w:p>
            <w:pPr>
              <w:jc w:val="center"/>
              <w:ind w:left="66"/>
              <w:spacing w:after="0"/>
              <w:rPr>
                <w:sz w:val="20"/>
                <w:szCs w:val="20"/>
                <w:color w:val="auto"/>
              </w:rPr>
            </w:pPr>
            <w:r>
              <w:rPr>
                <w:rFonts w:ascii="Arial" w:cs="Arial" w:eastAsia="Arial" w:hAnsi="Arial"/>
                <w:sz w:val="11"/>
                <w:szCs w:val="11"/>
                <w:color w:val="auto"/>
                <w:w w:val="87"/>
              </w:rPr>
              <w:t>12/20/2023</w:t>
            </w:r>
          </w:p>
        </w:tc>
        <w:tc>
          <w:tcPr>
            <w:tcW w:w="240" w:type="dxa"/>
            <w:vAlign w:val="bottom"/>
          </w:tcPr>
          <w:p>
            <w:pPr>
              <w:spacing w:after="0"/>
              <w:rPr>
                <w:sz w:val="11"/>
                <w:szCs w:val="11"/>
                <w:color w:val="auto"/>
              </w:rPr>
            </w:pPr>
          </w:p>
        </w:tc>
        <w:tc>
          <w:tcPr>
            <w:tcW w:w="2760" w:type="dxa"/>
            <w:vAlign w:val="bottom"/>
            <w:gridSpan w:val="2"/>
          </w:tcPr>
          <w:p>
            <w:pPr>
              <w:jc w:val="center"/>
              <w:ind w:right="140"/>
              <w:spacing w:after="0"/>
              <w:rPr>
                <w:sz w:val="20"/>
                <w:szCs w:val="20"/>
                <w:color w:val="auto"/>
              </w:rPr>
            </w:pPr>
            <w:r>
              <w:rPr>
                <w:rFonts w:ascii="Arial" w:cs="Arial" w:eastAsia="Arial" w:hAnsi="Arial"/>
                <w:sz w:val="11"/>
                <w:szCs w:val="11"/>
                <w:color w:val="auto"/>
                <w:w w:val="88"/>
              </w:rPr>
              <w:t>Chemicals, Plastics and Rubber</w:t>
            </w:r>
          </w:p>
        </w:tc>
        <w:tc>
          <w:tcPr>
            <w:tcW w:w="860" w:type="dxa"/>
            <w:vAlign w:val="bottom"/>
            <w:gridSpan w:val="2"/>
          </w:tcPr>
          <w:p>
            <w:pPr>
              <w:jc w:val="right"/>
              <w:ind w:right="180"/>
              <w:spacing w:after="0"/>
              <w:rPr>
                <w:sz w:val="20"/>
                <w:szCs w:val="20"/>
                <w:color w:val="auto"/>
              </w:rPr>
            </w:pPr>
            <w:r>
              <w:rPr>
                <w:rFonts w:ascii="Arial" w:cs="Arial" w:eastAsia="Arial" w:hAnsi="Arial"/>
                <w:sz w:val="11"/>
                <w:szCs w:val="11"/>
                <w:color w:val="auto"/>
              </w:rPr>
              <w:t>7.30%</w:t>
            </w:r>
          </w:p>
        </w:tc>
        <w:tc>
          <w:tcPr>
            <w:tcW w:w="560" w:type="dxa"/>
            <w:vAlign w:val="bottom"/>
          </w:tcPr>
          <w:p>
            <w:pPr>
              <w:ind w:left="400"/>
              <w:spacing w:after="0"/>
              <w:rPr>
                <w:sz w:val="20"/>
                <w:szCs w:val="20"/>
                <w:color w:val="auto"/>
              </w:rPr>
            </w:pPr>
            <w:r>
              <w:rPr>
                <w:rFonts w:ascii="Arial" w:cs="Arial" w:eastAsia="Arial" w:hAnsi="Arial"/>
                <w:sz w:val="11"/>
                <w:szCs w:val="11"/>
                <w:color w:val="auto"/>
                <w:w w:val="91"/>
              </w:rPr>
              <w:t>1M</w:t>
            </w:r>
          </w:p>
        </w:tc>
        <w:tc>
          <w:tcPr>
            <w:tcW w:w="540" w:type="dxa"/>
            <w:vAlign w:val="bottom"/>
            <w:gridSpan w:val="3"/>
          </w:tcPr>
          <w:p>
            <w:pPr>
              <w:jc w:val="right"/>
              <w:ind w:right="220"/>
              <w:spacing w:after="0"/>
              <w:rPr>
                <w:sz w:val="20"/>
                <w:szCs w:val="20"/>
                <w:color w:val="auto"/>
              </w:rPr>
            </w:pPr>
            <w:r>
              <w:rPr>
                <w:rFonts w:ascii="Arial" w:cs="Arial" w:eastAsia="Arial" w:hAnsi="Arial"/>
                <w:sz w:val="11"/>
                <w:szCs w:val="11"/>
                <w:color w:val="auto"/>
                <w:w w:val="96"/>
              </w:rPr>
              <w:t>L+525</w:t>
            </w:r>
          </w:p>
        </w:tc>
        <w:tc>
          <w:tcPr>
            <w:tcW w:w="580" w:type="dxa"/>
            <w:vAlign w:val="bottom"/>
          </w:tcPr>
          <w:p>
            <w:pPr>
              <w:jc w:val="right"/>
              <w:spacing w:after="0"/>
              <w:rPr>
                <w:sz w:val="20"/>
                <w:szCs w:val="20"/>
                <w:color w:val="auto"/>
              </w:rPr>
            </w:pPr>
            <w:r>
              <w:rPr>
                <w:rFonts w:ascii="Arial" w:cs="Arial" w:eastAsia="Arial" w:hAnsi="Arial"/>
                <w:sz w:val="11"/>
                <w:szCs w:val="11"/>
                <w:color w:val="auto"/>
                <w:w w:val="98"/>
              </w:rPr>
              <w:t>19,850,000</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19,586,294</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19,609,815</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shd w:val="clear" w:color="auto" w:fill="CCECFF"/>
          </w:tcPr>
          <w:p>
            <w:pPr>
              <w:spacing w:after="0"/>
              <w:rPr>
                <w:sz w:val="20"/>
                <w:szCs w:val="20"/>
                <w:color w:val="auto"/>
              </w:rPr>
            </w:pPr>
            <w:r>
              <w:rPr>
                <w:rFonts w:ascii="Arial" w:cs="Arial" w:eastAsia="Arial" w:hAnsi="Arial"/>
                <w:sz w:val="11"/>
                <w:szCs w:val="11"/>
                <w:color w:val="auto"/>
              </w:rPr>
              <w:t>LAV Gear Holdings, Inc.</w:t>
            </w:r>
          </w:p>
        </w:tc>
        <w:tc>
          <w:tcPr>
            <w:tcW w:w="64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87"/>
              </w:rPr>
              <w:t>10/31/2024</w:t>
            </w:r>
          </w:p>
        </w:tc>
        <w:tc>
          <w:tcPr>
            <w:tcW w:w="24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91"/>
              </w:rPr>
              <w:t>Capital Equipment</w:t>
            </w:r>
          </w:p>
        </w:tc>
        <w:tc>
          <w:tcPr>
            <w:tcW w:w="86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7.60%</w:t>
            </w:r>
          </w:p>
        </w:tc>
        <w:tc>
          <w:tcPr>
            <w:tcW w:w="560" w:type="dxa"/>
            <w:vAlign w:val="bottom"/>
            <w:shd w:val="clear" w:color="auto" w:fill="CCECFF"/>
          </w:tcPr>
          <w:p>
            <w:pPr>
              <w:ind w:left="400"/>
              <w:spacing w:after="0"/>
              <w:rPr>
                <w:sz w:val="20"/>
                <w:szCs w:val="20"/>
                <w:color w:val="auto"/>
              </w:rPr>
            </w:pPr>
            <w:r>
              <w:rPr>
                <w:rFonts w:ascii="Arial" w:cs="Arial" w:eastAsia="Arial" w:hAnsi="Arial"/>
                <w:sz w:val="11"/>
                <w:szCs w:val="11"/>
                <w:color w:val="auto"/>
                <w:w w:val="91"/>
              </w:rPr>
              <w:t>3M</w:t>
            </w:r>
          </w:p>
        </w:tc>
        <w:tc>
          <w:tcPr>
            <w:tcW w:w="540" w:type="dxa"/>
            <w:vAlign w:val="bottom"/>
            <w:gridSpan w:val="3"/>
            <w:shd w:val="clear" w:color="auto" w:fill="CCECFF"/>
          </w:tcPr>
          <w:p>
            <w:pPr>
              <w:jc w:val="right"/>
              <w:ind w:right="220"/>
              <w:spacing w:after="0"/>
              <w:rPr>
                <w:sz w:val="20"/>
                <w:szCs w:val="20"/>
                <w:color w:val="auto"/>
              </w:rPr>
            </w:pPr>
            <w:r>
              <w:rPr>
                <w:rFonts w:ascii="Arial" w:cs="Arial" w:eastAsia="Arial" w:hAnsi="Arial"/>
                <w:sz w:val="11"/>
                <w:szCs w:val="11"/>
                <w:color w:val="auto"/>
                <w:w w:val="96"/>
              </w:rPr>
              <w:t>L+550</w:t>
            </w: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9,925,000</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9,837,686</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9,916,068</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060" w:type="dxa"/>
            <w:vAlign w:val="bottom"/>
          </w:tcPr>
          <w:p>
            <w:pPr>
              <w:spacing w:after="0"/>
              <w:rPr>
                <w:sz w:val="20"/>
                <w:szCs w:val="20"/>
                <w:color w:val="auto"/>
              </w:rPr>
            </w:pPr>
            <w:r>
              <w:rPr>
                <w:rFonts w:ascii="Arial" w:cs="Arial" w:eastAsia="Arial" w:hAnsi="Arial"/>
                <w:sz w:val="11"/>
                <w:szCs w:val="11"/>
                <w:color w:val="auto"/>
              </w:rPr>
              <w:t xml:space="preserve">Leap Legal Software Pty Ltd </w:t>
            </w:r>
            <w:r>
              <w:rPr>
                <w:rFonts w:ascii="Arial" w:cs="Arial" w:eastAsia="Arial" w:hAnsi="Arial"/>
                <w:sz w:val="9"/>
                <w:szCs w:val="9"/>
                <w:color w:val="auto"/>
              </w:rPr>
              <w:t>(3), (4)</w:t>
            </w:r>
          </w:p>
        </w:tc>
        <w:tc>
          <w:tcPr>
            <w:tcW w:w="640" w:type="dxa"/>
            <w:vAlign w:val="bottom"/>
            <w:gridSpan w:val="2"/>
          </w:tcPr>
          <w:p>
            <w:pPr>
              <w:jc w:val="center"/>
              <w:ind w:left="66"/>
              <w:spacing w:after="0"/>
              <w:rPr>
                <w:sz w:val="20"/>
                <w:szCs w:val="20"/>
                <w:color w:val="auto"/>
              </w:rPr>
            </w:pPr>
            <w:r>
              <w:rPr>
                <w:rFonts w:ascii="Arial" w:cs="Arial" w:eastAsia="Arial" w:hAnsi="Arial"/>
                <w:sz w:val="11"/>
                <w:szCs w:val="11"/>
                <w:color w:val="auto"/>
                <w:w w:val="87"/>
              </w:rPr>
              <w:t>09/12/2022</w:t>
            </w:r>
          </w:p>
        </w:tc>
        <w:tc>
          <w:tcPr>
            <w:tcW w:w="240" w:type="dxa"/>
            <w:vAlign w:val="bottom"/>
          </w:tcPr>
          <w:p>
            <w:pPr>
              <w:spacing w:after="0"/>
              <w:rPr>
                <w:sz w:val="12"/>
                <w:szCs w:val="12"/>
                <w:color w:val="auto"/>
              </w:rPr>
            </w:pPr>
          </w:p>
        </w:tc>
        <w:tc>
          <w:tcPr>
            <w:tcW w:w="2760" w:type="dxa"/>
            <w:vAlign w:val="bottom"/>
            <w:gridSpan w:val="2"/>
          </w:tcPr>
          <w:p>
            <w:pPr>
              <w:jc w:val="center"/>
              <w:ind w:right="140"/>
              <w:spacing w:after="0"/>
              <w:rPr>
                <w:sz w:val="20"/>
                <w:szCs w:val="20"/>
                <w:color w:val="auto"/>
              </w:rPr>
            </w:pPr>
            <w:r>
              <w:rPr>
                <w:rFonts w:ascii="Arial" w:cs="Arial" w:eastAsia="Arial" w:hAnsi="Arial"/>
                <w:sz w:val="11"/>
                <w:szCs w:val="11"/>
                <w:color w:val="auto"/>
                <w:w w:val="89"/>
              </w:rPr>
              <w:t>High Tech Industries</w:t>
            </w:r>
          </w:p>
        </w:tc>
        <w:tc>
          <w:tcPr>
            <w:tcW w:w="860" w:type="dxa"/>
            <w:vAlign w:val="bottom"/>
            <w:gridSpan w:val="2"/>
          </w:tcPr>
          <w:p>
            <w:pPr>
              <w:jc w:val="right"/>
              <w:ind w:right="180"/>
              <w:spacing w:after="0"/>
              <w:rPr>
                <w:sz w:val="20"/>
                <w:szCs w:val="20"/>
                <w:color w:val="auto"/>
              </w:rPr>
            </w:pPr>
            <w:r>
              <w:rPr>
                <w:rFonts w:ascii="Arial" w:cs="Arial" w:eastAsia="Arial" w:hAnsi="Arial"/>
                <w:sz w:val="11"/>
                <w:szCs w:val="11"/>
                <w:color w:val="auto"/>
              </w:rPr>
              <w:t>6.80%</w:t>
            </w:r>
          </w:p>
        </w:tc>
        <w:tc>
          <w:tcPr>
            <w:tcW w:w="560" w:type="dxa"/>
            <w:vAlign w:val="bottom"/>
          </w:tcPr>
          <w:p>
            <w:pPr>
              <w:ind w:left="400"/>
              <w:spacing w:after="0"/>
              <w:rPr>
                <w:sz w:val="20"/>
                <w:szCs w:val="20"/>
                <w:color w:val="auto"/>
              </w:rPr>
            </w:pPr>
            <w:r>
              <w:rPr>
                <w:rFonts w:ascii="Arial" w:cs="Arial" w:eastAsia="Arial" w:hAnsi="Arial"/>
                <w:sz w:val="11"/>
                <w:szCs w:val="11"/>
                <w:color w:val="auto"/>
                <w:w w:val="91"/>
              </w:rPr>
              <w:t>3M</w:t>
            </w:r>
          </w:p>
        </w:tc>
        <w:tc>
          <w:tcPr>
            <w:tcW w:w="540" w:type="dxa"/>
            <w:vAlign w:val="bottom"/>
            <w:gridSpan w:val="3"/>
          </w:tcPr>
          <w:p>
            <w:pPr>
              <w:jc w:val="right"/>
              <w:ind w:right="40"/>
              <w:spacing w:after="0"/>
              <w:rPr>
                <w:sz w:val="20"/>
                <w:szCs w:val="20"/>
                <w:color w:val="auto"/>
              </w:rPr>
            </w:pPr>
            <w:r>
              <w:rPr>
                <w:rFonts w:ascii="Arial" w:cs="Arial" w:eastAsia="Arial" w:hAnsi="Arial"/>
                <w:sz w:val="11"/>
                <w:szCs w:val="11"/>
                <w:color w:val="auto"/>
              </w:rPr>
              <w:t>L+575A $</w:t>
            </w:r>
          </w:p>
        </w:tc>
        <w:tc>
          <w:tcPr>
            <w:tcW w:w="580" w:type="dxa"/>
            <w:vAlign w:val="bottom"/>
          </w:tcPr>
          <w:p>
            <w:pPr>
              <w:jc w:val="right"/>
              <w:spacing w:after="0"/>
              <w:rPr>
                <w:sz w:val="20"/>
                <w:szCs w:val="20"/>
                <w:color w:val="auto"/>
              </w:rPr>
            </w:pPr>
            <w:r>
              <w:rPr>
                <w:rFonts w:ascii="Arial" w:cs="Arial" w:eastAsia="Arial" w:hAnsi="Arial"/>
                <w:sz w:val="12"/>
                <w:szCs w:val="12"/>
                <w:color w:val="auto"/>
                <w:w w:val="89"/>
              </w:rPr>
              <w:t>14,755,747</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10,483,859</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9,952,014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060" w:type="dxa"/>
            <w:vAlign w:val="bottom"/>
            <w:shd w:val="clear" w:color="auto" w:fill="CCECFF"/>
          </w:tcPr>
          <w:p>
            <w:pPr>
              <w:spacing w:after="0"/>
              <w:rPr>
                <w:sz w:val="20"/>
                <w:szCs w:val="20"/>
                <w:color w:val="auto"/>
              </w:rPr>
            </w:pPr>
            <w:r>
              <w:rPr>
                <w:rFonts w:ascii="Arial" w:cs="Arial" w:eastAsia="Arial" w:hAnsi="Arial"/>
                <w:sz w:val="11"/>
                <w:szCs w:val="11"/>
                <w:color w:val="auto"/>
              </w:rPr>
              <w:t>Long's Drugs Incorporated</w:t>
            </w:r>
          </w:p>
        </w:tc>
        <w:tc>
          <w:tcPr>
            <w:tcW w:w="64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87"/>
              </w:rPr>
              <w:t>08/19/2022</w:t>
            </w:r>
          </w:p>
        </w:tc>
        <w:tc>
          <w:tcPr>
            <w:tcW w:w="24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6"/>
              </w:rPr>
              <w:t>Healthcare and Pharmaceuticals</w:t>
            </w:r>
          </w:p>
        </w:tc>
        <w:tc>
          <w:tcPr>
            <w:tcW w:w="86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7.10%</w:t>
            </w:r>
          </w:p>
        </w:tc>
        <w:tc>
          <w:tcPr>
            <w:tcW w:w="560" w:type="dxa"/>
            <w:vAlign w:val="bottom"/>
            <w:shd w:val="clear" w:color="auto" w:fill="CCECFF"/>
          </w:tcPr>
          <w:p>
            <w:pPr>
              <w:ind w:left="400"/>
              <w:spacing w:after="0"/>
              <w:rPr>
                <w:sz w:val="20"/>
                <w:szCs w:val="20"/>
                <w:color w:val="auto"/>
              </w:rPr>
            </w:pPr>
            <w:r>
              <w:rPr>
                <w:rFonts w:ascii="Arial" w:cs="Arial" w:eastAsia="Arial" w:hAnsi="Arial"/>
                <w:sz w:val="11"/>
                <w:szCs w:val="11"/>
                <w:color w:val="auto"/>
                <w:w w:val="91"/>
              </w:rPr>
              <w:t>1M</w:t>
            </w:r>
          </w:p>
        </w:tc>
        <w:tc>
          <w:tcPr>
            <w:tcW w:w="540" w:type="dxa"/>
            <w:vAlign w:val="bottom"/>
            <w:gridSpan w:val="3"/>
            <w:shd w:val="clear" w:color="auto" w:fill="CCECFF"/>
          </w:tcPr>
          <w:p>
            <w:pPr>
              <w:jc w:val="right"/>
              <w:ind w:right="220"/>
              <w:spacing w:after="0"/>
              <w:rPr>
                <w:sz w:val="20"/>
                <w:szCs w:val="20"/>
                <w:color w:val="auto"/>
              </w:rPr>
            </w:pPr>
            <w:r>
              <w:rPr>
                <w:rFonts w:ascii="Arial" w:cs="Arial" w:eastAsia="Arial" w:hAnsi="Arial"/>
                <w:sz w:val="11"/>
                <w:szCs w:val="11"/>
                <w:color w:val="auto"/>
                <w:w w:val="96"/>
              </w:rPr>
              <w:t>L+500</w:t>
            </w: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w w:val="98"/>
              </w:rPr>
              <w:t>17,820,000</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17,688,160</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17,641,800</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tcPr>
          <w:p>
            <w:pPr>
              <w:spacing w:after="0"/>
              <w:rPr>
                <w:sz w:val="20"/>
                <w:szCs w:val="20"/>
                <w:color w:val="auto"/>
              </w:rPr>
            </w:pPr>
            <w:r>
              <w:rPr>
                <w:rFonts w:ascii="Arial" w:cs="Arial" w:eastAsia="Arial" w:hAnsi="Arial"/>
                <w:sz w:val="11"/>
                <w:szCs w:val="11"/>
                <w:color w:val="auto"/>
              </w:rPr>
              <w:t>LSF9 Atlantis Holdings, LLC</w:t>
            </w:r>
          </w:p>
        </w:tc>
        <w:tc>
          <w:tcPr>
            <w:tcW w:w="640" w:type="dxa"/>
            <w:vAlign w:val="bottom"/>
            <w:gridSpan w:val="2"/>
          </w:tcPr>
          <w:p>
            <w:pPr>
              <w:jc w:val="center"/>
              <w:ind w:left="66"/>
              <w:spacing w:after="0"/>
              <w:rPr>
                <w:sz w:val="20"/>
                <w:szCs w:val="20"/>
                <w:color w:val="auto"/>
              </w:rPr>
            </w:pPr>
            <w:r>
              <w:rPr>
                <w:rFonts w:ascii="Arial" w:cs="Arial" w:eastAsia="Arial" w:hAnsi="Arial"/>
                <w:sz w:val="11"/>
                <w:szCs w:val="11"/>
                <w:color w:val="auto"/>
                <w:w w:val="87"/>
              </w:rPr>
              <w:t>05/01/2023</w:t>
            </w:r>
          </w:p>
        </w:tc>
        <w:tc>
          <w:tcPr>
            <w:tcW w:w="240" w:type="dxa"/>
            <w:vAlign w:val="bottom"/>
          </w:tcPr>
          <w:p>
            <w:pPr>
              <w:spacing w:after="0"/>
              <w:rPr>
                <w:sz w:val="11"/>
                <w:szCs w:val="11"/>
                <w:color w:val="auto"/>
              </w:rPr>
            </w:pPr>
          </w:p>
        </w:tc>
        <w:tc>
          <w:tcPr>
            <w:tcW w:w="2760" w:type="dxa"/>
            <w:vAlign w:val="bottom"/>
            <w:gridSpan w:val="2"/>
          </w:tcPr>
          <w:p>
            <w:pPr>
              <w:jc w:val="center"/>
              <w:ind w:right="140"/>
              <w:spacing w:after="0"/>
              <w:rPr>
                <w:sz w:val="20"/>
                <w:szCs w:val="20"/>
                <w:color w:val="auto"/>
              </w:rPr>
            </w:pPr>
            <w:r>
              <w:rPr>
                <w:rFonts w:ascii="Arial" w:cs="Arial" w:eastAsia="Arial" w:hAnsi="Arial"/>
                <w:sz w:val="11"/>
                <w:szCs w:val="11"/>
                <w:color w:val="auto"/>
                <w:w w:val="92"/>
              </w:rPr>
              <w:t>Retail</w:t>
            </w:r>
          </w:p>
        </w:tc>
        <w:tc>
          <w:tcPr>
            <w:tcW w:w="860" w:type="dxa"/>
            <w:vAlign w:val="bottom"/>
            <w:gridSpan w:val="2"/>
          </w:tcPr>
          <w:p>
            <w:pPr>
              <w:jc w:val="right"/>
              <w:ind w:right="180"/>
              <w:spacing w:after="0"/>
              <w:rPr>
                <w:sz w:val="20"/>
                <w:szCs w:val="20"/>
                <w:color w:val="auto"/>
              </w:rPr>
            </w:pPr>
            <w:r>
              <w:rPr>
                <w:rFonts w:ascii="Arial" w:cs="Arial" w:eastAsia="Arial" w:hAnsi="Arial"/>
                <w:sz w:val="11"/>
                <w:szCs w:val="11"/>
                <w:color w:val="auto"/>
              </w:rPr>
              <w:t>8.04%</w:t>
            </w:r>
          </w:p>
        </w:tc>
        <w:tc>
          <w:tcPr>
            <w:tcW w:w="560" w:type="dxa"/>
            <w:vAlign w:val="bottom"/>
          </w:tcPr>
          <w:p>
            <w:pPr>
              <w:ind w:left="400"/>
              <w:spacing w:after="0"/>
              <w:rPr>
                <w:sz w:val="20"/>
                <w:szCs w:val="20"/>
                <w:color w:val="auto"/>
              </w:rPr>
            </w:pPr>
            <w:r>
              <w:rPr>
                <w:rFonts w:ascii="Arial" w:cs="Arial" w:eastAsia="Arial" w:hAnsi="Arial"/>
                <w:sz w:val="11"/>
                <w:szCs w:val="11"/>
                <w:color w:val="auto"/>
                <w:w w:val="91"/>
              </w:rPr>
              <w:t>1M</w:t>
            </w:r>
          </w:p>
        </w:tc>
        <w:tc>
          <w:tcPr>
            <w:tcW w:w="540" w:type="dxa"/>
            <w:vAlign w:val="bottom"/>
            <w:gridSpan w:val="3"/>
          </w:tcPr>
          <w:p>
            <w:pPr>
              <w:jc w:val="right"/>
              <w:ind w:right="220"/>
              <w:spacing w:after="0"/>
              <w:rPr>
                <w:sz w:val="20"/>
                <w:szCs w:val="20"/>
                <w:color w:val="auto"/>
              </w:rPr>
            </w:pPr>
            <w:r>
              <w:rPr>
                <w:rFonts w:ascii="Arial" w:cs="Arial" w:eastAsia="Arial" w:hAnsi="Arial"/>
                <w:sz w:val="11"/>
                <w:szCs w:val="11"/>
                <w:color w:val="auto"/>
                <w:w w:val="96"/>
              </w:rPr>
              <w:t>L+600</w:t>
            </w:r>
          </w:p>
        </w:tc>
        <w:tc>
          <w:tcPr>
            <w:tcW w:w="580" w:type="dxa"/>
            <w:vAlign w:val="bottom"/>
          </w:tcPr>
          <w:p>
            <w:pPr>
              <w:jc w:val="right"/>
              <w:spacing w:after="0"/>
              <w:rPr>
                <w:sz w:val="20"/>
                <w:szCs w:val="20"/>
                <w:color w:val="auto"/>
              </w:rPr>
            </w:pPr>
            <w:r>
              <w:rPr>
                <w:rFonts w:ascii="Arial" w:cs="Arial" w:eastAsia="Arial" w:hAnsi="Arial"/>
                <w:sz w:val="11"/>
                <w:szCs w:val="11"/>
                <w:color w:val="auto"/>
              </w:rPr>
              <w:t>7,078,125</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7,118,977</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6,575,083</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shd w:val="clear" w:color="auto" w:fill="CCECFF"/>
          </w:tcPr>
          <w:p>
            <w:pPr>
              <w:spacing w:after="0"/>
              <w:rPr>
                <w:sz w:val="20"/>
                <w:szCs w:val="20"/>
                <w:color w:val="auto"/>
              </w:rPr>
            </w:pPr>
            <w:r>
              <w:rPr>
                <w:rFonts w:ascii="Arial" w:cs="Arial" w:eastAsia="Arial" w:hAnsi="Arial"/>
                <w:sz w:val="11"/>
                <w:szCs w:val="11"/>
                <w:color w:val="auto"/>
              </w:rPr>
              <w:t>Manna Pro Products, LLC</w:t>
            </w:r>
          </w:p>
        </w:tc>
        <w:tc>
          <w:tcPr>
            <w:tcW w:w="64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87"/>
              </w:rPr>
              <w:t>12/08/2023</w:t>
            </w:r>
          </w:p>
        </w:tc>
        <w:tc>
          <w:tcPr>
            <w:tcW w:w="24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9"/>
              </w:rPr>
              <w:t>Consumer Goods: Non-Durable</w:t>
            </w:r>
          </w:p>
        </w:tc>
        <w:tc>
          <w:tcPr>
            <w:tcW w:w="86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8.05%</w:t>
            </w:r>
          </w:p>
        </w:tc>
        <w:tc>
          <w:tcPr>
            <w:tcW w:w="560" w:type="dxa"/>
            <w:vAlign w:val="bottom"/>
            <w:shd w:val="clear" w:color="auto" w:fill="CCECFF"/>
          </w:tcPr>
          <w:p>
            <w:pPr>
              <w:ind w:left="400"/>
              <w:spacing w:after="0"/>
              <w:rPr>
                <w:sz w:val="20"/>
                <w:szCs w:val="20"/>
                <w:color w:val="auto"/>
              </w:rPr>
            </w:pPr>
            <w:r>
              <w:rPr>
                <w:rFonts w:ascii="Arial" w:cs="Arial" w:eastAsia="Arial" w:hAnsi="Arial"/>
                <w:sz w:val="11"/>
                <w:szCs w:val="11"/>
                <w:color w:val="auto"/>
                <w:w w:val="91"/>
              </w:rPr>
              <w:t>1M</w:t>
            </w:r>
          </w:p>
        </w:tc>
        <w:tc>
          <w:tcPr>
            <w:tcW w:w="540" w:type="dxa"/>
            <w:vAlign w:val="bottom"/>
            <w:gridSpan w:val="3"/>
            <w:shd w:val="clear" w:color="auto" w:fill="CCECFF"/>
          </w:tcPr>
          <w:p>
            <w:pPr>
              <w:jc w:val="right"/>
              <w:ind w:right="220"/>
              <w:spacing w:after="0"/>
              <w:rPr>
                <w:sz w:val="20"/>
                <w:szCs w:val="20"/>
                <w:color w:val="auto"/>
              </w:rPr>
            </w:pPr>
            <w:r>
              <w:rPr>
                <w:rFonts w:ascii="Arial" w:cs="Arial" w:eastAsia="Arial" w:hAnsi="Arial"/>
                <w:sz w:val="11"/>
                <w:szCs w:val="11"/>
                <w:color w:val="auto"/>
                <w:w w:val="96"/>
              </w:rPr>
              <w:t>L+600</w:t>
            </w: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6,877,500</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6,797,207</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6,688,369</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060" w:type="dxa"/>
            <w:vAlign w:val="bottom"/>
          </w:tcPr>
          <w:p>
            <w:pPr>
              <w:spacing w:after="0"/>
              <w:rPr>
                <w:sz w:val="20"/>
                <w:szCs w:val="20"/>
                <w:color w:val="auto"/>
              </w:rPr>
            </w:pPr>
            <w:r>
              <w:rPr>
                <w:rFonts w:ascii="Arial" w:cs="Arial" w:eastAsia="Arial" w:hAnsi="Arial"/>
                <w:sz w:val="11"/>
                <w:szCs w:val="11"/>
                <w:color w:val="auto"/>
              </w:rPr>
              <w:t xml:space="preserve">Marketplace Events LLC </w:t>
            </w:r>
            <w:r>
              <w:rPr>
                <w:rFonts w:ascii="Arial" w:cs="Arial" w:eastAsia="Arial" w:hAnsi="Arial"/>
                <w:sz w:val="9"/>
                <w:szCs w:val="9"/>
                <w:color w:val="auto"/>
              </w:rPr>
              <w:t>(4)</w:t>
            </w:r>
          </w:p>
        </w:tc>
        <w:tc>
          <w:tcPr>
            <w:tcW w:w="640" w:type="dxa"/>
            <w:vAlign w:val="bottom"/>
            <w:gridSpan w:val="2"/>
          </w:tcPr>
          <w:p>
            <w:pPr>
              <w:jc w:val="center"/>
              <w:ind w:left="66"/>
              <w:spacing w:after="0"/>
              <w:rPr>
                <w:sz w:val="20"/>
                <w:szCs w:val="20"/>
                <w:color w:val="auto"/>
              </w:rPr>
            </w:pPr>
            <w:r>
              <w:rPr>
                <w:rFonts w:ascii="Arial" w:cs="Arial" w:eastAsia="Arial" w:hAnsi="Arial"/>
                <w:sz w:val="11"/>
                <w:szCs w:val="11"/>
                <w:color w:val="auto"/>
                <w:w w:val="87"/>
              </w:rPr>
              <w:t>01/27/2021</w:t>
            </w:r>
          </w:p>
        </w:tc>
        <w:tc>
          <w:tcPr>
            <w:tcW w:w="240" w:type="dxa"/>
            <w:vAlign w:val="bottom"/>
          </w:tcPr>
          <w:p>
            <w:pPr>
              <w:spacing w:after="0"/>
              <w:rPr>
                <w:sz w:val="12"/>
                <w:szCs w:val="12"/>
                <w:color w:val="auto"/>
              </w:rPr>
            </w:pPr>
          </w:p>
        </w:tc>
        <w:tc>
          <w:tcPr>
            <w:tcW w:w="2760" w:type="dxa"/>
            <w:vAlign w:val="bottom"/>
            <w:gridSpan w:val="2"/>
          </w:tcPr>
          <w:p>
            <w:pPr>
              <w:jc w:val="center"/>
              <w:ind w:right="140"/>
              <w:spacing w:after="0"/>
              <w:rPr>
                <w:sz w:val="20"/>
                <w:szCs w:val="20"/>
                <w:color w:val="auto"/>
              </w:rPr>
            </w:pPr>
            <w:r>
              <w:rPr>
                <w:rFonts w:ascii="Arial" w:cs="Arial" w:eastAsia="Arial" w:hAnsi="Arial"/>
                <w:sz w:val="11"/>
                <w:szCs w:val="11"/>
                <w:color w:val="auto"/>
                <w:w w:val="91"/>
              </w:rPr>
              <w:t>Media: Diversified and Production</w:t>
            </w:r>
          </w:p>
        </w:tc>
        <w:tc>
          <w:tcPr>
            <w:tcW w:w="860" w:type="dxa"/>
            <w:vAlign w:val="bottom"/>
            <w:gridSpan w:val="2"/>
          </w:tcPr>
          <w:p>
            <w:pPr>
              <w:jc w:val="right"/>
              <w:ind w:right="180"/>
              <w:spacing w:after="0"/>
              <w:rPr>
                <w:sz w:val="20"/>
                <w:szCs w:val="20"/>
                <w:color w:val="auto"/>
              </w:rPr>
            </w:pPr>
            <w:r>
              <w:rPr>
                <w:rFonts w:ascii="Arial" w:cs="Arial" w:eastAsia="Arial" w:hAnsi="Arial"/>
                <w:sz w:val="11"/>
                <w:szCs w:val="11"/>
                <w:color w:val="auto"/>
              </w:rPr>
              <w:t>7.20%</w:t>
            </w:r>
          </w:p>
        </w:tc>
        <w:tc>
          <w:tcPr>
            <w:tcW w:w="560" w:type="dxa"/>
            <w:vAlign w:val="bottom"/>
          </w:tcPr>
          <w:p>
            <w:pPr>
              <w:spacing w:after="0"/>
              <w:rPr>
                <w:sz w:val="12"/>
                <w:szCs w:val="12"/>
                <w:color w:val="auto"/>
              </w:rPr>
            </w:pPr>
          </w:p>
        </w:tc>
        <w:tc>
          <w:tcPr>
            <w:tcW w:w="540" w:type="dxa"/>
            <w:vAlign w:val="bottom"/>
            <w:gridSpan w:val="3"/>
          </w:tcPr>
          <w:p>
            <w:pPr>
              <w:jc w:val="right"/>
              <w:ind w:right="40"/>
              <w:spacing w:after="0"/>
              <w:rPr>
                <w:sz w:val="20"/>
                <w:szCs w:val="20"/>
                <w:color w:val="auto"/>
              </w:rPr>
            </w:pPr>
            <w:r>
              <w:rPr>
                <w:rFonts w:ascii="Arial" w:cs="Arial" w:eastAsia="Arial" w:hAnsi="Arial"/>
                <w:sz w:val="11"/>
                <w:szCs w:val="11"/>
                <w:color w:val="auto"/>
                <w:w w:val="97"/>
              </w:rPr>
              <w:t>P+275C $</w:t>
            </w:r>
          </w:p>
        </w:tc>
        <w:tc>
          <w:tcPr>
            <w:tcW w:w="580" w:type="dxa"/>
            <w:vAlign w:val="bottom"/>
          </w:tcPr>
          <w:p>
            <w:pPr>
              <w:jc w:val="right"/>
              <w:spacing w:after="0"/>
              <w:rPr>
                <w:sz w:val="20"/>
                <w:szCs w:val="20"/>
                <w:color w:val="auto"/>
              </w:rPr>
            </w:pPr>
            <w:r>
              <w:rPr>
                <w:rFonts w:ascii="Arial" w:cs="Arial" w:eastAsia="Arial" w:hAnsi="Arial"/>
                <w:sz w:val="12"/>
                <w:szCs w:val="12"/>
                <w:color w:val="auto"/>
              </w:rPr>
              <w:t>5,760,254</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4,461,926</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4,350,645</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060" w:type="dxa"/>
            <w:vAlign w:val="bottom"/>
            <w:shd w:val="clear" w:color="auto" w:fill="CCECFF"/>
          </w:tcPr>
          <w:p>
            <w:pPr>
              <w:spacing w:after="0"/>
              <w:rPr>
                <w:sz w:val="20"/>
                <w:szCs w:val="20"/>
                <w:color w:val="auto"/>
              </w:rPr>
            </w:pPr>
            <w:r>
              <w:rPr>
                <w:rFonts w:ascii="Arial" w:cs="Arial" w:eastAsia="Arial" w:hAnsi="Arial"/>
                <w:sz w:val="11"/>
                <w:szCs w:val="11"/>
                <w:color w:val="auto"/>
              </w:rPr>
              <w:t>Mission Critical Electronics, Inc.</w:t>
            </w:r>
          </w:p>
        </w:tc>
        <w:tc>
          <w:tcPr>
            <w:tcW w:w="64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87"/>
              </w:rPr>
              <w:t>09/28/2022</w:t>
            </w:r>
          </w:p>
        </w:tc>
        <w:tc>
          <w:tcPr>
            <w:tcW w:w="24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91"/>
              </w:rPr>
              <w:t>Capital Equipment</w:t>
            </w:r>
          </w:p>
        </w:tc>
        <w:tc>
          <w:tcPr>
            <w:tcW w:w="86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7.10%</w:t>
            </w:r>
          </w:p>
        </w:tc>
        <w:tc>
          <w:tcPr>
            <w:tcW w:w="560" w:type="dxa"/>
            <w:vAlign w:val="bottom"/>
            <w:shd w:val="clear" w:color="auto" w:fill="CCECFF"/>
          </w:tcPr>
          <w:p>
            <w:pPr>
              <w:ind w:left="400"/>
              <w:spacing w:after="0"/>
              <w:rPr>
                <w:sz w:val="20"/>
                <w:szCs w:val="20"/>
                <w:color w:val="auto"/>
              </w:rPr>
            </w:pPr>
            <w:r>
              <w:rPr>
                <w:rFonts w:ascii="Arial" w:cs="Arial" w:eastAsia="Arial" w:hAnsi="Arial"/>
                <w:sz w:val="11"/>
                <w:szCs w:val="11"/>
                <w:color w:val="auto"/>
                <w:w w:val="91"/>
              </w:rPr>
              <w:t>3M</w:t>
            </w:r>
          </w:p>
        </w:tc>
        <w:tc>
          <w:tcPr>
            <w:tcW w:w="540" w:type="dxa"/>
            <w:vAlign w:val="bottom"/>
            <w:gridSpan w:val="3"/>
            <w:shd w:val="clear" w:color="auto" w:fill="CCECFF"/>
          </w:tcPr>
          <w:p>
            <w:pPr>
              <w:jc w:val="right"/>
              <w:ind w:right="220"/>
              <w:spacing w:after="0"/>
              <w:rPr>
                <w:sz w:val="20"/>
                <w:szCs w:val="20"/>
                <w:color w:val="auto"/>
              </w:rPr>
            </w:pPr>
            <w:r>
              <w:rPr>
                <w:rFonts w:ascii="Arial" w:cs="Arial" w:eastAsia="Arial" w:hAnsi="Arial"/>
                <w:sz w:val="11"/>
                <w:szCs w:val="11"/>
                <w:color w:val="auto"/>
                <w:w w:val="96"/>
              </w:rPr>
              <w:t>L+500</w:t>
            </w: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6,009,982</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5,977,867</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6,009,982</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tcPr>
          <w:p>
            <w:pPr>
              <w:spacing w:after="0"/>
              <w:rPr>
                <w:sz w:val="20"/>
                <w:szCs w:val="20"/>
                <w:color w:val="auto"/>
              </w:rPr>
            </w:pPr>
            <w:r>
              <w:rPr>
                <w:rFonts w:ascii="Arial" w:cs="Arial" w:eastAsia="Arial" w:hAnsi="Arial"/>
                <w:sz w:val="11"/>
                <w:szCs w:val="11"/>
                <w:color w:val="auto"/>
              </w:rPr>
              <w:t>New Milani Group LLC</w:t>
            </w:r>
          </w:p>
        </w:tc>
        <w:tc>
          <w:tcPr>
            <w:tcW w:w="640" w:type="dxa"/>
            <w:vAlign w:val="bottom"/>
            <w:gridSpan w:val="2"/>
          </w:tcPr>
          <w:p>
            <w:pPr>
              <w:jc w:val="center"/>
              <w:ind w:left="66"/>
              <w:spacing w:after="0"/>
              <w:rPr>
                <w:sz w:val="20"/>
                <w:szCs w:val="20"/>
                <w:color w:val="auto"/>
              </w:rPr>
            </w:pPr>
            <w:r>
              <w:rPr>
                <w:rFonts w:ascii="Arial" w:cs="Arial" w:eastAsia="Arial" w:hAnsi="Arial"/>
                <w:sz w:val="11"/>
                <w:szCs w:val="11"/>
                <w:color w:val="auto"/>
                <w:w w:val="87"/>
              </w:rPr>
              <w:t>06/06/2024</w:t>
            </w:r>
          </w:p>
        </w:tc>
        <w:tc>
          <w:tcPr>
            <w:tcW w:w="240" w:type="dxa"/>
            <w:vAlign w:val="bottom"/>
          </w:tcPr>
          <w:p>
            <w:pPr>
              <w:spacing w:after="0"/>
              <w:rPr>
                <w:sz w:val="11"/>
                <w:szCs w:val="11"/>
                <w:color w:val="auto"/>
              </w:rPr>
            </w:pPr>
          </w:p>
        </w:tc>
        <w:tc>
          <w:tcPr>
            <w:tcW w:w="2760" w:type="dxa"/>
            <w:vAlign w:val="bottom"/>
            <w:gridSpan w:val="2"/>
          </w:tcPr>
          <w:p>
            <w:pPr>
              <w:jc w:val="center"/>
              <w:ind w:right="140"/>
              <w:spacing w:after="0"/>
              <w:rPr>
                <w:sz w:val="20"/>
                <w:szCs w:val="20"/>
                <w:color w:val="auto"/>
              </w:rPr>
            </w:pPr>
            <w:r>
              <w:rPr>
                <w:rFonts w:ascii="Arial" w:cs="Arial" w:eastAsia="Arial" w:hAnsi="Arial"/>
                <w:sz w:val="11"/>
                <w:szCs w:val="11"/>
                <w:color w:val="auto"/>
                <w:w w:val="89"/>
              </w:rPr>
              <w:t>Consumer Goods: Non-Durable</w:t>
            </w:r>
          </w:p>
        </w:tc>
        <w:tc>
          <w:tcPr>
            <w:tcW w:w="860" w:type="dxa"/>
            <w:vAlign w:val="bottom"/>
            <w:gridSpan w:val="2"/>
          </w:tcPr>
          <w:p>
            <w:pPr>
              <w:jc w:val="right"/>
              <w:ind w:right="180"/>
              <w:spacing w:after="0"/>
              <w:rPr>
                <w:sz w:val="20"/>
                <w:szCs w:val="20"/>
                <w:color w:val="auto"/>
              </w:rPr>
            </w:pPr>
            <w:r>
              <w:rPr>
                <w:rFonts w:ascii="Arial" w:cs="Arial" w:eastAsia="Arial" w:hAnsi="Arial"/>
                <w:sz w:val="11"/>
                <w:szCs w:val="11"/>
                <w:color w:val="auto"/>
              </w:rPr>
              <w:t>6.35%</w:t>
            </w:r>
          </w:p>
        </w:tc>
        <w:tc>
          <w:tcPr>
            <w:tcW w:w="560" w:type="dxa"/>
            <w:vAlign w:val="bottom"/>
          </w:tcPr>
          <w:p>
            <w:pPr>
              <w:ind w:left="400"/>
              <w:spacing w:after="0"/>
              <w:rPr>
                <w:sz w:val="20"/>
                <w:szCs w:val="20"/>
                <w:color w:val="auto"/>
              </w:rPr>
            </w:pPr>
            <w:r>
              <w:rPr>
                <w:rFonts w:ascii="Arial" w:cs="Arial" w:eastAsia="Arial" w:hAnsi="Arial"/>
                <w:sz w:val="11"/>
                <w:szCs w:val="11"/>
                <w:color w:val="auto"/>
                <w:w w:val="91"/>
              </w:rPr>
              <w:t>1M</w:t>
            </w:r>
          </w:p>
        </w:tc>
        <w:tc>
          <w:tcPr>
            <w:tcW w:w="540" w:type="dxa"/>
            <w:vAlign w:val="bottom"/>
            <w:gridSpan w:val="3"/>
          </w:tcPr>
          <w:p>
            <w:pPr>
              <w:jc w:val="right"/>
              <w:ind w:right="220"/>
              <w:spacing w:after="0"/>
              <w:rPr>
                <w:sz w:val="20"/>
                <w:szCs w:val="20"/>
                <w:color w:val="auto"/>
              </w:rPr>
            </w:pPr>
            <w:r>
              <w:rPr>
                <w:rFonts w:ascii="Arial" w:cs="Arial" w:eastAsia="Arial" w:hAnsi="Arial"/>
                <w:sz w:val="11"/>
                <w:szCs w:val="11"/>
                <w:color w:val="auto"/>
                <w:w w:val="96"/>
              </w:rPr>
              <w:t>L+425</w:t>
            </w:r>
          </w:p>
        </w:tc>
        <w:tc>
          <w:tcPr>
            <w:tcW w:w="580" w:type="dxa"/>
            <w:vAlign w:val="bottom"/>
          </w:tcPr>
          <w:p>
            <w:pPr>
              <w:jc w:val="right"/>
              <w:spacing w:after="0"/>
              <w:rPr>
                <w:sz w:val="20"/>
                <w:szCs w:val="20"/>
                <w:color w:val="auto"/>
              </w:rPr>
            </w:pPr>
            <w:r>
              <w:rPr>
                <w:rFonts w:ascii="Arial" w:cs="Arial" w:eastAsia="Arial" w:hAnsi="Arial"/>
                <w:sz w:val="11"/>
                <w:szCs w:val="11"/>
                <w:color w:val="auto"/>
                <w:w w:val="98"/>
              </w:rPr>
              <w:t>14,812,500</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14,691,710</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14,664,375</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shd w:val="clear" w:color="auto" w:fill="CCECFF"/>
          </w:tcPr>
          <w:p>
            <w:pPr>
              <w:spacing w:after="0"/>
              <w:rPr>
                <w:sz w:val="20"/>
                <w:szCs w:val="20"/>
                <w:color w:val="auto"/>
              </w:rPr>
            </w:pPr>
            <w:r>
              <w:rPr>
                <w:rFonts w:ascii="Arial" w:cs="Arial" w:eastAsia="Arial" w:hAnsi="Arial"/>
                <w:sz w:val="11"/>
                <w:szCs w:val="11"/>
                <w:color w:val="auto"/>
              </w:rPr>
              <w:t>Olde Thompson, LLC</w:t>
            </w:r>
          </w:p>
        </w:tc>
        <w:tc>
          <w:tcPr>
            <w:tcW w:w="64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87"/>
              </w:rPr>
              <w:t>05/14/2024</w:t>
            </w:r>
          </w:p>
        </w:tc>
        <w:tc>
          <w:tcPr>
            <w:tcW w:w="24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6"/>
              </w:rPr>
              <w:t>Beverage, Food and Tobacco</w:t>
            </w:r>
          </w:p>
        </w:tc>
        <w:tc>
          <w:tcPr>
            <w:tcW w:w="86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6.54%</w:t>
            </w:r>
          </w:p>
        </w:tc>
        <w:tc>
          <w:tcPr>
            <w:tcW w:w="560" w:type="dxa"/>
            <w:vAlign w:val="bottom"/>
            <w:shd w:val="clear" w:color="auto" w:fill="CCECFF"/>
          </w:tcPr>
          <w:p>
            <w:pPr>
              <w:ind w:left="400"/>
              <w:spacing w:after="0"/>
              <w:rPr>
                <w:sz w:val="20"/>
                <w:szCs w:val="20"/>
                <w:color w:val="auto"/>
              </w:rPr>
            </w:pPr>
            <w:r>
              <w:rPr>
                <w:rFonts w:ascii="Arial" w:cs="Arial" w:eastAsia="Arial" w:hAnsi="Arial"/>
                <w:sz w:val="11"/>
                <w:szCs w:val="11"/>
                <w:color w:val="auto"/>
                <w:w w:val="91"/>
              </w:rPr>
              <w:t>1M</w:t>
            </w:r>
          </w:p>
        </w:tc>
        <w:tc>
          <w:tcPr>
            <w:tcW w:w="540" w:type="dxa"/>
            <w:vAlign w:val="bottom"/>
            <w:gridSpan w:val="3"/>
            <w:shd w:val="clear" w:color="auto" w:fill="CCECFF"/>
          </w:tcPr>
          <w:p>
            <w:pPr>
              <w:jc w:val="right"/>
              <w:ind w:right="220"/>
              <w:spacing w:after="0"/>
              <w:rPr>
                <w:sz w:val="20"/>
                <w:szCs w:val="20"/>
                <w:color w:val="auto"/>
              </w:rPr>
            </w:pPr>
            <w:r>
              <w:rPr>
                <w:rFonts w:ascii="Arial" w:cs="Arial" w:eastAsia="Arial" w:hAnsi="Arial"/>
                <w:sz w:val="11"/>
                <w:szCs w:val="11"/>
                <w:color w:val="auto"/>
                <w:w w:val="96"/>
              </w:rPr>
              <w:t>L+450</w:t>
            </w: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w w:val="98"/>
              </w:rPr>
              <w:t>11,876,667</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11,757,900</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11,876,667</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tcPr>
          <w:p>
            <w:pPr>
              <w:spacing w:after="0"/>
              <w:rPr>
                <w:sz w:val="20"/>
                <w:szCs w:val="20"/>
                <w:color w:val="auto"/>
              </w:rPr>
            </w:pPr>
            <w:r>
              <w:rPr>
                <w:rFonts w:ascii="Arial" w:cs="Arial" w:eastAsia="Arial" w:hAnsi="Arial"/>
                <w:sz w:val="11"/>
                <w:szCs w:val="11"/>
                <w:color w:val="auto"/>
              </w:rPr>
              <w:t>Output Services Group, Inc.</w:t>
            </w:r>
          </w:p>
        </w:tc>
        <w:tc>
          <w:tcPr>
            <w:tcW w:w="640" w:type="dxa"/>
            <w:vAlign w:val="bottom"/>
            <w:gridSpan w:val="2"/>
          </w:tcPr>
          <w:p>
            <w:pPr>
              <w:jc w:val="center"/>
              <w:ind w:left="66"/>
              <w:spacing w:after="0"/>
              <w:rPr>
                <w:sz w:val="20"/>
                <w:szCs w:val="20"/>
                <w:color w:val="auto"/>
              </w:rPr>
            </w:pPr>
            <w:r>
              <w:rPr>
                <w:rFonts w:ascii="Arial" w:cs="Arial" w:eastAsia="Arial" w:hAnsi="Arial"/>
                <w:sz w:val="11"/>
                <w:szCs w:val="11"/>
                <w:color w:val="auto"/>
                <w:w w:val="87"/>
              </w:rPr>
              <w:t>03/27/2024</w:t>
            </w:r>
          </w:p>
        </w:tc>
        <w:tc>
          <w:tcPr>
            <w:tcW w:w="240" w:type="dxa"/>
            <w:vAlign w:val="bottom"/>
          </w:tcPr>
          <w:p>
            <w:pPr>
              <w:spacing w:after="0"/>
              <w:rPr>
                <w:sz w:val="11"/>
                <w:szCs w:val="11"/>
                <w:color w:val="auto"/>
              </w:rPr>
            </w:pPr>
          </w:p>
        </w:tc>
        <w:tc>
          <w:tcPr>
            <w:tcW w:w="2760" w:type="dxa"/>
            <w:vAlign w:val="bottom"/>
            <w:gridSpan w:val="2"/>
          </w:tcPr>
          <w:p>
            <w:pPr>
              <w:jc w:val="center"/>
              <w:ind w:right="140"/>
              <w:spacing w:after="0"/>
              <w:rPr>
                <w:sz w:val="20"/>
                <w:szCs w:val="20"/>
                <w:color w:val="auto"/>
              </w:rPr>
            </w:pPr>
            <w:r>
              <w:rPr>
                <w:rFonts w:ascii="Arial" w:cs="Arial" w:eastAsia="Arial" w:hAnsi="Arial"/>
                <w:sz w:val="11"/>
                <w:szCs w:val="11"/>
                <w:color w:val="auto"/>
                <w:w w:val="86"/>
              </w:rPr>
              <w:t>Business Services</w:t>
            </w:r>
          </w:p>
        </w:tc>
        <w:tc>
          <w:tcPr>
            <w:tcW w:w="860" w:type="dxa"/>
            <w:vAlign w:val="bottom"/>
            <w:gridSpan w:val="2"/>
          </w:tcPr>
          <w:p>
            <w:pPr>
              <w:jc w:val="right"/>
              <w:ind w:right="180"/>
              <w:spacing w:after="0"/>
              <w:rPr>
                <w:sz w:val="20"/>
                <w:szCs w:val="20"/>
                <w:color w:val="auto"/>
              </w:rPr>
            </w:pPr>
            <w:r>
              <w:rPr>
                <w:rFonts w:ascii="Arial" w:cs="Arial" w:eastAsia="Arial" w:hAnsi="Arial"/>
                <w:sz w:val="11"/>
                <w:szCs w:val="11"/>
                <w:color w:val="auto"/>
              </w:rPr>
              <w:t>6.54%</w:t>
            </w:r>
          </w:p>
        </w:tc>
        <w:tc>
          <w:tcPr>
            <w:tcW w:w="560" w:type="dxa"/>
            <w:vAlign w:val="bottom"/>
          </w:tcPr>
          <w:p>
            <w:pPr>
              <w:ind w:left="400"/>
              <w:spacing w:after="0"/>
              <w:rPr>
                <w:sz w:val="20"/>
                <w:szCs w:val="20"/>
                <w:color w:val="auto"/>
              </w:rPr>
            </w:pPr>
            <w:r>
              <w:rPr>
                <w:rFonts w:ascii="Arial" w:cs="Arial" w:eastAsia="Arial" w:hAnsi="Arial"/>
                <w:sz w:val="11"/>
                <w:szCs w:val="11"/>
                <w:color w:val="auto"/>
                <w:w w:val="91"/>
              </w:rPr>
              <w:t>1M</w:t>
            </w:r>
          </w:p>
        </w:tc>
        <w:tc>
          <w:tcPr>
            <w:tcW w:w="540" w:type="dxa"/>
            <w:vAlign w:val="bottom"/>
            <w:gridSpan w:val="3"/>
          </w:tcPr>
          <w:p>
            <w:pPr>
              <w:jc w:val="right"/>
              <w:ind w:right="220"/>
              <w:spacing w:after="0"/>
              <w:rPr>
                <w:sz w:val="20"/>
                <w:szCs w:val="20"/>
                <w:color w:val="auto"/>
              </w:rPr>
            </w:pPr>
            <w:r>
              <w:rPr>
                <w:rFonts w:ascii="Arial" w:cs="Arial" w:eastAsia="Arial" w:hAnsi="Arial"/>
                <w:sz w:val="11"/>
                <w:szCs w:val="11"/>
                <w:color w:val="auto"/>
                <w:w w:val="96"/>
              </w:rPr>
              <w:t>L+425</w:t>
            </w:r>
          </w:p>
        </w:tc>
        <w:tc>
          <w:tcPr>
            <w:tcW w:w="580" w:type="dxa"/>
            <w:vAlign w:val="bottom"/>
          </w:tcPr>
          <w:p>
            <w:pPr>
              <w:jc w:val="right"/>
              <w:spacing w:after="0"/>
              <w:rPr>
                <w:sz w:val="20"/>
                <w:szCs w:val="20"/>
                <w:color w:val="auto"/>
              </w:rPr>
            </w:pPr>
            <w:r>
              <w:rPr>
                <w:rFonts w:ascii="Arial" w:cs="Arial" w:eastAsia="Arial" w:hAnsi="Arial"/>
                <w:sz w:val="11"/>
                <w:szCs w:val="11"/>
                <w:color w:val="auto"/>
              </w:rPr>
              <w:t>7,883,419</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7,909,754</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6,779,740</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shd w:val="clear" w:color="auto" w:fill="CCECFF"/>
          </w:tcPr>
          <w:p>
            <w:pPr>
              <w:spacing w:after="0"/>
              <w:rPr>
                <w:sz w:val="20"/>
                <w:szCs w:val="20"/>
                <w:color w:val="auto"/>
              </w:rPr>
            </w:pPr>
            <w:r>
              <w:rPr>
                <w:rFonts w:ascii="Arial" w:cs="Arial" w:eastAsia="Arial" w:hAnsi="Arial"/>
                <w:sz w:val="11"/>
                <w:szCs w:val="11"/>
                <w:color w:val="auto"/>
              </w:rPr>
              <w:t>Pestell Minerals and Ingredients Inc.</w:t>
            </w:r>
          </w:p>
        </w:tc>
        <w:tc>
          <w:tcPr>
            <w:tcW w:w="64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87"/>
              </w:rPr>
              <w:t>06/01/2023</w:t>
            </w:r>
          </w:p>
        </w:tc>
        <w:tc>
          <w:tcPr>
            <w:tcW w:w="24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6"/>
              </w:rPr>
              <w:t>Beverage, Food and Tobacco</w:t>
            </w:r>
          </w:p>
        </w:tc>
        <w:tc>
          <w:tcPr>
            <w:tcW w:w="86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7.57%</w:t>
            </w:r>
          </w:p>
        </w:tc>
        <w:tc>
          <w:tcPr>
            <w:tcW w:w="560" w:type="dxa"/>
            <w:vAlign w:val="bottom"/>
            <w:shd w:val="clear" w:color="auto" w:fill="CCECFF"/>
          </w:tcPr>
          <w:p>
            <w:pPr>
              <w:ind w:left="400"/>
              <w:spacing w:after="0"/>
              <w:rPr>
                <w:sz w:val="20"/>
                <w:szCs w:val="20"/>
                <w:color w:val="auto"/>
              </w:rPr>
            </w:pPr>
            <w:r>
              <w:rPr>
                <w:rFonts w:ascii="Arial" w:cs="Arial" w:eastAsia="Arial" w:hAnsi="Arial"/>
                <w:sz w:val="11"/>
                <w:szCs w:val="11"/>
                <w:color w:val="auto"/>
                <w:w w:val="91"/>
              </w:rPr>
              <w:t>3M</w:t>
            </w:r>
          </w:p>
        </w:tc>
        <w:tc>
          <w:tcPr>
            <w:tcW w:w="540" w:type="dxa"/>
            <w:vAlign w:val="bottom"/>
            <w:gridSpan w:val="3"/>
            <w:shd w:val="clear" w:color="auto" w:fill="CCECFF"/>
          </w:tcPr>
          <w:p>
            <w:pPr>
              <w:jc w:val="right"/>
              <w:ind w:right="220"/>
              <w:spacing w:after="0"/>
              <w:rPr>
                <w:sz w:val="20"/>
                <w:szCs w:val="20"/>
                <w:color w:val="auto"/>
              </w:rPr>
            </w:pPr>
            <w:r>
              <w:rPr>
                <w:rFonts w:ascii="Arial" w:cs="Arial" w:eastAsia="Arial" w:hAnsi="Arial"/>
                <w:sz w:val="11"/>
                <w:szCs w:val="11"/>
                <w:color w:val="auto"/>
                <w:w w:val="96"/>
              </w:rPr>
              <w:t>L+525</w:t>
            </w: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9,925,000</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9,840,202</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9,825,750</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060" w:type="dxa"/>
            <w:vAlign w:val="bottom"/>
          </w:tcPr>
          <w:p>
            <w:pPr>
              <w:spacing w:after="0"/>
              <w:rPr>
                <w:sz w:val="20"/>
                <w:szCs w:val="20"/>
                <w:color w:val="auto"/>
              </w:rPr>
            </w:pPr>
            <w:r>
              <w:rPr>
                <w:rFonts w:ascii="Arial" w:cs="Arial" w:eastAsia="Arial" w:hAnsi="Arial"/>
                <w:sz w:val="11"/>
                <w:szCs w:val="11"/>
                <w:color w:val="auto"/>
              </w:rPr>
              <w:t>Pestell Minerals and Ingredients Inc.</w:t>
            </w:r>
          </w:p>
        </w:tc>
        <w:tc>
          <w:tcPr>
            <w:tcW w:w="640" w:type="dxa"/>
            <w:vAlign w:val="bottom"/>
            <w:gridSpan w:val="2"/>
          </w:tcPr>
          <w:p>
            <w:pPr>
              <w:jc w:val="center"/>
              <w:ind w:left="66"/>
              <w:spacing w:after="0"/>
              <w:rPr>
                <w:sz w:val="20"/>
                <w:szCs w:val="20"/>
                <w:color w:val="auto"/>
              </w:rPr>
            </w:pPr>
            <w:r>
              <w:rPr>
                <w:rFonts w:ascii="Arial" w:cs="Arial" w:eastAsia="Arial" w:hAnsi="Arial"/>
                <w:sz w:val="11"/>
                <w:szCs w:val="11"/>
                <w:color w:val="auto"/>
                <w:w w:val="87"/>
              </w:rPr>
              <w:t>06/01/2023</w:t>
            </w:r>
          </w:p>
        </w:tc>
        <w:tc>
          <w:tcPr>
            <w:tcW w:w="240" w:type="dxa"/>
            <w:vAlign w:val="bottom"/>
          </w:tcPr>
          <w:p>
            <w:pPr>
              <w:spacing w:after="0"/>
              <w:rPr>
                <w:sz w:val="12"/>
                <w:szCs w:val="12"/>
                <w:color w:val="auto"/>
              </w:rPr>
            </w:pPr>
          </w:p>
        </w:tc>
        <w:tc>
          <w:tcPr>
            <w:tcW w:w="2760" w:type="dxa"/>
            <w:vAlign w:val="bottom"/>
            <w:gridSpan w:val="2"/>
          </w:tcPr>
          <w:p>
            <w:pPr>
              <w:jc w:val="center"/>
              <w:ind w:right="140"/>
              <w:spacing w:after="0"/>
              <w:rPr>
                <w:sz w:val="20"/>
                <w:szCs w:val="20"/>
                <w:color w:val="auto"/>
              </w:rPr>
            </w:pPr>
            <w:r>
              <w:rPr>
                <w:rFonts w:ascii="Arial" w:cs="Arial" w:eastAsia="Arial" w:hAnsi="Arial"/>
                <w:sz w:val="11"/>
                <w:szCs w:val="11"/>
                <w:color w:val="auto"/>
                <w:w w:val="86"/>
              </w:rPr>
              <w:t>Beverage, Food and Tobacco</w:t>
            </w:r>
          </w:p>
        </w:tc>
        <w:tc>
          <w:tcPr>
            <w:tcW w:w="860" w:type="dxa"/>
            <w:vAlign w:val="bottom"/>
            <w:gridSpan w:val="2"/>
          </w:tcPr>
          <w:p>
            <w:pPr>
              <w:jc w:val="right"/>
              <w:ind w:right="180"/>
              <w:spacing w:after="0"/>
              <w:rPr>
                <w:sz w:val="20"/>
                <w:szCs w:val="20"/>
                <w:color w:val="auto"/>
              </w:rPr>
            </w:pPr>
            <w:r>
              <w:rPr>
                <w:rFonts w:ascii="Arial" w:cs="Arial" w:eastAsia="Arial" w:hAnsi="Arial"/>
                <w:sz w:val="11"/>
                <w:szCs w:val="11"/>
                <w:color w:val="auto"/>
              </w:rPr>
              <w:t>7.23%</w:t>
            </w:r>
          </w:p>
        </w:tc>
        <w:tc>
          <w:tcPr>
            <w:tcW w:w="560" w:type="dxa"/>
            <w:vAlign w:val="bottom"/>
          </w:tcPr>
          <w:p>
            <w:pPr>
              <w:ind w:left="400"/>
              <w:spacing w:after="0"/>
              <w:rPr>
                <w:sz w:val="20"/>
                <w:szCs w:val="20"/>
                <w:color w:val="auto"/>
              </w:rPr>
            </w:pPr>
            <w:r>
              <w:rPr>
                <w:rFonts w:ascii="Arial" w:cs="Arial" w:eastAsia="Arial" w:hAnsi="Arial"/>
                <w:sz w:val="11"/>
                <w:szCs w:val="11"/>
                <w:color w:val="auto"/>
                <w:w w:val="91"/>
              </w:rPr>
              <w:t>3M</w:t>
            </w:r>
          </w:p>
        </w:tc>
        <w:tc>
          <w:tcPr>
            <w:tcW w:w="540" w:type="dxa"/>
            <w:vAlign w:val="bottom"/>
            <w:gridSpan w:val="3"/>
          </w:tcPr>
          <w:p>
            <w:pPr>
              <w:jc w:val="right"/>
              <w:ind w:right="40"/>
              <w:spacing w:after="0"/>
              <w:rPr>
                <w:sz w:val="20"/>
                <w:szCs w:val="20"/>
                <w:color w:val="auto"/>
              </w:rPr>
            </w:pPr>
            <w:r>
              <w:rPr>
                <w:rFonts w:ascii="Arial" w:cs="Arial" w:eastAsia="Arial" w:hAnsi="Arial"/>
                <w:sz w:val="11"/>
                <w:szCs w:val="11"/>
                <w:color w:val="auto"/>
                <w:w w:val="99"/>
              </w:rPr>
              <w:t>L+525C $</w:t>
            </w:r>
          </w:p>
        </w:tc>
        <w:tc>
          <w:tcPr>
            <w:tcW w:w="580" w:type="dxa"/>
            <w:vAlign w:val="bottom"/>
          </w:tcPr>
          <w:p>
            <w:pPr>
              <w:jc w:val="right"/>
              <w:spacing w:after="0"/>
              <w:rPr>
                <w:sz w:val="20"/>
                <w:szCs w:val="20"/>
                <w:color w:val="auto"/>
              </w:rPr>
            </w:pPr>
            <w:r>
              <w:rPr>
                <w:rFonts w:ascii="Arial" w:cs="Arial" w:eastAsia="Arial" w:hAnsi="Arial"/>
                <w:sz w:val="12"/>
                <w:szCs w:val="12"/>
                <w:color w:val="auto"/>
              </w:rPr>
              <w:t>3,242,655</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2,412,626</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2,424,644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060" w:type="dxa"/>
            <w:vAlign w:val="bottom"/>
            <w:shd w:val="clear" w:color="auto" w:fill="CCECFF"/>
          </w:tcPr>
          <w:p>
            <w:pPr>
              <w:spacing w:after="0"/>
              <w:rPr>
                <w:sz w:val="20"/>
                <w:szCs w:val="20"/>
                <w:color w:val="auto"/>
              </w:rPr>
            </w:pPr>
            <w:r>
              <w:rPr>
                <w:rFonts w:ascii="Arial" w:cs="Arial" w:eastAsia="Arial" w:hAnsi="Arial"/>
                <w:sz w:val="11"/>
                <w:szCs w:val="11"/>
                <w:color w:val="auto"/>
              </w:rPr>
              <w:t>PH Beauty Holdings III, Inc.</w:t>
            </w:r>
          </w:p>
        </w:tc>
        <w:tc>
          <w:tcPr>
            <w:tcW w:w="64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87"/>
              </w:rPr>
              <w:t>09/29/2025</w:t>
            </w:r>
          </w:p>
        </w:tc>
        <w:tc>
          <w:tcPr>
            <w:tcW w:w="24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9"/>
              </w:rPr>
              <w:t>Wholesale</w:t>
            </w:r>
          </w:p>
        </w:tc>
        <w:tc>
          <w:tcPr>
            <w:tcW w:w="86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7.04%</w:t>
            </w:r>
          </w:p>
        </w:tc>
        <w:tc>
          <w:tcPr>
            <w:tcW w:w="560" w:type="dxa"/>
            <w:vAlign w:val="bottom"/>
            <w:shd w:val="clear" w:color="auto" w:fill="CCECFF"/>
          </w:tcPr>
          <w:p>
            <w:pPr>
              <w:ind w:left="400"/>
              <w:spacing w:after="0"/>
              <w:rPr>
                <w:sz w:val="20"/>
                <w:szCs w:val="20"/>
                <w:color w:val="auto"/>
              </w:rPr>
            </w:pPr>
            <w:r>
              <w:rPr>
                <w:rFonts w:ascii="Arial" w:cs="Arial" w:eastAsia="Arial" w:hAnsi="Arial"/>
                <w:sz w:val="11"/>
                <w:szCs w:val="11"/>
                <w:color w:val="auto"/>
                <w:w w:val="91"/>
              </w:rPr>
              <w:t>1M</w:t>
            </w:r>
          </w:p>
        </w:tc>
        <w:tc>
          <w:tcPr>
            <w:tcW w:w="540" w:type="dxa"/>
            <w:vAlign w:val="bottom"/>
            <w:gridSpan w:val="3"/>
            <w:shd w:val="clear" w:color="auto" w:fill="CCECFF"/>
          </w:tcPr>
          <w:p>
            <w:pPr>
              <w:jc w:val="right"/>
              <w:ind w:right="220"/>
              <w:spacing w:after="0"/>
              <w:rPr>
                <w:sz w:val="20"/>
                <w:szCs w:val="20"/>
                <w:color w:val="auto"/>
              </w:rPr>
            </w:pPr>
            <w:r>
              <w:rPr>
                <w:rFonts w:ascii="Arial" w:cs="Arial" w:eastAsia="Arial" w:hAnsi="Arial"/>
                <w:sz w:val="11"/>
                <w:szCs w:val="11"/>
                <w:color w:val="auto"/>
                <w:w w:val="96"/>
              </w:rPr>
              <w:t>L+500</w:t>
            </w: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9,892,519</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9,804,058</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9,397,893</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tcPr>
          <w:p>
            <w:pPr>
              <w:spacing w:after="0"/>
              <w:rPr>
                <w:sz w:val="20"/>
                <w:szCs w:val="20"/>
                <w:color w:val="auto"/>
              </w:rPr>
            </w:pPr>
            <w:r>
              <w:rPr>
                <w:rFonts w:ascii="Arial" w:cs="Arial" w:eastAsia="Arial" w:hAnsi="Arial"/>
                <w:sz w:val="11"/>
                <w:szCs w:val="11"/>
                <w:color w:val="auto"/>
              </w:rPr>
              <w:t>Plant Health Intermediate, Inc.</w:t>
            </w:r>
          </w:p>
        </w:tc>
        <w:tc>
          <w:tcPr>
            <w:tcW w:w="640" w:type="dxa"/>
            <w:vAlign w:val="bottom"/>
            <w:gridSpan w:val="2"/>
          </w:tcPr>
          <w:p>
            <w:pPr>
              <w:jc w:val="center"/>
              <w:ind w:left="66"/>
              <w:spacing w:after="0"/>
              <w:rPr>
                <w:sz w:val="20"/>
                <w:szCs w:val="20"/>
                <w:color w:val="auto"/>
              </w:rPr>
            </w:pPr>
            <w:r>
              <w:rPr>
                <w:rFonts w:ascii="Arial" w:cs="Arial" w:eastAsia="Arial" w:hAnsi="Arial"/>
                <w:sz w:val="11"/>
                <w:szCs w:val="11"/>
                <w:color w:val="auto"/>
                <w:w w:val="87"/>
              </w:rPr>
              <w:t>10/19/2022</w:t>
            </w:r>
          </w:p>
        </w:tc>
        <w:tc>
          <w:tcPr>
            <w:tcW w:w="240" w:type="dxa"/>
            <w:vAlign w:val="bottom"/>
          </w:tcPr>
          <w:p>
            <w:pPr>
              <w:spacing w:after="0"/>
              <w:rPr>
                <w:sz w:val="11"/>
                <w:szCs w:val="11"/>
                <w:color w:val="auto"/>
              </w:rPr>
            </w:pPr>
          </w:p>
        </w:tc>
        <w:tc>
          <w:tcPr>
            <w:tcW w:w="2760" w:type="dxa"/>
            <w:vAlign w:val="bottom"/>
            <w:gridSpan w:val="2"/>
          </w:tcPr>
          <w:p>
            <w:pPr>
              <w:jc w:val="center"/>
              <w:ind w:right="140"/>
              <w:spacing w:after="0"/>
              <w:rPr>
                <w:sz w:val="20"/>
                <w:szCs w:val="20"/>
                <w:color w:val="auto"/>
              </w:rPr>
            </w:pPr>
            <w:r>
              <w:rPr>
                <w:rFonts w:ascii="Arial" w:cs="Arial" w:eastAsia="Arial" w:hAnsi="Arial"/>
                <w:sz w:val="11"/>
                <w:szCs w:val="11"/>
                <w:color w:val="auto"/>
                <w:w w:val="88"/>
              </w:rPr>
              <w:t>Chemicals, Plastics and Rubber</w:t>
            </w:r>
          </w:p>
        </w:tc>
        <w:tc>
          <w:tcPr>
            <w:tcW w:w="860" w:type="dxa"/>
            <w:vAlign w:val="bottom"/>
            <w:gridSpan w:val="2"/>
          </w:tcPr>
          <w:p>
            <w:pPr>
              <w:jc w:val="right"/>
              <w:ind w:right="180"/>
              <w:spacing w:after="0"/>
              <w:rPr>
                <w:sz w:val="20"/>
                <w:szCs w:val="20"/>
                <w:color w:val="auto"/>
              </w:rPr>
            </w:pPr>
            <w:r>
              <w:rPr>
                <w:rFonts w:ascii="Arial" w:cs="Arial" w:eastAsia="Arial" w:hAnsi="Arial"/>
                <w:sz w:val="11"/>
                <w:szCs w:val="11"/>
                <w:color w:val="auto"/>
              </w:rPr>
              <w:t>8.00%</w:t>
            </w:r>
          </w:p>
        </w:tc>
        <w:tc>
          <w:tcPr>
            <w:tcW w:w="560" w:type="dxa"/>
            <w:vAlign w:val="bottom"/>
          </w:tcPr>
          <w:p>
            <w:pPr>
              <w:ind w:left="400"/>
              <w:spacing w:after="0"/>
              <w:rPr>
                <w:sz w:val="20"/>
                <w:szCs w:val="20"/>
                <w:color w:val="auto"/>
              </w:rPr>
            </w:pPr>
            <w:r>
              <w:rPr>
                <w:rFonts w:ascii="Arial" w:cs="Arial" w:eastAsia="Arial" w:hAnsi="Arial"/>
                <w:sz w:val="11"/>
                <w:szCs w:val="11"/>
                <w:color w:val="auto"/>
                <w:w w:val="91"/>
              </w:rPr>
              <w:t>3M</w:t>
            </w:r>
          </w:p>
        </w:tc>
        <w:tc>
          <w:tcPr>
            <w:tcW w:w="540" w:type="dxa"/>
            <w:vAlign w:val="bottom"/>
            <w:gridSpan w:val="3"/>
          </w:tcPr>
          <w:p>
            <w:pPr>
              <w:jc w:val="right"/>
              <w:ind w:right="220"/>
              <w:spacing w:after="0"/>
              <w:rPr>
                <w:sz w:val="20"/>
                <w:szCs w:val="20"/>
                <w:color w:val="auto"/>
              </w:rPr>
            </w:pPr>
            <w:r>
              <w:rPr>
                <w:rFonts w:ascii="Arial" w:cs="Arial" w:eastAsia="Arial" w:hAnsi="Arial"/>
                <w:sz w:val="11"/>
                <w:szCs w:val="11"/>
                <w:color w:val="auto"/>
                <w:w w:val="96"/>
              </w:rPr>
              <w:t>L+575</w:t>
            </w:r>
          </w:p>
        </w:tc>
        <w:tc>
          <w:tcPr>
            <w:tcW w:w="580" w:type="dxa"/>
            <w:vAlign w:val="bottom"/>
          </w:tcPr>
          <w:p>
            <w:pPr>
              <w:jc w:val="right"/>
              <w:spacing w:after="0"/>
              <w:rPr>
                <w:sz w:val="20"/>
                <w:szCs w:val="20"/>
                <w:color w:val="auto"/>
              </w:rPr>
            </w:pPr>
            <w:r>
              <w:rPr>
                <w:rFonts w:ascii="Arial" w:cs="Arial" w:eastAsia="Arial" w:hAnsi="Arial"/>
                <w:sz w:val="11"/>
                <w:szCs w:val="11"/>
                <w:color w:val="auto"/>
              </w:rPr>
              <w:t>1,758,406</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1,736,386</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1,740,822</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shd w:val="clear" w:color="auto" w:fill="CCECFF"/>
          </w:tcPr>
          <w:p>
            <w:pPr>
              <w:spacing w:after="0"/>
              <w:rPr>
                <w:sz w:val="20"/>
                <w:szCs w:val="20"/>
                <w:color w:val="auto"/>
              </w:rPr>
            </w:pPr>
            <w:r>
              <w:rPr>
                <w:rFonts w:ascii="Arial" w:cs="Arial" w:eastAsia="Arial" w:hAnsi="Arial"/>
                <w:sz w:val="11"/>
                <w:szCs w:val="11"/>
                <w:color w:val="auto"/>
              </w:rPr>
              <w:t>PlayPower, Inc.</w:t>
            </w:r>
          </w:p>
        </w:tc>
        <w:tc>
          <w:tcPr>
            <w:tcW w:w="64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89"/>
              </w:rPr>
              <w:t>05/8/2026</w:t>
            </w:r>
          </w:p>
        </w:tc>
        <w:tc>
          <w:tcPr>
            <w:tcW w:w="24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9"/>
              </w:rPr>
              <w:t>Leisure Products</w:t>
            </w:r>
          </w:p>
        </w:tc>
        <w:tc>
          <w:tcPr>
            <w:tcW w:w="86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7.60%</w:t>
            </w:r>
          </w:p>
        </w:tc>
        <w:tc>
          <w:tcPr>
            <w:tcW w:w="560" w:type="dxa"/>
            <w:vAlign w:val="bottom"/>
            <w:shd w:val="clear" w:color="auto" w:fill="CCECFF"/>
          </w:tcPr>
          <w:p>
            <w:pPr>
              <w:ind w:left="400"/>
              <w:spacing w:after="0"/>
              <w:rPr>
                <w:sz w:val="20"/>
                <w:szCs w:val="20"/>
                <w:color w:val="auto"/>
              </w:rPr>
            </w:pPr>
            <w:r>
              <w:rPr>
                <w:rFonts w:ascii="Arial" w:cs="Arial" w:eastAsia="Arial" w:hAnsi="Arial"/>
                <w:sz w:val="11"/>
                <w:szCs w:val="11"/>
                <w:color w:val="auto"/>
                <w:w w:val="91"/>
              </w:rPr>
              <w:t>3M</w:t>
            </w:r>
          </w:p>
        </w:tc>
        <w:tc>
          <w:tcPr>
            <w:tcW w:w="540" w:type="dxa"/>
            <w:vAlign w:val="bottom"/>
            <w:gridSpan w:val="3"/>
            <w:shd w:val="clear" w:color="auto" w:fill="CCECFF"/>
          </w:tcPr>
          <w:p>
            <w:pPr>
              <w:jc w:val="right"/>
              <w:ind w:right="220"/>
              <w:spacing w:after="0"/>
              <w:rPr>
                <w:sz w:val="20"/>
                <w:szCs w:val="20"/>
                <w:color w:val="auto"/>
              </w:rPr>
            </w:pPr>
            <w:r>
              <w:rPr>
                <w:rFonts w:ascii="Arial" w:cs="Arial" w:eastAsia="Arial" w:hAnsi="Arial"/>
                <w:sz w:val="11"/>
                <w:szCs w:val="11"/>
                <w:color w:val="auto"/>
                <w:w w:val="96"/>
              </w:rPr>
              <w:t>L+550</w:t>
            </w: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4,189,500</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4,148,451</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4,184,263</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tcPr>
          <w:p>
            <w:pPr>
              <w:spacing w:after="0"/>
              <w:rPr>
                <w:sz w:val="20"/>
                <w:szCs w:val="20"/>
                <w:color w:val="auto"/>
              </w:rPr>
            </w:pPr>
            <w:r>
              <w:rPr>
                <w:rFonts w:ascii="Arial" w:cs="Arial" w:eastAsia="Arial" w:hAnsi="Arial"/>
                <w:sz w:val="11"/>
                <w:szCs w:val="11"/>
                <w:color w:val="auto"/>
              </w:rPr>
              <w:t>Smile Brands Inc.</w:t>
            </w:r>
          </w:p>
        </w:tc>
        <w:tc>
          <w:tcPr>
            <w:tcW w:w="640" w:type="dxa"/>
            <w:vAlign w:val="bottom"/>
            <w:gridSpan w:val="2"/>
          </w:tcPr>
          <w:p>
            <w:pPr>
              <w:jc w:val="center"/>
              <w:ind w:left="66"/>
              <w:spacing w:after="0"/>
              <w:rPr>
                <w:sz w:val="20"/>
                <w:szCs w:val="20"/>
                <w:color w:val="auto"/>
              </w:rPr>
            </w:pPr>
            <w:r>
              <w:rPr>
                <w:rFonts w:ascii="Arial" w:cs="Arial" w:eastAsia="Arial" w:hAnsi="Arial"/>
                <w:sz w:val="11"/>
                <w:szCs w:val="11"/>
                <w:color w:val="auto"/>
                <w:w w:val="87"/>
              </w:rPr>
              <w:t>10/14/2024</w:t>
            </w:r>
          </w:p>
        </w:tc>
        <w:tc>
          <w:tcPr>
            <w:tcW w:w="240" w:type="dxa"/>
            <w:vAlign w:val="bottom"/>
          </w:tcPr>
          <w:p>
            <w:pPr>
              <w:spacing w:after="0"/>
              <w:rPr>
                <w:sz w:val="11"/>
                <w:szCs w:val="11"/>
                <w:color w:val="auto"/>
              </w:rPr>
            </w:pPr>
          </w:p>
        </w:tc>
        <w:tc>
          <w:tcPr>
            <w:tcW w:w="2760" w:type="dxa"/>
            <w:vAlign w:val="bottom"/>
            <w:gridSpan w:val="2"/>
          </w:tcPr>
          <w:p>
            <w:pPr>
              <w:jc w:val="center"/>
              <w:ind w:right="140"/>
              <w:spacing w:after="0"/>
              <w:rPr>
                <w:sz w:val="20"/>
                <w:szCs w:val="20"/>
                <w:color w:val="auto"/>
              </w:rPr>
            </w:pPr>
            <w:r>
              <w:rPr>
                <w:rFonts w:ascii="Arial" w:cs="Arial" w:eastAsia="Arial" w:hAnsi="Arial"/>
                <w:sz w:val="11"/>
                <w:szCs w:val="11"/>
                <w:color w:val="auto"/>
                <w:w w:val="86"/>
              </w:rPr>
              <w:t>Healthcare and Pharmaceuticals</w:t>
            </w:r>
          </w:p>
        </w:tc>
        <w:tc>
          <w:tcPr>
            <w:tcW w:w="860" w:type="dxa"/>
            <w:vAlign w:val="bottom"/>
            <w:gridSpan w:val="2"/>
          </w:tcPr>
          <w:p>
            <w:pPr>
              <w:jc w:val="right"/>
              <w:ind w:right="180"/>
              <w:spacing w:after="0"/>
              <w:rPr>
                <w:sz w:val="20"/>
                <w:szCs w:val="20"/>
                <w:color w:val="auto"/>
              </w:rPr>
            </w:pPr>
            <w:r>
              <w:rPr>
                <w:rFonts w:ascii="Arial" w:cs="Arial" w:eastAsia="Arial" w:hAnsi="Arial"/>
                <w:sz w:val="11"/>
                <w:szCs w:val="11"/>
                <w:color w:val="auto"/>
              </w:rPr>
              <w:t>6.66%</w:t>
            </w:r>
          </w:p>
        </w:tc>
        <w:tc>
          <w:tcPr>
            <w:tcW w:w="560" w:type="dxa"/>
            <w:vAlign w:val="bottom"/>
          </w:tcPr>
          <w:p>
            <w:pPr>
              <w:ind w:left="400"/>
              <w:spacing w:after="0"/>
              <w:rPr>
                <w:sz w:val="20"/>
                <w:szCs w:val="20"/>
                <w:color w:val="auto"/>
              </w:rPr>
            </w:pPr>
            <w:r>
              <w:rPr>
                <w:rFonts w:ascii="Arial" w:cs="Arial" w:eastAsia="Arial" w:hAnsi="Arial"/>
                <w:sz w:val="11"/>
                <w:szCs w:val="11"/>
                <w:color w:val="auto"/>
                <w:w w:val="91"/>
              </w:rPr>
              <w:t>3M</w:t>
            </w:r>
          </w:p>
        </w:tc>
        <w:tc>
          <w:tcPr>
            <w:tcW w:w="540" w:type="dxa"/>
            <w:vAlign w:val="bottom"/>
            <w:gridSpan w:val="3"/>
          </w:tcPr>
          <w:p>
            <w:pPr>
              <w:jc w:val="right"/>
              <w:ind w:right="220"/>
              <w:spacing w:after="0"/>
              <w:rPr>
                <w:sz w:val="20"/>
                <w:szCs w:val="20"/>
                <w:color w:val="auto"/>
              </w:rPr>
            </w:pPr>
            <w:r>
              <w:rPr>
                <w:rFonts w:ascii="Arial" w:cs="Arial" w:eastAsia="Arial" w:hAnsi="Arial"/>
                <w:sz w:val="11"/>
                <w:szCs w:val="11"/>
                <w:color w:val="auto"/>
                <w:w w:val="96"/>
              </w:rPr>
              <w:t>L+450</w:t>
            </w:r>
          </w:p>
        </w:tc>
        <w:tc>
          <w:tcPr>
            <w:tcW w:w="580" w:type="dxa"/>
            <w:vAlign w:val="bottom"/>
          </w:tcPr>
          <w:p>
            <w:pPr>
              <w:jc w:val="right"/>
              <w:spacing w:after="0"/>
              <w:rPr>
                <w:sz w:val="20"/>
                <w:szCs w:val="20"/>
                <w:color w:val="auto"/>
              </w:rPr>
            </w:pPr>
            <w:r>
              <w:rPr>
                <w:rFonts w:ascii="Arial" w:cs="Arial" w:eastAsia="Arial" w:hAnsi="Arial"/>
                <w:sz w:val="11"/>
                <w:szCs w:val="11"/>
                <w:color w:val="auto"/>
                <w:w w:val="98"/>
              </w:rPr>
              <w:t>11,289,688</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11,189,470</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11,176,791</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shd w:val="clear" w:color="auto" w:fill="CCECFF"/>
          </w:tcPr>
          <w:p>
            <w:pPr>
              <w:spacing w:after="0"/>
              <w:rPr>
                <w:sz w:val="20"/>
                <w:szCs w:val="20"/>
                <w:color w:val="auto"/>
              </w:rPr>
            </w:pPr>
            <w:r>
              <w:rPr>
                <w:rFonts w:ascii="Arial" w:cs="Arial" w:eastAsia="Arial" w:hAnsi="Arial"/>
                <w:sz w:val="11"/>
                <w:szCs w:val="11"/>
                <w:color w:val="auto"/>
              </w:rPr>
              <w:t>Snak Club, LLC</w:t>
            </w:r>
          </w:p>
        </w:tc>
        <w:tc>
          <w:tcPr>
            <w:tcW w:w="64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87"/>
              </w:rPr>
              <w:t>07/19/2021</w:t>
            </w:r>
          </w:p>
        </w:tc>
        <w:tc>
          <w:tcPr>
            <w:tcW w:w="24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6"/>
              </w:rPr>
              <w:t>Beverage, Food and Tobacco</w:t>
            </w:r>
          </w:p>
        </w:tc>
        <w:tc>
          <w:tcPr>
            <w:tcW w:w="86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8.10%</w:t>
            </w:r>
          </w:p>
        </w:tc>
        <w:tc>
          <w:tcPr>
            <w:tcW w:w="560" w:type="dxa"/>
            <w:vAlign w:val="bottom"/>
            <w:shd w:val="clear" w:color="auto" w:fill="CCECFF"/>
          </w:tcPr>
          <w:p>
            <w:pPr>
              <w:ind w:left="400"/>
              <w:spacing w:after="0"/>
              <w:rPr>
                <w:sz w:val="20"/>
                <w:szCs w:val="20"/>
                <w:color w:val="auto"/>
              </w:rPr>
            </w:pPr>
            <w:r>
              <w:rPr>
                <w:rFonts w:ascii="Arial" w:cs="Arial" w:eastAsia="Arial" w:hAnsi="Arial"/>
                <w:sz w:val="11"/>
                <w:szCs w:val="11"/>
                <w:color w:val="auto"/>
                <w:w w:val="91"/>
              </w:rPr>
              <w:t>1M</w:t>
            </w:r>
          </w:p>
        </w:tc>
        <w:tc>
          <w:tcPr>
            <w:tcW w:w="540" w:type="dxa"/>
            <w:vAlign w:val="bottom"/>
            <w:gridSpan w:val="3"/>
            <w:shd w:val="clear" w:color="auto" w:fill="CCECFF"/>
          </w:tcPr>
          <w:p>
            <w:pPr>
              <w:jc w:val="right"/>
              <w:ind w:right="220"/>
              <w:spacing w:after="0"/>
              <w:rPr>
                <w:sz w:val="20"/>
                <w:szCs w:val="20"/>
                <w:color w:val="auto"/>
              </w:rPr>
            </w:pPr>
            <w:r>
              <w:rPr>
                <w:rFonts w:ascii="Arial" w:cs="Arial" w:eastAsia="Arial" w:hAnsi="Arial"/>
                <w:sz w:val="11"/>
                <w:szCs w:val="11"/>
                <w:color w:val="auto"/>
                <w:w w:val="96"/>
              </w:rPr>
              <w:t>L+600</w:t>
            </w: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4,687,495</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4,687,495</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4,359,370</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tcPr>
          <w:p>
            <w:pPr>
              <w:spacing w:after="0"/>
              <w:rPr>
                <w:sz w:val="20"/>
                <w:szCs w:val="20"/>
                <w:color w:val="auto"/>
              </w:rPr>
            </w:pPr>
            <w:r>
              <w:rPr>
                <w:rFonts w:ascii="Arial" w:cs="Arial" w:eastAsia="Arial" w:hAnsi="Arial"/>
                <w:sz w:val="11"/>
                <w:szCs w:val="11"/>
                <w:color w:val="auto"/>
              </w:rPr>
              <w:t>Sonny's Enterprises, LLC</w:t>
            </w:r>
          </w:p>
        </w:tc>
        <w:tc>
          <w:tcPr>
            <w:tcW w:w="640" w:type="dxa"/>
            <w:vAlign w:val="bottom"/>
            <w:gridSpan w:val="2"/>
          </w:tcPr>
          <w:p>
            <w:pPr>
              <w:jc w:val="center"/>
              <w:ind w:left="66"/>
              <w:spacing w:after="0"/>
              <w:rPr>
                <w:sz w:val="20"/>
                <w:szCs w:val="20"/>
                <w:color w:val="auto"/>
              </w:rPr>
            </w:pPr>
            <w:r>
              <w:rPr>
                <w:rFonts w:ascii="Arial" w:cs="Arial" w:eastAsia="Arial" w:hAnsi="Arial"/>
                <w:sz w:val="11"/>
                <w:szCs w:val="11"/>
                <w:color w:val="auto"/>
                <w:w w:val="87"/>
              </w:rPr>
              <w:t>12/01/2022</w:t>
            </w:r>
          </w:p>
        </w:tc>
        <w:tc>
          <w:tcPr>
            <w:tcW w:w="240" w:type="dxa"/>
            <w:vAlign w:val="bottom"/>
          </w:tcPr>
          <w:p>
            <w:pPr>
              <w:spacing w:after="0"/>
              <w:rPr>
                <w:sz w:val="11"/>
                <w:szCs w:val="11"/>
                <w:color w:val="auto"/>
              </w:rPr>
            </w:pPr>
          </w:p>
        </w:tc>
        <w:tc>
          <w:tcPr>
            <w:tcW w:w="2760" w:type="dxa"/>
            <w:vAlign w:val="bottom"/>
            <w:gridSpan w:val="2"/>
          </w:tcPr>
          <w:p>
            <w:pPr>
              <w:jc w:val="center"/>
              <w:ind w:right="140"/>
              <w:spacing w:after="0"/>
              <w:rPr>
                <w:sz w:val="20"/>
                <w:szCs w:val="20"/>
                <w:color w:val="auto"/>
              </w:rPr>
            </w:pPr>
            <w:r>
              <w:rPr>
                <w:rFonts w:ascii="Arial" w:cs="Arial" w:eastAsia="Arial" w:hAnsi="Arial"/>
                <w:sz w:val="11"/>
                <w:szCs w:val="11"/>
                <w:color w:val="auto"/>
                <w:w w:val="91"/>
              </w:rPr>
              <w:t>Capital Equipment</w:t>
            </w:r>
          </w:p>
        </w:tc>
        <w:tc>
          <w:tcPr>
            <w:tcW w:w="860" w:type="dxa"/>
            <w:vAlign w:val="bottom"/>
            <w:gridSpan w:val="2"/>
          </w:tcPr>
          <w:p>
            <w:pPr>
              <w:jc w:val="right"/>
              <w:ind w:right="180"/>
              <w:spacing w:after="0"/>
              <w:rPr>
                <w:sz w:val="20"/>
                <w:szCs w:val="20"/>
                <w:color w:val="auto"/>
              </w:rPr>
            </w:pPr>
            <w:r>
              <w:rPr>
                <w:rFonts w:ascii="Arial" w:cs="Arial" w:eastAsia="Arial" w:hAnsi="Arial"/>
                <w:sz w:val="11"/>
                <w:szCs w:val="11"/>
                <w:color w:val="auto"/>
              </w:rPr>
              <w:t>6.35%</w:t>
            </w:r>
          </w:p>
        </w:tc>
        <w:tc>
          <w:tcPr>
            <w:tcW w:w="560" w:type="dxa"/>
            <w:vAlign w:val="bottom"/>
          </w:tcPr>
          <w:p>
            <w:pPr>
              <w:ind w:left="400"/>
              <w:spacing w:after="0"/>
              <w:rPr>
                <w:sz w:val="20"/>
                <w:szCs w:val="20"/>
                <w:color w:val="auto"/>
              </w:rPr>
            </w:pPr>
            <w:r>
              <w:rPr>
                <w:rFonts w:ascii="Arial" w:cs="Arial" w:eastAsia="Arial" w:hAnsi="Arial"/>
                <w:sz w:val="11"/>
                <w:szCs w:val="11"/>
                <w:color w:val="auto"/>
                <w:w w:val="91"/>
              </w:rPr>
              <w:t>3M</w:t>
            </w:r>
          </w:p>
        </w:tc>
        <w:tc>
          <w:tcPr>
            <w:tcW w:w="540" w:type="dxa"/>
            <w:vAlign w:val="bottom"/>
            <w:gridSpan w:val="3"/>
          </w:tcPr>
          <w:p>
            <w:pPr>
              <w:jc w:val="right"/>
              <w:ind w:right="220"/>
              <w:spacing w:after="0"/>
              <w:rPr>
                <w:sz w:val="20"/>
                <w:szCs w:val="20"/>
                <w:color w:val="auto"/>
              </w:rPr>
            </w:pPr>
            <w:r>
              <w:rPr>
                <w:rFonts w:ascii="Arial" w:cs="Arial" w:eastAsia="Arial" w:hAnsi="Arial"/>
                <w:sz w:val="11"/>
                <w:szCs w:val="11"/>
                <w:color w:val="auto"/>
                <w:w w:val="96"/>
              </w:rPr>
              <w:t>L+425</w:t>
            </w:r>
          </w:p>
        </w:tc>
        <w:tc>
          <w:tcPr>
            <w:tcW w:w="580" w:type="dxa"/>
            <w:vAlign w:val="bottom"/>
          </w:tcPr>
          <w:p>
            <w:pPr>
              <w:jc w:val="right"/>
              <w:spacing w:after="0"/>
              <w:rPr>
                <w:sz w:val="20"/>
                <w:szCs w:val="20"/>
                <w:color w:val="auto"/>
              </w:rPr>
            </w:pPr>
            <w:r>
              <w:rPr>
                <w:rFonts w:ascii="Arial" w:cs="Arial" w:eastAsia="Arial" w:hAnsi="Arial"/>
                <w:sz w:val="11"/>
                <w:szCs w:val="11"/>
                <w:color w:val="auto"/>
                <w:w w:val="98"/>
              </w:rPr>
              <w:t>15,224,842</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15,227,900</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15,224,842</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shd w:val="clear" w:color="auto" w:fill="CCECFF"/>
          </w:tcPr>
          <w:p>
            <w:pPr>
              <w:spacing w:after="0"/>
              <w:rPr>
                <w:sz w:val="20"/>
                <w:szCs w:val="20"/>
                <w:color w:val="auto"/>
              </w:rPr>
            </w:pPr>
            <w:r>
              <w:rPr>
                <w:rFonts w:ascii="Arial" w:cs="Arial" w:eastAsia="Arial" w:hAnsi="Arial"/>
                <w:sz w:val="11"/>
                <w:szCs w:val="11"/>
                <w:color w:val="auto"/>
              </w:rPr>
              <w:t>Teneo Holdings LLC</w:t>
            </w:r>
          </w:p>
        </w:tc>
        <w:tc>
          <w:tcPr>
            <w:tcW w:w="64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87"/>
              </w:rPr>
              <w:t>07/18/2025</w:t>
            </w:r>
          </w:p>
        </w:tc>
        <w:tc>
          <w:tcPr>
            <w:tcW w:w="24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6"/>
              </w:rPr>
              <w:t>Business Services</w:t>
            </w:r>
          </w:p>
        </w:tc>
        <w:tc>
          <w:tcPr>
            <w:tcW w:w="86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7.29%</w:t>
            </w:r>
          </w:p>
        </w:tc>
        <w:tc>
          <w:tcPr>
            <w:tcW w:w="560" w:type="dxa"/>
            <w:vAlign w:val="bottom"/>
            <w:shd w:val="clear" w:color="auto" w:fill="CCECFF"/>
          </w:tcPr>
          <w:p>
            <w:pPr>
              <w:ind w:left="400"/>
              <w:spacing w:after="0"/>
              <w:rPr>
                <w:sz w:val="20"/>
                <w:szCs w:val="20"/>
                <w:color w:val="auto"/>
              </w:rPr>
            </w:pPr>
            <w:r>
              <w:rPr>
                <w:rFonts w:ascii="Arial" w:cs="Arial" w:eastAsia="Arial" w:hAnsi="Arial"/>
                <w:sz w:val="11"/>
                <w:szCs w:val="11"/>
                <w:color w:val="auto"/>
                <w:w w:val="91"/>
              </w:rPr>
              <w:t>1M</w:t>
            </w:r>
          </w:p>
        </w:tc>
        <w:tc>
          <w:tcPr>
            <w:tcW w:w="540" w:type="dxa"/>
            <w:vAlign w:val="bottom"/>
            <w:gridSpan w:val="3"/>
            <w:shd w:val="clear" w:color="auto" w:fill="CCECFF"/>
          </w:tcPr>
          <w:p>
            <w:pPr>
              <w:jc w:val="right"/>
              <w:ind w:right="220"/>
              <w:spacing w:after="0"/>
              <w:rPr>
                <w:sz w:val="20"/>
                <w:szCs w:val="20"/>
                <w:color w:val="auto"/>
              </w:rPr>
            </w:pPr>
            <w:r>
              <w:rPr>
                <w:rFonts w:ascii="Arial" w:cs="Arial" w:eastAsia="Arial" w:hAnsi="Arial"/>
                <w:sz w:val="11"/>
                <w:szCs w:val="11"/>
                <w:color w:val="auto"/>
                <w:w w:val="96"/>
              </w:rPr>
              <w:t>L+525</w:t>
            </w: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5,000,000</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4,804,110</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4,762,500</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tcPr>
          <w:p>
            <w:pPr>
              <w:spacing w:after="0"/>
              <w:rPr>
                <w:sz w:val="20"/>
                <w:szCs w:val="20"/>
                <w:color w:val="auto"/>
              </w:rPr>
            </w:pPr>
            <w:r>
              <w:rPr>
                <w:rFonts w:ascii="Arial" w:cs="Arial" w:eastAsia="Arial" w:hAnsi="Arial"/>
                <w:sz w:val="11"/>
                <w:szCs w:val="11"/>
                <w:color w:val="auto"/>
              </w:rPr>
              <w:t>The Infosoft Group, LLC</w:t>
            </w:r>
          </w:p>
        </w:tc>
        <w:tc>
          <w:tcPr>
            <w:tcW w:w="640" w:type="dxa"/>
            <w:vAlign w:val="bottom"/>
            <w:gridSpan w:val="2"/>
          </w:tcPr>
          <w:p>
            <w:pPr>
              <w:jc w:val="center"/>
              <w:ind w:left="66"/>
              <w:spacing w:after="0"/>
              <w:rPr>
                <w:sz w:val="20"/>
                <w:szCs w:val="20"/>
                <w:color w:val="auto"/>
              </w:rPr>
            </w:pPr>
            <w:r>
              <w:rPr>
                <w:rFonts w:ascii="Arial" w:cs="Arial" w:eastAsia="Arial" w:hAnsi="Arial"/>
                <w:sz w:val="11"/>
                <w:szCs w:val="11"/>
                <w:color w:val="auto"/>
                <w:w w:val="87"/>
              </w:rPr>
              <w:t>12/02/2021</w:t>
            </w:r>
          </w:p>
        </w:tc>
        <w:tc>
          <w:tcPr>
            <w:tcW w:w="240" w:type="dxa"/>
            <w:vAlign w:val="bottom"/>
          </w:tcPr>
          <w:p>
            <w:pPr>
              <w:spacing w:after="0"/>
              <w:rPr>
                <w:sz w:val="11"/>
                <w:szCs w:val="11"/>
                <w:color w:val="auto"/>
              </w:rPr>
            </w:pPr>
          </w:p>
        </w:tc>
        <w:tc>
          <w:tcPr>
            <w:tcW w:w="2760" w:type="dxa"/>
            <w:vAlign w:val="bottom"/>
            <w:gridSpan w:val="2"/>
          </w:tcPr>
          <w:p>
            <w:pPr>
              <w:jc w:val="center"/>
              <w:ind w:right="140"/>
              <w:spacing w:after="0"/>
              <w:rPr>
                <w:sz w:val="20"/>
                <w:szCs w:val="20"/>
                <w:color w:val="auto"/>
              </w:rPr>
            </w:pPr>
            <w:r>
              <w:rPr>
                <w:rFonts w:ascii="Arial" w:cs="Arial" w:eastAsia="Arial" w:hAnsi="Arial"/>
                <w:sz w:val="11"/>
                <w:szCs w:val="11"/>
                <w:color w:val="auto"/>
                <w:w w:val="89"/>
              </w:rPr>
              <w:t>Media: Broadcasting and Subscription</w:t>
            </w:r>
          </w:p>
        </w:tc>
        <w:tc>
          <w:tcPr>
            <w:tcW w:w="860" w:type="dxa"/>
            <w:vAlign w:val="bottom"/>
            <w:gridSpan w:val="2"/>
          </w:tcPr>
          <w:p>
            <w:pPr>
              <w:jc w:val="right"/>
              <w:ind w:right="180"/>
              <w:spacing w:after="0"/>
              <w:rPr>
                <w:sz w:val="20"/>
                <w:szCs w:val="20"/>
                <w:color w:val="auto"/>
              </w:rPr>
            </w:pPr>
            <w:r>
              <w:rPr>
                <w:rFonts w:ascii="Arial" w:cs="Arial" w:eastAsia="Arial" w:hAnsi="Arial"/>
                <w:sz w:val="11"/>
                <w:szCs w:val="11"/>
                <w:color w:val="auto"/>
              </w:rPr>
              <w:t>7.43%</w:t>
            </w:r>
          </w:p>
        </w:tc>
        <w:tc>
          <w:tcPr>
            <w:tcW w:w="560" w:type="dxa"/>
            <w:vAlign w:val="bottom"/>
          </w:tcPr>
          <w:p>
            <w:pPr>
              <w:ind w:left="400"/>
              <w:spacing w:after="0"/>
              <w:rPr>
                <w:sz w:val="20"/>
                <w:szCs w:val="20"/>
                <w:color w:val="auto"/>
              </w:rPr>
            </w:pPr>
            <w:r>
              <w:rPr>
                <w:rFonts w:ascii="Arial" w:cs="Arial" w:eastAsia="Arial" w:hAnsi="Arial"/>
                <w:sz w:val="11"/>
                <w:szCs w:val="11"/>
                <w:color w:val="auto"/>
                <w:w w:val="91"/>
              </w:rPr>
              <w:t>6M</w:t>
            </w:r>
          </w:p>
        </w:tc>
        <w:tc>
          <w:tcPr>
            <w:tcW w:w="540" w:type="dxa"/>
            <w:vAlign w:val="bottom"/>
            <w:gridSpan w:val="3"/>
          </w:tcPr>
          <w:p>
            <w:pPr>
              <w:jc w:val="right"/>
              <w:ind w:right="220"/>
              <w:spacing w:after="0"/>
              <w:rPr>
                <w:sz w:val="20"/>
                <w:szCs w:val="20"/>
                <w:color w:val="auto"/>
              </w:rPr>
            </w:pPr>
            <w:r>
              <w:rPr>
                <w:rFonts w:ascii="Arial" w:cs="Arial" w:eastAsia="Arial" w:hAnsi="Arial"/>
                <w:sz w:val="11"/>
                <w:szCs w:val="11"/>
                <w:color w:val="auto"/>
                <w:w w:val="96"/>
              </w:rPr>
              <w:t>L+500</w:t>
            </w:r>
          </w:p>
        </w:tc>
        <w:tc>
          <w:tcPr>
            <w:tcW w:w="580" w:type="dxa"/>
            <w:vAlign w:val="bottom"/>
          </w:tcPr>
          <w:p>
            <w:pPr>
              <w:jc w:val="right"/>
              <w:spacing w:after="0"/>
              <w:rPr>
                <w:sz w:val="20"/>
                <w:szCs w:val="20"/>
                <w:color w:val="auto"/>
              </w:rPr>
            </w:pPr>
            <w:r>
              <w:rPr>
                <w:rFonts w:ascii="Arial" w:cs="Arial" w:eastAsia="Arial" w:hAnsi="Arial"/>
                <w:sz w:val="11"/>
                <w:szCs w:val="11"/>
                <w:color w:val="auto"/>
              </w:rPr>
              <w:t>8,823,392</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8,790,069</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8,735,157</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shd w:val="clear" w:color="auto" w:fill="CCECFF"/>
          </w:tcPr>
          <w:p>
            <w:pPr>
              <w:spacing w:after="0"/>
              <w:rPr>
                <w:sz w:val="20"/>
                <w:szCs w:val="20"/>
                <w:color w:val="auto"/>
              </w:rPr>
            </w:pPr>
            <w:r>
              <w:rPr>
                <w:rFonts w:ascii="Arial" w:cs="Arial" w:eastAsia="Arial" w:hAnsi="Arial"/>
                <w:sz w:val="11"/>
                <w:szCs w:val="11"/>
                <w:color w:val="auto"/>
              </w:rPr>
              <w:t>TVC Enterprises, LLC</w:t>
            </w:r>
          </w:p>
        </w:tc>
        <w:tc>
          <w:tcPr>
            <w:tcW w:w="64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87"/>
              </w:rPr>
              <w:t>01/18/2024</w:t>
            </w:r>
          </w:p>
        </w:tc>
        <w:tc>
          <w:tcPr>
            <w:tcW w:w="24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9"/>
              </w:rPr>
              <w:t>Diversified Consumer Services</w:t>
            </w:r>
          </w:p>
        </w:tc>
        <w:tc>
          <w:tcPr>
            <w:tcW w:w="86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7.55%</w:t>
            </w:r>
          </w:p>
        </w:tc>
        <w:tc>
          <w:tcPr>
            <w:tcW w:w="560" w:type="dxa"/>
            <w:vAlign w:val="bottom"/>
            <w:shd w:val="clear" w:color="auto" w:fill="CCECFF"/>
          </w:tcPr>
          <w:p>
            <w:pPr>
              <w:ind w:left="400"/>
              <w:spacing w:after="0"/>
              <w:rPr>
                <w:sz w:val="20"/>
                <w:szCs w:val="20"/>
                <w:color w:val="auto"/>
              </w:rPr>
            </w:pPr>
            <w:r>
              <w:rPr>
                <w:rFonts w:ascii="Arial" w:cs="Arial" w:eastAsia="Arial" w:hAnsi="Arial"/>
                <w:sz w:val="11"/>
                <w:szCs w:val="11"/>
                <w:color w:val="auto"/>
                <w:w w:val="91"/>
              </w:rPr>
              <w:t>1M</w:t>
            </w:r>
          </w:p>
        </w:tc>
        <w:tc>
          <w:tcPr>
            <w:tcW w:w="540" w:type="dxa"/>
            <w:vAlign w:val="bottom"/>
            <w:gridSpan w:val="3"/>
            <w:shd w:val="clear" w:color="auto" w:fill="CCECFF"/>
          </w:tcPr>
          <w:p>
            <w:pPr>
              <w:jc w:val="right"/>
              <w:ind w:right="220"/>
              <w:spacing w:after="0"/>
              <w:rPr>
                <w:sz w:val="20"/>
                <w:szCs w:val="20"/>
                <w:color w:val="auto"/>
              </w:rPr>
            </w:pPr>
            <w:r>
              <w:rPr>
                <w:rFonts w:ascii="Arial" w:cs="Arial" w:eastAsia="Arial" w:hAnsi="Arial"/>
                <w:sz w:val="11"/>
                <w:szCs w:val="11"/>
                <w:color w:val="auto"/>
                <w:w w:val="96"/>
              </w:rPr>
              <w:t>L+550</w:t>
            </w: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9,974,874</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9,974,874</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9,974,874</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tcPr>
          <w:p>
            <w:pPr>
              <w:spacing w:after="0"/>
              <w:rPr>
                <w:sz w:val="20"/>
                <w:szCs w:val="20"/>
                <w:color w:val="auto"/>
              </w:rPr>
            </w:pPr>
            <w:r>
              <w:rPr>
                <w:rFonts w:ascii="Arial" w:cs="Arial" w:eastAsia="Arial" w:hAnsi="Arial"/>
                <w:sz w:val="11"/>
                <w:szCs w:val="11"/>
                <w:color w:val="auto"/>
              </w:rPr>
              <w:t>TWS Acquisition Corporation</w:t>
            </w:r>
          </w:p>
        </w:tc>
        <w:tc>
          <w:tcPr>
            <w:tcW w:w="640" w:type="dxa"/>
            <w:vAlign w:val="bottom"/>
            <w:gridSpan w:val="2"/>
          </w:tcPr>
          <w:p>
            <w:pPr>
              <w:jc w:val="center"/>
              <w:ind w:left="66"/>
              <w:spacing w:after="0"/>
              <w:rPr>
                <w:sz w:val="20"/>
                <w:szCs w:val="20"/>
                <w:color w:val="auto"/>
              </w:rPr>
            </w:pPr>
            <w:r>
              <w:rPr>
                <w:rFonts w:ascii="Arial" w:cs="Arial" w:eastAsia="Arial" w:hAnsi="Arial"/>
                <w:sz w:val="11"/>
                <w:szCs w:val="11"/>
                <w:color w:val="auto"/>
                <w:w w:val="87"/>
              </w:rPr>
              <w:t>06/16/2025</w:t>
            </w:r>
          </w:p>
        </w:tc>
        <w:tc>
          <w:tcPr>
            <w:tcW w:w="240" w:type="dxa"/>
            <w:vAlign w:val="bottom"/>
          </w:tcPr>
          <w:p>
            <w:pPr>
              <w:spacing w:after="0"/>
              <w:rPr>
                <w:sz w:val="11"/>
                <w:szCs w:val="11"/>
                <w:color w:val="auto"/>
              </w:rPr>
            </w:pPr>
          </w:p>
        </w:tc>
        <w:tc>
          <w:tcPr>
            <w:tcW w:w="2760" w:type="dxa"/>
            <w:vAlign w:val="bottom"/>
            <w:gridSpan w:val="2"/>
          </w:tcPr>
          <w:p>
            <w:pPr>
              <w:jc w:val="center"/>
              <w:ind w:right="140"/>
              <w:spacing w:after="0"/>
              <w:rPr>
                <w:sz w:val="20"/>
                <w:szCs w:val="20"/>
                <w:color w:val="auto"/>
              </w:rPr>
            </w:pPr>
            <w:r>
              <w:rPr>
                <w:rFonts w:ascii="Arial" w:cs="Arial" w:eastAsia="Arial" w:hAnsi="Arial"/>
                <w:sz w:val="11"/>
                <w:szCs w:val="11"/>
                <w:color w:val="auto"/>
                <w:w w:val="89"/>
              </w:rPr>
              <w:t>Diversified Consumer Services</w:t>
            </w:r>
          </w:p>
        </w:tc>
        <w:tc>
          <w:tcPr>
            <w:tcW w:w="860" w:type="dxa"/>
            <w:vAlign w:val="bottom"/>
            <w:gridSpan w:val="2"/>
          </w:tcPr>
          <w:p>
            <w:pPr>
              <w:jc w:val="right"/>
              <w:ind w:right="180"/>
              <w:spacing w:after="0"/>
              <w:rPr>
                <w:sz w:val="20"/>
                <w:szCs w:val="20"/>
                <w:color w:val="auto"/>
              </w:rPr>
            </w:pPr>
            <w:r>
              <w:rPr>
                <w:rFonts w:ascii="Arial" w:cs="Arial" w:eastAsia="Arial" w:hAnsi="Arial"/>
                <w:sz w:val="11"/>
                <w:szCs w:val="11"/>
                <w:color w:val="auto"/>
              </w:rPr>
              <w:t>8.28%</w:t>
            </w:r>
          </w:p>
        </w:tc>
        <w:tc>
          <w:tcPr>
            <w:tcW w:w="560" w:type="dxa"/>
            <w:vAlign w:val="bottom"/>
          </w:tcPr>
          <w:p>
            <w:pPr>
              <w:ind w:left="400"/>
              <w:spacing w:after="0"/>
              <w:rPr>
                <w:sz w:val="20"/>
                <w:szCs w:val="20"/>
                <w:color w:val="auto"/>
              </w:rPr>
            </w:pPr>
            <w:r>
              <w:rPr>
                <w:rFonts w:ascii="Arial" w:cs="Arial" w:eastAsia="Arial" w:hAnsi="Arial"/>
                <w:sz w:val="11"/>
                <w:szCs w:val="11"/>
                <w:color w:val="auto"/>
                <w:w w:val="91"/>
              </w:rPr>
              <w:t>1M</w:t>
            </w:r>
          </w:p>
        </w:tc>
        <w:tc>
          <w:tcPr>
            <w:tcW w:w="540" w:type="dxa"/>
            <w:vAlign w:val="bottom"/>
            <w:gridSpan w:val="3"/>
          </w:tcPr>
          <w:p>
            <w:pPr>
              <w:jc w:val="right"/>
              <w:ind w:right="220"/>
              <w:spacing w:after="0"/>
              <w:rPr>
                <w:sz w:val="20"/>
                <w:szCs w:val="20"/>
                <w:color w:val="auto"/>
              </w:rPr>
            </w:pPr>
            <w:r>
              <w:rPr>
                <w:rFonts w:ascii="Arial" w:cs="Arial" w:eastAsia="Arial" w:hAnsi="Arial"/>
                <w:sz w:val="11"/>
                <w:szCs w:val="11"/>
                <w:color w:val="auto"/>
                <w:w w:val="96"/>
              </w:rPr>
              <w:t>L+625</w:t>
            </w:r>
          </w:p>
        </w:tc>
        <w:tc>
          <w:tcPr>
            <w:tcW w:w="580" w:type="dxa"/>
            <w:vAlign w:val="bottom"/>
          </w:tcPr>
          <w:p>
            <w:pPr>
              <w:jc w:val="right"/>
              <w:spacing w:after="0"/>
              <w:rPr>
                <w:sz w:val="20"/>
                <w:szCs w:val="20"/>
                <w:color w:val="auto"/>
              </w:rPr>
            </w:pPr>
            <w:r>
              <w:rPr>
                <w:rFonts w:ascii="Arial" w:cs="Arial" w:eastAsia="Arial" w:hAnsi="Arial"/>
                <w:sz w:val="11"/>
                <w:szCs w:val="11"/>
                <w:color w:val="auto"/>
              </w:rPr>
              <w:t>7,075,000</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6,937,888</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6,933,500</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shd w:val="clear" w:color="auto" w:fill="CCECFF"/>
          </w:tcPr>
          <w:p>
            <w:pPr>
              <w:spacing w:after="0"/>
              <w:rPr>
                <w:sz w:val="20"/>
                <w:szCs w:val="20"/>
                <w:color w:val="auto"/>
              </w:rPr>
            </w:pPr>
            <w:r>
              <w:rPr>
                <w:rFonts w:ascii="Arial" w:cs="Arial" w:eastAsia="Arial" w:hAnsi="Arial"/>
                <w:sz w:val="11"/>
                <w:szCs w:val="11"/>
                <w:color w:val="auto"/>
              </w:rPr>
              <w:t>UBEO, LLC</w:t>
            </w:r>
          </w:p>
        </w:tc>
        <w:tc>
          <w:tcPr>
            <w:tcW w:w="64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87"/>
              </w:rPr>
              <w:t>04/03/2024</w:t>
            </w:r>
          </w:p>
        </w:tc>
        <w:tc>
          <w:tcPr>
            <w:tcW w:w="24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91"/>
              </w:rPr>
              <w:t>Capital Equipment</w:t>
            </w:r>
          </w:p>
        </w:tc>
        <w:tc>
          <w:tcPr>
            <w:tcW w:w="86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6.78%</w:t>
            </w:r>
          </w:p>
        </w:tc>
        <w:tc>
          <w:tcPr>
            <w:tcW w:w="560" w:type="dxa"/>
            <w:vAlign w:val="bottom"/>
            <w:shd w:val="clear" w:color="auto" w:fill="CCECFF"/>
          </w:tcPr>
          <w:p>
            <w:pPr>
              <w:ind w:left="400"/>
              <w:spacing w:after="0"/>
              <w:rPr>
                <w:sz w:val="20"/>
                <w:szCs w:val="20"/>
                <w:color w:val="auto"/>
              </w:rPr>
            </w:pPr>
            <w:r>
              <w:rPr>
                <w:rFonts w:ascii="Arial" w:cs="Arial" w:eastAsia="Arial" w:hAnsi="Arial"/>
                <w:sz w:val="11"/>
                <w:szCs w:val="11"/>
                <w:color w:val="auto"/>
                <w:w w:val="91"/>
              </w:rPr>
              <w:t>3M</w:t>
            </w:r>
          </w:p>
        </w:tc>
        <w:tc>
          <w:tcPr>
            <w:tcW w:w="540" w:type="dxa"/>
            <w:vAlign w:val="bottom"/>
            <w:gridSpan w:val="3"/>
            <w:shd w:val="clear" w:color="auto" w:fill="CCECFF"/>
          </w:tcPr>
          <w:p>
            <w:pPr>
              <w:jc w:val="right"/>
              <w:ind w:right="220"/>
              <w:spacing w:after="0"/>
              <w:rPr>
                <w:sz w:val="20"/>
                <w:szCs w:val="20"/>
                <w:color w:val="auto"/>
              </w:rPr>
            </w:pPr>
            <w:r>
              <w:rPr>
                <w:rFonts w:ascii="Arial" w:cs="Arial" w:eastAsia="Arial" w:hAnsi="Arial"/>
                <w:sz w:val="11"/>
                <w:szCs w:val="11"/>
                <w:color w:val="auto"/>
                <w:w w:val="96"/>
              </w:rPr>
              <w:t>L+450</w:t>
            </w: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w w:val="98"/>
              </w:rPr>
              <w:t>22,248,673</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22,045,879</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22,026,186</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tcPr>
          <w:p>
            <w:pPr>
              <w:spacing w:after="0"/>
              <w:rPr>
                <w:sz w:val="20"/>
                <w:szCs w:val="20"/>
                <w:color w:val="auto"/>
              </w:rPr>
            </w:pPr>
            <w:r>
              <w:rPr>
                <w:rFonts w:ascii="Arial" w:cs="Arial" w:eastAsia="Arial" w:hAnsi="Arial"/>
                <w:sz w:val="11"/>
                <w:szCs w:val="11"/>
                <w:color w:val="auto"/>
              </w:rPr>
              <w:t>Urology Management Associates, LLC</w:t>
            </w:r>
          </w:p>
        </w:tc>
        <w:tc>
          <w:tcPr>
            <w:tcW w:w="640" w:type="dxa"/>
            <w:vAlign w:val="bottom"/>
            <w:gridSpan w:val="2"/>
          </w:tcPr>
          <w:p>
            <w:pPr>
              <w:jc w:val="center"/>
              <w:ind w:left="66"/>
              <w:spacing w:after="0"/>
              <w:rPr>
                <w:sz w:val="20"/>
                <w:szCs w:val="20"/>
                <w:color w:val="auto"/>
              </w:rPr>
            </w:pPr>
            <w:r>
              <w:rPr>
                <w:rFonts w:ascii="Arial" w:cs="Arial" w:eastAsia="Arial" w:hAnsi="Arial"/>
                <w:sz w:val="11"/>
                <w:szCs w:val="11"/>
                <w:color w:val="auto"/>
                <w:w w:val="87"/>
              </w:rPr>
              <w:t>08/30/2024</w:t>
            </w:r>
          </w:p>
        </w:tc>
        <w:tc>
          <w:tcPr>
            <w:tcW w:w="240" w:type="dxa"/>
            <w:vAlign w:val="bottom"/>
          </w:tcPr>
          <w:p>
            <w:pPr>
              <w:spacing w:after="0"/>
              <w:rPr>
                <w:sz w:val="11"/>
                <w:szCs w:val="11"/>
                <w:color w:val="auto"/>
              </w:rPr>
            </w:pPr>
          </w:p>
        </w:tc>
        <w:tc>
          <w:tcPr>
            <w:tcW w:w="2760" w:type="dxa"/>
            <w:vAlign w:val="bottom"/>
            <w:gridSpan w:val="2"/>
          </w:tcPr>
          <w:p>
            <w:pPr>
              <w:jc w:val="center"/>
              <w:ind w:right="140"/>
              <w:spacing w:after="0"/>
              <w:rPr>
                <w:sz w:val="20"/>
                <w:szCs w:val="20"/>
                <w:color w:val="auto"/>
              </w:rPr>
            </w:pPr>
            <w:r>
              <w:rPr>
                <w:rFonts w:ascii="Arial" w:cs="Arial" w:eastAsia="Arial" w:hAnsi="Arial"/>
                <w:sz w:val="11"/>
                <w:szCs w:val="11"/>
                <w:color w:val="auto"/>
                <w:w w:val="86"/>
              </w:rPr>
              <w:t>Healthcare and Pharmaceuticals</w:t>
            </w:r>
          </w:p>
        </w:tc>
        <w:tc>
          <w:tcPr>
            <w:tcW w:w="860" w:type="dxa"/>
            <w:vAlign w:val="bottom"/>
            <w:gridSpan w:val="2"/>
          </w:tcPr>
          <w:p>
            <w:pPr>
              <w:jc w:val="right"/>
              <w:ind w:right="180"/>
              <w:spacing w:after="0"/>
              <w:rPr>
                <w:sz w:val="20"/>
                <w:szCs w:val="20"/>
                <w:color w:val="auto"/>
              </w:rPr>
            </w:pPr>
            <w:r>
              <w:rPr>
                <w:rFonts w:ascii="Arial" w:cs="Arial" w:eastAsia="Arial" w:hAnsi="Arial"/>
                <w:sz w:val="11"/>
                <w:szCs w:val="11"/>
                <w:color w:val="auto"/>
              </w:rPr>
              <w:t>7.04%</w:t>
            </w:r>
          </w:p>
        </w:tc>
        <w:tc>
          <w:tcPr>
            <w:tcW w:w="560" w:type="dxa"/>
            <w:vAlign w:val="bottom"/>
          </w:tcPr>
          <w:p>
            <w:pPr>
              <w:ind w:left="400"/>
              <w:spacing w:after="0"/>
              <w:rPr>
                <w:sz w:val="20"/>
                <w:szCs w:val="20"/>
                <w:color w:val="auto"/>
              </w:rPr>
            </w:pPr>
            <w:r>
              <w:rPr>
                <w:rFonts w:ascii="Arial" w:cs="Arial" w:eastAsia="Arial" w:hAnsi="Arial"/>
                <w:sz w:val="11"/>
                <w:szCs w:val="11"/>
                <w:color w:val="auto"/>
                <w:w w:val="91"/>
              </w:rPr>
              <w:t>3M</w:t>
            </w:r>
          </w:p>
        </w:tc>
        <w:tc>
          <w:tcPr>
            <w:tcW w:w="540" w:type="dxa"/>
            <w:vAlign w:val="bottom"/>
            <w:gridSpan w:val="3"/>
          </w:tcPr>
          <w:p>
            <w:pPr>
              <w:jc w:val="right"/>
              <w:ind w:right="220"/>
              <w:spacing w:after="0"/>
              <w:rPr>
                <w:sz w:val="20"/>
                <w:szCs w:val="20"/>
                <w:color w:val="auto"/>
              </w:rPr>
            </w:pPr>
            <w:r>
              <w:rPr>
                <w:rFonts w:ascii="Arial" w:cs="Arial" w:eastAsia="Arial" w:hAnsi="Arial"/>
                <w:sz w:val="11"/>
                <w:szCs w:val="11"/>
                <w:color w:val="auto"/>
                <w:w w:val="96"/>
              </w:rPr>
              <w:t>L+450</w:t>
            </w:r>
          </w:p>
        </w:tc>
        <w:tc>
          <w:tcPr>
            <w:tcW w:w="580" w:type="dxa"/>
            <w:vAlign w:val="bottom"/>
          </w:tcPr>
          <w:p>
            <w:pPr>
              <w:jc w:val="right"/>
              <w:spacing w:after="0"/>
              <w:rPr>
                <w:sz w:val="20"/>
                <w:szCs w:val="20"/>
                <w:color w:val="auto"/>
              </w:rPr>
            </w:pPr>
            <w:r>
              <w:rPr>
                <w:rFonts w:ascii="Arial" w:cs="Arial" w:eastAsia="Arial" w:hAnsi="Arial"/>
                <w:sz w:val="11"/>
                <w:szCs w:val="11"/>
                <w:color w:val="auto"/>
                <w:w w:val="98"/>
              </w:rPr>
              <w:t>11,572,122</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11,388,612</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11,572,122</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shd w:val="clear" w:color="auto" w:fill="CCECFF"/>
          </w:tcPr>
          <w:p>
            <w:pPr>
              <w:spacing w:after="0"/>
              <w:rPr>
                <w:sz w:val="20"/>
                <w:szCs w:val="20"/>
                <w:color w:val="auto"/>
              </w:rPr>
            </w:pPr>
            <w:r>
              <w:rPr>
                <w:rFonts w:ascii="Arial" w:cs="Arial" w:eastAsia="Arial" w:hAnsi="Arial"/>
                <w:sz w:val="11"/>
                <w:szCs w:val="11"/>
                <w:color w:val="auto"/>
              </w:rPr>
              <w:t>Walker Edison Furniture Company LLC</w:t>
            </w:r>
          </w:p>
        </w:tc>
        <w:tc>
          <w:tcPr>
            <w:tcW w:w="64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87"/>
              </w:rPr>
              <w:t>09/26/2024</w:t>
            </w:r>
          </w:p>
        </w:tc>
        <w:tc>
          <w:tcPr>
            <w:tcW w:w="24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9"/>
              </w:rPr>
              <w:t>Wholesale</w:t>
            </w:r>
          </w:p>
        </w:tc>
        <w:tc>
          <w:tcPr>
            <w:tcW w:w="86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8.83%</w:t>
            </w:r>
          </w:p>
        </w:tc>
        <w:tc>
          <w:tcPr>
            <w:tcW w:w="560" w:type="dxa"/>
            <w:vAlign w:val="bottom"/>
            <w:shd w:val="clear" w:color="auto" w:fill="CCECFF"/>
          </w:tcPr>
          <w:p>
            <w:pPr>
              <w:ind w:left="400"/>
              <w:spacing w:after="0"/>
              <w:rPr>
                <w:sz w:val="20"/>
                <w:szCs w:val="20"/>
                <w:color w:val="auto"/>
              </w:rPr>
            </w:pPr>
            <w:r>
              <w:rPr>
                <w:rFonts w:ascii="Arial" w:cs="Arial" w:eastAsia="Arial" w:hAnsi="Arial"/>
                <w:sz w:val="11"/>
                <w:szCs w:val="11"/>
                <w:color w:val="auto"/>
                <w:w w:val="91"/>
              </w:rPr>
              <w:t>3M</w:t>
            </w:r>
          </w:p>
        </w:tc>
        <w:tc>
          <w:tcPr>
            <w:tcW w:w="540" w:type="dxa"/>
            <w:vAlign w:val="bottom"/>
            <w:gridSpan w:val="3"/>
            <w:shd w:val="clear" w:color="auto" w:fill="CCECFF"/>
          </w:tcPr>
          <w:p>
            <w:pPr>
              <w:jc w:val="right"/>
              <w:ind w:right="220"/>
              <w:spacing w:after="0"/>
              <w:rPr>
                <w:sz w:val="20"/>
                <w:szCs w:val="20"/>
                <w:color w:val="auto"/>
              </w:rPr>
            </w:pPr>
            <w:r>
              <w:rPr>
                <w:rFonts w:ascii="Arial" w:cs="Arial" w:eastAsia="Arial" w:hAnsi="Arial"/>
                <w:sz w:val="11"/>
                <w:szCs w:val="11"/>
                <w:color w:val="auto"/>
                <w:w w:val="96"/>
              </w:rPr>
              <w:t>L+650</w:t>
            </w: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w w:val="98"/>
              </w:rPr>
              <w:t>16,001,734</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15,724,459</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16,121,747</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tcBorders>
              <w:bottom w:val="single" w:sz="8" w:color="CCECFF"/>
            </w:tcBorders>
          </w:tcPr>
          <w:p>
            <w:pPr>
              <w:spacing w:after="0"/>
              <w:rPr>
                <w:sz w:val="20"/>
                <w:szCs w:val="20"/>
                <w:color w:val="auto"/>
              </w:rPr>
            </w:pPr>
            <w:r>
              <w:rPr>
                <w:rFonts w:ascii="Arial" w:cs="Arial" w:eastAsia="Arial" w:hAnsi="Arial"/>
                <w:sz w:val="11"/>
                <w:szCs w:val="11"/>
                <w:color w:val="auto"/>
              </w:rPr>
              <w:t>Whitney, Bradley &amp; Brown, Inc.</w:t>
            </w:r>
          </w:p>
        </w:tc>
        <w:tc>
          <w:tcPr>
            <w:tcW w:w="640" w:type="dxa"/>
            <w:vAlign w:val="bottom"/>
            <w:tcBorders>
              <w:bottom w:val="single" w:sz="8" w:color="CCECFF"/>
            </w:tcBorders>
            <w:gridSpan w:val="2"/>
          </w:tcPr>
          <w:p>
            <w:pPr>
              <w:jc w:val="center"/>
              <w:ind w:left="66"/>
              <w:spacing w:after="0"/>
              <w:rPr>
                <w:sz w:val="20"/>
                <w:szCs w:val="20"/>
                <w:color w:val="auto"/>
              </w:rPr>
            </w:pPr>
            <w:r>
              <w:rPr>
                <w:rFonts w:ascii="Arial" w:cs="Arial" w:eastAsia="Arial" w:hAnsi="Arial"/>
                <w:sz w:val="11"/>
                <w:szCs w:val="11"/>
                <w:color w:val="auto"/>
                <w:w w:val="87"/>
              </w:rPr>
              <w:t>10/18/2022</w:t>
            </w:r>
          </w:p>
        </w:tc>
        <w:tc>
          <w:tcPr>
            <w:tcW w:w="240" w:type="dxa"/>
            <w:vAlign w:val="bottom"/>
            <w:tcBorders>
              <w:bottom w:val="single" w:sz="8" w:color="CCECFF"/>
            </w:tcBorders>
          </w:tcPr>
          <w:p>
            <w:pPr>
              <w:spacing w:after="0"/>
              <w:rPr>
                <w:sz w:val="11"/>
                <w:szCs w:val="11"/>
                <w:color w:val="auto"/>
              </w:rPr>
            </w:pPr>
          </w:p>
        </w:tc>
        <w:tc>
          <w:tcPr>
            <w:tcW w:w="2760" w:type="dxa"/>
            <w:vAlign w:val="bottom"/>
            <w:tcBorders>
              <w:bottom w:val="single" w:sz="8" w:color="CCECFF"/>
            </w:tcBorders>
            <w:gridSpan w:val="2"/>
          </w:tcPr>
          <w:p>
            <w:pPr>
              <w:jc w:val="center"/>
              <w:ind w:right="140"/>
              <w:spacing w:after="0"/>
              <w:rPr>
                <w:sz w:val="20"/>
                <w:szCs w:val="20"/>
                <w:color w:val="auto"/>
              </w:rPr>
            </w:pPr>
            <w:r>
              <w:rPr>
                <w:rFonts w:ascii="Arial" w:cs="Arial" w:eastAsia="Arial" w:hAnsi="Arial"/>
                <w:sz w:val="11"/>
                <w:szCs w:val="11"/>
                <w:color w:val="auto"/>
                <w:w w:val="86"/>
              </w:rPr>
              <w:t>Aerospace and Defense</w:t>
            </w:r>
          </w:p>
        </w:tc>
        <w:tc>
          <w:tcPr>
            <w:tcW w:w="860" w:type="dxa"/>
            <w:vAlign w:val="bottom"/>
            <w:tcBorders>
              <w:bottom w:val="single" w:sz="8" w:color="CCECFF"/>
            </w:tcBorders>
            <w:gridSpan w:val="2"/>
          </w:tcPr>
          <w:p>
            <w:pPr>
              <w:jc w:val="right"/>
              <w:ind w:right="180"/>
              <w:spacing w:after="0"/>
              <w:rPr>
                <w:sz w:val="20"/>
                <w:szCs w:val="20"/>
                <w:color w:val="auto"/>
              </w:rPr>
            </w:pPr>
            <w:r>
              <w:rPr>
                <w:rFonts w:ascii="Arial" w:cs="Arial" w:eastAsia="Arial" w:hAnsi="Arial"/>
                <w:sz w:val="11"/>
                <w:szCs w:val="11"/>
                <w:color w:val="auto"/>
              </w:rPr>
              <w:t>9.55%</w:t>
            </w:r>
          </w:p>
        </w:tc>
        <w:tc>
          <w:tcPr>
            <w:tcW w:w="560" w:type="dxa"/>
            <w:vAlign w:val="bottom"/>
            <w:tcBorders>
              <w:bottom w:val="single" w:sz="8" w:color="CCECFF"/>
            </w:tcBorders>
          </w:tcPr>
          <w:p>
            <w:pPr>
              <w:ind w:left="400"/>
              <w:spacing w:after="0"/>
              <w:rPr>
                <w:sz w:val="20"/>
                <w:szCs w:val="20"/>
                <w:color w:val="auto"/>
              </w:rPr>
            </w:pPr>
            <w:r>
              <w:rPr>
                <w:rFonts w:ascii="Arial" w:cs="Arial" w:eastAsia="Arial" w:hAnsi="Arial"/>
                <w:sz w:val="11"/>
                <w:szCs w:val="11"/>
                <w:color w:val="auto"/>
                <w:w w:val="91"/>
              </w:rPr>
              <w:t>1M</w:t>
            </w:r>
          </w:p>
        </w:tc>
        <w:tc>
          <w:tcPr>
            <w:tcW w:w="540" w:type="dxa"/>
            <w:vAlign w:val="bottom"/>
            <w:tcBorders>
              <w:bottom w:val="single" w:sz="8" w:color="CCECFF"/>
            </w:tcBorders>
            <w:gridSpan w:val="3"/>
          </w:tcPr>
          <w:p>
            <w:pPr>
              <w:jc w:val="right"/>
              <w:ind w:right="220"/>
              <w:spacing w:after="0"/>
              <w:rPr>
                <w:sz w:val="20"/>
                <w:szCs w:val="20"/>
                <w:color w:val="auto"/>
              </w:rPr>
            </w:pPr>
            <w:r>
              <w:rPr>
                <w:rFonts w:ascii="Arial" w:cs="Arial" w:eastAsia="Arial" w:hAnsi="Arial"/>
                <w:sz w:val="11"/>
                <w:szCs w:val="11"/>
                <w:color w:val="auto"/>
                <w:w w:val="96"/>
              </w:rPr>
              <w:t>L+750</w:t>
            </w:r>
          </w:p>
        </w:tc>
        <w:tc>
          <w:tcPr>
            <w:tcW w:w="580" w:type="dxa"/>
            <w:vAlign w:val="bottom"/>
            <w:tcBorders>
              <w:bottom w:val="single" w:sz="8" w:color="CCECFF"/>
            </w:tcBorders>
          </w:tcPr>
          <w:p>
            <w:pPr>
              <w:jc w:val="right"/>
              <w:spacing w:after="0"/>
              <w:rPr>
                <w:sz w:val="20"/>
                <w:szCs w:val="20"/>
                <w:color w:val="auto"/>
              </w:rPr>
            </w:pPr>
            <w:r>
              <w:rPr>
                <w:rFonts w:ascii="Arial" w:cs="Arial" w:eastAsia="Arial" w:hAnsi="Arial"/>
                <w:sz w:val="11"/>
                <w:szCs w:val="11"/>
                <w:color w:val="auto"/>
              </w:rPr>
              <w:t>5,466,024</w:t>
            </w:r>
          </w:p>
        </w:tc>
        <w:tc>
          <w:tcPr>
            <w:tcW w:w="240" w:type="dxa"/>
            <w:vAlign w:val="bottom"/>
            <w:tcBorders>
              <w:bottom w:val="single" w:sz="8" w:color="CCEC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5,389,938</w:t>
            </w:r>
          </w:p>
        </w:tc>
        <w:tc>
          <w:tcPr>
            <w:tcW w:w="220" w:type="dxa"/>
            <w:vAlign w:val="bottom"/>
            <w:tcBorders>
              <w:bottom w:val="single" w:sz="8" w:color="CCEC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5,466,024</w:t>
            </w:r>
          </w:p>
        </w:tc>
        <w:tc>
          <w:tcPr>
            <w:tcW w:w="120" w:type="dxa"/>
            <w:vAlign w:val="bottom"/>
            <w:tcBorders>
              <w:bottom w:val="single" w:sz="8" w:color="CCECFF"/>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060" w:type="dxa"/>
            <w:vAlign w:val="bottom"/>
            <w:shd w:val="clear" w:color="auto" w:fill="CCECFF"/>
          </w:tcPr>
          <w:p>
            <w:pPr>
              <w:spacing w:after="0"/>
              <w:rPr>
                <w:sz w:val="20"/>
                <w:szCs w:val="20"/>
                <w:color w:val="auto"/>
              </w:rPr>
            </w:pPr>
            <w:r>
              <w:rPr>
                <w:rFonts w:ascii="Arial" w:cs="Arial" w:eastAsia="Arial" w:hAnsi="Arial"/>
                <w:sz w:val="11"/>
                <w:szCs w:val="11"/>
                <w:b w:val="1"/>
                <w:bCs w:val="1"/>
                <w:color w:val="auto"/>
              </w:rPr>
              <w:t>Total First Lien Secured Debt</w:t>
            </w:r>
          </w:p>
        </w:tc>
        <w:tc>
          <w:tcPr>
            <w:tcW w:w="120" w:type="dxa"/>
            <w:vAlign w:val="bottom"/>
            <w:shd w:val="clear" w:color="auto" w:fill="CCECFF"/>
          </w:tcPr>
          <w:p>
            <w:pPr>
              <w:spacing w:after="0"/>
              <w:rPr>
                <w:sz w:val="11"/>
                <w:szCs w:val="11"/>
                <w:color w:val="auto"/>
              </w:rPr>
            </w:pPr>
          </w:p>
        </w:tc>
        <w:tc>
          <w:tcPr>
            <w:tcW w:w="52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262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600" w:type="dxa"/>
            <w:vAlign w:val="bottom"/>
            <w:shd w:val="clear" w:color="auto" w:fill="CCECFF"/>
          </w:tcPr>
          <w:p>
            <w:pPr>
              <w:spacing w:after="0"/>
              <w:rPr>
                <w:sz w:val="11"/>
                <w:szCs w:val="11"/>
                <w:color w:val="auto"/>
              </w:rPr>
            </w:pPr>
          </w:p>
        </w:tc>
        <w:tc>
          <w:tcPr>
            <w:tcW w:w="260" w:type="dxa"/>
            <w:vAlign w:val="bottom"/>
            <w:shd w:val="clear" w:color="auto" w:fill="CCECFF"/>
          </w:tcPr>
          <w:p>
            <w:pPr>
              <w:spacing w:after="0"/>
              <w:rPr>
                <w:sz w:val="11"/>
                <w:szCs w:val="11"/>
                <w:color w:val="auto"/>
              </w:rPr>
            </w:pPr>
          </w:p>
        </w:tc>
        <w:tc>
          <w:tcPr>
            <w:tcW w:w="560" w:type="dxa"/>
            <w:vAlign w:val="bottom"/>
            <w:shd w:val="clear" w:color="auto" w:fill="CCECFF"/>
          </w:tcPr>
          <w:p>
            <w:pPr>
              <w:spacing w:after="0"/>
              <w:rPr>
                <w:sz w:val="11"/>
                <w:szCs w:val="11"/>
                <w:color w:val="auto"/>
              </w:rPr>
            </w:pPr>
          </w:p>
        </w:tc>
        <w:tc>
          <w:tcPr>
            <w:tcW w:w="3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8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80" w:type="dxa"/>
            <w:vAlign w:val="bottom"/>
            <w:tcBorders>
              <w:bottom w:val="single" w:sz="8" w:color="auto"/>
            </w:tcBorders>
            <w:shd w:val="clear" w:color="auto" w:fill="CCECFF"/>
          </w:tcPr>
          <w:p>
            <w:pPr>
              <w:spacing w:after="0"/>
              <w:rPr>
                <w:sz w:val="11"/>
                <w:szCs w:val="11"/>
                <w:color w:val="auto"/>
              </w:rPr>
            </w:pPr>
          </w:p>
        </w:tc>
        <w:tc>
          <w:tcPr>
            <w:tcW w:w="6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w w:val="91"/>
              </w:rPr>
              <w:t>478,935,867</w:t>
            </w:r>
          </w:p>
        </w:tc>
        <w:tc>
          <w:tcPr>
            <w:tcW w:w="220" w:type="dxa"/>
            <w:vAlign w:val="bottom"/>
            <w:shd w:val="clear" w:color="auto" w:fill="CCECFF"/>
          </w:tcPr>
          <w:p>
            <w:pPr>
              <w:spacing w:after="0"/>
              <w:rPr>
                <w:sz w:val="11"/>
                <w:szCs w:val="11"/>
                <w:color w:val="auto"/>
              </w:rPr>
            </w:pPr>
          </w:p>
        </w:tc>
        <w:tc>
          <w:tcPr>
            <w:tcW w:w="100" w:type="dxa"/>
            <w:vAlign w:val="bottom"/>
            <w:tcBorders>
              <w:bottom w:val="single" w:sz="8" w:color="auto"/>
            </w:tcBorders>
            <w:shd w:val="clear" w:color="auto" w:fill="CCECFF"/>
          </w:tcPr>
          <w:p>
            <w:pPr>
              <w:spacing w:after="0"/>
              <w:rPr>
                <w:sz w:val="11"/>
                <w:szCs w:val="11"/>
                <w:color w:val="auto"/>
              </w:rPr>
            </w:pPr>
          </w:p>
        </w:tc>
        <w:tc>
          <w:tcPr>
            <w:tcW w:w="6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w w:val="98"/>
              </w:rPr>
              <w:t>474,289,532</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3060" w:type="dxa"/>
            <w:vAlign w:val="bottom"/>
          </w:tcPr>
          <w:p>
            <w:pPr>
              <w:spacing w:after="0"/>
              <w:rPr>
                <w:sz w:val="20"/>
                <w:szCs w:val="20"/>
                <w:color w:val="auto"/>
              </w:rPr>
            </w:pPr>
            <w:r>
              <w:rPr>
                <w:rFonts w:ascii="Arial" w:cs="Arial" w:eastAsia="Arial" w:hAnsi="Arial"/>
                <w:sz w:val="11"/>
                <w:szCs w:val="11"/>
                <w:b w:val="1"/>
                <w:bCs w:val="1"/>
                <w:color w:val="auto"/>
              </w:rPr>
              <w:t>Second Lien Secured Debt</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shd w:val="clear" w:color="auto" w:fill="CCECFF"/>
          </w:tcPr>
          <w:p>
            <w:pPr>
              <w:spacing w:after="0"/>
              <w:rPr>
                <w:sz w:val="20"/>
                <w:szCs w:val="20"/>
                <w:color w:val="auto"/>
              </w:rPr>
            </w:pPr>
            <w:r>
              <w:rPr>
                <w:rFonts w:ascii="Arial" w:cs="Arial" w:eastAsia="Arial" w:hAnsi="Arial"/>
                <w:sz w:val="11"/>
                <w:szCs w:val="11"/>
                <w:color w:val="auto"/>
              </w:rPr>
              <w:t>Country Fresh Holdings, LLC</w:t>
            </w:r>
          </w:p>
        </w:tc>
        <w:tc>
          <w:tcPr>
            <w:tcW w:w="64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87"/>
              </w:rPr>
              <w:t>04/29/2024</w:t>
            </w:r>
          </w:p>
        </w:tc>
        <w:tc>
          <w:tcPr>
            <w:tcW w:w="24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6"/>
              </w:rPr>
              <w:t>Beverage, Food and Tobacco</w:t>
            </w:r>
          </w:p>
        </w:tc>
        <w:tc>
          <w:tcPr>
            <w:tcW w:w="86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10.60%</w:t>
            </w:r>
          </w:p>
        </w:tc>
        <w:tc>
          <w:tcPr>
            <w:tcW w:w="560" w:type="dxa"/>
            <w:vAlign w:val="bottom"/>
            <w:shd w:val="clear" w:color="auto" w:fill="CCECFF"/>
          </w:tcPr>
          <w:p>
            <w:pPr>
              <w:ind w:left="400"/>
              <w:spacing w:after="0"/>
              <w:rPr>
                <w:sz w:val="20"/>
                <w:szCs w:val="20"/>
                <w:color w:val="auto"/>
              </w:rPr>
            </w:pPr>
            <w:r>
              <w:rPr>
                <w:rFonts w:ascii="Arial" w:cs="Arial" w:eastAsia="Arial" w:hAnsi="Arial"/>
                <w:sz w:val="11"/>
                <w:szCs w:val="11"/>
                <w:color w:val="auto"/>
                <w:w w:val="91"/>
              </w:rPr>
              <w:t>1M</w:t>
            </w:r>
          </w:p>
        </w:tc>
        <w:tc>
          <w:tcPr>
            <w:tcW w:w="540" w:type="dxa"/>
            <w:vAlign w:val="bottom"/>
            <w:gridSpan w:val="3"/>
            <w:shd w:val="clear" w:color="auto" w:fill="CCECFF"/>
          </w:tcPr>
          <w:p>
            <w:pPr>
              <w:jc w:val="right"/>
              <w:ind w:right="220"/>
              <w:spacing w:after="0"/>
              <w:rPr>
                <w:sz w:val="20"/>
                <w:szCs w:val="20"/>
                <w:color w:val="auto"/>
              </w:rPr>
            </w:pPr>
            <w:r>
              <w:rPr>
                <w:rFonts w:ascii="Arial" w:cs="Arial" w:eastAsia="Arial" w:hAnsi="Arial"/>
                <w:sz w:val="11"/>
                <w:szCs w:val="11"/>
                <w:color w:val="auto"/>
                <w:w w:val="96"/>
              </w:rPr>
              <w:t>L+850</w:t>
            </w: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870,886</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870,886</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870,886</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2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262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860" w:type="dxa"/>
            <w:vAlign w:val="bottom"/>
            <w:gridSpan w:val="2"/>
            <w:shd w:val="clear" w:color="auto" w:fill="CCECFF"/>
          </w:tcPr>
          <w:p>
            <w:pPr>
              <w:jc w:val="right"/>
              <w:ind w:right="140"/>
              <w:spacing w:after="0"/>
              <w:rPr>
                <w:sz w:val="20"/>
                <w:szCs w:val="20"/>
                <w:color w:val="auto"/>
              </w:rPr>
            </w:pPr>
            <w:r>
              <w:rPr>
                <w:rFonts w:ascii="Arial" w:cs="Arial" w:eastAsia="Arial" w:hAnsi="Arial"/>
                <w:sz w:val="11"/>
                <w:szCs w:val="11"/>
                <w:color w:val="auto"/>
              </w:rPr>
              <w:t>(PIK 10.60%)</w:t>
            </w:r>
          </w:p>
        </w:tc>
        <w:tc>
          <w:tcPr>
            <w:tcW w:w="560" w:type="dxa"/>
            <w:vAlign w:val="bottom"/>
            <w:shd w:val="clear" w:color="auto" w:fill="CCECFF"/>
          </w:tcPr>
          <w:p>
            <w:pPr>
              <w:spacing w:after="0"/>
              <w:rPr>
                <w:sz w:val="11"/>
                <w:szCs w:val="11"/>
                <w:color w:val="auto"/>
              </w:rPr>
            </w:pPr>
          </w:p>
        </w:tc>
        <w:tc>
          <w:tcPr>
            <w:tcW w:w="3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8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3060" w:type="dxa"/>
            <w:vAlign w:val="bottom"/>
          </w:tcPr>
          <w:p>
            <w:pPr>
              <w:spacing w:after="0"/>
              <w:rPr>
                <w:sz w:val="20"/>
                <w:szCs w:val="20"/>
                <w:color w:val="auto"/>
              </w:rPr>
            </w:pPr>
            <w:r>
              <w:rPr>
                <w:rFonts w:ascii="Arial" w:cs="Arial" w:eastAsia="Arial" w:hAnsi="Arial"/>
                <w:sz w:val="11"/>
                <w:szCs w:val="11"/>
                <w:color w:val="auto"/>
              </w:rPr>
              <w:t>DBI Holding, LLC, Term Loan B</w:t>
            </w:r>
          </w:p>
        </w:tc>
        <w:tc>
          <w:tcPr>
            <w:tcW w:w="640" w:type="dxa"/>
            <w:vAlign w:val="bottom"/>
            <w:gridSpan w:val="2"/>
          </w:tcPr>
          <w:p>
            <w:pPr>
              <w:jc w:val="center"/>
              <w:ind w:left="66"/>
              <w:spacing w:after="0"/>
              <w:rPr>
                <w:sz w:val="20"/>
                <w:szCs w:val="20"/>
                <w:color w:val="auto"/>
              </w:rPr>
            </w:pPr>
            <w:r>
              <w:rPr>
                <w:rFonts w:ascii="Arial" w:cs="Arial" w:eastAsia="Arial" w:hAnsi="Arial"/>
                <w:sz w:val="11"/>
                <w:szCs w:val="11"/>
                <w:color w:val="auto"/>
                <w:w w:val="87"/>
              </w:rPr>
              <w:t>03/26/2021</w:t>
            </w:r>
          </w:p>
        </w:tc>
        <w:tc>
          <w:tcPr>
            <w:tcW w:w="240" w:type="dxa"/>
            <w:vAlign w:val="bottom"/>
          </w:tcPr>
          <w:p>
            <w:pPr>
              <w:spacing w:after="0"/>
              <w:rPr>
                <w:sz w:val="12"/>
                <w:szCs w:val="12"/>
                <w:color w:val="auto"/>
              </w:rPr>
            </w:pPr>
          </w:p>
        </w:tc>
        <w:tc>
          <w:tcPr>
            <w:tcW w:w="2760" w:type="dxa"/>
            <w:vAlign w:val="bottom"/>
            <w:gridSpan w:val="2"/>
          </w:tcPr>
          <w:p>
            <w:pPr>
              <w:jc w:val="center"/>
              <w:ind w:right="140"/>
              <w:spacing w:after="0"/>
              <w:rPr>
                <w:sz w:val="20"/>
                <w:szCs w:val="20"/>
                <w:color w:val="auto"/>
              </w:rPr>
            </w:pPr>
            <w:r>
              <w:rPr>
                <w:rFonts w:ascii="Arial" w:cs="Arial" w:eastAsia="Arial" w:hAnsi="Arial"/>
                <w:sz w:val="11"/>
                <w:szCs w:val="11"/>
                <w:color w:val="auto"/>
                <w:w w:val="86"/>
              </w:rPr>
              <w:t>Business Services</w:t>
            </w:r>
          </w:p>
        </w:tc>
        <w:tc>
          <w:tcPr>
            <w:tcW w:w="860" w:type="dxa"/>
            <w:vAlign w:val="bottom"/>
            <w:gridSpan w:val="2"/>
          </w:tcPr>
          <w:p>
            <w:pPr>
              <w:jc w:val="right"/>
              <w:ind w:right="180"/>
              <w:spacing w:after="0"/>
              <w:rPr>
                <w:sz w:val="20"/>
                <w:szCs w:val="20"/>
                <w:color w:val="auto"/>
              </w:rPr>
            </w:pPr>
            <w:r>
              <w:rPr>
                <w:rFonts w:ascii="Arial" w:cs="Arial" w:eastAsia="Arial" w:hAnsi="Arial"/>
                <w:sz w:val="11"/>
                <w:szCs w:val="11"/>
                <w:color w:val="auto"/>
              </w:rPr>
              <w:t>8.00%</w:t>
            </w:r>
          </w:p>
        </w:tc>
        <w:tc>
          <w:tcPr>
            <w:tcW w:w="560" w:type="dxa"/>
            <w:vAlign w:val="bottom"/>
          </w:tcPr>
          <w:p>
            <w:pPr>
              <w:ind w:left="400"/>
              <w:spacing w:after="0"/>
              <w:rPr>
                <w:sz w:val="20"/>
                <w:szCs w:val="20"/>
                <w:color w:val="auto"/>
              </w:rPr>
            </w:pPr>
            <w:r>
              <w:rPr>
                <w:rFonts w:ascii="Arial" w:cs="Arial" w:eastAsia="Arial" w:hAnsi="Arial"/>
                <w:sz w:val="11"/>
                <w:szCs w:val="11"/>
                <w:color w:val="auto"/>
                <w:w w:val="91"/>
              </w:rPr>
              <w:t>6M</w:t>
            </w:r>
          </w:p>
        </w:tc>
        <w:tc>
          <w:tcPr>
            <w:tcW w:w="540" w:type="dxa"/>
            <w:vAlign w:val="bottom"/>
            <w:gridSpan w:val="3"/>
          </w:tcPr>
          <w:p>
            <w:pPr>
              <w:jc w:val="right"/>
              <w:ind w:right="220"/>
              <w:spacing w:after="0"/>
              <w:rPr>
                <w:sz w:val="20"/>
                <w:szCs w:val="20"/>
                <w:color w:val="auto"/>
              </w:rPr>
            </w:pPr>
            <w:r>
              <w:rPr>
                <w:rFonts w:ascii="Arial" w:cs="Arial" w:eastAsia="Arial" w:hAnsi="Arial"/>
                <w:sz w:val="11"/>
                <w:szCs w:val="11"/>
                <w:color w:val="auto"/>
                <w:w w:val="96"/>
              </w:rPr>
              <w:t>L+525</w:t>
            </w:r>
          </w:p>
        </w:tc>
        <w:tc>
          <w:tcPr>
            <w:tcW w:w="580" w:type="dxa"/>
            <w:vAlign w:val="bottom"/>
          </w:tcPr>
          <w:p>
            <w:pPr>
              <w:jc w:val="right"/>
              <w:spacing w:after="0"/>
              <w:rPr>
                <w:sz w:val="20"/>
                <w:szCs w:val="20"/>
                <w:color w:val="auto"/>
              </w:rPr>
            </w:pPr>
            <w:r>
              <w:rPr>
                <w:rFonts w:ascii="Arial" w:cs="Arial" w:eastAsia="Arial" w:hAnsi="Arial"/>
                <w:sz w:val="11"/>
                <w:szCs w:val="11"/>
                <w:color w:val="auto"/>
              </w:rPr>
              <w:t>15,206</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15,206</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15,206</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30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1"/>
                <w:szCs w:val="11"/>
                <w:color w:val="auto"/>
              </w:rPr>
              <w:t>(PIK 8.00%)</w:t>
            </w: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shd w:val="clear" w:color="auto" w:fill="CCECFF"/>
          </w:tcPr>
          <w:p>
            <w:pPr>
              <w:spacing w:after="0"/>
              <w:rPr>
                <w:sz w:val="20"/>
                <w:szCs w:val="20"/>
                <w:color w:val="auto"/>
              </w:rPr>
            </w:pPr>
            <w:r>
              <w:rPr>
                <w:rFonts w:ascii="Arial" w:cs="Arial" w:eastAsia="Arial" w:hAnsi="Arial"/>
                <w:sz w:val="11"/>
                <w:szCs w:val="11"/>
                <w:color w:val="auto"/>
              </w:rPr>
              <w:t>DBI Holding, LLC, Term Loan C</w:t>
            </w:r>
          </w:p>
        </w:tc>
        <w:tc>
          <w:tcPr>
            <w:tcW w:w="64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87"/>
              </w:rPr>
              <w:t>02/02/2026</w:t>
            </w:r>
          </w:p>
        </w:tc>
        <w:tc>
          <w:tcPr>
            <w:tcW w:w="24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6"/>
              </w:rPr>
              <w:t>Business Services</w:t>
            </w:r>
          </w:p>
        </w:tc>
        <w:tc>
          <w:tcPr>
            <w:tcW w:w="86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8.00%</w:t>
            </w:r>
          </w:p>
        </w:tc>
        <w:tc>
          <w:tcPr>
            <w:tcW w:w="560" w:type="dxa"/>
            <w:vAlign w:val="bottom"/>
            <w:shd w:val="clear" w:color="auto" w:fill="CCECFF"/>
          </w:tcPr>
          <w:p>
            <w:pPr>
              <w:spacing w:after="0"/>
              <w:rPr>
                <w:sz w:val="11"/>
                <w:szCs w:val="11"/>
                <w:color w:val="auto"/>
              </w:rPr>
            </w:pPr>
          </w:p>
        </w:tc>
        <w:tc>
          <w:tcPr>
            <w:tcW w:w="540" w:type="dxa"/>
            <w:vAlign w:val="bottom"/>
            <w:gridSpan w:val="3"/>
            <w:shd w:val="clear" w:color="auto" w:fill="CCECFF"/>
          </w:tcPr>
          <w:p>
            <w:pPr>
              <w:jc w:val="right"/>
              <w:ind w:right="220"/>
              <w:spacing w:after="0"/>
              <w:rPr>
                <w:sz w:val="20"/>
                <w:szCs w:val="20"/>
                <w:color w:val="auto"/>
              </w:rPr>
            </w:pPr>
            <w:r>
              <w:rPr>
                <w:rFonts w:ascii="Arial" w:cs="Arial" w:eastAsia="Arial" w:hAnsi="Arial"/>
                <w:sz w:val="11"/>
                <w:szCs w:val="11"/>
                <w:color w:val="auto"/>
              </w:rPr>
              <w:t>—</w:t>
            </w: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7,607,291</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7,607,291</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7,569,255</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2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262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860" w:type="dxa"/>
            <w:vAlign w:val="bottom"/>
            <w:gridSpan w:val="2"/>
            <w:shd w:val="clear" w:color="auto" w:fill="CCECFF"/>
          </w:tcPr>
          <w:p>
            <w:pPr>
              <w:jc w:val="right"/>
              <w:ind w:right="140"/>
              <w:spacing w:after="0"/>
              <w:rPr>
                <w:sz w:val="20"/>
                <w:szCs w:val="20"/>
                <w:color w:val="auto"/>
              </w:rPr>
            </w:pPr>
            <w:r>
              <w:rPr>
                <w:rFonts w:ascii="Arial" w:cs="Arial" w:eastAsia="Arial" w:hAnsi="Arial"/>
                <w:sz w:val="11"/>
                <w:szCs w:val="11"/>
                <w:color w:val="auto"/>
              </w:rPr>
              <w:t>(PIK 8.00%)</w:t>
            </w:r>
          </w:p>
        </w:tc>
        <w:tc>
          <w:tcPr>
            <w:tcW w:w="560" w:type="dxa"/>
            <w:vAlign w:val="bottom"/>
            <w:shd w:val="clear" w:color="auto" w:fill="CCECFF"/>
          </w:tcPr>
          <w:p>
            <w:pPr>
              <w:spacing w:after="0"/>
              <w:rPr>
                <w:sz w:val="11"/>
                <w:szCs w:val="11"/>
                <w:color w:val="auto"/>
              </w:rPr>
            </w:pPr>
          </w:p>
        </w:tc>
        <w:tc>
          <w:tcPr>
            <w:tcW w:w="3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8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80" w:type="dxa"/>
            <w:vAlign w:val="bottom"/>
            <w:tcBorders>
              <w:bottom w:val="single" w:sz="8" w:color="auto"/>
            </w:tcBorders>
            <w:shd w:val="clear" w:color="auto" w:fill="CCECFF"/>
          </w:tcPr>
          <w:p>
            <w:pPr>
              <w:spacing w:after="0"/>
              <w:rPr>
                <w:sz w:val="11"/>
                <w:szCs w:val="11"/>
                <w:color w:val="auto"/>
              </w:rPr>
            </w:pPr>
          </w:p>
        </w:tc>
        <w:tc>
          <w:tcPr>
            <w:tcW w:w="600" w:type="dxa"/>
            <w:vAlign w:val="bottom"/>
            <w:tcBorders>
              <w:bottom w:val="single" w:sz="8" w:color="auto"/>
            </w:tcBorders>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100" w:type="dxa"/>
            <w:vAlign w:val="bottom"/>
            <w:tcBorders>
              <w:bottom w:val="single" w:sz="8" w:color="auto"/>
            </w:tcBorders>
            <w:shd w:val="clear" w:color="auto" w:fill="CCECFF"/>
          </w:tcPr>
          <w:p>
            <w:pPr>
              <w:spacing w:after="0"/>
              <w:rPr>
                <w:sz w:val="11"/>
                <w:szCs w:val="11"/>
                <w:color w:val="auto"/>
              </w:rPr>
            </w:pPr>
          </w:p>
        </w:tc>
        <w:tc>
          <w:tcPr>
            <w:tcW w:w="640" w:type="dxa"/>
            <w:vAlign w:val="bottom"/>
            <w:tcBorders>
              <w:bottom w:val="single" w:sz="8" w:color="auto"/>
            </w:tcBorders>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060" w:type="dxa"/>
            <w:vAlign w:val="bottom"/>
            <w:tcBorders>
              <w:bottom w:val="single" w:sz="8" w:color="CCECFF"/>
            </w:tcBorders>
          </w:tcPr>
          <w:p>
            <w:pPr>
              <w:spacing w:after="0"/>
              <w:rPr>
                <w:sz w:val="20"/>
                <w:szCs w:val="20"/>
                <w:color w:val="auto"/>
              </w:rPr>
            </w:pPr>
            <w:r>
              <w:rPr>
                <w:rFonts w:ascii="Arial" w:cs="Arial" w:eastAsia="Arial" w:hAnsi="Arial"/>
                <w:sz w:val="11"/>
                <w:szCs w:val="11"/>
                <w:b w:val="1"/>
                <w:bCs w:val="1"/>
                <w:color w:val="auto"/>
              </w:rPr>
              <w:t>Total Second Lien Secured Debt</w:t>
            </w:r>
          </w:p>
        </w:tc>
        <w:tc>
          <w:tcPr>
            <w:tcW w:w="120" w:type="dxa"/>
            <w:vAlign w:val="bottom"/>
            <w:tcBorders>
              <w:bottom w:val="single" w:sz="8" w:color="CCECFF"/>
            </w:tcBorders>
          </w:tcPr>
          <w:p>
            <w:pPr>
              <w:spacing w:after="0"/>
              <w:rPr>
                <w:sz w:val="11"/>
                <w:szCs w:val="11"/>
                <w:color w:val="auto"/>
              </w:rPr>
            </w:pPr>
          </w:p>
        </w:tc>
        <w:tc>
          <w:tcPr>
            <w:tcW w:w="520" w:type="dxa"/>
            <w:vAlign w:val="bottom"/>
            <w:tcBorders>
              <w:bottom w:val="single" w:sz="8" w:color="CCECFF"/>
            </w:tcBorders>
          </w:tcPr>
          <w:p>
            <w:pPr>
              <w:spacing w:after="0"/>
              <w:rPr>
                <w:sz w:val="11"/>
                <w:szCs w:val="11"/>
                <w:color w:val="auto"/>
              </w:rPr>
            </w:pPr>
          </w:p>
        </w:tc>
        <w:tc>
          <w:tcPr>
            <w:tcW w:w="240" w:type="dxa"/>
            <w:vAlign w:val="bottom"/>
            <w:tcBorders>
              <w:bottom w:val="single" w:sz="8" w:color="CCECFF"/>
            </w:tcBorders>
          </w:tcPr>
          <w:p>
            <w:pPr>
              <w:spacing w:after="0"/>
              <w:rPr>
                <w:sz w:val="11"/>
                <w:szCs w:val="11"/>
                <w:color w:val="auto"/>
              </w:rPr>
            </w:pPr>
          </w:p>
        </w:tc>
        <w:tc>
          <w:tcPr>
            <w:tcW w:w="2620" w:type="dxa"/>
            <w:vAlign w:val="bottom"/>
            <w:tcBorders>
              <w:bottom w:val="single" w:sz="8" w:color="CCECFF"/>
            </w:tcBorders>
          </w:tcPr>
          <w:p>
            <w:pPr>
              <w:spacing w:after="0"/>
              <w:rPr>
                <w:sz w:val="11"/>
                <w:szCs w:val="11"/>
                <w:color w:val="auto"/>
              </w:rPr>
            </w:pPr>
          </w:p>
        </w:tc>
        <w:tc>
          <w:tcPr>
            <w:tcW w:w="140" w:type="dxa"/>
            <w:vAlign w:val="bottom"/>
            <w:tcBorders>
              <w:bottom w:val="single" w:sz="8" w:color="CCECFF"/>
            </w:tcBorders>
          </w:tcPr>
          <w:p>
            <w:pPr>
              <w:spacing w:after="0"/>
              <w:rPr>
                <w:sz w:val="11"/>
                <w:szCs w:val="11"/>
                <w:color w:val="auto"/>
              </w:rPr>
            </w:pPr>
          </w:p>
        </w:tc>
        <w:tc>
          <w:tcPr>
            <w:tcW w:w="600" w:type="dxa"/>
            <w:vAlign w:val="bottom"/>
            <w:tcBorders>
              <w:bottom w:val="single" w:sz="8" w:color="CCECFF"/>
            </w:tcBorders>
          </w:tcPr>
          <w:p>
            <w:pPr>
              <w:spacing w:after="0"/>
              <w:rPr>
                <w:sz w:val="11"/>
                <w:szCs w:val="11"/>
                <w:color w:val="auto"/>
              </w:rPr>
            </w:pPr>
          </w:p>
        </w:tc>
        <w:tc>
          <w:tcPr>
            <w:tcW w:w="260" w:type="dxa"/>
            <w:vAlign w:val="bottom"/>
            <w:tcBorders>
              <w:bottom w:val="single" w:sz="8" w:color="CCECFF"/>
            </w:tcBorders>
          </w:tcPr>
          <w:p>
            <w:pPr>
              <w:spacing w:after="0"/>
              <w:rPr>
                <w:sz w:val="11"/>
                <w:szCs w:val="11"/>
                <w:color w:val="auto"/>
              </w:rPr>
            </w:pPr>
          </w:p>
        </w:tc>
        <w:tc>
          <w:tcPr>
            <w:tcW w:w="560" w:type="dxa"/>
            <w:vAlign w:val="bottom"/>
            <w:tcBorders>
              <w:bottom w:val="single" w:sz="8" w:color="CCECFF"/>
            </w:tcBorders>
          </w:tcPr>
          <w:p>
            <w:pPr>
              <w:spacing w:after="0"/>
              <w:rPr>
                <w:sz w:val="11"/>
                <w:szCs w:val="11"/>
                <w:color w:val="auto"/>
              </w:rPr>
            </w:pPr>
          </w:p>
        </w:tc>
        <w:tc>
          <w:tcPr>
            <w:tcW w:w="320" w:type="dxa"/>
            <w:vAlign w:val="bottom"/>
            <w:tcBorders>
              <w:bottom w:val="single" w:sz="8" w:color="CCECFF"/>
            </w:tcBorders>
          </w:tcPr>
          <w:p>
            <w:pPr>
              <w:spacing w:after="0"/>
              <w:rPr>
                <w:sz w:val="11"/>
                <w:szCs w:val="11"/>
                <w:color w:val="auto"/>
              </w:rPr>
            </w:pPr>
          </w:p>
        </w:tc>
        <w:tc>
          <w:tcPr>
            <w:tcW w:w="120" w:type="dxa"/>
            <w:vAlign w:val="bottom"/>
            <w:tcBorders>
              <w:bottom w:val="single" w:sz="8" w:color="CCECFF"/>
            </w:tcBorders>
          </w:tcPr>
          <w:p>
            <w:pPr>
              <w:spacing w:after="0"/>
              <w:rPr>
                <w:sz w:val="11"/>
                <w:szCs w:val="11"/>
                <w:color w:val="auto"/>
              </w:rPr>
            </w:pPr>
          </w:p>
        </w:tc>
        <w:tc>
          <w:tcPr>
            <w:tcW w:w="100" w:type="dxa"/>
            <w:vAlign w:val="bottom"/>
            <w:tcBorders>
              <w:bottom w:val="single" w:sz="8" w:color="CCECFF"/>
            </w:tcBorders>
          </w:tcPr>
          <w:p>
            <w:pPr>
              <w:spacing w:after="0"/>
              <w:rPr>
                <w:sz w:val="11"/>
                <w:szCs w:val="11"/>
                <w:color w:val="auto"/>
              </w:rPr>
            </w:pPr>
          </w:p>
        </w:tc>
        <w:tc>
          <w:tcPr>
            <w:tcW w:w="580" w:type="dxa"/>
            <w:vAlign w:val="bottom"/>
            <w:tcBorders>
              <w:bottom w:val="single" w:sz="8" w:color="CCECFF"/>
            </w:tcBorders>
          </w:tcPr>
          <w:p>
            <w:pPr>
              <w:spacing w:after="0"/>
              <w:rPr>
                <w:sz w:val="11"/>
                <w:szCs w:val="11"/>
                <w:color w:val="auto"/>
              </w:rPr>
            </w:pPr>
          </w:p>
        </w:tc>
        <w:tc>
          <w:tcPr>
            <w:tcW w:w="240" w:type="dxa"/>
            <w:vAlign w:val="bottom"/>
            <w:tcBorders>
              <w:bottom w:val="single" w:sz="8" w:color="CCEC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8,493,383</w:t>
            </w:r>
          </w:p>
        </w:tc>
        <w:tc>
          <w:tcPr>
            <w:tcW w:w="220" w:type="dxa"/>
            <w:vAlign w:val="bottom"/>
            <w:tcBorders>
              <w:bottom w:val="single" w:sz="8" w:color="CCEC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8,455,347</w:t>
            </w:r>
          </w:p>
        </w:tc>
        <w:tc>
          <w:tcPr>
            <w:tcW w:w="120" w:type="dxa"/>
            <w:vAlign w:val="bottom"/>
            <w:tcBorders>
              <w:bottom w:val="single" w:sz="8" w:color="CCECFF"/>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060" w:type="dxa"/>
            <w:vAlign w:val="bottom"/>
            <w:shd w:val="clear" w:color="auto" w:fill="CCECFF"/>
          </w:tcPr>
          <w:p>
            <w:pPr>
              <w:spacing w:after="0"/>
              <w:rPr>
                <w:sz w:val="20"/>
                <w:szCs w:val="20"/>
                <w:color w:val="auto"/>
              </w:rPr>
            </w:pPr>
            <w:r>
              <w:rPr>
                <w:rFonts w:ascii="Arial" w:cs="Arial" w:eastAsia="Arial" w:hAnsi="Arial"/>
                <w:sz w:val="11"/>
                <w:szCs w:val="11"/>
                <w:b w:val="1"/>
                <w:bCs w:val="1"/>
                <w:color w:val="auto"/>
              </w:rPr>
              <w:t>Equity Securities</w:t>
            </w:r>
          </w:p>
        </w:tc>
        <w:tc>
          <w:tcPr>
            <w:tcW w:w="120" w:type="dxa"/>
            <w:vAlign w:val="bottom"/>
            <w:shd w:val="clear" w:color="auto" w:fill="CCECFF"/>
          </w:tcPr>
          <w:p>
            <w:pPr>
              <w:spacing w:after="0"/>
              <w:rPr>
                <w:sz w:val="11"/>
                <w:szCs w:val="11"/>
                <w:color w:val="auto"/>
              </w:rPr>
            </w:pPr>
          </w:p>
        </w:tc>
        <w:tc>
          <w:tcPr>
            <w:tcW w:w="52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262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600" w:type="dxa"/>
            <w:vAlign w:val="bottom"/>
            <w:shd w:val="clear" w:color="auto" w:fill="CCECFF"/>
          </w:tcPr>
          <w:p>
            <w:pPr>
              <w:spacing w:after="0"/>
              <w:rPr>
                <w:sz w:val="11"/>
                <w:szCs w:val="11"/>
                <w:color w:val="auto"/>
              </w:rPr>
            </w:pPr>
          </w:p>
        </w:tc>
        <w:tc>
          <w:tcPr>
            <w:tcW w:w="260" w:type="dxa"/>
            <w:vAlign w:val="bottom"/>
            <w:shd w:val="clear" w:color="auto" w:fill="CCECFF"/>
          </w:tcPr>
          <w:p>
            <w:pPr>
              <w:spacing w:after="0"/>
              <w:rPr>
                <w:sz w:val="11"/>
                <w:szCs w:val="11"/>
                <w:color w:val="auto"/>
              </w:rPr>
            </w:pPr>
          </w:p>
        </w:tc>
        <w:tc>
          <w:tcPr>
            <w:tcW w:w="560" w:type="dxa"/>
            <w:vAlign w:val="bottom"/>
            <w:shd w:val="clear" w:color="auto" w:fill="CCECFF"/>
          </w:tcPr>
          <w:p>
            <w:pPr>
              <w:spacing w:after="0"/>
              <w:rPr>
                <w:sz w:val="11"/>
                <w:szCs w:val="11"/>
                <w:color w:val="auto"/>
              </w:rPr>
            </w:pPr>
          </w:p>
        </w:tc>
        <w:tc>
          <w:tcPr>
            <w:tcW w:w="3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8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tcPr>
          <w:p>
            <w:pPr>
              <w:spacing w:after="0"/>
              <w:rPr>
                <w:sz w:val="20"/>
                <w:szCs w:val="20"/>
                <w:color w:val="auto"/>
              </w:rPr>
            </w:pPr>
            <w:r>
              <w:rPr>
                <w:rFonts w:ascii="Arial" w:cs="Arial" w:eastAsia="Arial" w:hAnsi="Arial"/>
                <w:sz w:val="11"/>
                <w:szCs w:val="11"/>
                <w:color w:val="auto"/>
              </w:rPr>
              <w:t>Country Fresh Holding Company Inc.</w:t>
            </w:r>
          </w:p>
        </w:tc>
        <w:tc>
          <w:tcPr>
            <w:tcW w:w="120" w:type="dxa"/>
            <w:vAlign w:val="bottom"/>
          </w:tcPr>
          <w:p>
            <w:pPr>
              <w:spacing w:after="0"/>
              <w:rPr>
                <w:sz w:val="11"/>
                <w:szCs w:val="11"/>
                <w:color w:val="auto"/>
              </w:rPr>
            </w:pPr>
          </w:p>
        </w:tc>
        <w:tc>
          <w:tcPr>
            <w:tcW w:w="760" w:type="dxa"/>
            <w:vAlign w:val="bottom"/>
            <w:gridSpan w:val="2"/>
          </w:tcPr>
          <w:p>
            <w:pPr>
              <w:ind w:left="260"/>
              <w:spacing w:after="0"/>
              <w:rPr>
                <w:sz w:val="20"/>
                <w:szCs w:val="20"/>
                <w:color w:val="auto"/>
              </w:rPr>
            </w:pPr>
            <w:r>
              <w:rPr>
                <w:rFonts w:ascii="Arial" w:cs="Arial" w:eastAsia="Arial" w:hAnsi="Arial"/>
                <w:sz w:val="11"/>
                <w:szCs w:val="11"/>
                <w:color w:val="auto"/>
              </w:rPr>
              <w:t>—</w:t>
            </w:r>
          </w:p>
        </w:tc>
        <w:tc>
          <w:tcPr>
            <w:tcW w:w="2760" w:type="dxa"/>
            <w:vAlign w:val="bottom"/>
            <w:gridSpan w:val="2"/>
          </w:tcPr>
          <w:p>
            <w:pPr>
              <w:jc w:val="center"/>
              <w:ind w:right="140"/>
              <w:spacing w:after="0"/>
              <w:rPr>
                <w:sz w:val="20"/>
                <w:szCs w:val="20"/>
                <w:color w:val="auto"/>
              </w:rPr>
            </w:pPr>
            <w:r>
              <w:rPr>
                <w:rFonts w:ascii="Arial" w:cs="Arial" w:eastAsia="Arial" w:hAnsi="Arial"/>
                <w:sz w:val="11"/>
                <w:szCs w:val="11"/>
                <w:color w:val="auto"/>
                <w:w w:val="86"/>
              </w:rPr>
              <w:t>Beverage, Food and Tobacco</w:t>
            </w: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1,317</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1,713,106</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1,124,929</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shd w:val="clear" w:color="auto" w:fill="CCECFF"/>
          </w:tcPr>
          <w:p>
            <w:pPr>
              <w:spacing w:after="0"/>
              <w:rPr>
                <w:sz w:val="20"/>
                <w:szCs w:val="20"/>
                <w:color w:val="auto"/>
              </w:rPr>
            </w:pPr>
            <w:r>
              <w:rPr>
                <w:rFonts w:ascii="Arial" w:cs="Arial" w:eastAsia="Arial" w:hAnsi="Arial"/>
                <w:sz w:val="11"/>
                <w:szCs w:val="11"/>
                <w:color w:val="auto"/>
              </w:rPr>
              <w:t>DBI Holding, LLC, Series A-1</w:t>
            </w:r>
          </w:p>
        </w:tc>
        <w:tc>
          <w:tcPr>
            <w:tcW w:w="120" w:type="dxa"/>
            <w:vAlign w:val="bottom"/>
            <w:shd w:val="clear" w:color="auto" w:fill="CCECFF"/>
          </w:tcPr>
          <w:p>
            <w:pPr>
              <w:spacing w:after="0"/>
              <w:rPr>
                <w:sz w:val="11"/>
                <w:szCs w:val="11"/>
                <w:color w:val="auto"/>
              </w:rPr>
            </w:pPr>
          </w:p>
        </w:tc>
        <w:tc>
          <w:tcPr>
            <w:tcW w:w="760" w:type="dxa"/>
            <w:vAlign w:val="bottom"/>
            <w:gridSpan w:val="2"/>
            <w:shd w:val="clear" w:color="auto" w:fill="CCECFF"/>
          </w:tcPr>
          <w:p>
            <w:pPr>
              <w:ind w:left="260"/>
              <w:spacing w:after="0"/>
              <w:rPr>
                <w:sz w:val="20"/>
                <w:szCs w:val="20"/>
                <w:color w:val="auto"/>
              </w:rPr>
            </w:pPr>
            <w:r>
              <w:rPr>
                <w:rFonts w:ascii="Arial" w:cs="Arial" w:eastAsia="Arial" w:hAnsi="Arial"/>
                <w:sz w:val="11"/>
                <w:szCs w:val="11"/>
                <w:color w:val="auto"/>
              </w:rPr>
              <w:t>—</w:t>
            </w: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6"/>
              </w:rPr>
              <w:t>Business Services</w:t>
            </w:r>
          </w:p>
        </w:tc>
        <w:tc>
          <w:tcPr>
            <w:tcW w:w="86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560" w:type="dxa"/>
            <w:vAlign w:val="bottom"/>
            <w:shd w:val="clear" w:color="auto" w:fill="CCECFF"/>
          </w:tcPr>
          <w:p>
            <w:pPr>
              <w:spacing w:after="0"/>
              <w:rPr>
                <w:sz w:val="11"/>
                <w:szCs w:val="11"/>
                <w:color w:val="auto"/>
              </w:rPr>
            </w:pPr>
          </w:p>
        </w:tc>
        <w:tc>
          <w:tcPr>
            <w:tcW w:w="540" w:type="dxa"/>
            <w:vAlign w:val="bottom"/>
            <w:gridSpan w:val="3"/>
            <w:shd w:val="clear" w:color="auto" w:fill="CCECFF"/>
          </w:tcPr>
          <w:p>
            <w:pPr>
              <w:jc w:val="right"/>
              <w:ind w:right="220"/>
              <w:spacing w:after="0"/>
              <w:rPr>
                <w:sz w:val="20"/>
                <w:szCs w:val="20"/>
                <w:color w:val="auto"/>
              </w:rPr>
            </w:pPr>
            <w:r>
              <w:rPr>
                <w:rFonts w:ascii="Arial" w:cs="Arial" w:eastAsia="Arial" w:hAnsi="Arial"/>
                <w:sz w:val="11"/>
                <w:szCs w:val="11"/>
                <w:color w:val="auto"/>
              </w:rPr>
              <w:t>—</w:t>
            </w: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5,034</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5,034,310</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4,680,039</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tcBorders>
              <w:bottom w:val="single" w:sz="8" w:color="CCECFF"/>
            </w:tcBorders>
          </w:tcPr>
          <w:p>
            <w:pPr>
              <w:spacing w:after="0"/>
              <w:rPr>
                <w:sz w:val="20"/>
                <w:szCs w:val="20"/>
                <w:color w:val="auto"/>
              </w:rPr>
            </w:pPr>
            <w:r>
              <w:rPr>
                <w:rFonts w:ascii="Arial" w:cs="Arial" w:eastAsia="Arial" w:hAnsi="Arial"/>
                <w:sz w:val="11"/>
                <w:szCs w:val="11"/>
                <w:color w:val="auto"/>
              </w:rPr>
              <w:t>DBI Holding, LLC, Series B</w:t>
            </w:r>
          </w:p>
        </w:tc>
        <w:tc>
          <w:tcPr>
            <w:tcW w:w="120" w:type="dxa"/>
            <w:vAlign w:val="bottom"/>
            <w:tcBorders>
              <w:bottom w:val="single" w:sz="8" w:color="CCECFF"/>
            </w:tcBorders>
          </w:tcPr>
          <w:p>
            <w:pPr>
              <w:spacing w:after="0"/>
              <w:rPr>
                <w:sz w:val="11"/>
                <w:szCs w:val="11"/>
                <w:color w:val="auto"/>
              </w:rPr>
            </w:pPr>
          </w:p>
        </w:tc>
        <w:tc>
          <w:tcPr>
            <w:tcW w:w="760" w:type="dxa"/>
            <w:vAlign w:val="bottom"/>
            <w:tcBorders>
              <w:bottom w:val="single" w:sz="8" w:color="CCECFF"/>
            </w:tcBorders>
            <w:gridSpan w:val="2"/>
          </w:tcPr>
          <w:p>
            <w:pPr>
              <w:ind w:left="260"/>
              <w:spacing w:after="0"/>
              <w:rPr>
                <w:sz w:val="20"/>
                <w:szCs w:val="20"/>
                <w:color w:val="auto"/>
              </w:rPr>
            </w:pPr>
            <w:r>
              <w:rPr>
                <w:rFonts w:ascii="Arial" w:cs="Arial" w:eastAsia="Arial" w:hAnsi="Arial"/>
                <w:sz w:val="11"/>
                <w:szCs w:val="11"/>
                <w:color w:val="auto"/>
              </w:rPr>
              <w:t>—</w:t>
            </w:r>
          </w:p>
        </w:tc>
        <w:tc>
          <w:tcPr>
            <w:tcW w:w="2760" w:type="dxa"/>
            <w:vAlign w:val="bottom"/>
            <w:tcBorders>
              <w:bottom w:val="single" w:sz="8" w:color="CCECFF"/>
            </w:tcBorders>
            <w:gridSpan w:val="2"/>
          </w:tcPr>
          <w:p>
            <w:pPr>
              <w:jc w:val="center"/>
              <w:ind w:right="140"/>
              <w:spacing w:after="0"/>
              <w:rPr>
                <w:sz w:val="20"/>
                <w:szCs w:val="20"/>
                <w:color w:val="auto"/>
              </w:rPr>
            </w:pPr>
            <w:r>
              <w:rPr>
                <w:rFonts w:ascii="Arial" w:cs="Arial" w:eastAsia="Arial" w:hAnsi="Arial"/>
                <w:sz w:val="11"/>
                <w:szCs w:val="11"/>
                <w:color w:val="auto"/>
                <w:w w:val="86"/>
              </w:rPr>
              <w:t>Business Services</w:t>
            </w:r>
          </w:p>
        </w:tc>
        <w:tc>
          <w:tcPr>
            <w:tcW w:w="860" w:type="dxa"/>
            <w:vAlign w:val="bottom"/>
            <w:tcBorders>
              <w:bottom w:val="single" w:sz="8" w:color="CCECFF"/>
            </w:tcBorders>
            <w:gridSpan w:val="2"/>
          </w:tcPr>
          <w:p>
            <w:pPr>
              <w:jc w:val="right"/>
              <w:ind w:right="280"/>
              <w:spacing w:after="0"/>
              <w:rPr>
                <w:sz w:val="20"/>
                <w:szCs w:val="20"/>
                <w:color w:val="auto"/>
              </w:rPr>
            </w:pPr>
            <w:r>
              <w:rPr>
                <w:rFonts w:ascii="Arial" w:cs="Arial" w:eastAsia="Arial" w:hAnsi="Arial"/>
                <w:sz w:val="11"/>
                <w:szCs w:val="11"/>
                <w:color w:val="auto"/>
              </w:rPr>
              <w:t>—</w:t>
            </w:r>
          </w:p>
        </w:tc>
        <w:tc>
          <w:tcPr>
            <w:tcW w:w="560" w:type="dxa"/>
            <w:vAlign w:val="bottom"/>
            <w:tcBorders>
              <w:bottom w:val="single" w:sz="8" w:color="CCECFF"/>
            </w:tcBorders>
          </w:tcPr>
          <w:p>
            <w:pPr>
              <w:spacing w:after="0"/>
              <w:rPr>
                <w:sz w:val="11"/>
                <w:szCs w:val="11"/>
                <w:color w:val="auto"/>
              </w:rPr>
            </w:pPr>
          </w:p>
        </w:tc>
        <w:tc>
          <w:tcPr>
            <w:tcW w:w="540" w:type="dxa"/>
            <w:vAlign w:val="bottom"/>
            <w:tcBorders>
              <w:bottom w:val="single" w:sz="8" w:color="CCECFF"/>
            </w:tcBorders>
            <w:gridSpan w:val="3"/>
          </w:tcPr>
          <w:p>
            <w:pPr>
              <w:jc w:val="right"/>
              <w:ind w:right="220"/>
              <w:spacing w:after="0"/>
              <w:rPr>
                <w:sz w:val="20"/>
                <w:szCs w:val="20"/>
                <w:color w:val="auto"/>
              </w:rPr>
            </w:pPr>
            <w:r>
              <w:rPr>
                <w:rFonts w:ascii="Arial" w:cs="Arial" w:eastAsia="Arial" w:hAnsi="Arial"/>
                <w:sz w:val="11"/>
                <w:szCs w:val="11"/>
                <w:color w:val="auto"/>
              </w:rPr>
              <w:t>—</w:t>
            </w:r>
          </w:p>
        </w:tc>
        <w:tc>
          <w:tcPr>
            <w:tcW w:w="580" w:type="dxa"/>
            <w:vAlign w:val="bottom"/>
            <w:tcBorders>
              <w:bottom w:val="single" w:sz="8" w:color="CCECFF"/>
            </w:tcBorders>
          </w:tcPr>
          <w:p>
            <w:pPr>
              <w:jc w:val="right"/>
              <w:spacing w:after="0"/>
              <w:rPr>
                <w:sz w:val="20"/>
                <w:szCs w:val="20"/>
                <w:color w:val="auto"/>
              </w:rPr>
            </w:pPr>
            <w:r>
              <w:rPr>
                <w:rFonts w:ascii="Arial" w:cs="Arial" w:eastAsia="Arial" w:hAnsi="Arial"/>
                <w:sz w:val="11"/>
                <w:szCs w:val="11"/>
                <w:color w:val="auto"/>
              </w:rPr>
              <w:t>1,065,021</w:t>
            </w:r>
          </w:p>
        </w:tc>
        <w:tc>
          <w:tcPr>
            <w:tcW w:w="240" w:type="dxa"/>
            <w:vAlign w:val="bottom"/>
            <w:tcBorders>
              <w:bottom w:val="single" w:sz="8" w:color="CCEC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236,521</w:t>
            </w:r>
          </w:p>
        </w:tc>
        <w:tc>
          <w:tcPr>
            <w:tcW w:w="220" w:type="dxa"/>
            <w:vAlign w:val="bottom"/>
            <w:tcBorders>
              <w:bottom w:val="single" w:sz="8" w:color="CCEC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CFF"/>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3060" w:type="dxa"/>
            <w:vAlign w:val="bottom"/>
            <w:shd w:val="clear" w:color="auto" w:fill="CCECFF"/>
          </w:tcPr>
          <w:p>
            <w:pPr>
              <w:spacing w:after="0"/>
              <w:rPr>
                <w:sz w:val="20"/>
                <w:szCs w:val="20"/>
                <w:color w:val="auto"/>
              </w:rPr>
            </w:pPr>
            <w:r>
              <w:rPr>
                <w:rFonts w:ascii="Arial" w:cs="Arial" w:eastAsia="Arial" w:hAnsi="Arial"/>
                <w:sz w:val="11"/>
                <w:szCs w:val="11"/>
                <w:b w:val="1"/>
                <w:bCs w:val="1"/>
                <w:color w:val="auto"/>
              </w:rPr>
              <w:t>Total Equity Securities</w:t>
            </w:r>
          </w:p>
        </w:tc>
        <w:tc>
          <w:tcPr>
            <w:tcW w:w="120" w:type="dxa"/>
            <w:vAlign w:val="bottom"/>
            <w:shd w:val="clear" w:color="auto" w:fill="CCECFF"/>
          </w:tcPr>
          <w:p>
            <w:pPr>
              <w:spacing w:after="0"/>
              <w:rPr>
                <w:sz w:val="11"/>
                <w:szCs w:val="11"/>
                <w:color w:val="auto"/>
              </w:rPr>
            </w:pPr>
          </w:p>
        </w:tc>
        <w:tc>
          <w:tcPr>
            <w:tcW w:w="52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262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600" w:type="dxa"/>
            <w:vAlign w:val="bottom"/>
            <w:shd w:val="clear" w:color="auto" w:fill="CCECFF"/>
          </w:tcPr>
          <w:p>
            <w:pPr>
              <w:spacing w:after="0"/>
              <w:rPr>
                <w:sz w:val="11"/>
                <w:szCs w:val="11"/>
                <w:color w:val="auto"/>
              </w:rPr>
            </w:pPr>
          </w:p>
        </w:tc>
        <w:tc>
          <w:tcPr>
            <w:tcW w:w="260" w:type="dxa"/>
            <w:vAlign w:val="bottom"/>
            <w:shd w:val="clear" w:color="auto" w:fill="CCECFF"/>
          </w:tcPr>
          <w:p>
            <w:pPr>
              <w:spacing w:after="0"/>
              <w:rPr>
                <w:sz w:val="11"/>
                <w:szCs w:val="11"/>
                <w:color w:val="auto"/>
              </w:rPr>
            </w:pPr>
          </w:p>
        </w:tc>
        <w:tc>
          <w:tcPr>
            <w:tcW w:w="560" w:type="dxa"/>
            <w:vAlign w:val="bottom"/>
            <w:shd w:val="clear" w:color="auto" w:fill="CCECFF"/>
          </w:tcPr>
          <w:p>
            <w:pPr>
              <w:spacing w:after="0"/>
              <w:rPr>
                <w:sz w:val="11"/>
                <w:szCs w:val="11"/>
                <w:color w:val="auto"/>
              </w:rPr>
            </w:pPr>
          </w:p>
        </w:tc>
        <w:tc>
          <w:tcPr>
            <w:tcW w:w="3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8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80" w:type="dxa"/>
            <w:vAlign w:val="bottom"/>
            <w:tcBorders>
              <w:bottom w:val="single" w:sz="8" w:color="auto"/>
            </w:tcBorders>
            <w:shd w:val="clear" w:color="auto" w:fill="CCECFF"/>
          </w:tcPr>
          <w:p>
            <w:pPr>
              <w:spacing w:after="0"/>
              <w:rPr>
                <w:sz w:val="11"/>
                <w:szCs w:val="11"/>
                <w:color w:val="auto"/>
              </w:rPr>
            </w:pPr>
          </w:p>
        </w:tc>
        <w:tc>
          <w:tcPr>
            <w:tcW w:w="6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6,983,937</w:t>
            </w:r>
          </w:p>
        </w:tc>
        <w:tc>
          <w:tcPr>
            <w:tcW w:w="220" w:type="dxa"/>
            <w:vAlign w:val="bottom"/>
            <w:shd w:val="clear" w:color="auto" w:fill="CCECFF"/>
          </w:tcPr>
          <w:p>
            <w:pPr>
              <w:spacing w:after="0"/>
              <w:rPr>
                <w:sz w:val="11"/>
                <w:szCs w:val="11"/>
                <w:color w:val="auto"/>
              </w:rPr>
            </w:pPr>
          </w:p>
        </w:tc>
        <w:tc>
          <w:tcPr>
            <w:tcW w:w="100" w:type="dxa"/>
            <w:vAlign w:val="bottom"/>
            <w:tcBorders>
              <w:bottom w:val="single" w:sz="8" w:color="auto"/>
            </w:tcBorders>
            <w:shd w:val="clear" w:color="auto" w:fill="CCECFF"/>
          </w:tcPr>
          <w:p>
            <w:pPr>
              <w:spacing w:after="0"/>
              <w:rPr>
                <w:sz w:val="11"/>
                <w:szCs w:val="11"/>
                <w:color w:val="auto"/>
              </w:rPr>
            </w:pPr>
          </w:p>
        </w:tc>
        <w:tc>
          <w:tcPr>
            <w:tcW w:w="6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5,804,968</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060" w:type="dxa"/>
            <w:vAlign w:val="bottom"/>
          </w:tcPr>
          <w:p>
            <w:pPr>
              <w:spacing w:after="0"/>
              <w:rPr>
                <w:sz w:val="20"/>
                <w:szCs w:val="20"/>
                <w:color w:val="auto"/>
              </w:rPr>
            </w:pPr>
            <w:r>
              <w:rPr>
                <w:rFonts w:ascii="Arial" w:cs="Arial" w:eastAsia="Arial" w:hAnsi="Arial"/>
                <w:sz w:val="11"/>
                <w:szCs w:val="11"/>
                <w:b w:val="1"/>
                <w:bCs w:val="1"/>
                <w:color w:val="auto"/>
              </w:rPr>
              <w:t>Cash and Cash Equivalents</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shd w:val="clear" w:color="auto" w:fill="CCECFF"/>
          </w:tcPr>
          <w:p>
            <w:pPr>
              <w:spacing w:after="0"/>
              <w:rPr>
                <w:sz w:val="20"/>
                <w:szCs w:val="20"/>
                <w:color w:val="auto"/>
              </w:rPr>
            </w:pPr>
            <w:r>
              <w:rPr>
                <w:rFonts w:ascii="Arial" w:cs="Arial" w:eastAsia="Arial" w:hAnsi="Arial"/>
                <w:sz w:val="11"/>
                <w:szCs w:val="11"/>
                <w:color w:val="auto"/>
              </w:rPr>
              <w:t>BlackRock Federal FD Institutional 30</w:t>
            </w:r>
          </w:p>
        </w:tc>
        <w:tc>
          <w:tcPr>
            <w:tcW w:w="120" w:type="dxa"/>
            <w:vAlign w:val="bottom"/>
            <w:shd w:val="clear" w:color="auto" w:fill="CCECFF"/>
          </w:tcPr>
          <w:p>
            <w:pPr>
              <w:spacing w:after="0"/>
              <w:rPr>
                <w:sz w:val="11"/>
                <w:szCs w:val="11"/>
                <w:color w:val="auto"/>
              </w:rPr>
            </w:pPr>
          </w:p>
        </w:tc>
        <w:tc>
          <w:tcPr>
            <w:tcW w:w="52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262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600" w:type="dxa"/>
            <w:vAlign w:val="bottom"/>
            <w:shd w:val="clear" w:color="auto" w:fill="CCECFF"/>
          </w:tcPr>
          <w:p>
            <w:pPr>
              <w:spacing w:after="0"/>
              <w:rPr>
                <w:sz w:val="11"/>
                <w:szCs w:val="11"/>
                <w:color w:val="auto"/>
              </w:rPr>
            </w:pPr>
          </w:p>
        </w:tc>
        <w:tc>
          <w:tcPr>
            <w:tcW w:w="260" w:type="dxa"/>
            <w:vAlign w:val="bottom"/>
            <w:shd w:val="clear" w:color="auto" w:fill="CCECFF"/>
          </w:tcPr>
          <w:p>
            <w:pPr>
              <w:spacing w:after="0"/>
              <w:rPr>
                <w:sz w:val="11"/>
                <w:szCs w:val="11"/>
                <w:color w:val="auto"/>
              </w:rPr>
            </w:pPr>
          </w:p>
        </w:tc>
        <w:tc>
          <w:tcPr>
            <w:tcW w:w="560" w:type="dxa"/>
            <w:vAlign w:val="bottom"/>
            <w:shd w:val="clear" w:color="auto" w:fill="CCECFF"/>
          </w:tcPr>
          <w:p>
            <w:pPr>
              <w:spacing w:after="0"/>
              <w:rPr>
                <w:sz w:val="11"/>
                <w:szCs w:val="11"/>
                <w:color w:val="auto"/>
              </w:rPr>
            </w:pPr>
          </w:p>
        </w:tc>
        <w:tc>
          <w:tcPr>
            <w:tcW w:w="3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8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12,166,301</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12,166,301</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tcBorders>
              <w:bottom w:val="single" w:sz="8" w:color="CCECFF"/>
            </w:tcBorders>
          </w:tcPr>
          <w:p>
            <w:pPr>
              <w:spacing w:after="0"/>
              <w:rPr>
                <w:sz w:val="20"/>
                <w:szCs w:val="20"/>
                <w:color w:val="auto"/>
              </w:rPr>
            </w:pPr>
            <w:r>
              <w:rPr>
                <w:rFonts w:ascii="Arial" w:cs="Arial" w:eastAsia="Arial" w:hAnsi="Arial"/>
                <w:sz w:val="11"/>
                <w:szCs w:val="11"/>
                <w:color w:val="auto"/>
              </w:rPr>
              <w:t>US Bank Cash</w:t>
            </w:r>
          </w:p>
        </w:tc>
        <w:tc>
          <w:tcPr>
            <w:tcW w:w="120" w:type="dxa"/>
            <w:vAlign w:val="bottom"/>
            <w:tcBorders>
              <w:bottom w:val="single" w:sz="8" w:color="CCECFF"/>
            </w:tcBorders>
          </w:tcPr>
          <w:p>
            <w:pPr>
              <w:spacing w:after="0"/>
              <w:rPr>
                <w:sz w:val="11"/>
                <w:szCs w:val="11"/>
                <w:color w:val="auto"/>
              </w:rPr>
            </w:pPr>
          </w:p>
        </w:tc>
        <w:tc>
          <w:tcPr>
            <w:tcW w:w="520" w:type="dxa"/>
            <w:vAlign w:val="bottom"/>
            <w:tcBorders>
              <w:bottom w:val="single" w:sz="8" w:color="CCECFF"/>
            </w:tcBorders>
          </w:tcPr>
          <w:p>
            <w:pPr>
              <w:spacing w:after="0"/>
              <w:rPr>
                <w:sz w:val="11"/>
                <w:szCs w:val="11"/>
                <w:color w:val="auto"/>
              </w:rPr>
            </w:pPr>
          </w:p>
        </w:tc>
        <w:tc>
          <w:tcPr>
            <w:tcW w:w="240" w:type="dxa"/>
            <w:vAlign w:val="bottom"/>
            <w:tcBorders>
              <w:bottom w:val="single" w:sz="8" w:color="CCECFF"/>
            </w:tcBorders>
          </w:tcPr>
          <w:p>
            <w:pPr>
              <w:spacing w:after="0"/>
              <w:rPr>
                <w:sz w:val="11"/>
                <w:szCs w:val="11"/>
                <w:color w:val="auto"/>
              </w:rPr>
            </w:pPr>
          </w:p>
        </w:tc>
        <w:tc>
          <w:tcPr>
            <w:tcW w:w="2620" w:type="dxa"/>
            <w:vAlign w:val="bottom"/>
            <w:tcBorders>
              <w:bottom w:val="single" w:sz="8" w:color="CCECFF"/>
            </w:tcBorders>
          </w:tcPr>
          <w:p>
            <w:pPr>
              <w:spacing w:after="0"/>
              <w:rPr>
                <w:sz w:val="11"/>
                <w:szCs w:val="11"/>
                <w:color w:val="auto"/>
              </w:rPr>
            </w:pPr>
          </w:p>
        </w:tc>
        <w:tc>
          <w:tcPr>
            <w:tcW w:w="140" w:type="dxa"/>
            <w:vAlign w:val="bottom"/>
            <w:tcBorders>
              <w:bottom w:val="single" w:sz="8" w:color="CCECFF"/>
            </w:tcBorders>
          </w:tcPr>
          <w:p>
            <w:pPr>
              <w:spacing w:after="0"/>
              <w:rPr>
                <w:sz w:val="11"/>
                <w:szCs w:val="11"/>
                <w:color w:val="auto"/>
              </w:rPr>
            </w:pPr>
          </w:p>
        </w:tc>
        <w:tc>
          <w:tcPr>
            <w:tcW w:w="600" w:type="dxa"/>
            <w:vAlign w:val="bottom"/>
            <w:tcBorders>
              <w:bottom w:val="single" w:sz="8" w:color="CCECFF"/>
            </w:tcBorders>
          </w:tcPr>
          <w:p>
            <w:pPr>
              <w:spacing w:after="0"/>
              <w:rPr>
                <w:sz w:val="11"/>
                <w:szCs w:val="11"/>
                <w:color w:val="auto"/>
              </w:rPr>
            </w:pPr>
          </w:p>
        </w:tc>
        <w:tc>
          <w:tcPr>
            <w:tcW w:w="260" w:type="dxa"/>
            <w:vAlign w:val="bottom"/>
            <w:tcBorders>
              <w:bottom w:val="single" w:sz="8" w:color="CCECFF"/>
            </w:tcBorders>
          </w:tcPr>
          <w:p>
            <w:pPr>
              <w:spacing w:after="0"/>
              <w:rPr>
                <w:sz w:val="11"/>
                <w:szCs w:val="11"/>
                <w:color w:val="auto"/>
              </w:rPr>
            </w:pPr>
          </w:p>
        </w:tc>
        <w:tc>
          <w:tcPr>
            <w:tcW w:w="560" w:type="dxa"/>
            <w:vAlign w:val="bottom"/>
            <w:tcBorders>
              <w:bottom w:val="single" w:sz="8" w:color="CCECFF"/>
            </w:tcBorders>
          </w:tcPr>
          <w:p>
            <w:pPr>
              <w:spacing w:after="0"/>
              <w:rPr>
                <w:sz w:val="11"/>
                <w:szCs w:val="11"/>
                <w:color w:val="auto"/>
              </w:rPr>
            </w:pPr>
          </w:p>
        </w:tc>
        <w:tc>
          <w:tcPr>
            <w:tcW w:w="320" w:type="dxa"/>
            <w:vAlign w:val="bottom"/>
            <w:tcBorders>
              <w:bottom w:val="single" w:sz="8" w:color="CCECFF"/>
            </w:tcBorders>
          </w:tcPr>
          <w:p>
            <w:pPr>
              <w:spacing w:after="0"/>
              <w:rPr>
                <w:sz w:val="11"/>
                <w:szCs w:val="11"/>
                <w:color w:val="auto"/>
              </w:rPr>
            </w:pPr>
          </w:p>
        </w:tc>
        <w:tc>
          <w:tcPr>
            <w:tcW w:w="120" w:type="dxa"/>
            <w:vAlign w:val="bottom"/>
            <w:tcBorders>
              <w:bottom w:val="single" w:sz="8" w:color="CCECFF"/>
            </w:tcBorders>
          </w:tcPr>
          <w:p>
            <w:pPr>
              <w:spacing w:after="0"/>
              <w:rPr>
                <w:sz w:val="11"/>
                <w:szCs w:val="11"/>
                <w:color w:val="auto"/>
              </w:rPr>
            </w:pPr>
          </w:p>
        </w:tc>
        <w:tc>
          <w:tcPr>
            <w:tcW w:w="100" w:type="dxa"/>
            <w:vAlign w:val="bottom"/>
            <w:tcBorders>
              <w:bottom w:val="single" w:sz="8" w:color="CCECFF"/>
            </w:tcBorders>
          </w:tcPr>
          <w:p>
            <w:pPr>
              <w:spacing w:after="0"/>
              <w:rPr>
                <w:sz w:val="11"/>
                <w:szCs w:val="11"/>
                <w:color w:val="auto"/>
              </w:rPr>
            </w:pPr>
          </w:p>
        </w:tc>
        <w:tc>
          <w:tcPr>
            <w:tcW w:w="580" w:type="dxa"/>
            <w:vAlign w:val="bottom"/>
            <w:tcBorders>
              <w:bottom w:val="single" w:sz="8" w:color="CCECFF"/>
            </w:tcBorders>
          </w:tcPr>
          <w:p>
            <w:pPr>
              <w:spacing w:after="0"/>
              <w:rPr>
                <w:sz w:val="11"/>
                <w:szCs w:val="11"/>
                <w:color w:val="auto"/>
              </w:rPr>
            </w:pPr>
          </w:p>
        </w:tc>
        <w:tc>
          <w:tcPr>
            <w:tcW w:w="240" w:type="dxa"/>
            <w:vAlign w:val="bottom"/>
            <w:tcBorders>
              <w:bottom w:val="single" w:sz="8" w:color="CCEC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3,156,230</w:t>
            </w:r>
          </w:p>
        </w:tc>
        <w:tc>
          <w:tcPr>
            <w:tcW w:w="220" w:type="dxa"/>
            <w:vAlign w:val="bottom"/>
            <w:tcBorders>
              <w:bottom w:val="single" w:sz="8" w:color="CCEC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3,128,580</w:t>
            </w:r>
          </w:p>
        </w:tc>
        <w:tc>
          <w:tcPr>
            <w:tcW w:w="120" w:type="dxa"/>
            <w:vAlign w:val="bottom"/>
            <w:tcBorders>
              <w:bottom w:val="single" w:sz="8" w:color="CCECFF"/>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060" w:type="dxa"/>
            <w:vAlign w:val="bottom"/>
            <w:shd w:val="clear" w:color="auto" w:fill="CCECFF"/>
          </w:tcPr>
          <w:p>
            <w:pPr>
              <w:spacing w:after="0"/>
              <w:rPr>
                <w:sz w:val="20"/>
                <w:szCs w:val="20"/>
                <w:color w:val="auto"/>
              </w:rPr>
            </w:pPr>
            <w:r>
              <w:rPr>
                <w:rFonts w:ascii="Arial" w:cs="Arial" w:eastAsia="Arial" w:hAnsi="Arial"/>
                <w:sz w:val="11"/>
                <w:szCs w:val="11"/>
                <w:b w:val="1"/>
                <w:bCs w:val="1"/>
                <w:color w:val="auto"/>
              </w:rPr>
              <w:t>Total Cash and Cash Equivalents</w:t>
            </w:r>
          </w:p>
        </w:tc>
        <w:tc>
          <w:tcPr>
            <w:tcW w:w="120" w:type="dxa"/>
            <w:vAlign w:val="bottom"/>
            <w:shd w:val="clear" w:color="auto" w:fill="CCECFF"/>
          </w:tcPr>
          <w:p>
            <w:pPr>
              <w:spacing w:after="0"/>
              <w:rPr>
                <w:sz w:val="11"/>
                <w:szCs w:val="11"/>
                <w:color w:val="auto"/>
              </w:rPr>
            </w:pPr>
          </w:p>
        </w:tc>
        <w:tc>
          <w:tcPr>
            <w:tcW w:w="52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262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600" w:type="dxa"/>
            <w:vAlign w:val="bottom"/>
            <w:shd w:val="clear" w:color="auto" w:fill="CCECFF"/>
          </w:tcPr>
          <w:p>
            <w:pPr>
              <w:spacing w:after="0"/>
              <w:rPr>
                <w:sz w:val="11"/>
                <w:szCs w:val="11"/>
                <w:color w:val="auto"/>
              </w:rPr>
            </w:pPr>
          </w:p>
        </w:tc>
        <w:tc>
          <w:tcPr>
            <w:tcW w:w="260" w:type="dxa"/>
            <w:vAlign w:val="bottom"/>
            <w:shd w:val="clear" w:color="auto" w:fill="CCECFF"/>
          </w:tcPr>
          <w:p>
            <w:pPr>
              <w:spacing w:after="0"/>
              <w:rPr>
                <w:sz w:val="11"/>
                <w:szCs w:val="11"/>
                <w:color w:val="auto"/>
              </w:rPr>
            </w:pPr>
          </w:p>
        </w:tc>
        <w:tc>
          <w:tcPr>
            <w:tcW w:w="560" w:type="dxa"/>
            <w:vAlign w:val="bottom"/>
            <w:shd w:val="clear" w:color="auto" w:fill="CCECFF"/>
          </w:tcPr>
          <w:p>
            <w:pPr>
              <w:spacing w:after="0"/>
              <w:rPr>
                <w:sz w:val="11"/>
                <w:szCs w:val="11"/>
                <w:color w:val="auto"/>
              </w:rPr>
            </w:pPr>
          </w:p>
        </w:tc>
        <w:tc>
          <w:tcPr>
            <w:tcW w:w="3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8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80" w:type="dxa"/>
            <w:vAlign w:val="bottom"/>
            <w:tcBorders>
              <w:bottom w:val="single" w:sz="8" w:color="auto"/>
            </w:tcBorders>
            <w:shd w:val="clear" w:color="auto" w:fill="CCECFF"/>
          </w:tcPr>
          <w:p>
            <w:pPr>
              <w:spacing w:after="0"/>
              <w:rPr>
                <w:sz w:val="11"/>
                <w:szCs w:val="11"/>
                <w:color w:val="auto"/>
              </w:rPr>
            </w:pPr>
          </w:p>
        </w:tc>
        <w:tc>
          <w:tcPr>
            <w:tcW w:w="6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15,322,531</w:t>
            </w:r>
          </w:p>
        </w:tc>
        <w:tc>
          <w:tcPr>
            <w:tcW w:w="220" w:type="dxa"/>
            <w:vAlign w:val="bottom"/>
            <w:shd w:val="clear" w:color="auto" w:fill="CCECFF"/>
          </w:tcPr>
          <w:p>
            <w:pPr>
              <w:spacing w:after="0"/>
              <w:rPr>
                <w:sz w:val="11"/>
                <w:szCs w:val="11"/>
                <w:color w:val="auto"/>
              </w:rPr>
            </w:pPr>
          </w:p>
        </w:tc>
        <w:tc>
          <w:tcPr>
            <w:tcW w:w="100" w:type="dxa"/>
            <w:vAlign w:val="bottom"/>
            <w:tcBorders>
              <w:bottom w:val="single" w:sz="8" w:color="auto"/>
            </w:tcBorders>
            <w:shd w:val="clear" w:color="auto" w:fill="CCECFF"/>
          </w:tcPr>
          <w:p>
            <w:pPr>
              <w:spacing w:after="0"/>
              <w:rPr>
                <w:sz w:val="11"/>
                <w:szCs w:val="11"/>
                <w:color w:val="auto"/>
              </w:rPr>
            </w:pPr>
          </w:p>
        </w:tc>
        <w:tc>
          <w:tcPr>
            <w:tcW w:w="6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15,294,881</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060" w:type="dxa"/>
            <w:vAlign w:val="bottom"/>
          </w:tcPr>
          <w:p>
            <w:pPr>
              <w:spacing w:after="0"/>
              <w:rPr>
                <w:sz w:val="20"/>
                <w:szCs w:val="20"/>
                <w:color w:val="auto"/>
              </w:rPr>
            </w:pPr>
            <w:r>
              <w:rPr>
                <w:rFonts w:ascii="Arial" w:cs="Arial" w:eastAsia="Arial" w:hAnsi="Arial"/>
                <w:sz w:val="11"/>
                <w:szCs w:val="11"/>
                <w:b w:val="1"/>
                <w:bCs w:val="1"/>
                <w:color w:val="auto"/>
              </w:rPr>
              <w:t>Total Investments and Cash Equivalents</w:t>
            </w: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20" w:type="dxa"/>
            <w:vAlign w:val="bottom"/>
            <w:gridSpan w:val="2"/>
          </w:tcPr>
          <w:p>
            <w:pPr>
              <w:jc w:val="right"/>
              <w:ind w:right="40"/>
              <w:spacing w:after="0"/>
              <w:rPr>
                <w:sz w:val="20"/>
                <w:szCs w:val="20"/>
                <w:color w:val="auto"/>
              </w:rPr>
            </w:pPr>
            <w:r>
              <w:rPr>
                <w:rFonts w:ascii="Arial" w:cs="Arial" w:eastAsia="Arial" w:hAnsi="Arial"/>
                <w:sz w:val="11"/>
                <w:szCs w:val="11"/>
                <w:color w:val="auto"/>
              </w:rPr>
              <w:t>$</w:t>
            </w:r>
          </w:p>
        </w:tc>
        <w:tc>
          <w:tcPr>
            <w:tcW w:w="600" w:type="dxa"/>
            <w:vAlign w:val="bottom"/>
          </w:tcPr>
          <w:p>
            <w:pPr>
              <w:jc w:val="right"/>
              <w:spacing w:after="0"/>
              <w:rPr>
                <w:sz w:val="20"/>
                <w:szCs w:val="20"/>
                <w:color w:val="auto"/>
              </w:rPr>
            </w:pPr>
            <w:r>
              <w:rPr>
                <w:rFonts w:ascii="Arial" w:cs="Arial" w:eastAsia="Arial" w:hAnsi="Arial"/>
                <w:sz w:val="11"/>
                <w:szCs w:val="11"/>
                <w:color w:val="auto"/>
                <w:w w:val="91"/>
              </w:rPr>
              <w:t>509,735,718</w:t>
            </w:r>
          </w:p>
        </w:tc>
        <w:tc>
          <w:tcPr>
            <w:tcW w:w="22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tcPr>
          <w:p>
            <w:pPr>
              <w:jc w:val="right"/>
              <w:spacing w:after="0"/>
              <w:rPr>
                <w:sz w:val="20"/>
                <w:szCs w:val="20"/>
                <w:color w:val="auto"/>
              </w:rPr>
            </w:pPr>
            <w:r>
              <w:rPr>
                <w:rFonts w:ascii="Arial" w:cs="Arial" w:eastAsia="Arial" w:hAnsi="Arial"/>
                <w:sz w:val="11"/>
                <w:szCs w:val="11"/>
                <w:color w:val="auto"/>
                <w:w w:val="98"/>
              </w:rPr>
              <w:t>503,844,728</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060" w:type="dxa"/>
            <w:vAlign w:val="bottom"/>
            <w:tcBorders>
              <w:top w:val="single" w:sz="8" w:color="CCECFF"/>
            </w:tcBorders>
            <w:vMerge w:val="restart"/>
            <w:shd w:val="clear" w:color="auto" w:fill="CCECFF"/>
          </w:tcPr>
          <w:p>
            <w:pPr>
              <w:spacing w:after="0"/>
              <w:rPr>
                <w:sz w:val="20"/>
                <w:szCs w:val="20"/>
                <w:color w:val="auto"/>
              </w:rPr>
            </w:pPr>
            <w:r>
              <w:rPr>
                <w:rFonts w:ascii="Arial" w:cs="Arial" w:eastAsia="Arial" w:hAnsi="Arial"/>
                <w:sz w:val="11"/>
                <w:szCs w:val="11"/>
                <w:b w:val="1"/>
                <w:bCs w:val="1"/>
                <w:color w:val="auto"/>
              </w:rPr>
              <w:t>Liabilities in Excess of Other Assets</w:t>
            </w:r>
          </w:p>
        </w:tc>
        <w:tc>
          <w:tcPr>
            <w:tcW w:w="120" w:type="dxa"/>
            <w:vAlign w:val="bottom"/>
            <w:tcBorders>
              <w:top w:val="single" w:sz="8" w:color="CCECFF"/>
            </w:tcBorders>
            <w:shd w:val="clear" w:color="auto" w:fill="CCECFF"/>
          </w:tcPr>
          <w:p>
            <w:pPr>
              <w:spacing w:after="0" w:line="20" w:lineRule="exact"/>
              <w:rPr>
                <w:sz w:val="1"/>
                <w:szCs w:val="1"/>
                <w:color w:val="auto"/>
              </w:rPr>
            </w:pPr>
          </w:p>
        </w:tc>
        <w:tc>
          <w:tcPr>
            <w:tcW w:w="520" w:type="dxa"/>
            <w:vAlign w:val="bottom"/>
            <w:tcBorders>
              <w:top w:val="single" w:sz="8" w:color="CCECFF"/>
            </w:tcBorders>
            <w:shd w:val="clear" w:color="auto" w:fill="CCECFF"/>
          </w:tcPr>
          <w:p>
            <w:pPr>
              <w:spacing w:after="0" w:line="20" w:lineRule="exact"/>
              <w:rPr>
                <w:sz w:val="1"/>
                <w:szCs w:val="1"/>
                <w:color w:val="auto"/>
              </w:rPr>
            </w:pPr>
          </w:p>
        </w:tc>
        <w:tc>
          <w:tcPr>
            <w:tcW w:w="240" w:type="dxa"/>
            <w:vAlign w:val="bottom"/>
            <w:tcBorders>
              <w:top w:val="single" w:sz="8" w:color="CCECFF"/>
            </w:tcBorders>
            <w:shd w:val="clear" w:color="auto" w:fill="CCECFF"/>
          </w:tcPr>
          <w:p>
            <w:pPr>
              <w:spacing w:after="0" w:line="20" w:lineRule="exact"/>
              <w:rPr>
                <w:sz w:val="1"/>
                <w:szCs w:val="1"/>
                <w:color w:val="auto"/>
              </w:rPr>
            </w:pPr>
          </w:p>
        </w:tc>
        <w:tc>
          <w:tcPr>
            <w:tcW w:w="2620" w:type="dxa"/>
            <w:vAlign w:val="bottom"/>
            <w:tcBorders>
              <w:top w:val="single" w:sz="8" w:color="CCECFF"/>
            </w:tcBorders>
            <w:shd w:val="clear" w:color="auto" w:fill="CCECFF"/>
          </w:tcPr>
          <w:p>
            <w:pPr>
              <w:spacing w:after="0" w:line="20" w:lineRule="exact"/>
              <w:rPr>
                <w:sz w:val="1"/>
                <w:szCs w:val="1"/>
                <w:color w:val="auto"/>
              </w:rPr>
            </w:pPr>
          </w:p>
        </w:tc>
        <w:tc>
          <w:tcPr>
            <w:tcW w:w="140" w:type="dxa"/>
            <w:vAlign w:val="bottom"/>
            <w:tcBorders>
              <w:top w:val="single" w:sz="8" w:color="CCECFF"/>
            </w:tcBorders>
            <w:shd w:val="clear" w:color="auto" w:fill="CCECFF"/>
          </w:tcPr>
          <w:p>
            <w:pPr>
              <w:spacing w:after="0" w:line="20" w:lineRule="exact"/>
              <w:rPr>
                <w:sz w:val="1"/>
                <w:szCs w:val="1"/>
                <w:color w:val="auto"/>
              </w:rPr>
            </w:pPr>
          </w:p>
        </w:tc>
        <w:tc>
          <w:tcPr>
            <w:tcW w:w="600" w:type="dxa"/>
            <w:vAlign w:val="bottom"/>
            <w:tcBorders>
              <w:top w:val="single" w:sz="8" w:color="CCECFF"/>
            </w:tcBorders>
            <w:shd w:val="clear" w:color="auto" w:fill="CCECFF"/>
          </w:tcPr>
          <w:p>
            <w:pPr>
              <w:spacing w:after="0" w:line="20" w:lineRule="exact"/>
              <w:rPr>
                <w:sz w:val="1"/>
                <w:szCs w:val="1"/>
                <w:color w:val="auto"/>
              </w:rPr>
            </w:pPr>
          </w:p>
        </w:tc>
        <w:tc>
          <w:tcPr>
            <w:tcW w:w="260" w:type="dxa"/>
            <w:vAlign w:val="bottom"/>
            <w:tcBorders>
              <w:top w:val="single" w:sz="8" w:color="CCECFF"/>
            </w:tcBorders>
            <w:shd w:val="clear" w:color="auto" w:fill="CCECFF"/>
          </w:tcPr>
          <w:p>
            <w:pPr>
              <w:spacing w:after="0" w:line="20" w:lineRule="exact"/>
              <w:rPr>
                <w:sz w:val="1"/>
                <w:szCs w:val="1"/>
                <w:color w:val="auto"/>
              </w:rPr>
            </w:pPr>
          </w:p>
        </w:tc>
        <w:tc>
          <w:tcPr>
            <w:tcW w:w="560" w:type="dxa"/>
            <w:vAlign w:val="bottom"/>
            <w:tcBorders>
              <w:top w:val="single" w:sz="8" w:color="CCECFF"/>
            </w:tcBorders>
            <w:shd w:val="clear" w:color="auto" w:fill="CCECFF"/>
          </w:tcPr>
          <w:p>
            <w:pPr>
              <w:spacing w:after="0" w:line="20" w:lineRule="exact"/>
              <w:rPr>
                <w:sz w:val="1"/>
                <w:szCs w:val="1"/>
                <w:color w:val="auto"/>
              </w:rPr>
            </w:pPr>
          </w:p>
        </w:tc>
        <w:tc>
          <w:tcPr>
            <w:tcW w:w="320" w:type="dxa"/>
            <w:vAlign w:val="bottom"/>
            <w:tcBorders>
              <w:top w:val="single" w:sz="8" w:color="CCECFF"/>
            </w:tcBorders>
            <w:shd w:val="clear" w:color="auto" w:fill="CCECFF"/>
          </w:tcPr>
          <w:p>
            <w:pPr>
              <w:spacing w:after="0" w:line="20" w:lineRule="exact"/>
              <w:rPr>
                <w:sz w:val="1"/>
                <w:szCs w:val="1"/>
                <w:color w:val="auto"/>
              </w:rPr>
            </w:pPr>
          </w:p>
        </w:tc>
        <w:tc>
          <w:tcPr>
            <w:tcW w:w="120" w:type="dxa"/>
            <w:vAlign w:val="bottom"/>
            <w:tcBorders>
              <w:top w:val="single" w:sz="8" w:color="CCECFF"/>
            </w:tcBorders>
            <w:shd w:val="clear" w:color="auto" w:fill="CCECFF"/>
          </w:tcPr>
          <w:p>
            <w:pPr>
              <w:spacing w:after="0" w:line="20" w:lineRule="exact"/>
              <w:rPr>
                <w:sz w:val="1"/>
                <w:szCs w:val="1"/>
                <w:color w:val="auto"/>
              </w:rPr>
            </w:pPr>
          </w:p>
        </w:tc>
        <w:tc>
          <w:tcPr>
            <w:tcW w:w="100" w:type="dxa"/>
            <w:vAlign w:val="bottom"/>
            <w:tcBorders>
              <w:top w:val="single" w:sz="8" w:color="CCECFF"/>
            </w:tcBorders>
            <w:shd w:val="clear" w:color="auto" w:fill="CCECFF"/>
          </w:tcPr>
          <w:p>
            <w:pPr>
              <w:spacing w:after="0" w:line="20" w:lineRule="exact"/>
              <w:rPr>
                <w:sz w:val="1"/>
                <w:szCs w:val="1"/>
                <w:color w:val="auto"/>
              </w:rPr>
            </w:pPr>
          </w:p>
        </w:tc>
        <w:tc>
          <w:tcPr>
            <w:tcW w:w="580" w:type="dxa"/>
            <w:vAlign w:val="bottom"/>
            <w:tcBorders>
              <w:top w:val="single" w:sz="8" w:color="CCECFF"/>
            </w:tcBorders>
            <w:shd w:val="clear" w:color="auto" w:fill="CCECFF"/>
          </w:tcPr>
          <w:p>
            <w:pPr>
              <w:spacing w:after="0" w:line="20" w:lineRule="exact"/>
              <w:rPr>
                <w:sz w:val="1"/>
                <w:szCs w:val="1"/>
                <w:color w:val="auto"/>
              </w:rPr>
            </w:pPr>
          </w:p>
        </w:tc>
        <w:tc>
          <w:tcPr>
            <w:tcW w:w="240" w:type="dxa"/>
            <w:vAlign w:val="bottom"/>
            <w:tcBorders>
              <w:top w:val="single" w:sz="8" w:color="CCECFF"/>
            </w:tcBorders>
            <w:shd w:val="clear" w:color="auto" w:fill="CCEC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CFF"/>
            </w:tcBorders>
            <w:shd w:val="clear" w:color="auto" w:fill="CCEC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CFF"/>
            </w:tcBorders>
            <w:shd w:val="clear" w:color="auto" w:fill="CCEC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3060" w:type="dxa"/>
            <w:vAlign w:val="bottom"/>
            <w:vMerge w:val="continue"/>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520" w:type="dxa"/>
            <w:vAlign w:val="bottom"/>
            <w:shd w:val="clear" w:color="auto" w:fill="CCECFF"/>
          </w:tcPr>
          <w:p>
            <w:pPr>
              <w:spacing w:after="0"/>
              <w:rPr>
                <w:sz w:val="10"/>
                <w:szCs w:val="10"/>
                <w:color w:val="auto"/>
              </w:rPr>
            </w:pPr>
          </w:p>
        </w:tc>
        <w:tc>
          <w:tcPr>
            <w:tcW w:w="240" w:type="dxa"/>
            <w:vAlign w:val="bottom"/>
            <w:shd w:val="clear" w:color="auto" w:fill="CCECFF"/>
          </w:tcPr>
          <w:p>
            <w:pPr>
              <w:spacing w:after="0"/>
              <w:rPr>
                <w:sz w:val="10"/>
                <w:szCs w:val="10"/>
                <w:color w:val="auto"/>
              </w:rPr>
            </w:pPr>
          </w:p>
        </w:tc>
        <w:tc>
          <w:tcPr>
            <w:tcW w:w="2620" w:type="dxa"/>
            <w:vAlign w:val="bottom"/>
            <w:shd w:val="clear" w:color="auto" w:fill="CCECFF"/>
          </w:tcPr>
          <w:p>
            <w:pPr>
              <w:spacing w:after="0"/>
              <w:rPr>
                <w:sz w:val="10"/>
                <w:szCs w:val="10"/>
                <w:color w:val="auto"/>
              </w:rPr>
            </w:pPr>
          </w:p>
        </w:tc>
        <w:tc>
          <w:tcPr>
            <w:tcW w:w="140" w:type="dxa"/>
            <w:vAlign w:val="bottom"/>
            <w:shd w:val="clear" w:color="auto" w:fill="CCECFF"/>
          </w:tcPr>
          <w:p>
            <w:pPr>
              <w:spacing w:after="0"/>
              <w:rPr>
                <w:sz w:val="10"/>
                <w:szCs w:val="10"/>
                <w:color w:val="auto"/>
              </w:rPr>
            </w:pPr>
          </w:p>
        </w:tc>
        <w:tc>
          <w:tcPr>
            <w:tcW w:w="600" w:type="dxa"/>
            <w:vAlign w:val="bottom"/>
            <w:shd w:val="clear" w:color="auto" w:fill="CCECFF"/>
          </w:tcPr>
          <w:p>
            <w:pPr>
              <w:spacing w:after="0"/>
              <w:rPr>
                <w:sz w:val="10"/>
                <w:szCs w:val="10"/>
                <w:color w:val="auto"/>
              </w:rPr>
            </w:pPr>
          </w:p>
        </w:tc>
        <w:tc>
          <w:tcPr>
            <w:tcW w:w="260" w:type="dxa"/>
            <w:vAlign w:val="bottom"/>
            <w:shd w:val="clear" w:color="auto" w:fill="CCECFF"/>
          </w:tcPr>
          <w:p>
            <w:pPr>
              <w:spacing w:after="0"/>
              <w:rPr>
                <w:sz w:val="10"/>
                <w:szCs w:val="10"/>
                <w:color w:val="auto"/>
              </w:rPr>
            </w:pPr>
          </w:p>
        </w:tc>
        <w:tc>
          <w:tcPr>
            <w:tcW w:w="560" w:type="dxa"/>
            <w:vAlign w:val="bottom"/>
            <w:shd w:val="clear" w:color="auto" w:fill="CCECFF"/>
          </w:tcPr>
          <w:p>
            <w:pPr>
              <w:spacing w:after="0"/>
              <w:rPr>
                <w:sz w:val="10"/>
                <w:szCs w:val="10"/>
                <w:color w:val="auto"/>
              </w:rPr>
            </w:pPr>
          </w:p>
        </w:tc>
        <w:tc>
          <w:tcPr>
            <w:tcW w:w="32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580" w:type="dxa"/>
            <w:vAlign w:val="bottom"/>
            <w:shd w:val="clear" w:color="auto" w:fill="CCECFF"/>
          </w:tcPr>
          <w:p>
            <w:pPr>
              <w:spacing w:after="0"/>
              <w:rPr>
                <w:sz w:val="10"/>
                <w:szCs w:val="10"/>
                <w:color w:val="auto"/>
              </w:rPr>
            </w:pPr>
          </w:p>
        </w:tc>
        <w:tc>
          <w:tcPr>
            <w:tcW w:w="240" w:type="dxa"/>
            <w:vAlign w:val="bottom"/>
            <w:shd w:val="clear" w:color="auto" w:fill="CCECFF"/>
          </w:tcPr>
          <w:p>
            <w:pPr>
              <w:spacing w:after="0"/>
              <w:rPr>
                <w:sz w:val="10"/>
                <w:szCs w:val="10"/>
                <w:color w:val="auto"/>
              </w:rPr>
            </w:pPr>
          </w:p>
        </w:tc>
        <w:tc>
          <w:tcPr>
            <w:tcW w:w="80" w:type="dxa"/>
            <w:vAlign w:val="bottom"/>
            <w:shd w:val="clear" w:color="auto" w:fill="CCECFF"/>
          </w:tcPr>
          <w:p>
            <w:pPr>
              <w:spacing w:after="0"/>
              <w:rPr>
                <w:sz w:val="10"/>
                <w:szCs w:val="10"/>
                <w:color w:val="auto"/>
              </w:rPr>
            </w:pPr>
          </w:p>
        </w:tc>
        <w:tc>
          <w:tcPr>
            <w:tcW w:w="600" w:type="dxa"/>
            <w:vAlign w:val="bottom"/>
            <w:shd w:val="clear" w:color="auto" w:fill="CCECFF"/>
          </w:tcPr>
          <w:p>
            <w:pPr>
              <w:spacing w:after="0"/>
              <w:rPr>
                <w:sz w:val="10"/>
                <w:szCs w:val="10"/>
                <w:color w:val="auto"/>
              </w:rPr>
            </w:pPr>
          </w:p>
        </w:tc>
        <w:tc>
          <w:tcPr>
            <w:tcW w:w="22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760" w:type="dxa"/>
            <w:vAlign w:val="bottom"/>
            <w:gridSpan w:val="2"/>
            <w:shd w:val="clear" w:color="auto" w:fill="CCECFF"/>
          </w:tcPr>
          <w:p>
            <w:pPr>
              <w:jc w:val="right"/>
              <w:ind w:right="80"/>
              <w:spacing w:after="0" w:line="116" w:lineRule="exact"/>
              <w:rPr>
                <w:sz w:val="20"/>
                <w:szCs w:val="20"/>
                <w:color w:val="auto"/>
              </w:rPr>
            </w:pPr>
            <w:r>
              <w:rPr>
                <w:rFonts w:ascii="Arial" w:cs="Arial" w:eastAsia="Arial" w:hAnsi="Arial"/>
                <w:sz w:val="11"/>
                <w:szCs w:val="11"/>
                <w:color w:val="auto"/>
                <w:w w:val="96"/>
              </w:rPr>
              <w:t>(446,736,922)</w:t>
            </w:r>
          </w:p>
        </w:tc>
        <w:tc>
          <w:tcPr>
            <w:tcW w:w="0" w:type="dxa"/>
            <w:vAlign w:val="bottom"/>
          </w:tcPr>
          <w:p>
            <w:pPr>
              <w:spacing w:after="0"/>
              <w:rPr>
                <w:sz w:val="1"/>
                <w:szCs w:val="1"/>
                <w:color w:val="auto"/>
              </w:rPr>
            </w:pPr>
          </w:p>
        </w:tc>
      </w:tr>
      <w:tr>
        <w:trPr>
          <w:trHeight w:val="128"/>
        </w:trPr>
        <w:tc>
          <w:tcPr>
            <w:tcW w:w="3060" w:type="dxa"/>
            <w:vAlign w:val="bottom"/>
          </w:tcPr>
          <w:p>
            <w:pPr>
              <w:spacing w:after="0"/>
              <w:rPr>
                <w:sz w:val="20"/>
                <w:szCs w:val="20"/>
                <w:color w:val="auto"/>
              </w:rPr>
            </w:pPr>
            <w:r>
              <w:rPr>
                <w:rFonts w:ascii="Arial" w:cs="Arial" w:eastAsia="Arial" w:hAnsi="Arial"/>
                <w:sz w:val="11"/>
                <w:szCs w:val="11"/>
                <w:b w:val="1"/>
                <w:bCs w:val="1"/>
                <w:color w:val="auto"/>
              </w:rPr>
              <w:t>Members' Equity</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57,107,806</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3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185991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859915" cy="8890"/>
                    </a:xfrm>
                    <a:prstGeom prst="rect">
                      <a:avLst/>
                    </a:prstGeom>
                    <a:noFill/>
                  </pic:spPr>
                </pic:pic>
              </a:graphicData>
            </a:graphic>
          </wp:anchor>
        </w:drawing>
      </w:r>
    </w:p>
    <w:p>
      <w:pPr>
        <w:spacing w:after="0" w:line="163" w:lineRule="exact"/>
        <w:rPr>
          <w:sz w:val="20"/>
          <w:szCs w:val="20"/>
          <w:color w:val="auto"/>
        </w:rPr>
      </w:pPr>
    </w:p>
    <w:p>
      <w:pPr>
        <w:ind w:left="380" w:right="60" w:hanging="372"/>
        <w:spacing w:after="0" w:line="262" w:lineRule="auto"/>
        <w:tabs>
          <w:tab w:leader="none" w:pos="380" w:val="left"/>
        </w:tabs>
        <w:numPr>
          <w:ilvl w:val="0"/>
          <w:numId w:val="23"/>
        </w:numPr>
        <w:rPr>
          <w:rFonts w:ascii="Arial" w:cs="Arial" w:eastAsia="Arial" w:hAnsi="Arial"/>
          <w:sz w:val="11"/>
          <w:szCs w:val="11"/>
          <w:color w:val="auto"/>
        </w:rPr>
      </w:pPr>
      <w:r>
        <w:rPr>
          <w:rFonts w:ascii="Arial" w:cs="Arial" w:eastAsia="Arial" w:hAnsi="Arial"/>
          <w:sz w:val="11"/>
          <w:szCs w:val="11"/>
          <w:color w:val="auto"/>
        </w:rPr>
        <w:t>Represents floating rate instruments that accrue interest at a predetermined spread relative to an index, typically the applicable LIBOR or “L” or Prime rate or “P”. The spread may change based on the type of rate used. The terms in the Schedule of Investments disclose the actual interest rate in effect as of the reporting period. LIBOR loans are typically indexed to a 30-day, 60-day, 90-day or 180-day LIBOR rate (1M L, 2M L, 3M L, or 6M L, respectively), at the borrower’s option. All securities are subject to a LIBOR or Prime rate floor where a spread is provided, unless noted. The spread provided includes PIK interest and other fee rates, if any.</w:t>
      </w:r>
    </w:p>
    <w:p>
      <w:pPr>
        <w:ind w:left="380" w:hanging="372"/>
        <w:spacing w:after="0" w:line="234" w:lineRule="auto"/>
        <w:tabs>
          <w:tab w:leader="none" w:pos="380" w:val="left"/>
        </w:tabs>
        <w:numPr>
          <w:ilvl w:val="0"/>
          <w:numId w:val="23"/>
        </w:numPr>
        <w:rPr>
          <w:rFonts w:ascii="Arial" w:cs="Arial" w:eastAsia="Arial" w:hAnsi="Arial"/>
          <w:sz w:val="12"/>
          <w:szCs w:val="12"/>
          <w:color w:val="auto"/>
        </w:rPr>
      </w:pPr>
      <w:r>
        <w:rPr>
          <w:rFonts w:ascii="Arial" w:cs="Arial" w:eastAsia="Arial" w:hAnsi="Arial"/>
          <w:sz w:val="12"/>
          <w:szCs w:val="12"/>
          <w:color w:val="auto"/>
        </w:rPr>
        <w:t>Valued based on PSSL’s accounting policy.</w:t>
      </w:r>
    </w:p>
    <w:p>
      <w:pPr>
        <w:ind w:left="380" w:hanging="372"/>
        <w:spacing w:after="0" w:line="234" w:lineRule="auto"/>
        <w:tabs>
          <w:tab w:leader="none" w:pos="380" w:val="left"/>
        </w:tabs>
        <w:numPr>
          <w:ilvl w:val="0"/>
          <w:numId w:val="23"/>
        </w:numPr>
        <w:rPr>
          <w:rFonts w:ascii="Arial" w:cs="Arial" w:eastAsia="Arial" w:hAnsi="Arial"/>
          <w:sz w:val="12"/>
          <w:szCs w:val="12"/>
          <w:color w:val="auto"/>
        </w:rPr>
      </w:pPr>
      <w:r>
        <w:rPr>
          <w:rFonts w:ascii="Arial" w:cs="Arial" w:eastAsia="Arial" w:hAnsi="Arial"/>
          <w:sz w:val="12"/>
          <w:szCs w:val="12"/>
          <w:color w:val="auto"/>
        </w:rPr>
        <w:t>Non-U.S. company or principal place of business outside the United States.</w:t>
      </w:r>
    </w:p>
    <w:p>
      <w:pPr>
        <w:ind w:left="380" w:hanging="372"/>
        <w:spacing w:after="0" w:line="234" w:lineRule="auto"/>
        <w:tabs>
          <w:tab w:leader="none" w:pos="380" w:val="left"/>
        </w:tabs>
        <w:numPr>
          <w:ilvl w:val="0"/>
          <w:numId w:val="23"/>
        </w:numPr>
        <w:rPr>
          <w:rFonts w:ascii="Arial" w:cs="Arial" w:eastAsia="Arial" w:hAnsi="Arial"/>
          <w:sz w:val="12"/>
          <w:szCs w:val="12"/>
          <w:color w:val="auto"/>
        </w:rPr>
      </w:pPr>
      <w:r>
        <w:rPr>
          <w:rFonts w:ascii="Arial" w:cs="Arial" w:eastAsia="Arial" w:hAnsi="Arial"/>
          <w:sz w:val="12"/>
          <w:szCs w:val="12"/>
          <w:color w:val="auto"/>
        </w:rPr>
        <w:t>Par amount is denominated in Australian Dollars (A$) or in Canadian Dollars (C$) as denoted.</w:t>
      </w:r>
    </w:p>
    <w:p>
      <w:pPr>
        <w:ind w:left="380" w:hanging="372"/>
        <w:spacing w:after="0"/>
        <w:tabs>
          <w:tab w:leader="none" w:pos="380" w:val="left"/>
        </w:tabs>
        <w:numPr>
          <w:ilvl w:val="0"/>
          <w:numId w:val="23"/>
        </w:numPr>
        <w:rPr>
          <w:rFonts w:ascii="Arial" w:cs="Arial" w:eastAsia="Arial" w:hAnsi="Arial"/>
          <w:sz w:val="11"/>
          <w:szCs w:val="11"/>
          <w:color w:val="auto"/>
        </w:rPr>
      </w:pPr>
      <w:r>
        <w:rPr>
          <w:rFonts w:ascii="Arial" w:cs="Arial" w:eastAsia="Arial" w:hAnsi="Arial"/>
          <w:sz w:val="11"/>
          <w:szCs w:val="11"/>
          <w:color w:val="auto"/>
        </w:rPr>
        <w:t>Represents the purchase of a security with delayed settlement or a revolving line of credit that is currently an unfunded investment. This security does not earn a basis point spread above an index while it is unfunded.</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149465"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269" w:right="339" w:bottom="1440" w:gutter="0" w:footer="0" w:header="0"/>
        </w:sectPr>
      </w:pPr>
    </w:p>
    <w:bookmarkStart w:id="40" w:name="page41"/>
    <w:bookmarkEnd w:id="40"/>
    <w:tbl>
      <w:tblPr>
        <w:tblLayout w:type="fixed"/>
        <w:tblInd w:w="0" w:type="dxa"/>
        <w:tblCellMar>
          <w:top w:w="0" w:type="dxa"/>
          <w:left w:w="0" w:type="dxa"/>
          <w:bottom w:w="0" w:type="dxa"/>
          <w:right w:w="0" w:type="dxa"/>
        </w:tblCellMar>
      </w:tblPr>
      <w:tr>
        <w:trPr>
          <w:trHeight w:val="182"/>
        </w:trPr>
        <w:tc>
          <w:tcPr>
            <w:tcW w:w="7540" w:type="dxa"/>
            <w:vAlign w:val="bottom"/>
          </w:tcPr>
          <w:p>
            <w:pPr>
              <w:ind w:left="440"/>
              <w:spacing w:after="0"/>
              <w:rPr>
                <w:sz w:val="20"/>
                <w:szCs w:val="20"/>
                <w:color w:val="auto"/>
              </w:rPr>
            </w:pPr>
            <w:r>
              <w:rPr>
                <w:rFonts w:ascii="Arial" w:cs="Arial" w:eastAsia="Arial" w:hAnsi="Arial"/>
                <w:sz w:val="14"/>
                <w:szCs w:val="14"/>
                <w:color w:val="auto"/>
              </w:rPr>
              <w:t>Below is the financial information for PSSL:</w:t>
            </w:r>
          </w:p>
        </w:tc>
        <w:tc>
          <w:tcPr>
            <w:tcW w:w="16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310"/>
        </w:trPr>
        <w:tc>
          <w:tcPr>
            <w:tcW w:w="7540" w:type="dxa"/>
            <w:vAlign w:val="bottom"/>
          </w:tcPr>
          <w:p>
            <w:pPr>
              <w:ind w:left="4460"/>
              <w:spacing w:after="0"/>
              <w:rPr>
                <w:sz w:val="20"/>
                <w:szCs w:val="20"/>
                <w:color w:val="auto"/>
              </w:rPr>
            </w:pPr>
            <w:r>
              <w:rPr>
                <w:rFonts w:ascii="Arial" w:cs="Arial" w:eastAsia="Arial" w:hAnsi="Arial"/>
                <w:sz w:val="14"/>
                <w:szCs w:val="14"/>
                <w:b w:val="1"/>
                <w:bCs w:val="1"/>
                <w:color w:val="auto"/>
              </w:rPr>
              <w:t>Statements of Assets and Liabilities</w:t>
            </w:r>
          </w:p>
        </w:tc>
        <w:tc>
          <w:tcPr>
            <w:tcW w:w="1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09"/>
        </w:trPr>
        <w:tc>
          <w:tcPr>
            <w:tcW w:w="7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80" w:type="dxa"/>
            <w:vAlign w:val="bottom"/>
          </w:tcPr>
          <w:p>
            <w:pPr>
              <w:jc w:val="right"/>
              <w:ind w:right="168"/>
              <w:spacing w:after="0"/>
              <w:rPr>
                <w:sz w:val="20"/>
                <w:szCs w:val="20"/>
                <w:color w:val="auto"/>
              </w:rPr>
            </w:pPr>
            <w:r>
              <w:rPr>
                <w:rFonts w:ascii="Arial" w:cs="Arial" w:eastAsia="Arial" w:hAnsi="Arial"/>
                <w:sz w:val="14"/>
                <w:szCs w:val="14"/>
                <w:b w:val="1"/>
                <w:bCs w:val="1"/>
                <w:color w:val="auto"/>
                <w:w w:val="96"/>
              </w:rPr>
              <w:t>December 31, 2019</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20" w:type="dxa"/>
            <w:vAlign w:val="bottom"/>
            <w:gridSpan w:val="2"/>
          </w:tcPr>
          <w:p>
            <w:pPr>
              <w:ind w:left="60"/>
              <w:spacing w:after="0"/>
              <w:rPr>
                <w:sz w:val="20"/>
                <w:szCs w:val="20"/>
                <w:color w:val="auto"/>
              </w:rPr>
            </w:pPr>
            <w:r>
              <w:rPr>
                <w:rFonts w:ascii="Arial" w:cs="Arial" w:eastAsia="Arial" w:hAnsi="Arial"/>
                <w:sz w:val="14"/>
                <w:szCs w:val="14"/>
                <w:b w:val="1"/>
                <w:bCs w:val="1"/>
                <w:color w:val="auto"/>
              </w:rPr>
              <w:t>September 30, 2019</w:t>
            </w:r>
          </w:p>
        </w:tc>
      </w:tr>
      <w:tr>
        <w:trPr>
          <w:trHeight w:val="156"/>
        </w:trPr>
        <w:tc>
          <w:tcPr>
            <w:tcW w:w="7540" w:type="dxa"/>
            <w:vAlign w:val="bottom"/>
            <w:tcBorders>
              <w:top w:val="single" w:sz="8" w:color="CCECFF"/>
            </w:tcBorders>
            <w:shd w:val="clear" w:color="auto" w:fill="CCECFF"/>
          </w:tcPr>
          <w:p>
            <w:pPr>
              <w:spacing w:after="0" w:line="155" w:lineRule="exact"/>
              <w:rPr>
                <w:sz w:val="20"/>
                <w:szCs w:val="20"/>
                <w:color w:val="auto"/>
              </w:rPr>
            </w:pPr>
            <w:r>
              <w:rPr>
                <w:rFonts w:ascii="Arial" w:cs="Arial" w:eastAsia="Arial" w:hAnsi="Arial"/>
                <w:sz w:val="14"/>
                <w:szCs w:val="14"/>
                <w:b w:val="1"/>
                <w:bCs w:val="1"/>
                <w:color w:val="auto"/>
              </w:rPr>
              <w:t>Assets</w:t>
            </w:r>
          </w:p>
        </w:tc>
        <w:tc>
          <w:tcPr>
            <w:tcW w:w="160" w:type="dxa"/>
            <w:vAlign w:val="bottom"/>
            <w:tcBorders>
              <w:top w:val="single" w:sz="8" w:color="auto"/>
            </w:tcBorders>
            <w:shd w:val="clear" w:color="auto" w:fill="CCECFF"/>
          </w:tcPr>
          <w:p>
            <w:pPr>
              <w:spacing w:after="0"/>
              <w:rPr>
                <w:sz w:val="13"/>
                <w:szCs w:val="13"/>
                <w:color w:val="auto"/>
              </w:rPr>
            </w:pPr>
          </w:p>
        </w:tc>
        <w:tc>
          <w:tcPr>
            <w:tcW w:w="1480" w:type="dxa"/>
            <w:vAlign w:val="bottom"/>
            <w:tcBorders>
              <w:top w:val="single" w:sz="8" w:color="auto"/>
            </w:tcBorders>
            <w:shd w:val="clear" w:color="auto" w:fill="CCECFF"/>
          </w:tcPr>
          <w:p>
            <w:pPr>
              <w:spacing w:after="0"/>
              <w:rPr>
                <w:sz w:val="13"/>
                <w:szCs w:val="13"/>
                <w:color w:val="auto"/>
              </w:rPr>
            </w:pPr>
          </w:p>
        </w:tc>
        <w:tc>
          <w:tcPr>
            <w:tcW w:w="300" w:type="dxa"/>
            <w:vAlign w:val="bottom"/>
            <w:tcBorders>
              <w:top w:val="single" w:sz="8" w:color="CCECFF"/>
            </w:tcBorders>
            <w:shd w:val="clear" w:color="auto" w:fill="CCECFF"/>
          </w:tcPr>
          <w:p>
            <w:pPr>
              <w:spacing w:after="0"/>
              <w:rPr>
                <w:sz w:val="13"/>
                <w:szCs w:val="13"/>
                <w:color w:val="auto"/>
              </w:rPr>
            </w:pPr>
          </w:p>
        </w:tc>
        <w:tc>
          <w:tcPr>
            <w:tcW w:w="140" w:type="dxa"/>
            <w:vAlign w:val="bottom"/>
            <w:tcBorders>
              <w:top w:val="single" w:sz="8" w:color="auto"/>
            </w:tcBorders>
            <w:shd w:val="clear" w:color="auto" w:fill="CCECFF"/>
          </w:tcPr>
          <w:p>
            <w:pPr>
              <w:spacing w:after="0"/>
              <w:rPr>
                <w:sz w:val="13"/>
                <w:szCs w:val="13"/>
                <w:color w:val="auto"/>
              </w:rPr>
            </w:pPr>
          </w:p>
        </w:tc>
        <w:tc>
          <w:tcPr>
            <w:tcW w:w="1500" w:type="dxa"/>
            <w:vAlign w:val="bottom"/>
            <w:tcBorders>
              <w:top w:val="single" w:sz="8" w:color="auto"/>
            </w:tcBorders>
            <w:shd w:val="clear" w:color="auto" w:fill="CCECFF"/>
          </w:tcPr>
          <w:p>
            <w:pPr>
              <w:spacing w:after="0"/>
              <w:rPr>
                <w:sz w:val="13"/>
                <w:szCs w:val="13"/>
                <w:color w:val="auto"/>
              </w:rPr>
            </w:pPr>
          </w:p>
        </w:tc>
        <w:tc>
          <w:tcPr>
            <w:tcW w:w="120" w:type="dxa"/>
            <w:vAlign w:val="bottom"/>
            <w:tcBorders>
              <w:top w:val="single" w:sz="8" w:color="CCECFF"/>
            </w:tcBorders>
            <w:shd w:val="clear" w:color="auto" w:fill="CCECFF"/>
          </w:tcPr>
          <w:p>
            <w:pPr>
              <w:spacing w:after="0"/>
              <w:rPr>
                <w:sz w:val="13"/>
                <w:szCs w:val="13"/>
                <w:color w:val="auto"/>
              </w:rPr>
            </w:pPr>
          </w:p>
        </w:tc>
      </w:tr>
      <w:tr>
        <w:trPr>
          <w:trHeight w:val="162"/>
        </w:trPr>
        <w:tc>
          <w:tcPr>
            <w:tcW w:w="7540" w:type="dxa"/>
            <w:vAlign w:val="bottom"/>
          </w:tcPr>
          <w:p>
            <w:pPr>
              <w:spacing w:after="0"/>
              <w:rPr>
                <w:sz w:val="20"/>
                <w:szCs w:val="20"/>
                <w:color w:val="auto"/>
              </w:rPr>
            </w:pPr>
            <w:r>
              <w:rPr>
                <w:rFonts w:ascii="Arial" w:cs="Arial" w:eastAsia="Arial" w:hAnsi="Arial"/>
                <w:sz w:val="14"/>
                <w:szCs w:val="14"/>
                <w:color w:val="auto"/>
              </w:rPr>
              <w:t>Investments at fair value (cost—$498,044,324 and $494,413,190, respectively)</w:t>
            </w: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1480" w:type="dxa"/>
            <w:vAlign w:val="bottom"/>
          </w:tcPr>
          <w:p>
            <w:pPr>
              <w:jc w:val="right"/>
              <w:spacing w:after="0"/>
              <w:rPr>
                <w:sz w:val="20"/>
                <w:szCs w:val="20"/>
                <w:color w:val="auto"/>
              </w:rPr>
            </w:pPr>
            <w:r>
              <w:rPr>
                <w:rFonts w:ascii="Arial" w:cs="Arial" w:eastAsia="Arial" w:hAnsi="Arial"/>
                <w:sz w:val="14"/>
                <w:szCs w:val="14"/>
                <w:color w:val="auto"/>
              </w:rPr>
              <w:t>493,190,805</w:t>
            </w:r>
          </w:p>
        </w:tc>
        <w:tc>
          <w:tcPr>
            <w:tcW w:w="440" w:type="dxa"/>
            <w:vAlign w:val="bottom"/>
            <w:gridSpan w:val="2"/>
          </w:tcPr>
          <w:p>
            <w:pPr>
              <w:jc w:val="right"/>
              <w:ind w:right="29"/>
              <w:spacing w:after="0"/>
              <w:rPr>
                <w:sz w:val="20"/>
                <w:szCs w:val="20"/>
                <w:color w:val="auto"/>
              </w:rPr>
            </w:pPr>
            <w:r>
              <w:rPr>
                <w:rFonts w:ascii="Arial" w:cs="Arial" w:eastAsia="Arial" w:hAnsi="Arial"/>
                <w:sz w:val="14"/>
                <w:szCs w:val="14"/>
                <w:color w:val="auto"/>
              </w:rPr>
              <w:t>$</w:t>
            </w:r>
          </w:p>
        </w:tc>
        <w:tc>
          <w:tcPr>
            <w:tcW w:w="1500" w:type="dxa"/>
            <w:vAlign w:val="bottom"/>
          </w:tcPr>
          <w:p>
            <w:pPr>
              <w:jc w:val="right"/>
              <w:spacing w:after="0"/>
              <w:rPr>
                <w:sz w:val="20"/>
                <w:szCs w:val="20"/>
                <w:color w:val="auto"/>
              </w:rPr>
            </w:pPr>
            <w:r>
              <w:rPr>
                <w:rFonts w:ascii="Arial" w:cs="Arial" w:eastAsia="Arial" w:hAnsi="Arial"/>
                <w:sz w:val="14"/>
                <w:szCs w:val="14"/>
                <w:color w:val="auto"/>
              </w:rPr>
              <w:t>488,549,847</w:t>
            </w:r>
          </w:p>
        </w:tc>
        <w:tc>
          <w:tcPr>
            <w:tcW w:w="120" w:type="dxa"/>
            <w:vAlign w:val="bottom"/>
          </w:tcPr>
          <w:p>
            <w:pPr>
              <w:spacing w:after="0"/>
              <w:rPr>
                <w:sz w:val="14"/>
                <w:szCs w:val="14"/>
                <w:color w:val="auto"/>
              </w:rPr>
            </w:pPr>
          </w:p>
        </w:tc>
      </w:tr>
      <w:tr>
        <w:trPr>
          <w:trHeight w:val="162"/>
        </w:trPr>
        <w:tc>
          <w:tcPr>
            <w:tcW w:w="7540" w:type="dxa"/>
            <w:vAlign w:val="bottom"/>
            <w:shd w:val="clear" w:color="auto" w:fill="CCECFF"/>
          </w:tcPr>
          <w:p>
            <w:pPr>
              <w:spacing w:after="0"/>
              <w:rPr>
                <w:sz w:val="20"/>
                <w:szCs w:val="20"/>
                <w:color w:val="auto"/>
              </w:rPr>
            </w:pPr>
            <w:r>
              <w:rPr>
                <w:rFonts w:ascii="Arial" w:cs="Arial" w:eastAsia="Arial" w:hAnsi="Arial"/>
                <w:sz w:val="14"/>
                <w:szCs w:val="14"/>
                <w:color w:val="auto"/>
              </w:rPr>
              <w:t>Cash and cash equivalents (cost—$11,988,045 and $15,322,531, respectively)</w:t>
            </w:r>
          </w:p>
        </w:tc>
        <w:tc>
          <w:tcPr>
            <w:tcW w:w="160" w:type="dxa"/>
            <w:vAlign w:val="bottom"/>
            <w:shd w:val="clear" w:color="auto" w:fill="CCECFF"/>
          </w:tcPr>
          <w:p>
            <w:pPr>
              <w:spacing w:after="0"/>
              <w:rPr>
                <w:sz w:val="14"/>
                <w:szCs w:val="14"/>
                <w:color w:val="auto"/>
              </w:rPr>
            </w:pPr>
          </w:p>
        </w:tc>
        <w:tc>
          <w:tcPr>
            <w:tcW w:w="14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12,029,359</w:t>
            </w:r>
          </w:p>
        </w:tc>
        <w:tc>
          <w:tcPr>
            <w:tcW w:w="300" w:type="dxa"/>
            <w:vAlign w:val="bottom"/>
            <w:shd w:val="clear" w:color="auto" w:fill="CCECFF"/>
          </w:tcPr>
          <w:p>
            <w:pPr>
              <w:spacing w:after="0"/>
              <w:rPr>
                <w:sz w:val="14"/>
                <w:szCs w:val="14"/>
                <w:color w:val="auto"/>
              </w:rPr>
            </w:pPr>
          </w:p>
        </w:tc>
        <w:tc>
          <w:tcPr>
            <w:tcW w:w="140" w:type="dxa"/>
            <w:vAlign w:val="bottom"/>
            <w:shd w:val="clear" w:color="auto" w:fill="CCECFF"/>
          </w:tcPr>
          <w:p>
            <w:pPr>
              <w:spacing w:after="0"/>
              <w:rPr>
                <w:sz w:val="14"/>
                <w:szCs w:val="14"/>
                <w:color w:val="auto"/>
              </w:rPr>
            </w:pPr>
          </w:p>
        </w:tc>
        <w:tc>
          <w:tcPr>
            <w:tcW w:w="15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15,294,881</w:t>
            </w:r>
          </w:p>
        </w:tc>
        <w:tc>
          <w:tcPr>
            <w:tcW w:w="120" w:type="dxa"/>
            <w:vAlign w:val="bottom"/>
            <w:shd w:val="clear" w:color="auto" w:fill="CCECFF"/>
          </w:tcPr>
          <w:p>
            <w:pPr>
              <w:spacing w:after="0"/>
              <w:rPr>
                <w:sz w:val="14"/>
                <w:szCs w:val="14"/>
                <w:color w:val="auto"/>
              </w:rPr>
            </w:pPr>
          </w:p>
        </w:tc>
      </w:tr>
      <w:tr>
        <w:trPr>
          <w:trHeight w:val="162"/>
        </w:trPr>
        <w:tc>
          <w:tcPr>
            <w:tcW w:w="7540" w:type="dxa"/>
            <w:vAlign w:val="bottom"/>
          </w:tcPr>
          <w:p>
            <w:pPr>
              <w:spacing w:after="0"/>
              <w:rPr>
                <w:sz w:val="20"/>
                <w:szCs w:val="20"/>
                <w:color w:val="auto"/>
              </w:rPr>
            </w:pPr>
            <w:r>
              <w:rPr>
                <w:rFonts w:ascii="Arial" w:cs="Arial" w:eastAsia="Arial" w:hAnsi="Arial"/>
                <w:sz w:val="14"/>
                <w:szCs w:val="14"/>
                <w:color w:val="auto"/>
              </w:rPr>
              <w:t>Interest receivable</w:t>
            </w:r>
          </w:p>
        </w:tc>
        <w:tc>
          <w:tcPr>
            <w:tcW w:w="16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1,464,930</w:t>
            </w: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1,855,545</w:t>
            </w:r>
          </w:p>
        </w:tc>
        <w:tc>
          <w:tcPr>
            <w:tcW w:w="120" w:type="dxa"/>
            <w:vAlign w:val="bottom"/>
          </w:tcPr>
          <w:p>
            <w:pPr>
              <w:spacing w:after="0"/>
              <w:rPr>
                <w:sz w:val="14"/>
                <w:szCs w:val="14"/>
                <w:color w:val="auto"/>
              </w:rPr>
            </w:pPr>
          </w:p>
        </w:tc>
      </w:tr>
      <w:tr>
        <w:trPr>
          <w:trHeight w:val="162"/>
        </w:trPr>
        <w:tc>
          <w:tcPr>
            <w:tcW w:w="7540" w:type="dxa"/>
            <w:vAlign w:val="bottom"/>
            <w:shd w:val="clear" w:color="auto" w:fill="CCECFF"/>
          </w:tcPr>
          <w:p>
            <w:pPr>
              <w:spacing w:after="0"/>
              <w:rPr>
                <w:sz w:val="20"/>
                <w:szCs w:val="20"/>
                <w:color w:val="auto"/>
              </w:rPr>
            </w:pPr>
            <w:r>
              <w:rPr>
                <w:rFonts w:ascii="Arial" w:cs="Arial" w:eastAsia="Arial" w:hAnsi="Arial"/>
                <w:sz w:val="14"/>
                <w:szCs w:val="14"/>
                <w:color w:val="auto"/>
              </w:rPr>
              <w:t>Prepaid expenses and other assets</w:t>
            </w:r>
          </w:p>
        </w:tc>
        <w:tc>
          <w:tcPr>
            <w:tcW w:w="160" w:type="dxa"/>
            <w:vAlign w:val="bottom"/>
            <w:tcBorders>
              <w:bottom w:val="single" w:sz="8" w:color="auto"/>
            </w:tcBorders>
            <w:shd w:val="clear" w:color="auto" w:fill="CCECFF"/>
          </w:tcPr>
          <w:p>
            <w:pPr>
              <w:spacing w:after="0"/>
              <w:rPr>
                <w:sz w:val="14"/>
                <w:szCs w:val="14"/>
                <w:color w:val="auto"/>
              </w:rPr>
            </w:pPr>
          </w:p>
        </w:tc>
        <w:tc>
          <w:tcPr>
            <w:tcW w:w="14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1,084,158</w:t>
            </w:r>
          </w:p>
        </w:tc>
        <w:tc>
          <w:tcPr>
            <w:tcW w:w="300" w:type="dxa"/>
            <w:vAlign w:val="bottom"/>
            <w:shd w:val="clear" w:color="auto" w:fill="CCECFF"/>
          </w:tcPr>
          <w:p>
            <w:pPr>
              <w:spacing w:after="0"/>
              <w:rPr>
                <w:sz w:val="14"/>
                <w:szCs w:val="14"/>
                <w:color w:val="auto"/>
              </w:rPr>
            </w:pPr>
          </w:p>
        </w:tc>
        <w:tc>
          <w:tcPr>
            <w:tcW w:w="140" w:type="dxa"/>
            <w:vAlign w:val="bottom"/>
            <w:tcBorders>
              <w:bottom w:val="single" w:sz="8" w:color="auto"/>
            </w:tcBorders>
            <w:shd w:val="clear" w:color="auto" w:fill="CCECFF"/>
          </w:tcPr>
          <w:p>
            <w:pPr>
              <w:spacing w:after="0"/>
              <w:rPr>
                <w:sz w:val="14"/>
                <w:szCs w:val="14"/>
                <w:color w:val="auto"/>
              </w:rPr>
            </w:pPr>
          </w:p>
        </w:tc>
        <w:tc>
          <w:tcPr>
            <w:tcW w:w="15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996,333</w:t>
            </w:r>
          </w:p>
        </w:tc>
        <w:tc>
          <w:tcPr>
            <w:tcW w:w="120" w:type="dxa"/>
            <w:vAlign w:val="bottom"/>
            <w:shd w:val="clear" w:color="auto" w:fill="CCECFF"/>
          </w:tcPr>
          <w:p>
            <w:pPr>
              <w:spacing w:after="0"/>
              <w:rPr>
                <w:sz w:val="14"/>
                <w:szCs w:val="14"/>
                <w:color w:val="auto"/>
              </w:rPr>
            </w:pPr>
          </w:p>
        </w:tc>
      </w:tr>
      <w:tr>
        <w:trPr>
          <w:trHeight w:val="156"/>
        </w:trPr>
        <w:tc>
          <w:tcPr>
            <w:tcW w:w="7540" w:type="dxa"/>
            <w:vAlign w:val="bottom"/>
            <w:tcBorders>
              <w:bottom w:val="single" w:sz="8" w:color="CCECFF"/>
            </w:tcBorders>
          </w:tcPr>
          <w:p>
            <w:pPr>
              <w:ind w:left="740"/>
              <w:spacing w:after="0" w:line="155" w:lineRule="exact"/>
              <w:rPr>
                <w:sz w:val="20"/>
                <w:szCs w:val="20"/>
                <w:color w:val="auto"/>
              </w:rPr>
            </w:pPr>
            <w:r>
              <w:rPr>
                <w:rFonts w:ascii="Arial" w:cs="Arial" w:eastAsia="Arial" w:hAnsi="Arial"/>
                <w:sz w:val="14"/>
                <w:szCs w:val="14"/>
                <w:b w:val="1"/>
                <w:bCs w:val="1"/>
                <w:color w:val="auto"/>
              </w:rPr>
              <w:t>Total assets</w:t>
            </w:r>
          </w:p>
        </w:tc>
        <w:tc>
          <w:tcPr>
            <w:tcW w:w="16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507,769,252</w:t>
            </w:r>
          </w:p>
        </w:tc>
        <w:tc>
          <w:tcPr>
            <w:tcW w:w="300" w:type="dxa"/>
            <w:vAlign w:val="bottom"/>
            <w:tcBorders>
              <w:bottom w:val="single" w:sz="8" w:color="CCEC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506,696,606</w:t>
            </w:r>
          </w:p>
        </w:tc>
        <w:tc>
          <w:tcPr>
            <w:tcW w:w="120" w:type="dxa"/>
            <w:vAlign w:val="bottom"/>
            <w:tcBorders>
              <w:bottom w:val="single" w:sz="8" w:color="CCECFF"/>
            </w:tcBorders>
          </w:tcPr>
          <w:p>
            <w:pPr>
              <w:spacing w:after="0"/>
              <w:rPr>
                <w:sz w:val="13"/>
                <w:szCs w:val="13"/>
                <w:color w:val="auto"/>
              </w:rPr>
            </w:pPr>
          </w:p>
        </w:tc>
      </w:tr>
      <w:tr>
        <w:trPr>
          <w:trHeight w:val="156"/>
        </w:trPr>
        <w:tc>
          <w:tcPr>
            <w:tcW w:w="7540" w:type="dxa"/>
            <w:vAlign w:val="bottom"/>
            <w:shd w:val="clear" w:color="auto" w:fill="CCECFF"/>
          </w:tcPr>
          <w:p>
            <w:pPr>
              <w:spacing w:after="0" w:line="155" w:lineRule="exact"/>
              <w:rPr>
                <w:sz w:val="20"/>
                <w:szCs w:val="20"/>
                <w:color w:val="auto"/>
              </w:rPr>
            </w:pPr>
            <w:r>
              <w:rPr>
                <w:rFonts w:ascii="Arial" w:cs="Arial" w:eastAsia="Arial" w:hAnsi="Arial"/>
                <w:sz w:val="14"/>
                <w:szCs w:val="14"/>
                <w:b w:val="1"/>
                <w:bCs w:val="1"/>
                <w:color w:val="auto"/>
              </w:rPr>
              <w:t>Liabilities</w:t>
            </w:r>
          </w:p>
        </w:tc>
        <w:tc>
          <w:tcPr>
            <w:tcW w:w="160" w:type="dxa"/>
            <w:vAlign w:val="bottom"/>
            <w:shd w:val="clear" w:color="auto" w:fill="CCECFF"/>
          </w:tcPr>
          <w:p>
            <w:pPr>
              <w:spacing w:after="0"/>
              <w:rPr>
                <w:sz w:val="13"/>
                <w:szCs w:val="13"/>
                <w:color w:val="auto"/>
              </w:rPr>
            </w:pPr>
          </w:p>
        </w:tc>
        <w:tc>
          <w:tcPr>
            <w:tcW w:w="1480" w:type="dxa"/>
            <w:vAlign w:val="bottom"/>
            <w:shd w:val="clear" w:color="auto" w:fill="CCECFF"/>
          </w:tcPr>
          <w:p>
            <w:pPr>
              <w:spacing w:after="0"/>
              <w:rPr>
                <w:sz w:val="13"/>
                <w:szCs w:val="13"/>
                <w:color w:val="auto"/>
              </w:rPr>
            </w:pPr>
          </w:p>
        </w:tc>
        <w:tc>
          <w:tcPr>
            <w:tcW w:w="300" w:type="dxa"/>
            <w:vAlign w:val="bottom"/>
            <w:shd w:val="clear" w:color="auto" w:fill="CCECFF"/>
          </w:tcPr>
          <w:p>
            <w:pPr>
              <w:spacing w:after="0"/>
              <w:rPr>
                <w:sz w:val="13"/>
                <w:szCs w:val="13"/>
                <w:color w:val="auto"/>
              </w:rPr>
            </w:pPr>
          </w:p>
        </w:tc>
        <w:tc>
          <w:tcPr>
            <w:tcW w:w="140" w:type="dxa"/>
            <w:vAlign w:val="bottom"/>
            <w:shd w:val="clear" w:color="auto" w:fill="CCECFF"/>
          </w:tcPr>
          <w:p>
            <w:pPr>
              <w:spacing w:after="0"/>
              <w:rPr>
                <w:sz w:val="13"/>
                <w:szCs w:val="13"/>
                <w:color w:val="auto"/>
              </w:rPr>
            </w:pPr>
          </w:p>
        </w:tc>
        <w:tc>
          <w:tcPr>
            <w:tcW w:w="150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r>
      <w:tr>
        <w:trPr>
          <w:trHeight w:val="162"/>
        </w:trPr>
        <w:tc>
          <w:tcPr>
            <w:tcW w:w="7540" w:type="dxa"/>
            <w:vAlign w:val="bottom"/>
          </w:tcPr>
          <w:p>
            <w:pPr>
              <w:spacing w:after="0"/>
              <w:rPr>
                <w:sz w:val="20"/>
                <w:szCs w:val="20"/>
                <w:color w:val="auto"/>
              </w:rPr>
            </w:pPr>
            <w:r>
              <w:rPr>
                <w:rFonts w:ascii="Arial" w:cs="Arial" w:eastAsia="Arial" w:hAnsi="Arial"/>
                <w:sz w:val="14"/>
                <w:szCs w:val="14"/>
                <w:color w:val="auto"/>
              </w:rPr>
              <w:t>Payable for investments purchased</w:t>
            </w:r>
          </w:p>
        </w:tc>
        <w:tc>
          <w:tcPr>
            <w:tcW w:w="16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55,448,462</w:t>
            </w: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r>
      <w:tr>
        <w:trPr>
          <w:trHeight w:val="162"/>
        </w:trPr>
        <w:tc>
          <w:tcPr>
            <w:tcW w:w="7540" w:type="dxa"/>
            <w:vAlign w:val="bottom"/>
            <w:shd w:val="clear" w:color="auto" w:fill="CCECFF"/>
          </w:tcPr>
          <w:p>
            <w:pPr>
              <w:spacing w:after="0"/>
              <w:rPr>
                <w:sz w:val="20"/>
                <w:szCs w:val="20"/>
                <w:color w:val="auto"/>
              </w:rPr>
            </w:pPr>
            <w:r>
              <w:rPr>
                <w:rFonts w:ascii="Arial" w:cs="Arial" w:eastAsia="Arial" w:hAnsi="Arial"/>
                <w:sz w:val="14"/>
                <w:szCs w:val="14"/>
                <w:color w:val="auto"/>
              </w:rPr>
              <w:t>PSSL Credit Facility payable</w:t>
            </w:r>
          </w:p>
        </w:tc>
        <w:tc>
          <w:tcPr>
            <w:tcW w:w="160" w:type="dxa"/>
            <w:vAlign w:val="bottom"/>
            <w:shd w:val="clear" w:color="auto" w:fill="CCECFF"/>
          </w:tcPr>
          <w:p>
            <w:pPr>
              <w:spacing w:after="0"/>
              <w:rPr>
                <w:sz w:val="14"/>
                <w:szCs w:val="14"/>
                <w:color w:val="auto"/>
              </w:rPr>
            </w:pPr>
          </w:p>
        </w:tc>
        <w:tc>
          <w:tcPr>
            <w:tcW w:w="14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254,456,951</w:t>
            </w:r>
          </w:p>
        </w:tc>
        <w:tc>
          <w:tcPr>
            <w:tcW w:w="300" w:type="dxa"/>
            <w:vAlign w:val="bottom"/>
            <w:shd w:val="clear" w:color="auto" w:fill="CCECFF"/>
          </w:tcPr>
          <w:p>
            <w:pPr>
              <w:spacing w:after="0"/>
              <w:rPr>
                <w:sz w:val="14"/>
                <w:szCs w:val="14"/>
                <w:color w:val="auto"/>
              </w:rPr>
            </w:pPr>
          </w:p>
        </w:tc>
        <w:tc>
          <w:tcPr>
            <w:tcW w:w="140" w:type="dxa"/>
            <w:vAlign w:val="bottom"/>
            <w:shd w:val="clear" w:color="auto" w:fill="CCECFF"/>
          </w:tcPr>
          <w:p>
            <w:pPr>
              <w:spacing w:after="0"/>
              <w:rPr>
                <w:sz w:val="14"/>
                <w:szCs w:val="14"/>
                <w:color w:val="auto"/>
              </w:rPr>
            </w:pPr>
          </w:p>
        </w:tc>
        <w:tc>
          <w:tcPr>
            <w:tcW w:w="15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308,724,305</w:t>
            </w:r>
          </w:p>
        </w:tc>
        <w:tc>
          <w:tcPr>
            <w:tcW w:w="120" w:type="dxa"/>
            <w:vAlign w:val="bottom"/>
            <w:shd w:val="clear" w:color="auto" w:fill="CCECFF"/>
          </w:tcPr>
          <w:p>
            <w:pPr>
              <w:spacing w:after="0"/>
              <w:rPr>
                <w:sz w:val="14"/>
                <w:szCs w:val="14"/>
                <w:color w:val="auto"/>
              </w:rPr>
            </w:pPr>
          </w:p>
        </w:tc>
      </w:tr>
      <w:tr>
        <w:trPr>
          <w:trHeight w:val="162"/>
        </w:trPr>
        <w:tc>
          <w:tcPr>
            <w:tcW w:w="7540" w:type="dxa"/>
            <w:vAlign w:val="bottom"/>
          </w:tcPr>
          <w:p>
            <w:pPr>
              <w:spacing w:after="0"/>
              <w:rPr>
                <w:sz w:val="20"/>
                <w:szCs w:val="20"/>
                <w:color w:val="auto"/>
              </w:rPr>
            </w:pPr>
            <w:r>
              <w:rPr>
                <w:rFonts w:ascii="Arial" w:cs="Arial" w:eastAsia="Arial" w:hAnsi="Arial"/>
                <w:sz w:val="14"/>
                <w:szCs w:val="14"/>
                <w:color w:val="auto"/>
              </w:rPr>
              <w:t>Notes payable to members</w:t>
            </w:r>
          </w:p>
        </w:tc>
        <w:tc>
          <w:tcPr>
            <w:tcW w:w="16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139,650,000</w:t>
            </w: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139,650,000</w:t>
            </w:r>
          </w:p>
        </w:tc>
        <w:tc>
          <w:tcPr>
            <w:tcW w:w="120" w:type="dxa"/>
            <w:vAlign w:val="bottom"/>
          </w:tcPr>
          <w:p>
            <w:pPr>
              <w:spacing w:after="0"/>
              <w:rPr>
                <w:sz w:val="14"/>
                <w:szCs w:val="14"/>
                <w:color w:val="auto"/>
              </w:rPr>
            </w:pPr>
          </w:p>
        </w:tc>
      </w:tr>
      <w:tr>
        <w:trPr>
          <w:trHeight w:val="162"/>
        </w:trPr>
        <w:tc>
          <w:tcPr>
            <w:tcW w:w="7540" w:type="dxa"/>
            <w:vAlign w:val="bottom"/>
            <w:shd w:val="clear" w:color="auto" w:fill="CCECFF"/>
          </w:tcPr>
          <w:p>
            <w:pPr>
              <w:spacing w:after="0"/>
              <w:rPr>
                <w:sz w:val="20"/>
                <w:szCs w:val="20"/>
                <w:color w:val="auto"/>
              </w:rPr>
            </w:pPr>
            <w:r>
              <w:rPr>
                <w:rFonts w:ascii="Arial" w:cs="Arial" w:eastAsia="Arial" w:hAnsi="Arial"/>
                <w:sz w:val="14"/>
                <w:szCs w:val="14"/>
                <w:color w:val="auto"/>
              </w:rPr>
              <w:t>Interest payable on PSSL Credit Facility</w:t>
            </w:r>
          </w:p>
        </w:tc>
        <w:tc>
          <w:tcPr>
            <w:tcW w:w="160" w:type="dxa"/>
            <w:vAlign w:val="bottom"/>
            <w:shd w:val="clear" w:color="auto" w:fill="CCECFF"/>
          </w:tcPr>
          <w:p>
            <w:pPr>
              <w:spacing w:after="0"/>
              <w:rPr>
                <w:sz w:val="14"/>
                <w:szCs w:val="14"/>
                <w:color w:val="auto"/>
              </w:rPr>
            </w:pPr>
          </w:p>
        </w:tc>
        <w:tc>
          <w:tcPr>
            <w:tcW w:w="14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963,362</w:t>
            </w:r>
          </w:p>
        </w:tc>
        <w:tc>
          <w:tcPr>
            <w:tcW w:w="300" w:type="dxa"/>
            <w:vAlign w:val="bottom"/>
            <w:shd w:val="clear" w:color="auto" w:fill="CCECFF"/>
          </w:tcPr>
          <w:p>
            <w:pPr>
              <w:spacing w:after="0"/>
              <w:rPr>
                <w:sz w:val="14"/>
                <w:szCs w:val="14"/>
                <w:color w:val="auto"/>
              </w:rPr>
            </w:pPr>
          </w:p>
        </w:tc>
        <w:tc>
          <w:tcPr>
            <w:tcW w:w="140" w:type="dxa"/>
            <w:vAlign w:val="bottom"/>
            <w:shd w:val="clear" w:color="auto" w:fill="CCECFF"/>
          </w:tcPr>
          <w:p>
            <w:pPr>
              <w:spacing w:after="0"/>
              <w:rPr>
                <w:sz w:val="14"/>
                <w:szCs w:val="14"/>
                <w:color w:val="auto"/>
              </w:rPr>
            </w:pPr>
          </w:p>
        </w:tc>
        <w:tc>
          <w:tcPr>
            <w:tcW w:w="15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1,015,468</w:t>
            </w:r>
          </w:p>
        </w:tc>
        <w:tc>
          <w:tcPr>
            <w:tcW w:w="120" w:type="dxa"/>
            <w:vAlign w:val="bottom"/>
            <w:shd w:val="clear" w:color="auto" w:fill="CCECFF"/>
          </w:tcPr>
          <w:p>
            <w:pPr>
              <w:spacing w:after="0"/>
              <w:rPr>
                <w:sz w:val="14"/>
                <w:szCs w:val="14"/>
                <w:color w:val="auto"/>
              </w:rPr>
            </w:pPr>
          </w:p>
        </w:tc>
      </w:tr>
      <w:tr>
        <w:trPr>
          <w:trHeight w:val="162"/>
        </w:trPr>
        <w:tc>
          <w:tcPr>
            <w:tcW w:w="7540" w:type="dxa"/>
            <w:vAlign w:val="bottom"/>
          </w:tcPr>
          <w:p>
            <w:pPr>
              <w:spacing w:after="0"/>
              <w:rPr>
                <w:sz w:val="20"/>
                <w:szCs w:val="20"/>
                <w:color w:val="auto"/>
              </w:rPr>
            </w:pPr>
            <w:r>
              <w:rPr>
                <w:rFonts w:ascii="Arial" w:cs="Arial" w:eastAsia="Arial" w:hAnsi="Arial"/>
                <w:sz w:val="14"/>
                <w:szCs w:val="14"/>
                <w:color w:val="auto"/>
              </w:rPr>
              <w:t>Interest payable on notes to members</w:t>
            </w:r>
          </w:p>
        </w:tc>
        <w:tc>
          <w:tcPr>
            <w:tcW w:w="16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39,197</w:t>
            </w: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176,273</w:t>
            </w:r>
          </w:p>
        </w:tc>
        <w:tc>
          <w:tcPr>
            <w:tcW w:w="120" w:type="dxa"/>
            <w:vAlign w:val="bottom"/>
          </w:tcPr>
          <w:p>
            <w:pPr>
              <w:spacing w:after="0"/>
              <w:rPr>
                <w:sz w:val="14"/>
                <w:szCs w:val="14"/>
                <w:color w:val="auto"/>
              </w:rPr>
            </w:pPr>
          </w:p>
        </w:tc>
      </w:tr>
      <w:tr>
        <w:trPr>
          <w:trHeight w:val="162"/>
        </w:trPr>
        <w:tc>
          <w:tcPr>
            <w:tcW w:w="7540" w:type="dxa"/>
            <w:vAlign w:val="bottom"/>
            <w:shd w:val="clear" w:color="auto" w:fill="CCECFF"/>
          </w:tcPr>
          <w:p>
            <w:pPr>
              <w:spacing w:after="0"/>
              <w:rPr>
                <w:sz w:val="20"/>
                <w:szCs w:val="20"/>
                <w:color w:val="auto"/>
              </w:rPr>
            </w:pPr>
            <w:r>
              <w:rPr>
                <w:rFonts w:ascii="Arial" w:cs="Arial" w:eastAsia="Arial" w:hAnsi="Arial"/>
                <w:sz w:val="14"/>
                <w:szCs w:val="14"/>
                <w:color w:val="auto"/>
              </w:rPr>
              <w:t>Accrued other expenses</w:t>
            </w:r>
          </w:p>
        </w:tc>
        <w:tc>
          <w:tcPr>
            <w:tcW w:w="160" w:type="dxa"/>
            <w:vAlign w:val="bottom"/>
            <w:tcBorders>
              <w:bottom w:val="single" w:sz="8" w:color="auto"/>
            </w:tcBorders>
            <w:shd w:val="clear" w:color="auto" w:fill="CCECFF"/>
          </w:tcPr>
          <w:p>
            <w:pPr>
              <w:spacing w:after="0"/>
              <w:rPr>
                <w:sz w:val="14"/>
                <w:szCs w:val="14"/>
                <w:color w:val="auto"/>
              </w:rPr>
            </w:pPr>
          </w:p>
        </w:tc>
        <w:tc>
          <w:tcPr>
            <w:tcW w:w="14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379,453</w:t>
            </w:r>
          </w:p>
        </w:tc>
        <w:tc>
          <w:tcPr>
            <w:tcW w:w="300" w:type="dxa"/>
            <w:vAlign w:val="bottom"/>
            <w:shd w:val="clear" w:color="auto" w:fill="CCECFF"/>
          </w:tcPr>
          <w:p>
            <w:pPr>
              <w:spacing w:after="0"/>
              <w:rPr>
                <w:sz w:val="14"/>
                <w:szCs w:val="14"/>
                <w:color w:val="auto"/>
              </w:rPr>
            </w:pPr>
          </w:p>
        </w:tc>
        <w:tc>
          <w:tcPr>
            <w:tcW w:w="140" w:type="dxa"/>
            <w:vAlign w:val="bottom"/>
            <w:tcBorders>
              <w:bottom w:val="single" w:sz="8" w:color="auto"/>
            </w:tcBorders>
            <w:shd w:val="clear" w:color="auto" w:fill="CCECFF"/>
          </w:tcPr>
          <w:p>
            <w:pPr>
              <w:spacing w:after="0"/>
              <w:rPr>
                <w:sz w:val="14"/>
                <w:szCs w:val="14"/>
                <w:color w:val="auto"/>
              </w:rPr>
            </w:pPr>
          </w:p>
        </w:tc>
        <w:tc>
          <w:tcPr>
            <w:tcW w:w="15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22,754</w:t>
            </w:r>
          </w:p>
        </w:tc>
        <w:tc>
          <w:tcPr>
            <w:tcW w:w="120" w:type="dxa"/>
            <w:vAlign w:val="bottom"/>
            <w:shd w:val="clear" w:color="auto" w:fill="CCECFF"/>
          </w:tcPr>
          <w:p>
            <w:pPr>
              <w:spacing w:after="0"/>
              <w:rPr>
                <w:sz w:val="14"/>
                <w:szCs w:val="14"/>
                <w:color w:val="auto"/>
              </w:rPr>
            </w:pPr>
          </w:p>
        </w:tc>
      </w:tr>
      <w:tr>
        <w:trPr>
          <w:trHeight w:val="155"/>
        </w:trPr>
        <w:tc>
          <w:tcPr>
            <w:tcW w:w="7540" w:type="dxa"/>
            <w:vAlign w:val="bottom"/>
            <w:tcBorders>
              <w:bottom w:val="single" w:sz="8" w:color="CCECFF"/>
            </w:tcBorders>
          </w:tcPr>
          <w:p>
            <w:pPr>
              <w:ind w:left="740"/>
              <w:spacing w:after="0" w:line="155" w:lineRule="exact"/>
              <w:rPr>
                <w:sz w:val="20"/>
                <w:szCs w:val="20"/>
                <w:color w:val="auto"/>
              </w:rPr>
            </w:pPr>
            <w:r>
              <w:rPr>
                <w:rFonts w:ascii="Arial" w:cs="Arial" w:eastAsia="Arial" w:hAnsi="Arial"/>
                <w:sz w:val="14"/>
                <w:szCs w:val="14"/>
                <w:b w:val="1"/>
                <w:bCs w:val="1"/>
                <w:color w:val="auto"/>
              </w:rPr>
              <w:t>Total liabilities</w:t>
            </w:r>
          </w:p>
        </w:tc>
        <w:tc>
          <w:tcPr>
            <w:tcW w:w="16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450,937,425</w:t>
            </w:r>
          </w:p>
        </w:tc>
        <w:tc>
          <w:tcPr>
            <w:tcW w:w="300" w:type="dxa"/>
            <w:vAlign w:val="bottom"/>
            <w:tcBorders>
              <w:bottom w:val="single" w:sz="8" w:color="CCEC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449,588,800</w:t>
            </w:r>
          </w:p>
        </w:tc>
        <w:tc>
          <w:tcPr>
            <w:tcW w:w="120" w:type="dxa"/>
            <w:vAlign w:val="bottom"/>
            <w:tcBorders>
              <w:bottom w:val="single" w:sz="8" w:color="CCECFF"/>
            </w:tcBorders>
          </w:tcPr>
          <w:p>
            <w:pPr>
              <w:spacing w:after="0"/>
              <w:rPr>
                <w:sz w:val="13"/>
                <w:szCs w:val="13"/>
                <w:color w:val="auto"/>
              </w:rPr>
            </w:pPr>
          </w:p>
        </w:tc>
      </w:tr>
      <w:tr>
        <w:trPr>
          <w:trHeight w:val="156"/>
        </w:trPr>
        <w:tc>
          <w:tcPr>
            <w:tcW w:w="7540" w:type="dxa"/>
            <w:vAlign w:val="bottom"/>
            <w:shd w:val="clear" w:color="auto" w:fill="CCECFF"/>
          </w:tcPr>
          <w:p>
            <w:pPr>
              <w:spacing w:after="0" w:line="155" w:lineRule="exact"/>
              <w:rPr>
                <w:sz w:val="20"/>
                <w:szCs w:val="20"/>
                <w:color w:val="auto"/>
              </w:rPr>
            </w:pPr>
            <w:r>
              <w:rPr>
                <w:rFonts w:ascii="Arial" w:cs="Arial" w:eastAsia="Arial" w:hAnsi="Arial"/>
                <w:sz w:val="14"/>
                <w:szCs w:val="14"/>
                <w:color w:val="auto"/>
              </w:rPr>
              <w:t xml:space="preserve">Commitments and contingencies </w:t>
            </w:r>
            <w:r>
              <w:rPr>
                <w:rFonts w:ascii="Arial" w:cs="Arial" w:eastAsia="Arial" w:hAnsi="Arial"/>
                <w:sz w:val="12"/>
                <w:szCs w:val="12"/>
                <w:color w:val="auto"/>
              </w:rPr>
              <w:t>(1)</w:t>
            </w:r>
          </w:p>
        </w:tc>
        <w:tc>
          <w:tcPr>
            <w:tcW w:w="160" w:type="dxa"/>
            <w:vAlign w:val="bottom"/>
            <w:tcBorders>
              <w:bottom w:val="single" w:sz="8" w:color="auto"/>
            </w:tcBorders>
            <w:shd w:val="clear" w:color="auto" w:fill="CCECFF"/>
          </w:tcPr>
          <w:p>
            <w:pPr>
              <w:spacing w:after="0"/>
              <w:rPr>
                <w:sz w:val="13"/>
                <w:szCs w:val="13"/>
                <w:color w:val="auto"/>
              </w:rPr>
            </w:pPr>
          </w:p>
        </w:tc>
        <w:tc>
          <w:tcPr>
            <w:tcW w:w="148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w:t>
            </w:r>
          </w:p>
        </w:tc>
        <w:tc>
          <w:tcPr>
            <w:tcW w:w="300" w:type="dxa"/>
            <w:vAlign w:val="bottom"/>
            <w:shd w:val="clear" w:color="auto" w:fill="CCECFF"/>
          </w:tcPr>
          <w:p>
            <w:pPr>
              <w:spacing w:after="0"/>
              <w:rPr>
                <w:sz w:val="13"/>
                <w:szCs w:val="13"/>
                <w:color w:val="auto"/>
              </w:rPr>
            </w:pPr>
          </w:p>
        </w:tc>
        <w:tc>
          <w:tcPr>
            <w:tcW w:w="140" w:type="dxa"/>
            <w:vAlign w:val="bottom"/>
            <w:tcBorders>
              <w:bottom w:val="single" w:sz="8" w:color="auto"/>
            </w:tcBorders>
            <w:shd w:val="clear" w:color="auto" w:fill="CCECFF"/>
          </w:tcPr>
          <w:p>
            <w:pPr>
              <w:spacing w:after="0"/>
              <w:rPr>
                <w:sz w:val="13"/>
                <w:szCs w:val="13"/>
                <w:color w:val="auto"/>
              </w:rPr>
            </w:pPr>
          </w:p>
        </w:tc>
        <w:tc>
          <w:tcPr>
            <w:tcW w:w="150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w:t>
            </w:r>
          </w:p>
        </w:tc>
        <w:tc>
          <w:tcPr>
            <w:tcW w:w="120" w:type="dxa"/>
            <w:vAlign w:val="bottom"/>
            <w:shd w:val="clear" w:color="auto" w:fill="CCECFF"/>
          </w:tcPr>
          <w:p>
            <w:pPr>
              <w:spacing w:after="0"/>
              <w:rPr>
                <w:sz w:val="13"/>
                <w:szCs w:val="13"/>
                <w:color w:val="auto"/>
              </w:rPr>
            </w:pPr>
          </w:p>
        </w:tc>
      </w:tr>
      <w:tr>
        <w:trPr>
          <w:trHeight w:val="156"/>
        </w:trPr>
        <w:tc>
          <w:tcPr>
            <w:tcW w:w="7540" w:type="dxa"/>
            <w:vAlign w:val="bottom"/>
            <w:tcBorders>
              <w:bottom w:val="single" w:sz="8" w:color="CCECFF"/>
            </w:tcBorders>
          </w:tcPr>
          <w:p>
            <w:pPr>
              <w:ind w:left="740"/>
              <w:spacing w:after="0" w:line="155" w:lineRule="exact"/>
              <w:rPr>
                <w:sz w:val="20"/>
                <w:szCs w:val="20"/>
                <w:color w:val="auto"/>
              </w:rPr>
            </w:pPr>
            <w:r>
              <w:rPr>
                <w:rFonts w:ascii="Arial" w:cs="Arial" w:eastAsia="Arial" w:hAnsi="Arial"/>
                <w:sz w:val="14"/>
                <w:szCs w:val="14"/>
                <w:b w:val="1"/>
                <w:bCs w:val="1"/>
                <w:color w:val="auto"/>
              </w:rPr>
              <w:t>Members' equity</w:t>
            </w:r>
          </w:p>
        </w:tc>
        <w:tc>
          <w:tcPr>
            <w:tcW w:w="16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56,831,827</w:t>
            </w:r>
          </w:p>
        </w:tc>
        <w:tc>
          <w:tcPr>
            <w:tcW w:w="300" w:type="dxa"/>
            <w:vAlign w:val="bottom"/>
            <w:tcBorders>
              <w:bottom w:val="single" w:sz="8" w:color="CCEC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57,107,806</w:t>
            </w:r>
          </w:p>
        </w:tc>
        <w:tc>
          <w:tcPr>
            <w:tcW w:w="120" w:type="dxa"/>
            <w:vAlign w:val="bottom"/>
            <w:tcBorders>
              <w:bottom w:val="single" w:sz="8" w:color="CCECFF"/>
            </w:tcBorders>
          </w:tcPr>
          <w:p>
            <w:pPr>
              <w:spacing w:after="0"/>
              <w:rPr>
                <w:sz w:val="13"/>
                <w:szCs w:val="13"/>
                <w:color w:val="auto"/>
              </w:rPr>
            </w:pPr>
          </w:p>
        </w:tc>
      </w:tr>
      <w:tr>
        <w:trPr>
          <w:trHeight w:val="155"/>
        </w:trPr>
        <w:tc>
          <w:tcPr>
            <w:tcW w:w="7540" w:type="dxa"/>
            <w:vAlign w:val="bottom"/>
            <w:tcBorders>
              <w:bottom w:val="single" w:sz="8" w:color="CCECFF"/>
            </w:tcBorders>
            <w:shd w:val="clear" w:color="auto" w:fill="CCECFF"/>
          </w:tcPr>
          <w:p>
            <w:pPr>
              <w:ind w:left="740"/>
              <w:spacing w:after="0" w:line="155" w:lineRule="exact"/>
              <w:rPr>
                <w:sz w:val="20"/>
                <w:szCs w:val="20"/>
                <w:color w:val="auto"/>
              </w:rPr>
            </w:pPr>
            <w:r>
              <w:rPr>
                <w:rFonts w:ascii="Arial" w:cs="Arial" w:eastAsia="Arial" w:hAnsi="Arial"/>
                <w:sz w:val="14"/>
                <w:szCs w:val="14"/>
                <w:b w:val="1"/>
                <w:bCs w:val="1"/>
                <w:color w:val="auto"/>
              </w:rPr>
              <w:t>Total liabilities and members' equity</w:t>
            </w:r>
          </w:p>
        </w:tc>
        <w:tc>
          <w:tcPr>
            <w:tcW w:w="160" w:type="dxa"/>
            <w:vAlign w:val="bottom"/>
            <w:tcBorders>
              <w:bottom w:val="single" w:sz="8" w:color="auto"/>
            </w:tcBorders>
            <w:shd w:val="clear" w:color="auto" w:fill="CCECFF"/>
          </w:tcPr>
          <w:p>
            <w:pPr>
              <w:jc w:val="right"/>
              <w:ind w:right="8"/>
              <w:spacing w:after="0" w:line="155" w:lineRule="exact"/>
              <w:rPr>
                <w:sz w:val="20"/>
                <w:szCs w:val="20"/>
                <w:color w:val="auto"/>
              </w:rPr>
            </w:pPr>
            <w:r>
              <w:rPr>
                <w:rFonts w:ascii="Arial" w:cs="Arial" w:eastAsia="Arial" w:hAnsi="Arial"/>
                <w:sz w:val="14"/>
                <w:szCs w:val="14"/>
                <w:color w:val="auto"/>
                <w:w w:val="76"/>
              </w:rPr>
              <w:t>$</w:t>
            </w:r>
          </w:p>
        </w:tc>
        <w:tc>
          <w:tcPr>
            <w:tcW w:w="148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507,769,252</w:t>
            </w:r>
          </w:p>
        </w:tc>
        <w:tc>
          <w:tcPr>
            <w:tcW w:w="300" w:type="dxa"/>
            <w:vAlign w:val="bottom"/>
            <w:tcBorders>
              <w:bottom w:val="single" w:sz="8" w:color="CCECFF"/>
            </w:tcBorders>
            <w:shd w:val="clear" w:color="auto" w:fill="CCECFF"/>
          </w:tcPr>
          <w:p>
            <w:pPr>
              <w:spacing w:after="0"/>
              <w:rPr>
                <w:sz w:val="13"/>
                <w:szCs w:val="13"/>
                <w:color w:val="auto"/>
              </w:rPr>
            </w:pPr>
          </w:p>
        </w:tc>
        <w:tc>
          <w:tcPr>
            <w:tcW w:w="140" w:type="dxa"/>
            <w:vAlign w:val="bottom"/>
            <w:tcBorders>
              <w:bottom w:val="single" w:sz="8" w:color="auto"/>
            </w:tcBorders>
            <w:shd w:val="clear" w:color="auto" w:fill="CCECFF"/>
          </w:tcPr>
          <w:p>
            <w:pPr>
              <w:jc w:val="right"/>
              <w:ind w:right="29"/>
              <w:spacing w:after="0"/>
              <w:rPr>
                <w:sz w:val="20"/>
                <w:szCs w:val="20"/>
                <w:color w:val="auto"/>
              </w:rPr>
            </w:pPr>
            <w:r>
              <w:rPr>
                <w:rFonts w:ascii="Arial" w:cs="Arial" w:eastAsia="Arial" w:hAnsi="Arial"/>
                <w:sz w:val="10"/>
                <w:szCs w:val="10"/>
                <w:color w:val="auto"/>
                <w:w w:val="71"/>
              </w:rPr>
              <w:t>$</w:t>
            </w:r>
          </w:p>
        </w:tc>
        <w:tc>
          <w:tcPr>
            <w:tcW w:w="150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506,696,606</w:t>
            </w:r>
          </w:p>
        </w:tc>
        <w:tc>
          <w:tcPr>
            <w:tcW w:w="120" w:type="dxa"/>
            <w:vAlign w:val="bottom"/>
            <w:tcBorders>
              <w:bottom w:val="single" w:sz="8" w:color="CCECFF"/>
            </w:tcBorders>
            <w:shd w:val="clear" w:color="auto" w:fill="CCECFF"/>
          </w:tcPr>
          <w:p>
            <w:pPr>
              <w:spacing w:after="0"/>
              <w:rPr>
                <w:sz w:val="13"/>
                <w:szCs w:val="13"/>
                <w:color w:val="auto"/>
              </w:rPr>
            </w:pPr>
          </w:p>
        </w:tc>
      </w:tr>
      <w:tr>
        <w:trPr>
          <w:trHeight w:val="20"/>
        </w:trPr>
        <w:tc>
          <w:tcPr>
            <w:tcW w:w="75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185991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859915" cy="8255"/>
                    </a:xfrm>
                    <a:prstGeom prst="rect">
                      <a:avLst/>
                    </a:prstGeom>
                    <a:noFill/>
                  </pic:spPr>
                </pic:pic>
              </a:graphicData>
            </a:graphic>
          </wp:anchor>
        </w:drawing>
      </w:r>
    </w:p>
    <w:p>
      <w:pPr>
        <w:spacing w:after="0" w:line="150" w:lineRule="exact"/>
        <w:rPr>
          <w:sz w:val="20"/>
          <w:szCs w:val="20"/>
          <w:color w:val="auto"/>
        </w:rPr>
      </w:pPr>
    </w:p>
    <w:p>
      <w:pPr>
        <w:ind w:left="380" w:hanging="372"/>
        <w:spacing w:after="0"/>
        <w:tabs>
          <w:tab w:leader="none" w:pos="380" w:val="left"/>
        </w:tabs>
        <w:numPr>
          <w:ilvl w:val="0"/>
          <w:numId w:val="24"/>
        </w:numPr>
        <w:rPr>
          <w:rFonts w:ascii="Arial" w:cs="Arial" w:eastAsia="Arial" w:hAnsi="Arial"/>
          <w:sz w:val="12"/>
          <w:szCs w:val="12"/>
          <w:color w:val="auto"/>
        </w:rPr>
      </w:pPr>
      <w:r>
        <w:rPr>
          <w:rFonts w:ascii="Arial" w:cs="Arial" w:eastAsia="Arial" w:hAnsi="Arial"/>
          <w:sz w:val="14"/>
          <w:szCs w:val="14"/>
          <w:color w:val="auto"/>
        </w:rPr>
        <w:t>As of December 31, 2019 and September 30, 2019, PSSL had unfunded commitments to fund investments of $0.1 million and $0.3 million, respectively.</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740" w:type="dxa"/>
            <w:vAlign w:val="bottom"/>
          </w:tcPr>
          <w:p>
            <w:pPr>
              <w:spacing w:after="0"/>
              <w:rPr>
                <w:sz w:val="14"/>
                <w:szCs w:val="14"/>
                <w:color w:val="auto"/>
              </w:rPr>
            </w:pPr>
          </w:p>
        </w:tc>
        <w:tc>
          <w:tcPr>
            <w:tcW w:w="3820" w:type="dxa"/>
            <w:vAlign w:val="bottom"/>
            <w:gridSpan w:val="2"/>
          </w:tcPr>
          <w:p>
            <w:pPr>
              <w:jc w:val="right"/>
              <w:ind w:right="2155"/>
              <w:spacing w:after="0"/>
              <w:rPr>
                <w:sz w:val="20"/>
                <w:szCs w:val="20"/>
                <w:color w:val="auto"/>
              </w:rPr>
            </w:pPr>
            <w:r>
              <w:rPr>
                <w:rFonts w:ascii="Arial" w:cs="Arial" w:eastAsia="Arial" w:hAnsi="Arial"/>
                <w:sz w:val="14"/>
                <w:szCs w:val="14"/>
                <w:b w:val="1"/>
                <w:bCs w:val="1"/>
                <w:color w:val="auto"/>
                <w:w w:val="92"/>
              </w:rPr>
              <w:t>Statements of Operations</w:t>
            </w: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1"/>
        </w:trPr>
        <w:tc>
          <w:tcPr>
            <w:tcW w:w="474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288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Three Months Ended December 31,</w:t>
            </w:r>
          </w:p>
        </w:tc>
        <w:tc>
          <w:tcPr>
            <w:tcW w:w="6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5"/>
        </w:trPr>
        <w:tc>
          <w:tcPr>
            <w:tcW w:w="4740" w:type="dxa"/>
            <w:vAlign w:val="bottom"/>
          </w:tcPr>
          <w:p>
            <w:pPr>
              <w:spacing w:after="0"/>
              <w:rPr>
                <w:sz w:val="13"/>
                <w:szCs w:val="13"/>
                <w:color w:val="auto"/>
              </w:rPr>
            </w:pPr>
          </w:p>
        </w:tc>
        <w:tc>
          <w:tcPr>
            <w:tcW w:w="2860" w:type="dxa"/>
            <w:vAlign w:val="bottom"/>
          </w:tcPr>
          <w:p>
            <w:pPr>
              <w:spacing w:after="0"/>
              <w:rPr>
                <w:sz w:val="13"/>
                <w:szCs w:val="13"/>
                <w:color w:val="auto"/>
              </w:rPr>
            </w:pPr>
          </w:p>
        </w:tc>
        <w:tc>
          <w:tcPr>
            <w:tcW w:w="96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2019</w:t>
            </w: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gridSpan w:val="2"/>
          </w:tcPr>
          <w:p>
            <w:pPr>
              <w:jc w:val="right"/>
              <w:spacing w:after="0" w:line="155" w:lineRule="exact"/>
              <w:rPr>
                <w:sz w:val="20"/>
                <w:szCs w:val="20"/>
                <w:color w:val="auto"/>
              </w:rPr>
            </w:pPr>
            <w:r>
              <w:rPr>
                <w:rFonts w:ascii="Arial" w:cs="Arial" w:eastAsia="Arial" w:hAnsi="Arial"/>
                <w:sz w:val="14"/>
                <w:szCs w:val="14"/>
                <w:b w:val="1"/>
                <w:bCs w:val="1"/>
                <w:color w:val="auto"/>
              </w:rPr>
              <w:t>2018</w:t>
            </w: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56"/>
        </w:trPr>
        <w:tc>
          <w:tcPr>
            <w:tcW w:w="4740" w:type="dxa"/>
            <w:vAlign w:val="bottom"/>
            <w:tcBorders>
              <w:top w:val="single" w:sz="8" w:color="CFF0FC"/>
            </w:tcBorders>
            <w:shd w:val="clear" w:color="auto" w:fill="CFF0FC"/>
          </w:tcPr>
          <w:p>
            <w:pPr>
              <w:spacing w:after="0" w:line="155" w:lineRule="exact"/>
              <w:rPr>
                <w:sz w:val="20"/>
                <w:szCs w:val="20"/>
                <w:color w:val="auto"/>
              </w:rPr>
            </w:pPr>
            <w:r>
              <w:rPr>
                <w:rFonts w:ascii="Arial" w:cs="Arial" w:eastAsia="Arial" w:hAnsi="Arial"/>
                <w:sz w:val="14"/>
                <w:szCs w:val="14"/>
                <w:b w:val="1"/>
                <w:bCs w:val="1"/>
                <w:color w:val="auto"/>
              </w:rPr>
              <w:t>Investment income:</w:t>
            </w:r>
          </w:p>
        </w:tc>
        <w:tc>
          <w:tcPr>
            <w:tcW w:w="2860" w:type="dxa"/>
            <w:vAlign w:val="bottom"/>
            <w:tcBorders>
              <w:top w:val="single" w:sz="8" w:color="CFF0FC"/>
            </w:tcBorders>
            <w:shd w:val="clear" w:color="auto" w:fill="CFF0FC"/>
          </w:tcPr>
          <w:p>
            <w:pPr>
              <w:spacing w:after="0"/>
              <w:rPr>
                <w:sz w:val="13"/>
                <w:szCs w:val="13"/>
                <w:color w:val="auto"/>
              </w:rPr>
            </w:pPr>
          </w:p>
        </w:tc>
        <w:tc>
          <w:tcPr>
            <w:tcW w:w="960" w:type="dxa"/>
            <w:vAlign w:val="bottom"/>
            <w:tcBorders>
              <w:top w:val="single" w:sz="8" w:color="auto"/>
            </w:tcBorders>
            <w:shd w:val="clear" w:color="auto" w:fill="CFF0FC"/>
          </w:tcPr>
          <w:p>
            <w:pPr>
              <w:spacing w:after="0"/>
              <w:rPr>
                <w:sz w:val="13"/>
                <w:szCs w:val="13"/>
                <w:color w:val="auto"/>
              </w:rPr>
            </w:pPr>
          </w:p>
        </w:tc>
        <w:tc>
          <w:tcPr>
            <w:tcW w:w="660" w:type="dxa"/>
            <w:vAlign w:val="bottom"/>
            <w:tcBorders>
              <w:top w:val="single" w:sz="8" w:color="auto"/>
            </w:tcBorders>
            <w:shd w:val="clear" w:color="auto" w:fill="CFF0FC"/>
          </w:tcPr>
          <w:p>
            <w:pPr>
              <w:spacing w:after="0"/>
              <w:rPr>
                <w:sz w:val="13"/>
                <w:szCs w:val="13"/>
                <w:color w:val="auto"/>
              </w:rPr>
            </w:pPr>
          </w:p>
        </w:tc>
        <w:tc>
          <w:tcPr>
            <w:tcW w:w="16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c>
          <w:tcPr>
            <w:tcW w:w="980" w:type="dxa"/>
            <w:vAlign w:val="bottom"/>
            <w:tcBorders>
              <w:top w:val="single" w:sz="8" w:color="auto"/>
            </w:tcBorders>
            <w:shd w:val="clear" w:color="auto" w:fill="CFF0FC"/>
          </w:tcPr>
          <w:p>
            <w:pPr>
              <w:spacing w:after="0"/>
              <w:rPr>
                <w:sz w:val="13"/>
                <w:szCs w:val="13"/>
                <w:color w:val="auto"/>
              </w:rPr>
            </w:pPr>
          </w:p>
        </w:tc>
        <w:tc>
          <w:tcPr>
            <w:tcW w:w="660" w:type="dxa"/>
            <w:vAlign w:val="bottom"/>
            <w:tcBorders>
              <w:top w:val="single" w:sz="8" w:color="auto"/>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r>
      <w:tr>
        <w:trPr>
          <w:trHeight w:val="162"/>
        </w:trPr>
        <w:tc>
          <w:tcPr>
            <w:tcW w:w="4740" w:type="dxa"/>
            <w:vAlign w:val="bottom"/>
          </w:tcPr>
          <w:p>
            <w:pPr>
              <w:ind w:left="260"/>
              <w:spacing w:after="0"/>
              <w:rPr>
                <w:sz w:val="20"/>
                <w:szCs w:val="20"/>
                <w:color w:val="auto"/>
              </w:rPr>
            </w:pPr>
            <w:r>
              <w:rPr>
                <w:rFonts w:ascii="Arial" w:cs="Arial" w:eastAsia="Arial" w:hAnsi="Arial"/>
                <w:sz w:val="14"/>
                <w:szCs w:val="14"/>
                <w:color w:val="auto"/>
              </w:rPr>
              <w:t>Interest</w:t>
            </w:r>
          </w:p>
        </w:tc>
        <w:tc>
          <w:tcPr>
            <w:tcW w:w="3820" w:type="dxa"/>
            <w:vAlign w:val="bottom"/>
            <w:gridSpan w:val="2"/>
          </w:tcPr>
          <w:p>
            <w:pPr>
              <w:jc w:val="right"/>
              <w:ind w:right="835"/>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w w:val="99"/>
              </w:rPr>
              <w:t>8,768,628</w:t>
            </w:r>
          </w:p>
        </w:tc>
        <w:tc>
          <w:tcPr>
            <w:tcW w:w="160" w:type="dxa"/>
            <w:vAlign w:val="bottom"/>
          </w:tcPr>
          <w:p>
            <w:pPr>
              <w:spacing w:after="0"/>
              <w:rPr>
                <w:sz w:val="14"/>
                <w:szCs w:val="14"/>
                <w:color w:val="auto"/>
              </w:rPr>
            </w:pPr>
          </w:p>
        </w:tc>
        <w:tc>
          <w:tcPr>
            <w:tcW w:w="1100" w:type="dxa"/>
            <w:vAlign w:val="bottom"/>
            <w:gridSpan w:val="2"/>
          </w:tcPr>
          <w:p>
            <w:pPr>
              <w:jc w:val="right"/>
              <w:ind w:right="828"/>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w w:val="99"/>
              </w:rPr>
              <w:t>9,541,567</w:t>
            </w:r>
          </w:p>
        </w:tc>
        <w:tc>
          <w:tcPr>
            <w:tcW w:w="100" w:type="dxa"/>
            <w:vAlign w:val="bottom"/>
          </w:tcPr>
          <w:p>
            <w:pPr>
              <w:spacing w:after="0"/>
              <w:rPr>
                <w:sz w:val="14"/>
                <w:szCs w:val="14"/>
                <w:color w:val="auto"/>
              </w:rPr>
            </w:pPr>
          </w:p>
        </w:tc>
      </w:tr>
      <w:tr>
        <w:trPr>
          <w:trHeight w:val="162"/>
        </w:trPr>
        <w:tc>
          <w:tcPr>
            <w:tcW w:w="4740" w:type="dxa"/>
            <w:vAlign w:val="bottom"/>
            <w:shd w:val="clear" w:color="auto" w:fill="CFF0FC"/>
          </w:tcPr>
          <w:p>
            <w:pPr>
              <w:ind w:left="260"/>
              <w:spacing w:after="0"/>
              <w:rPr>
                <w:sz w:val="20"/>
                <w:szCs w:val="20"/>
                <w:color w:val="auto"/>
              </w:rPr>
            </w:pPr>
            <w:r>
              <w:rPr>
                <w:rFonts w:ascii="Arial" w:cs="Arial" w:eastAsia="Arial" w:hAnsi="Arial"/>
                <w:sz w:val="14"/>
                <w:szCs w:val="14"/>
                <w:color w:val="auto"/>
              </w:rPr>
              <w:t>Other income</w:t>
            </w:r>
          </w:p>
        </w:tc>
        <w:tc>
          <w:tcPr>
            <w:tcW w:w="2860" w:type="dxa"/>
            <w:vAlign w:val="bottom"/>
            <w:shd w:val="clear" w:color="auto" w:fill="CFF0FC"/>
          </w:tcPr>
          <w:p>
            <w:pPr>
              <w:spacing w:after="0"/>
              <w:rPr>
                <w:sz w:val="14"/>
                <w:szCs w:val="14"/>
                <w:color w:val="auto"/>
              </w:rPr>
            </w:pPr>
          </w:p>
        </w:tc>
        <w:tc>
          <w:tcPr>
            <w:tcW w:w="96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157,913</w:t>
            </w:r>
          </w:p>
        </w:tc>
        <w:tc>
          <w:tcPr>
            <w:tcW w:w="100" w:type="dxa"/>
            <w:vAlign w:val="bottom"/>
            <w:shd w:val="clear" w:color="auto" w:fill="CFF0FC"/>
          </w:tcPr>
          <w:p>
            <w:pPr>
              <w:spacing w:after="0"/>
              <w:rPr>
                <w:sz w:val="14"/>
                <w:szCs w:val="14"/>
                <w:color w:val="auto"/>
              </w:rPr>
            </w:pPr>
          </w:p>
        </w:tc>
      </w:tr>
      <w:tr>
        <w:trPr>
          <w:trHeight w:val="155"/>
        </w:trPr>
        <w:tc>
          <w:tcPr>
            <w:tcW w:w="4740" w:type="dxa"/>
            <w:vAlign w:val="bottom"/>
            <w:tcBorders>
              <w:bottom w:val="single" w:sz="8" w:color="CFF0FC"/>
            </w:tcBorders>
          </w:tcPr>
          <w:p>
            <w:pPr>
              <w:ind w:left="260"/>
              <w:spacing w:after="0" w:line="155" w:lineRule="exact"/>
              <w:rPr>
                <w:sz w:val="20"/>
                <w:szCs w:val="20"/>
                <w:color w:val="auto"/>
              </w:rPr>
            </w:pPr>
            <w:r>
              <w:rPr>
                <w:rFonts w:ascii="Arial" w:cs="Arial" w:eastAsia="Arial" w:hAnsi="Arial"/>
                <w:sz w:val="14"/>
                <w:szCs w:val="14"/>
                <w:b w:val="1"/>
                <w:bCs w:val="1"/>
                <w:color w:val="auto"/>
              </w:rPr>
              <w:t>Total investment income</w:t>
            </w:r>
          </w:p>
        </w:tc>
        <w:tc>
          <w:tcPr>
            <w:tcW w:w="2860" w:type="dxa"/>
            <w:vAlign w:val="bottom"/>
            <w:tcBorders>
              <w:bottom w:val="single" w:sz="8" w:color="CFF0FC"/>
            </w:tcBorders>
          </w:tcPr>
          <w:p>
            <w:pPr>
              <w:spacing w:after="0"/>
              <w:rPr>
                <w:sz w:val="13"/>
                <w:szCs w:val="13"/>
                <w:color w:val="auto"/>
              </w:rPr>
            </w:pPr>
          </w:p>
        </w:tc>
        <w:tc>
          <w:tcPr>
            <w:tcW w:w="960" w:type="dxa"/>
            <w:vAlign w:val="bottom"/>
            <w:tcBorders>
              <w:top w:val="single" w:sz="8" w:color="auto"/>
              <w:bottom w:val="single" w:sz="8" w:color="auto"/>
            </w:tcBorders>
          </w:tcPr>
          <w:p>
            <w:pPr>
              <w:spacing w:after="0"/>
              <w:rPr>
                <w:sz w:val="13"/>
                <w:szCs w:val="13"/>
                <w:color w:val="auto"/>
              </w:rPr>
            </w:pPr>
          </w:p>
        </w:tc>
        <w:tc>
          <w:tcPr>
            <w:tcW w:w="6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9"/>
              </w:rPr>
              <w:t>8,768,628</w:t>
            </w:r>
          </w:p>
        </w:tc>
        <w:tc>
          <w:tcPr>
            <w:tcW w:w="160" w:type="dxa"/>
            <w:vAlign w:val="bottom"/>
            <w:tcBorders>
              <w:bottom w:val="single" w:sz="8" w:color="CFF0FC"/>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980" w:type="dxa"/>
            <w:vAlign w:val="bottom"/>
            <w:tcBorders>
              <w:top w:val="single" w:sz="8" w:color="auto"/>
              <w:bottom w:val="single" w:sz="8" w:color="auto"/>
            </w:tcBorders>
          </w:tcPr>
          <w:p>
            <w:pPr>
              <w:spacing w:after="0"/>
              <w:rPr>
                <w:sz w:val="13"/>
                <w:szCs w:val="13"/>
                <w:color w:val="auto"/>
              </w:rPr>
            </w:pPr>
          </w:p>
        </w:tc>
        <w:tc>
          <w:tcPr>
            <w:tcW w:w="6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9"/>
              </w:rPr>
              <w:t>9,699,480</w:t>
            </w:r>
          </w:p>
        </w:tc>
        <w:tc>
          <w:tcPr>
            <w:tcW w:w="100" w:type="dxa"/>
            <w:vAlign w:val="bottom"/>
            <w:tcBorders>
              <w:bottom w:val="single" w:sz="8" w:color="CFF0FC"/>
            </w:tcBorders>
          </w:tcPr>
          <w:p>
            <w:pPr>
              <w:spacing w:after="0"/>
              <w:rPr>
                <w:sz w:val="13"/>
                <w:szCs w:val="13"/>
                <w:color w:val="auto"/>
              </w:rPr>
            </w:pPr>
          </w:p>
        </w:tc>
      </w:tr>
      <w:tr>
        <w:trPr>
          <w:trHeight w:val="156"/>
        </w:trPr>
        <w:tc>
          <w:tcPr>
            <w:tcW w:w="4740" w:type="dxa"/>
            <w:vAlign w:val="bottom"/>
            <w:shd w:val="clear" w:color="auto" w:fill="CFF0FC"/>
          </w:tcPr>
          <w:p>
            <w:pPr>
              <w:spacing w:after="0" w:line="155" w:lineRule="exact"/>
              <w:rPr>
                <w:sz w:val="20"/>
                <w:szCs w:val="20"/>
                <w:color w:val="auto"/>
              </w:rPr>
            </w:pPr>
            <w:r>
              <w:rPr>
                <w:rFonts w:ascii="Arial" w:cs="Arial" w:eastAsia="Arial" w:hAnsi="Arial"/>
                <w:sz w:val="14"/>
                <w:szCs w:val="14"/>
                <w:b w:val="1"/>
                <w:bCs w:val="1"/>
                <w:color w:val="auto"/>
              </w:rPr>
              <w:t>Expenses:</w:t>
            </w:r>
          </w:p>
        </w:tc>
        <w:tc>
          <w:tcPr>
            <w:tcW w:w="2860" w:type="dxa"/>
            <w:vAlign w:val="bottom"/>
            <w:shd w:val="clear" w:color="auto" w:fill="CFF0FC"/>
          </w:tcPr>
          <w:p>
            <w:pPr>
              <w:spacing w:after="0"/>
              <w:rPr>
                <w:sz w:val="13"/>
                <w:szCs w:val="13"/>
                <w:color w:val="auto"/>
              </w:rPr>
            </w:pPr>
          </w:p>
        </w:tc>
        <w:tc>
          <w:tcPr>
            <w:tcW w:w="96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98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r>
      <w:tr>
        <w:trPr>
          <w:trHeight w:val="162"/>
        </w:trPr>
        <w:tc>
          <w:tcPr>
            <w:tcW w:w="4740" w:type="dxa"/>
            <w:vAlign w:val="bottom"/>
          </w:tcPr>
          <w:p>
            <w:pPr>
              <w:ind w:left="260"/>
              <w:spacing w:after="0"/>
              <w:rPr>
                <w:sz w:val="20"/>
                <w:szCs w:val="20"/>
                <w:color w:val="auto"/>
              </w:rPr>
            </w:pPr>
            <w:r>
              <w:rPr>
                <w:rFonts w:ascii="Arial" w:cs="Arial" w:eastAsia="Arial" w:hAnsi="Arial"/>
                <w:sz w:val="14"/>
                <w:szCs w:val="14"/>
                <w:color w:val="auto"/>
              </w:rPr>
              <w:t>Interest and expenses on PSSL Credit Facility</w:t>
            </w:r>
          </w:p>
        </w:tc>
        <w:tc>
          <w:tcPr>
            <w:tcW w:w="28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w w:val="99"/>
              </w:rPr>
              <w:t>3,606,085</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w w:val="99"/>
              </w:rPr>
              <w:t>4,087,476</w:t>
            </w:r>
          </w:p>
        </w:tc>
        <w:tc>
          <w:tcPr>
            <w:tcW w:w="100" w:type="dxa"/>
            <w:vAlign w:val="bottom"/>
          </w:tcPr>
          <w:p>
            <w:pPr>
              <w:spacing w:after="0"/>
              <w:rPr>
                <w:sz w:val="14"/>
                <w:szCs w:val="14"/>
                <w:color w:val="auto"/>
              </w:rPr>
            </w:pPr>
          </w:p>
        </w:tc>
      </w:tr>
      <w:tr>
        <w:trPr>
          <w:trHeight w:val="162"/>
        </w:trPr>
        <w:tc>
          <w:tcPr>
            <w:tcW w:w="4740" w:type="dxa"/>
            <w:vAlign w:val="bottom"/>
            <w:shd w:val="clear" w:color="auto" w:fill="CFF0FC"/>
          </w:tcPr>
          <w:p>
            <w:pPr>
              <w:ind w:left="260"/>
              <w:spacing w:after="0"/>
              <w:rPr>
                <w:sz w:val="20"/>
                <w:szCs w:val="20"/>
                <w:color w:val="auto"/>
              </w:rPr>
            </w:pPr>
            <w:r>
              <w:rPr>
                <w:rFonts w:ascii="Arial" w:cs="Arial" w:eastAsia="Arial" w:hAnsi="Arial"/>
                <w:sz w:val="14"/>
                <w:szCs w:val="14"/>
                <w:color w:val="auto"/>
              </w:rPr>
              <w:t>Interest expense on notes to members</w:t>
            </w:r>
          </w:p>
        </w:tc>
        <w:tc>
          <w:tcPr>
            <w:tcW w:w="2860" w:type="dxa"/>
            <w:vAlign w:val="bottom"/>
            <w:shd w:val="clear" w:color="auto" w:fill="CFF0FC"/>
          </w:tcPr>
          <w:p>
            <w:pPr>
              <w:spacing w:after="0"/>
              <w:rPr>
                <w:sz w:val="14"/>
                <w:szCs w:val="14"/>
                <w:color w:val="auto"/>
              </w:rPr>
            </w:pPr>
          </w:p>
        </w:tc>
        <w:tc>
          <w:tcPr>
            <w:tcW w:w="96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w w:val="99"/>
              </w:rPr>
              <w:t>3,430,557</w:t>
            </w: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w w:val="99"/>
              </w:rPr>
              <w:t>3,220,623</w:t>
            </w:r>
          </w:p>
        </w:tc>
        <w:tc>
          <w:tcPr>
            <w:tcW w:w="100" w:type="dxa"/>
            <w:vAlign w:val="bottom"/>
            <w:shd w:val="clear" w:color="auto" w:fill="CFF0FC"/>
          </w:tcPr>
          <w:p>
            <w:pPr>
              <w:spacing w:after="0"/>
              <w:rPr>
                <w:sz w:val="14"/>
                <w:szCs w:val="14"/>
                <w:color w:val="auto"/>
              </w:rPr>
            </w:pPr>
          </w:p>
        </w:tc>
      </w:tr>
      <w:tr>
        <w:trPr>
          <w:trHeight w:val="162"/>
        </w:trPr>
        <w:tc>
          <w:tcPr>
            <w:tcW w:w="4740" w:type="dxa"/>
            <w:vAlign w:val="bottom"/>
          </w:tcPr>
          <w:p>
            <w:pPr>
              <w:ind w:left="260"/>
              <w:spacing w:after="0"/>
              <w:rPr>
                <w:sz w:val="20"/>
                <w:szCs w:val="20"/>
                <w:color w:val="auto"/>
              </w:rPr>
            </w:pPr>
            <w:r>
              <w:rPr>
                <w:rFonts w:ascii="Arial" w:cs="Arial" w:eastAsia="Arial" w:hAnsi="Arial"/>
                <w:sz w:val="14"/>
                <w:szCs w:val="14"/>
                <w:color w:val="auto"/>
              </w:rPr>
              <w:t>Administrative services expenses</w:t>
            </w:r>
          </w:p>
        </w:tc>
        <w:tc>
          <w:tcPr>
            <w:tcW w:w="28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300,000</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250,000</w:t>
            </w:r>
          </w:p>
        </w:tc>
        <w:tc>
          <w:tcPr>
            <w:tcW w:w="100" w:type="dxa"/>
            <w:vAlign w:val="bottom"/>
          </w:tcPr>
          <w:p>
            <w:pPr>
              <w:spacing w:after="0"/>
              <w:rPr>
                <w:sz w:val="14"/>
                <w:szCs w:val="14"/>
                <w:color w:val="auto"/>
              </w:rPr>
            </w:pPr>
          </w:p>
        </w:tc>
      </w:tr>
      <w:tr>
        <w:trPr>
          <w:trHeight w:val="162"/>
        </w:trPr>
        <w:tc>
          <w:tcPr>
            <w:tcW w:w="4740" w:type="dxa"/>
            <w:vAlign w:val="bottom"/>
            <w:shd w:val="clear" w:color="auto" w:fill="CFF0FC"/>
          </w:tcPr>
          <w:p>
            <w:pPr>
              <w:ind w:left="260"/>
              <w:spacing w:after="0"/>
              <w:rPr>
                <w:sz w:val="20"/>
                <w:szCs w:val="20"/>
                <w:color w:val="auto"/>
              </w:rPr>
            </w:pPr>
            <w:r>
              <w:rPr>
                <w:rFonts w:ascii="Arial" w:cs="Arial" w:eastAsia="Arial" w:hAnsi="Arial"/>
                <w:sz w:val="14"/>
                <w:szCs w:val="14"/>
                <w:color w:val="auto"/>
              </w:rPr>
              <w:t xml:space="preserve">Other general and administrative expenses </w:t>
            </w:r>
            <w:r>
              <w:rPr>
                <w:rFonts w:ascii="Arial" w:cs="Arial" w:eastAsia="Arial" w:hAnsi="Arial"/>
                <w:sz w:val="12"/>
                <w:szCs w:val="12"/>
                <w:color w:val="auto"/>
              </w:rPr>
              <w:t>(1)</w:t>
            </w:r>
          </w:p>
        </w:tc>
        <w:tc>
          <w:tcPr>
            <w:tcW w:w="2860" w:type="dxa"/>
            <w:vAlign w:val="bottom"/>
            <w:shd w:val="clear" w:color="auto" w:fill="CFF0FC"/>
          </w:tcPr>
          <w:p>
            <w:pPr>
              <w:spacing w:after="0"/>
              <w:rPr>
                <w:sz w:val="14"/>
                <w:szCs w:val="14"/>
                <w:color w:val="auto"/>
              </w:rPr>
            </w:pPr>
          </w:p>
        </w:tc>
        <w:tc>
          <w:tcPr>
            <w:tcW w:w="960" w:type="dxa"/>
            <w:vAlign w:val="bottom"/>
            <w:tcBorders>
              <w:bottom w:val="single" w:sz="8" w:color="auto"/>
            </w:tcBorders>
            <w:shd w:val="clear" w:color="auto" w:fill="CFF0FC"/>
          </w:tcPr>
          <w:p>
            <w:pPr>
              <w:spacing w:after="0"/>
              <w:rPr>
                <w:sz w:val="14"/>
                <w:szCs w:val="14"/>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113,710</w:t>
            </w: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80" w:type="dxa"/>
            <w:vAlign w:val="bottom"/>
            <w:tcBorders>
              <w:bottom w:val="single" w:sz="8" w:color="auto"/>
            </w:tcBorders>
            <w:shd w:val="clear" w:color="auto" w:fill="CFF0FC"/>
          </w:tcPr>
          <w:p>
            <w:pPr>
              <w:spacing w:after="0"/>
              <w:rPr>
                <w:sz w:val="14"/>
                <w:szCs w:val="14"/>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113,650</w:t>
            </w:r>
          </w:p>
        </w:tc>
        <w:tc>
          <w:tcPr>
            <w:tcW w:w="100" w:type="dxa"/>
            <w:vAlign w:val="bottom"/>
            <w:shd w:val="clear" w:color="auto" w:fill="CFF0FC"/>
          </w:tcPr>
          <w:p>
            <w:pPr>
              <w:spacing w:after="0"/>
              <w:rPr>
                <w:sz w:val="14"/>
                <w:szCs w:val="14"/>
                <w:color w:val="auto"/>
              </w:rPr>
            </w:pPr>
          </w:p>
        </w:tc>
      </w:tr>
      <w:tr>
        <w:trPr>
          <w:trHeight w:val="156"/>
        </w:trPr>
        <w:tc>
          <w:tcPr>
            <w:tcW w:w="4740" w:type="dxa"/>
            <w:vAlign w:val="bottom"/>
            <w:tcBorders>
              <w:bottom w:val="single" w:sz="8" w:color="CFF0FC"/>
            </w:tcBorders>
          </w:tcPr>
          <w:p>
            <w:pPr>
              <w:ind w:left="260"/>
              <w:spacing w:after="0" w:line="155" w:lineRule="exact"/>
              <w:rPr>
                <w:sz w:val="20"/>
                <w:szCs w:val="20"/>
                <w:color w:val="auto"/>
              </w:rPr>
            </w:pPr>
            <w:r>
              <w:rPr>
                <w:rFonts w:ascii="Arial" w:cs="Arial" w:eastAsia="Arial" w:hAnsi="Arial"/>
                <w:sz w:val="14"/>
                <w:szCs w:val="14"/>
                <w:b w:val="1"/>
                <w:bCs w:val="1"/>
                <w:color w:val="auto"/>
              </w:rPr>
              <w:t>Total expenses</w:t>
            </w:r>
          </w:p>
        </w:tc>
        <w:tc>
          <w:tcPr>
            <w:tcW w:w="2860" w:type="dxa"/>
            <w:vAlign w:val="bottom"/>
            <w:tcBorders>
              <w:bottom w:val="single" w:sz="8" w:color="CFF0FC"/>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9"/>
              </w:rPr>
              <w:t>7,450,352</w:t>
            </w:r>
          </w:p>
        </w:tc>
        <w:tc>
          <w:tcPr>
            <w:tcW w:w="160" w:type="dxa"/>
            <w:vAlign w:val="bottom"/>
            <w:tcBorders>
              <w:bottom w:val="single" w:sz="8" w:color="CFF0FC"/>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9"/>
              </w:rPr>
              <w:t>7,671,749</w:t>
            </w:r>
          </w:p>
        </w:tc>
        <w:tc>
          <w:tcPr>
            <w:tcW w:w="100" w:type="dxa"/>
            <w:vAlign w:val="bottom"/>
            <w:tcBorders>
              <w:bottom w:val="single" w:sz="8" w:color="CFF0FC"/>
            </w:tcBorders>
          </w:tcPr>
          <w:p>
            <w:pPr>
              <w:spacing w:after="0"/>
              <w:rPr>
                <w:sz w:val="13"/>
                <w:szCs w:val="13"/>
                <w:color w:val="auto"/>
              </w:rPr>
            </w:pPr>
          </w:p>
        </w:tc>
      </w:tr>
      <w:tr>
        <w:trPr>
          <w:trHeight w:val="155"/>
        </w:trPr>
        <w:tc>
          <w:tcPr>
            <w:tcW w:w="4740" w:type="dxa"/>
            <w:vAlign w:val="bottom"/>
            <w:shd w:val="clear" w:color="auto" w:fill="CFF0FC"/>
          </w:tcPr>
          <w:p>
            <w:pPr>
              <w:ind w:left="260"/>
              <w:spacing w:after="0" w:line="155" w:lineRule="exact"/>
              <w:rPr>
                <w:sz w:val="20"/>
                <w:szCs w:val="20"/>
                <w:color w:val="auto"/>
              </w:rPr>
            </w:pPr>
            <w:r>
              <w:rPr>
                <w:rFonts w:ascii="Arial" w:cs="Arial" w:eastAsia="Arial" w:hAnsi="Arial"/>
                <w:sz w:val="14"/>
                <w:szCs w:val="14"/>
                <w:b w:val="1"/>
                <w:bCs w:val="1"/>
                <w:color w:val="auto"/>
              </w:rPr>
              <w:t>Net investment income</w:t>
            </w:r>
          </w:p>
        </w:tc>
        <w:tc>
          <w:tcPr>
            <w:tcW w:w="2860" w:type="dxa"/>
            <w:vAlign w:val="bottom"/>
            <w:shd w:val="clear" w:color="auto" w:fill="CFF0FC"/>
          </w:tcPr>
          <w:p>
            <w:pPr>
              <w:spacing w:after="0"/>
              <w:rPr>
                <w:sz w:val="13"/>
                <w:szCs w:val="13"/>
                <w:color w:val="auto"/>
              </w:rPr>
            </w:pPr>
          </w:p>
        </w:tc>
        <w:tc>
          <w:tcPr>
            <w:tcW w:w="960" w:type="dxa"/>
            <w:vAlign w:val="bottom"/>
            <w:tcBorders>
              <w:bottom w:val="single" w:sz="8" w:color="auto"/>
            </w:tcBorders>
            <w:shd w:val="clear" w:color="auto" w:fill="CFF0FC"/>
          </w:tcPr>
          <w:p>
            <w:pPr>
              <w:spacing w:after="0"/>
              <w:rPr>
                <w:sz w:val="13"/>
                <w:szCs w:val="13"/>
                <w:color w:val="auto"/>
              </w:rPr>
            </w:pPr>
          </w:p>
        </w:tc>
        <w:tc>
          <w:tcPr>
            <w:tcW w:w="66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99"/>
              </w:rPr>
              <w:t>1,318,276</w:t>
            </w:r>
          </w:p>
        </w:tc>
        <w:tc>
          <w:tcPr>
            <w:tcW w:w="1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980" w:type="dxa"/>
            <w:vAlign w:val="bottom"/>
            <w:tcBorders>
              <w:bottom w:val="single" w:sz="8" w:color="auto"/>
            </w:tcBorders>
            <w:shd w:val="clear" w:color="auto" w:fill="CFF0FC"/>
          </w:tcPr>
          <w:p>
            <w:pPr>
              <w:spacing w:after="0"/>
              <w:rPr>
                <w:sz w:val="13"/>
                <w:szCs w:val="13"/>
                <w:color w:val="auto"/>
              </w:rPr>
            </w:pPr>
          </w:p>
        </w:tc>
        <w:tc>
          <w:tcPr>
            <w:tcW w:w="66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99"/>
              </w:rPr>
              <w:t>2,027,731</w:t>
            </w:r>
          </w:p>
        </w:tc>
        <w:tc>
          <w:tcPr>
            <w:tcW w:w="100" w:type="dxa"/>
            <w:vAlign w:val="bottom"/>
            <w:shd w:val="clear" w:color="auto" w:fill="CFF0FC"/>
          </w:tcPr>
          <w:p>
            <w:pPr>
              <w:spacing w:after="0"/>
              <w:rPr>
                <w:sz w:val="13"/>
                <w:szCs w:val="13"/>
                <w:color w:val="auto"/>
              </w:rPr>
            </w:pPr>
          </w:p>
        </w:tc>
      </w:tr>
      <w:tr>
        <w:trPr>
          <w:trHeight w:val="133"/>
        </w:trPr>
        <w:tc>
          <w:tcPr>
            <w:tcW w:w="4740" w:type="dxa"/>
            <w:vAlign w:val="bottom"/>
          </w:tcPr>
          <w:p>
            <w:pPr>
              <w:spacing w:after="0" w:line="133" w:lineRule="exact"/>
              <w:rPr>
                <w:sz w:val="20"/>
                <w:szCs w:val="20"/>
                <w:color w:val="auto"/>
              </w:rPr>
            </w:pPr>
            <w:r>
              <w:rPr>
                <w:rFonts w:ascii="Arial" w:cs="Arial" w:eastAsia="Arial" w:hAnsi="Arial"/>
                <w:sz w:val="14"/>
                <w:szCs w:val="14"/>
                <w:b w:val="1"/>
                <w:bCs w:val="1"/>
                <w:color w:val="auto"/>
                <w:w w:val="92"/>
              </w:rPr>
              <w:t>Realized and unrealized gain (loss) on investments and credit facility foreign</w:t>
            </w:r>
          </w:p>
        </w:tc>
        <w:tc>
          <w:tcPr>
            <w:tcW w:w="28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71"/>
        </w:trPr>
        <w:tc>
          <w:tcPr>
            <w:tcW w:w="4740" w:type="dxa"/>
            <w:vAlign w:val="bottom"/>
          </w:tcPr>
          <w:p>
            <w:pPr>
              <w:ind w:left="120"/>
              <w:spacing w:after="0"/>
              <w:rPr>
                <w:sz w:val="20"/>
                <w:szCs w:val="20"/>
                <w:color w:val="auto"/>
              </w:rPr>
            </w:pPr>
            <w:r>
              <w:rPr>
                <w:rFonts w:ascii="Arial" w:cs="Arial" w:eastAsia="Arial" w:hAnsi="Arial"/>
                <w:sz w:val="14"/>
                <w:szCs w:val="14"/>
                <w:b w:val="1"/>
                <w:bCs w:val="1"/>
                <w:color w:val="auto"/>
              </w:rPr>
              <w:t>currency translations:</w:t>
            </w:r>
          </w:p>
        </w:tc>
        <w:tc>
          <w:tcPr>
            <w:tcW w:w="28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4740" w:type="dxa"/>
            <w:vAlign w:val="bottom"/>
            <w:shd w:val="clear" w:color="auto" w:fill="CFF0FC"/>
          </w:tcPr>
          <w:p>
            <w:pPr>
              <w:spacing w:after="0"/>
              <w:rPr>
                <w:sz w:val="20"/>
                <w:szCs w:val="20"/>
                <w:color w:val="auto"/>
              </w:rPr>
            </w:pPr>
            <w:r>
              <w:rPr>
                <w:rFonts w:ascii="Arial" w:cs="Arial" w:eastAsia="Arial" w:hAnsi="Arial"/>
                <w:sz w:val="14"/>
                <w:szCs w:val="14"/>
                <w:color w:val="auto"/>
              </w:rPr>
              <w:t>Net realized gain on investments</w:t>
            </w:r>
          </w:p>
        </w:tc>
        <w:tc>
          <w:tcPr>
            <w:tcW w:w="2860" w:type="dxa"/>
            <w:vAlign w:val="bottom"/>
            <w:shd w:val="clear" w:color="auto" w:fill="CFF0FC"/>
          </w:tcPr>
          <w:p>
            <w:pPr>
              <w:spacing w:after="0"/>
              <w:rPr>
                <w:sz w:val="14"/>
                <w:szCs w:val="14"/>
                <w:color w:val="auto"/>
              </w:rPr>
            </w:pPr>
          </w:p>
        </w:tc>
        <w:tc>
          <w:tcPr>
            <w:tcW w:w="96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452,477</w:t>
            </w: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258,233</w:t>
            </w:r>
          </w:p>
        </w:tc>
        <w:tc>
          <w:tcPr>
            <w:tcW w:w="100" w:type="dxa"/>
            <w:vAlign w:val="bottom"/>
            <w:shd w:val="clear" w:color="auto" w:fill="CFF0FC"/>
          </w:tcPr>
          <w:p>
            <w:pPr>
              <w:spacing w:after="0"/>
              <w:rPr>
                <w:sz w:val="14"/>
                <w:szCs w:val="14"/>
                <w:color w:val="auto"/>
              </w:rPr>
            </w:pPr>
          </w:p>
        </w:tc>
      </w:tr>
      <w:tr>
        <w:trPr>
          <w:trHeight w:val="162"/>
        </w:trPr>
        <w:tc>
          <w:tcPr>
            <w:tcW w:w="4740" w:type="dxa"/>
            <w:vAlign w:val="bottom"/>
          </w:tcPr>
          <w:p>
            <w:pPr>
              <w:spacing w:after="0"/>
              <w:rPr>
                <w:sz w:val="20"/>
                <w:szCs w:val="20"/>
                <w:color w:val="auto"/>
              </w:rPr>
            </w:pPr>
            <w:r>
              <w:rPr>
                <w:rFonts w:ascii="Arial" w:cs="Arial" w:eastAsia="Arial" w:hAnsi="Arial"/>
                <w:sz w:val="14"/>
                <w:szCs w:val="14"/>
                <w:color w:val="auto"/>
              </w:rPr>
              <w:t>Net change in unrealized appreciation (depreciation) on:</w:t>
            </w:r>
          </w:p>
        </w:tc>
        <w:tc>
          <w:tcPr>
            <w:tcW w:w="28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4740" w:type="dxa"/>
            <w:vAlign w:val="bottom"/>
            <w:shd w:val="clear" w:color="auto" w:fill="CFF0FC"/>
          </w:tcPr>
          <w:p>
            <w:pPr>
              <w:ind w:left="260"/>
              <w:spacing w:after="0"/>
              <w:rPr>
                <w:sz w:val="20"/>
                <w:szCs w:val="20"/>
                <w:color w:val="auto"/>
              </w:rPr>
            </w:pPr>
            <w:r>
              <w:rPr>
                <w:rFonts w:ascii="Arial" w:cs="Arial" w:eastAsia="Arial" w:hAnsi="Arial"/>
                <w:sz w:val="14"/>
                <w:szCs w:val="14"/>
                <w:color w:val="auto"/>
              </w:rPr>
              <w:t>Investments</w:t>
            </w:r>
          </w:p>
        </w:tc>
        <w:tc>
          <w:tcPr>
            <w:tcW w:w="2860" w:type="dxa"/>
            <w:vAlign w:val="bottom"/>
            <w:shd w:val="clear" w:color="auto" w:fill="CFF0FC"/>
          </w:tcPr>
          <w:p>
            <w:pPr>
              <w:spacing w:after="0"/>
              <w:rPr>
                <w:sz w:val="14"/>
                <w:szCs w:val="14"/>
                <w:color w:val="auto"/>
              </w:rPr>
            </w:pPr>
          </w:p>
        </w:tc>
        <w:tc>
          <w:tcPr>
            <w:tcW w:w="96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w w:val="99"/>
              </w:rPr>
              <w:t>1,078,789</w:t>
            </w: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w w:val="94"/>
              </w:rPr>
              <w:t>(4,035,710)</w:t>
            </w:r>
          </w:p>
        </w:tc>
      </w:tr>
      <w:tr>
        <w:trPr>
          <w:trHeight w:val="162"/>
        </w:trPr>
        <w:tc>
          <w:tcPr>
            <w:tcW w:w="4740" w:type="dxa"/>
            <w:vAlign w:val="bottom"/>
          </w:tcPr>
          <w:p>
            <w:pPr>
              <w:ind w:left="260"/>
              <w:spacing w:after="0"/>
              <w:rPr>
                <w:sz w:val="20"/>
                <w:szCs w:val="20"/>
                <w:color w:val="auto"/>
              </w:rPr>
            </w:pPr>
            <w:r>
              <w:rPr>
                <w:rFonts w:ascii="Arial" w:cs="Arial" w:eastAsia="Arial" w:hAnsi="Arial"/>
                <w:sz w:val="14"/>
                <w:szCs w:val="14"/>
                <w:color w:val="auto"/>
              </w:rPr>
              <w:t>Credit facility (appreciation) depreciation of foreign currency translations</w:t>
            </w:r>
          </w:p>
        </w:tc>
        <w:tc>
          <w:tcPr>
            <w:tcW w:w="28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4"/>
                <w:szCs w:val="14"/>
                <w:color w:val="auto"/>
                <w:w w:val="94"/>
              </w:rPr>
              <w:t>(1,325,522)</w:t>
            </w: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847,498</w:t>
            </w:r>
          </w:p>
        </w:tc>
        <w:tc>
          <w:tcPr>
            <w:tcW w:w="100" w:type="dxa"/>
            <w:vAlign w:val="bottom"/>
          </w:tcPr>
          <w:p>
            <w:pPr>
              <w:spacing w:after="0"/>
              <w:rPr>
                <w:sz w:val="14"/>
                <w:szCs w:val="14"/>
                <w:color w:val="auto"/>
              </w:rPr>
            </w:pPr>
          </w:p>
        </w:tc>
      </w:tr>
      <w:tr>
        <w:trPr>
          <w:trHeight w:val="133"/>
        </w:trPr>
        <w:tc>
          <w:tcPr>
            <w:tcW w:w="4740" w:type="dxa"/>
            <w:vAlign w:val="bottom"/>
            <w:tcBorders>
              <w:top w:val="single" w:sz="8" w:color="CFF0FC"/>
            </w:tcBorders>
            <w:shd w:val="clear" w:color="auto" w:fill="CFF0FC"/>
          </w:tcPr>
          <w:p>
            <w:pPr>
              <w:ind w:left="260"/>
              <w:spacing w:after="0" w:line="133" w:lineRule="exact"/>
              <w:rPr>
                <w:sz w:val="20"/>
                <w:szCs w:val="20"/>
                <w:color w:val="auto"/>
              </w:rPr>
            </w:pPr>
            <w:r>
              <w:rPr>
                <w:rFonts w:ascii="Arial" w:cs="Arial" w:eastAsia="Arial" w:hAnsi="Arial"/>
                <w:sz w:val="14"/>
                <w:szCs w:val="14"/>
                <w:b w:val="1"/>
                <w:bCs w:val="1"/>
                <w:color w:val="auto"/>
                <w:w w:val="92"/>
              </w:rPr>
              <w:t>Net change in unrealized appreciation (depreciation) on investments and</w:t>
            </w:r>
          </w:p>
        </w:tc>
        <w:tc>
          <w:tcPr>
            <w:tcW w:w="2860" w:type="dxa"/>
            <w:vAlign w:val="bottom"/>
            <w:tcBorders>
              <w:top w:val="single" w:sz="8" w:color="CFF0FC"/>
            </w:tcBorders>
            <w:shd w:val="clear" w:color="auto" w:fill="CFF0FC"/>
          </w:tcPr>
          <w:p>
            <w:pPr>
              <w:spacing w:after="0"/>
              <w:rPr>
                <w:sz w:val="11"/>
                <w:szCs w:val="11"/>
                <w:color w:val="auto"/>
              </w:rPr>
            </w:pPr>
          </w:p>
        </w:tc>
        <w:tc>
          <w:tcPr>
            <w:tcW w:w="960" w:type="dxa"/>
            <w:vAlign w:val="bottom"/>
            <w:tcBorders>
              <w:top w:val="single" w:sz="8" w:color="auto"/>
            </w:tcBorders>
            <w:shd w:val="clear" w:color="auto" w:fill="CFF0FC"/>
          </w:tcPr>
          <w:p>
            <w:pPr>
              <w:spacing w:after="0"/>
              <w:rPr>
                <w:sz w:val="11"/>
                <w:szCs w:val="11"/>
                <w:color w:val="auto"/>
              </w:rPr>
            </w:pPr>
          </w:p>
        </w:tc>
        <w:tc>
          <w:tcPr>
            <w:tcW w:w="660" w:type="dxa"/>
            <w:vAlign w:val="bottom"/>
            <w:tcBorders>
              <w:top w:val="single" w:sz="8" w:color="auto"/>
            </w:tcBorders>
            <w:shd w:val="clear" w:color="auto" w:fill="CFF0FC"/>
          </w:tcPr>
          <w:p>
            <w:pPr>
              <w:spacing w:after="0"/>
              <w:rPr>
                <w:sz w:val="11"/>
                <w:szCs w:val="11"/>
                <w:color w:val="auto"/>
              </w:rPr>
            </w:pPr>
          </w:p>
        </w:tc>
        <w:tc>
          <w:tcPr>
            <w:tcW w:w="160" w:type="dxa"/>
            <w:vAlign w:val="bottom"/>
            <w:tcBorders>
              <w:top w:val="single" w:sz="8" w:color="CFF0FC"/>
            </w:tcBorders>
            <w:shd w:val="clear" w:color="auto" w:fill="CFF0FC"/>
          </w:tcPr>
          <w:p>
            <w:pPr>
              <w:spacing w:after="0"/>
              <w:rPr>
                <w:sz w:val="11"/>
                <w:szCs w:val="11"/>
                <w:color w:val="auto"/>
              </w:rPr>
            </w:pPr>
          </w:p>
        </w:tc>
        <w:tc>
          <w:tcPr>
            <w:tcW w:w="120" w:type="dxa"/>
            <w:vAlign w:val="bottom"/>
            <w:tcBorders>
              <w:top w:val="single" w:sz="8" w:color="CFF0FC"/>
            </w:tcBorders>
            <w:shd w:val="clear" w:color="auto" w:fill="CFF0FC"/>
          </w:tcPr>
          <w:p>
            <w:pPr>
              <w:spacing w:after="0"/>
              <w:rPr>
                <w:sz w:val="11"/>
                <w:szCs w:val="11"/>
                <w:color w:val="auto"/>
              </w:rPr>
            </w:pPr>
          </w:p>
        </w:tc>
        <w:tc>
          <w:tcPr>
            <w:tcW w:w="980" w:type="dxa"/>
            <w:vAlign w:val="bottom"/>
            <w:tcBorders>
              <w:top w:val="single" w:sz="8" w:color="auto"/>
            </w:tcBorders>
            <w:shd w:val="clear" w:color="auto" w:fill="CFF0FC"/>
          </w:tcPr>
          <w:p>
            <w:pPr>
              <w:spacing w:after="0"/>
              <w:rPr>
                <w:sz w:val="11"/>
                <w:szCs w:val="11"/>
                <w:color w:val="auto"/>
              </w:rPr>
            </w:pPr>
          </w:p>
        </w:tc>
        <w:tc>
          <w:tcPr>
            <w:tcW w:w="660" w:type="dxa"/>
            <w:vAlign w:val="bottom"/>
            <w:tcBorders>
              <w:top w:val="single" w:sz="8" w:color="auto"/>
            </w:tcBorders>
            <w:shd w:val="clear" w:color="auto" w:fill="CFF0FC"/>
          </w:tcPr>
          <w:p>
            <w:pPr>
              <w:spacing w:after="0"/>
              <w:rPr>
                <w:sz w:val="11"/>
                <w:szCs w:val="11"/>
                <w:color w:val="auto"/>
              </w:rPr>
            </w:pPr>
          </w:p>
        </w:tc>
        <w:tc>
          <w:tcPr>
            <w:tcW w:w="100" w:type="dxa"/>
            <w:vAlign w:val="bottom"/>
            <w:tcBorders>
              <w:top w:val="single" w:sz="8" w:color="CFF0FC"/>
            </w:tcBorders>
            <w:shd w:val="clear" w:color="auto" w:fill="CFF0FC"/>
          </w:tcPr>
          <w:p>
            <w:pPr>
              <w:spacing w:after="0"/>
              <w:rPr>
                <w:sz w:val="11"/>
                <w:szCs w:val="11"/>
                <w:color w:val="auto"/>
              </w:rPr>
            </w:pPr>
          </w:p>
        </w:tc>
      </w:tr>
      <w:tr>
        <w:trPr>
          <w:trHeight w:val="171"/>
        </w:trPr>
        <w:tc>
          <w:tcPr>
            <w:tcW w:w="4740" w:type="dxa"/>
            <w:vAlign w:val="bottom"/>
            <w:shd w:val="clear" w:color="auto" w:fill="CFF0FC"/>
          </w:tcPr>
          <w:p>
            <w:pPr>
              <w:ind w:left="360"/>
              <w:spacing w:after="0"/>
              <w:rPr>
                <w:sz w:val="20"/>
                <w:szCs w:val="20"/>
                <w:color w:val="auto"/>
              </w:rPr>
            </w:pPr>
            <w:r>
              <w:rPr>
                <w:rFonts w:ascii="Arial" w:cs="Arial" w:eastAsia="Arial" w:hAnsi="Arial"/>
                <w:sz w:val="14"/>
                <w:szCs w:val="14"/>
                <w:b w:val="1"/>
                <w:bCs w:val="1"/>
                <w:color w:val="auto"/>
              </w:rPr>
              <w:t>credit facility foreign currency translations</w:t>
            </w:r>
          </w:p>
        </w:tc>
        <w:tc>
          <w:tcPr>
            <w:tcW w:w="2860" w:type="dxa"/>
            <w:vAlign w:val="bottom"/>
            <w:shd w:val="clear" w:color="auto" w:fill="CFF0FC"/>
          </w:tcPr>
          <w:p>
            <w:pPr>
              <w:spacing w:after="0"/>
              <w:rPr>
                <w:sz w:val="14"/>
                <w:szCs w:val="14"/>
                <w:color w:val="auto"/>
              </w:rPr>
            </w:pPr>
          </w:p>
        </w:tc>
        <w:tc>
          <w:tcPr>
            <w:tcW w:w="96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(246,733)</w:t>
            </w:r>
          </w:p>
        </w:tc>
        <w:tc>
          <w:tcPr>
            <w:tcW w:w="12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w w:val="94"/>
              </w:rPr>
              <w:t>(3,188,212)</w:t>
            </w:r>
          </w:p>
        </w:tc>
      </w:tr>
      <w:tr>
        <w:trPr>
          <w:trHeight w:val="133"/>
        </w:trPr>
        <w:tc>
          <w:tcPr>
            <w:tcW w:w="4740" w:type="dxa"/>
            <w:vAlign w:val="bottom"/>
          </w:tcPr>
          <w:p>
            <w:pPr>
              <w:spacing w:after="0" w:line="133" w:lineRule="exact"/>
              <w:rPr>
                <w:sz w:val="20"/>
                <w:szCs w:val="20"/>
                <w:color w:val="auto"/>
              </w:rPr>
            </w:pPr>
            <w:r>
              <w:rPr>
                <w:rFonts w:ascii="Arial" w:cs="Arial" w:eastAsia="Arial" w:hAnsi="Arial"/>
                <w:sz w:val="14"/>
                <w:szCs w:val="14"/>
                <w:b w:val="1"/>
                <w:bCs w:val="1"/>
                <w:color w:val="auto"/>
                <w:w w:val="95"/>
              </w:rPr>
              <w:t>Net realized and unrealized gain (loss) from investments and credit facility</w:t>
            </w:r>
          </w:p>
        </w:tc>
        <w:tc>
          <w:tcPr>
            <w:tcW w:w="2860" w:type="dxa"/>
            <w:vAlign w:val="bottom"/>
          </w:tcPr>
          <w:p>
            <w:pPr>
              <w:spacing w:after="0"/>
              <w:rPr>
                <w:sz w:val="11"/>
                <w:szCs w:val="11"/>
                <w:color w:val="auto"/>
              </w:rPr>
            </w:pPr>
          </w:p>
        </w:tc>
        <w:tc>
          <w:tcPr>
            <w:tcW w:w="96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r>
      <w:tr>
        <w:trPr>
          <w:trHeight w:val="171"/>
        </w:trPr>
        <w:tc>
          <w:tcPr>
            <w:tcW w:w="4740" w:type="dxa"/>
            <w:vAlign w:val="bottom"/>
          </w:tcPr>
          <w:p>
            <w:pPr>
              <w:ind w:left="120"/>
              <w:spacing w:after="0"/>
              <w:rPr>
                <w:sz w:val="20"/>
                <w:szCs w:val="20"/>
                <w:color w:val="auto"/>
              </w:rPr>
            </w:pPr>
            <w:r>
              <w:rPr>
                <w:rFonts w:ascii="Arial" w:cs="Arial" w:eastAsia="Arial" w:hAnsi="Arial"/>
                <w:sz w:val="14"/>
                <w:szCs w:val="14"/>
                <w:b w:val="1"/>
                <w:bCs w:val="1"/>
                <w:color w:val="auto"/>
              </w:rPr>
              <w:t>foreign currency translations</w:t>
            </w:r>
          </w:p>
        </w:tc>
        <w:tc>
          <w:tcPr>
            <w:tcW w:w="28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205,744</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4"/>
                <w:szCs w:val="14"/>
                <w:color w:val="auto"/>
                <w:w w:val="94"/>
              </w:rPr>
              <w:t>(2,929,979)</w:t>
            </w:r>
          </w:p>
        </w:tc>
      </w:tr>
      <w:tr>
        <w:trPr>
          <w:trHeight w:val="155"/>
        </w:trPr>
        <w:tc>
          <w:tcPr>
            <w:tcW w:w="4740" w:type="dxa"/>
            <w:vAlign w:val="bottom"/>
            <w:tcBorders>
              <w:top w:val="single" w:sz="8" w:color="CFF0FC"/>
              <w:bottom w:val="single" w:sz="8" w:color="CFF0FC"/>
            </w:tcBorders>
            <w:shd w:val="clear" w:color="auto" w:fill="CFF0FC"/>
          </w:tcPr>
          <w:p>
            <w:pPr>
              <w:spacing w:after="0" w:line="155" w:lineRule="exact"/>
              <w:rPr>
                <w:sz w:val="20"/>
                <w:szCs w:val="20"/>
                <w:color w:val="auto"/>
              </w:rPr>
            </w:pPr>
            <w:r>
              <w:rPr>
                <w:rFonts w:ascii="Arial" w:cs="Arial" w:eastAsia="Arial" w:hAnsi="Arial"/>
                <w:sz w:val="14"/>
                <w:szCs w:val="14"/>
                <w:b w:val="1"/>
                <w:bCs w:val="1"/>
                <w:color w:val="auto"/>
              </w:rPr>
              <w:t>Net increase in members' equity resulting from operations</w:t>
            </w:r>
          </w:p>
        </w:tc>
        <w:tc>
          <w:tcPr>
            <w:tcW w:w="2860" w:type="dxa"/>
            <w:vAlign w:val="bottom"/>
            <w:tcBorders>
              <w:top w:val="single" w:sz="8" w:color="CFF0FC"/>
              <w:bottom w:val="single" w:sz="8" w:color="CFF0FC"/>
            </w:tcBorders>
            <w:shd w:val="clear" w:color="auto" w:fill="CFF0FC"/>
          </w:tcPr>
          <w:p>
            <w:pPr>
              <w:spacing w:after="0"/>
              <w:rPr>
                <w:sz w:val="13"/>
                <w:szCs w:val="13"/>
                <w:color w:val="auto"/>
              </w:rPr>
            </w:pPr>
          </w:p>
        </w:tc>
        <w:tc>
          <w:tcPr>
            <w:tcW w:w="960" w:type="dxa"/>
            <w:vAlign w:val="bottom"/>
            <w:tcBorders>
              <w:top w:val="single" w:sz="8" w:color="auto"/>
              <w:bottom w:val="single" w:sz="8" w:color="auto"/>
            </w:tcBorders>
            <w:shd w:val="clear" w:color="auto" w:fill="CFF0FC"/>
          </w:tcPr>
          <w:p>
            <w:pPr>
              <w:jc w:val="right"/>
              <w:ind w:right="835"/>
              <w:spacing w:after="0"/>
              <w:rPr>
                <w:sz w:val="20"/>
                <w:szCs w:val="20"/>
                <w:color w:val="auto"/>
              </w:rPr>
            </w:pPr>
            <w:r>
              <w:rPr>
                <w:rFonts w:ascii="Arial" w:cs="Arial" w:eastAsia="Arial" w:hAnsi="Arial"/>
                <w:sz w:val="10"/>
                <w:szCs w:val="10"/>
                <w:color w:val="auto"/>
                <w:w w:val="71"/>
              </w:rPr>
              <w:t>$</w:t>
            </w:r>
          </w:p>
        </w:tc>
        <w:tc>
          <w:tcPr>
            <w:tcW w:w="6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99"/>
              </w:rPr>
              <w:t>1,524,020</w:t>
            </w:r>
          </w:p>
        </w:tc>
        <w:tc>
          <w:tcPr>
            <w:tcW w:w="160" w:type="dxa"/>
            <w:vAlign w:val="bottom"/>
            <w:tcBorders>
              <w:top w:val="single" w:sz="8" w:color="CFF0FC"/>
              <w:bottom w:val="single" w:sz="8" w:color="CFF0FC"/>
            </w:tcBorders>
            <w:shd w:val="clear" w:color="auto" w:fill="CFF0FC"/>
          </w:tcPr>
          <w:p>
            <w:pPr>
              <w:spacing w:after="0"/>
              <w:rPr>
                <w:sz w:val="13"/>
                <w:szCs w:val="13"/>
                <w:color w:val="auto"/>
              </w:rPr>
            </w:pPr>
          </w:p>
        </w:tc>
        <w:tc>
          <w:tcPr>
            <w:tcW w:w="120" w:type="dxa"/>
            <w:vAlign w:val="bottom"/>
            <w:tcBorders>
              <w:top w:val="single" w:sz="8" w:color="CFF0FC"/>
              <w:bottom w:val="single" w:sz="8" w:color="CFF0FC"/>
            </w:tcBorders>
            <w:shd w:val="clear" w:color="auto" w:fill="CFF0FC"/>
          </w:tcPr>
          <w:p>
            <w:pPr>
              <w:spacing w:after="0"/>
              <w:rPr>
                <w:sz w:val="13"/>
                <w:szCs w:val="13"/>
                <w:color w:val="auto"/>
              </w:rPr>
            </w:pPr>
          </w:p>
        </w:tc>
        <w:tc>
          <w:tcPr>
            <w:tcW w:w="980" w:type="dxa"/>
            <w:vAlign w:val="bottom"/>
            <w:tcBorders>
              <w:top w:val="single" w:sz="8" w:color="auto"/>
              <w:bottom w:val="single" w:sz="8" w:color="auto"/>
            </w:tcBorders>
            <w:shd w:val="clear" w:color="auto" w:fill="CFF0FC"/>
          </w:tcPr>
          <w:p>
            <w:pPr>
              <w:jc w:val="right"/>
              <w:ind w:right="828"/>
              <w:spacing w:after="0" w:line="155" w:lineRule="exact"/>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(902,248)</w:t>
            </w:r>
          </w:p>
        </w:tc>
        <w:tc>
          <w:tcPr>
            <w:tcW w:w="100" w:type="dxa"/>
            <w:vAlign w:val="bottom"/>
            <w:tcBorders>
              <w:top w:val="single" w:sz="8" w:color="CFF0FC"/>
              <w:bottom w:val="single" w:sz="8" w:color="CFF0FC"/>
            </w:tcBorders>
            <w:shd w:val="clear" w:color="auto" w:fill="CFF0FC"/>
          </w:tcPr>
          <w:p>
            <w:pPr>
              <w:spacing w:after="0"/>
              <w:rPr>
                <w:sz w:val="13"/>
                <w:szCs w:val="13"/>
                <w:color w:val="auto"/>
              </w:rPr>
            </w:pPr>
          </w:p>
        </w:tc>
      </w:tr>
      <w:tr>
        <w:trPr>
          <w:trHeight w:val="20"/>
        </w:trPr>
        <w:tc>
          <w:tcPr>
            <w:tcW w:w="474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185991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859915" cy="8890"/>
                    </a:xfrm>
                    <a:prstGeom prst="rect">
                      <a:avLst/>
                    </a:prstGeom>
                    <a:noFill/>
                  </pic:spPr>
                </pic:pic>
              </a:graphicData>
            </a:graphic>
          </wp:anchor>
        </w:drawing>
      </w:r>
    </w:p>
    <w:p>
      <w:pPr>
        <w:spacing w:after="0" w:line="150" w:lineRule="exact"/>
        <w:rPr>
          <w:sz w:val="20"/>
          <w:szCs w:val="20"/>
          <w:color w:val="auto"/>
        </w:rPr>
      </w:pPr>
    </w:p>
    <w:p>
      <w:pPr>
        <w:ind w:left="380" w:hanging="372"/>
        <w:spacing w:after="0"/>
        <w:tabs>
          <w:tab w:leader="none" w:pos="380" w:val="left"/>
        </w:tabs>
        <w:numPr>
          <w:ilvl w:val="0"/>
          <w:numId w:val="25"/>
        </w:numPr>
        <w:rPr>
          <w:rFonts w:ascii="Arial" w:cs="Arial" w:eastAsia="Arial" w:hAnsi="Arial"/>
          <w:sz w:val="12"/>
          <w:szCs w:val="12"/>
          <w:color w:val="auto"/>
        </w:rPr>
      </w:pPr>
      <w:r>
        <w:rPr>
          <w:rFonts w:ascii="Arial" w:cs="Arial" w:eastAsia="Arial" w:hAnsi="Arial"/>
          <w:sz w:val="14"/>
          <w:szCs w:val="14"/>
          <w:color w:val="auto"/>
        </w:rPr>
        <w:t>Currently, no management or incentive fees are payable by PSSL. If any fees were to be charged, they would be separately disclosed in the Statements of Operations.</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Contractual Obligations</w:t>
      </w:r>
    </w:p>
    <w:p>
      <w:pPr>
        <w:spacing w:after="0" w:line="136" w:lineRule="exact"/>
        <w:rPr>
          <w:sz w:val="20"/>
          <w:szCs w:val="20"/>
          <w:color w:val="auto"/>
        </w:rPr>
      </w:pPr>
    </w:p>
    <w:p>
      <w:pPr>
        <w:ind w:right="80" w:firstLine="438"/>
        <w:spacing w:after="0" w:line="253" w:lineRule="auto"/>
        <w:rPr>
          <w:sz w:val="20"/>
          <w:szCs w:val="20"/>
          <w:color w:val="auto"/>
        </w:rPr>
      </w:pPr>
      <w:r>
        <w:rPr>
          <w:rFonts w:ascii="Arial" w:cs="Arial" w:eastAsia="Arial" w:hAnsi="Arial"/>
          <w:sz w:val="14"/>
          <w:szCs w:val="14"/>
          <w:color w:val="auto"/>
        </w:rPr>
        <w:t>A summary of our significant contractual payment obligations at cost as of December 31, 2019, including borrowings under our Credit Facility, 2023 Notes, 2031 Asset-Backed Debt and other contractual obligations, is as follows: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82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2380" w:type="dxa"/>
            <w:vAlign w:val="bottom"/>
            <w:tcBorders>
              <w:bottom w:val="single" w:sz="8" w:color="auto"/>
            </w:tcBorders>
            <w:gridSpan w:val="6"/>
          </w:tcPr>
          <w:p>
            <w:pPr>
              <w:jc w:val="right"/>
              <w:ind w:right="28"/>
              <w:spacing w:after="0"/>
              <w:rPr>
                <w:sz w:val="20"/>
                <w:szCs w:val="20"/>
                <w:color w:val="auto"/>
              </w:rPr>
            </w:pPr>
            <w:r>
              <w:rPr>
                <w:rFonts w:ascii="Arial" w:cs="Arial" w:eastAsia="Arial" w:hAnsi="Arial"/>
                <w:sz w:val="14"/>
                <w:szCs w:val="14"/>
                <w:b w:val="1"/>
                <w:bCs w:val="1"/>
                <w:color w:val="auto"/>
                <w:w w:val="99"/>
              </w:rPr>
              <w:t>Payments due by period (millions)</w:t>
            </w:r>
          </w:p>
        </w:tc>
        <w:tc>
          <w:tcPr>
            <w:tcW w:w="9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3820" w:type="dxa"/>
            <w:vAlign w:val="bottom"/>
          </w:tcPr>
          <w:p>
            <w:pPr>
              <w:spacing w:after="0"/>
              <w:rPr>
                <w:sz w:val="11"/>
                <w:szCs w:val="11"/>
                <w:color w:val="auto"/>
              </w:rPr>
            </w:pPr>
          </w:p>
        </w:tc>
        <w:tc>
          <w:tcPr>
            <w:tcW w:w="840" w:type="dxa"/>
            <w:vAlign w:val="bottom"/>
            <w:vMerge w:val="restart"/>
          </w:tcPr>
          <w:p>
            <w:pPr>
              <w:jc w:val="right"/>
              <w:ind w:right="23"/>
              <w:spacing w:after="0"/>
              <w:rPr>
                <w:sz w:val="20"/>
                <w:szCs w:val="20"/>
                <w:color w:val="auto"/>
              </w:rPr>
            </w:pPr>
            <w:r>
              <w:rPr>
                <w:rFonts w:ascii="Arial" w:cs="Arial" w:eastAsia="Arial" w:hAnsi="Arial"/>
                <w:sz w:val="14"/>
                <w:szCs w:val="14"/>
                <w:b w:val="1"/>
                <w:bCs w:val="1"/>
                <w:color w:val="auto"/>
              </w:rPr>
              <w:t>Total</w:t>
            </w: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40" w:type="dxa"/>
            <w:vAlign w:val="bottom"/>
          </w:tcPr>
          <w:p>
            <w:pPr>
              <w:jc w:val="right"/>
              <w:spacing w:after="0" w:line="133" w:lineRule="exact"/>
              <w:rPr>
                <w:sz w:val="20"/>
                <w:szCs w:val="20"/>
                <w:color w:val="auto"/>
              </w:rPr>
            </w:pPr>
            <w:r>
              <w:rPr>
                <w:rFonts w:ascii="Arial" w:cs="Arial" w:eastAsia="Arial" w:hAnsi="Arial"/>
                <w:sz w:val="14"/>
                <w:szCs w:val="14"/>
                <w:b w:val="1"/>
                <w:bCs w:val="1"/>
                <w:color w:val="auto"/>
              </w:rPr>
              <w:t>Less than</w:t>
            </w: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80" w:type="dxa"/>
            <w:vAlign w:val="bottom"/>
          </w:tcPr>
          <w:p>
            <w:pPr>
              <w:jc w:val="right"/>
              <w:ind w:right="448"/>
              <w:spacing w:after="0" w:line="133" w:lineRule="exact"/>
              <w:rPr>
                <w:sz w:val="20"/>
                <w:szCs w:val="20"/>
                <w:color w:val="auto"/>
              </w:rPr>
            </w:pPr>
            <w:r>
              <w:rPr>
                <w:rFonts w:ascii="Arial" w:cs="Arial" w:eastAsia="Arial" w:hAnsi="Arial"/>
                <w:sz w:val="14"/>
                <w:szCs w:val="14"/>
                <w:b w:val="1"/>
                <w:bCs w:val="1"/>
                <w:color w:val="auto"/>
              </w:rPr>
              <w:t>1-3</w:t>
            </w: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jc w:val="right"/>
              <w:ind w:right="468"/>
              <w:spacing w:after="0" w:line="133" w:lineRule="exact"/>
              <w:rPr>
                <w:sz w:val="20"/>
                <w:szCs w:val="20"/>
                <w:color w:val="auto"/>
              </w:rPr>
            </w:pPr>
            <w:r>
              <w:rPr>
                <w:rFonts w:ascii="Arial" w:cs="Arial" w:eastAsia="Arial" w:hAnsi="Arial"/>
                <w:sz w:val="14"/>
                <w:szCs w:val="14"/>
                <w:b w:val="1"/>
                <w:bCs w:val="1"/>
                <w:color w:val="auto"/>
              </w:rPr>
              <w:t>3-5</w:t>
            </w: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80" w:type="dxa"/>
            <w:vAlign w:val="bottom"/>
          </w:tcPr>
          <w:p>
            <w:pPr>
              <w:jc w:val="center"/>
              <w:ind w:right="128"/>
              <w:spacing w:after="0" w:line="133" w:lineRule="exact"/>
              <w:rPr>
                <w:sz w:val="20"/>
                <w:szCs w:val="20"/>
                <w:color w:val="auto"/>
              </w:rPr>
            </w:pPr>
            <w:r>
              <w:rPr>
                <w:rFonts w:ascii="Arial" w:cs="Arial" w:eastAsia="Arial" w:hAnsi="Arial"/>
                <w:sz w:val="14"/>
                <w:szCs w:val="14"/>
                <w:b w:val="1"/>
                <w:bCs w:val="1"/>
                <w:color w:val="auto"/>
                <w:w w:val="95"/>
              </w:rPr>
              <w:t>More than</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382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jc w:val="right"/>
              <w:ind w:right="68"/>
              <w:spacing w:after="0"/>
              <w:rPr>
                <w:sz w:val="20"/>
                <w:szCs w:val="20"/>
                <w:color w:val="auto"/>
              </w:rPr>
            </w:pPr>
            <w:r>
              <w:rPr>
                <w:rFonts w:ascii="Arial" w:cs="Arial" w:eastAsia="Arial" w:hAnsi="Arial"/>
                <w:sz w:val="14"/>
                <w:szCs w:val="14"/>
                <w:b w:val="1"/>
                <w:bCs w:val="1"/>
                <w:color w:val="auto"/>
              </w:rPr>
              <w:t>1 year</w:t>
            </w: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gridSpan w:val="2"/>
          </w:tcPr>
          <w:p>
            <w:pPr>
              <w:ind w:left="200"/>
              <w:spacing w:after="0"/>
              <w:rPr>
                <w:sz w:val="20"/>
                <w:szCs w:val="20"/>
                <w:color w:val="auto"/>
              </w:rPr>
            </w:pPr>
            <w:r>
              <w:rPr>
                <w:rFonts w:ascii="Arial" w:cs="Arial" w:eastAsia="Arial" w:hAnsi="Arial"/>
                <w:sz w:val="14"/>
                <w:szCs w:val="14"/>
                <w:b w:val="1"/>
                <w:bCs w:val="1"/>
                <w:color w:val="auto"/>
              </w:rPr>
              <w:t>years</w:t>
            </w:r>
          </w:p>
        </w:tc>
        <w:tc>
          <w:tcPr>
            <w:tcW w:w="360" w:type="dxa"/>
            <w:vAlign w:val="bottom"/>
          </w:tcPr>
          <w:p>
            <w:pPr>
              <w:spacing w:after="0"/>
              <w:rPr>
                <w:sz w:val="14"/>
                <w:szCs w:val="14"/>
                <w:color w:val="auto"/>
              </w:rPr>
            </w:pPr>
          </w:p>
        </w:tc>
        <w:tc>
          <w:tcPr>
            <w:tcW w:w="1240" w:type="dxa"/>
            <w:vAlign w:val="bottom"/>
            <w:gridSpan w:val="2"/>
          </w:tcPr>
          <w:p>
            <w:pPr>
              <w:ind w:left="100"/>
              <w:spacing w:after="0"/>
              <w:rPr>
                <w:sz w:val="20"/>
                <w:szCs w:val="20"/>
                <w:color w:val="auto"/>
              </w:rPr>
            </w:pPr>
            <w:r>
              <w:rPr>
                <w:rFonts w:ascii="Arial" w:cs="Arial" w:eastAsia="Arial" w:hAnsi="Arial"/>
                <w:sz w:val="14"/>
                <w:szCs w:val="14"/>
                <w:b w:val="1"/>
                <w:bCs w:val="1"/>
                <w:color w:val="auto"/>
              </w:rPr>
              <w:t>years</w:t>
            </w:r>
          </w:p>
        </w:tc>
        <w:tc>
          <w:tcPr>
            <w:tcW w:w="180" w:type="dxa"/>
            <w:vAlign w:val="bottom"/>
          </w:tcPr>
          <w:p>
            <w:pPr>
              <w:spacing w:after="0"/>
              <w:rPr>
                <w:sz w:val="14"/>
                <w:szCs w:val="14"/>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5 years</w:t>
            </w:r>
          </w:p>
        </w:tc>
        <w:tc>
          <w:tcPr>
            <w:tcW w:w="0" w:type="dxa"/>
            <w:vAlign w:val="bottom"/>
          </w:tcPr>
          <w:p>
            <w:pPr>
              <w:spacing w:after="0"/>
              <w:rPr>
                <w:sz w:val="1"/>
                <w:szCs w:val="1"/>
                <w:color w:val="auto"/>
              </w:rPr>
            </w:pPr>
          </w:p>
        </w:tc>
      </w:tr>
      <w:tr>
        <w:trPr>
          <w:trHeight w:val="155"/>
        </w:trPr>
        <w:tc>
          <w:tcPr>
            <w:tcW w:w="3820" w:type="dxa"/>
            <w:vAlign w:val="bottom"/>
            <w:tcBorders>
              <w:top w:val="single" w:sz="8" w:color="CCECFF"/>
            </w:tcBorders>
            <w:shd w:val="clear" w:color="auto" w:fill="CCECFF"/>
          </w:tcPr>
          <w:p>
            <w:pPr>
              <w:spacing w:after="0" w:line="155" w:lineRule="exact"/>
              <w:rPr>
                <w:sz w:val="20"/>
                <w:szCs w:val="20"/>
                <w:color w:val="auto"/>
              </w:rPr>
            </w:pPr>
            <w:r>
              <w:rPr>
                <w:rFonts w:ascii="Arial" w:cs="Arial" w:eastAsia="Arial" w:hAnsi="Arial"/>
                <w:sz w:val="14"/>
                <w:szCs w:val="14"/>
                <w:color w:val="auto"/>
              </w:rPr>
              <w:t>Credit Facility</w:t>
            </w:r>
          </w:p>
        </w:tc>
        <w:tc>
          <w:tcPr>
            <w:tcW w:w="840" w:type="dxa"/>
            <w:vAlign w:val="bottom"/>
            <w:tcBorders>
              <w:top w:val="single" w:sz="8" w:color="auto"/>
            </w:tcBorders>
            <w:shd w:val="clear" w:color="auto" w:fill="CCECFF"/>
          </w:tcPr>
          <w:p>
            <w:pPr>
              <w:jc w:val="right"/>
              <w:ind w:right="723"/>
              <w:spacing w:after="0"/>
              <w:rPr>
                <w:sz w:val="20"/>
                <w:szCs w:val="20"/>
                <w:color w:val="auto"/>
              </w:rPr>
            </w:pPr>
            <w:r>
              <w:rPr>
                <w:rFonts w:ascii="Arial" w:cs="Arial" w:eastAsia="Arial" w:hAnsi="Arial"/>
                <w:sz w:val="10"/>
                <w:szCs w:val="10"/>
                <w:color w:val="auto"/>
                <w:w w:val="71"/>
              </w:rPr>
              <w:t>$</w:t>
            </w:r>
          </w:p>
        </w:tc>
        <w:tc>
          <w:tcPr>
            <w:tcW w:w="40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335.3</w:t>
            </w:r>
          </w:p>
        </w:tc>
        <w:tc>
          <w:tcPr>
            <w:tcW w:w="240" w:type="dxa"/>
            <w:vAlign w:val="bottom"/>
            <w:tcBorders>
              <w:top w:val="single" w:sz="8" w:color="CCECFF"/>
            </w:tcBorders>
            <w:shd w:val="clear" w:color="auto" w:fill="CCECFF"/>
          </w:tcPr>
          <w:p>
            <w:pPr>
              <w:spacing w:after="0"/>
              <w:rPr>
                <w:sz w:val="13"/>
                <w:szCs w:val="13"/>
                <w:color w:val="auto"/>
              </w:rPr>
            </w:pPr>
          </w:p>
        </w:tc>
        <w:tc>
          <w:tcPr>
            <w:tcW w:w="940" w:type="dxa"/>
            <w:vAlign w:val="bottom"/>
            <w:tcBorders>
              <w:top w:val="single" w:sz="8" w:color="auto"/>
            </w:tcBorders>
            <w:shd w:val="clear" w:color="auto" w:fill="CCECFF"/>
          </w:tcPr>
          <w:p>
            <w:pPr>
              <w:jc w:val="right"/>
              <w:ind w:right="788"/>
              <w:spacing w:after="0" w:line="155" w:lineRule="exact"/>
              <w:rPr>
                <w:sz w:val="20"/>
                <w:szCs w:val="20"/>
                <w:color w:val="auto"/>
              </w:rPr>
            </w:pPr>
            <w:r>
              <w:rPr>
                <w:rFonts w:ascii="Arial" w:cs="Arial" w:eastAsia="Arial" w:hAnsi="Arial"/>
                <w:sz w:val="14"/>
                <w:szCs w:val="14"/>
                <w:color w:val="auto"/>
                <w:w w:val="76"/>
              </w:rPr>
              <w:t>$</w:t>
            </w:r>
          </w:p>
        </w:tc>
        <w:tc>
          <w:tcPr>
            <w:tcW w:w="30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w:t>
            </w:r>
          </w:p>
        </w:tc>
        <w:tc>
          <w:tcPr>
            <w:tcW w:w="240" w:type="dxa"/>
            <w:vAlign w:val="bottom"/>
            <w:tcBorders>
              <w:top w:val="single" w:sz="8" w:color="CCECFF"/>
            </w:tcBorders>
            <w:shd w:val="clear" w:color="auto" w:fill="CCECFF"/>
          </w:tcPr>
          <w:p>
            <w:pPr>
              <w:spacing w:after="0"/>
              <w:rPr>
                <w:sz w:val="13"/>
                <w:szCs w:val="13"/>
                <w:color w:val="auto"/>
              </w:rPr>
            </w:pPr>
          </w:p>
        </w:tc>
        <w:tc>
          <w:tcPr>
            <w:tcW w:w="260" w:type="dxa"/>
            <w:vAlign w:val="bottom"/>
            <w:tcBorders>
              <w:top w:val="single" w:sz="8" w:color="auto"/>
            </w:tcBorders>
            <w:shd w:val="clear" w:color="auto" w:fill="CCECFF"/>
          </w:tcPr>
          <w:p>
            <w:pPr>
              <w:jc w:val="right"/>
              <w:ind w:right="108"/>
              <w:spacing w:after="0" w:line="155" w:lineRule="exact"/>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w:t>
            </w:r>
          </w:p>
        </w:tc>
        <w:tc>
          <w:tcPr>
            <w:tcW w:w="240" w:type="dxa"/>
            <w:vAlign w:val="bottom"/>
            <w:tcBorders>
              <w:top w:val="single" w:sz="8" w:color="CCECFF"/>
            </w:tcBorders>
            <w:shd w:val="clear" w:color="auto" w:fill="CCECFF"/>
          </w:tcPr>
          <w:p>
            <w:pPr>
              <w:spacing w:after="0"/>
              <w:rPr>
                <w:sz w:val="13"/>
                <w:szCs w:val="13"/>
                <w:color w:val="auto"/>
              </w:rPr>
            </w:pPr>
          </w:p>
        </w:tc>
        <w:tc>
          <w:tcPr>
            <w:tcW w:w="360" w:type="dxa"/>
            <w:vAlign w:val="bottom"/>
            <w:tcBorders>
              <w:top w:val="single" w:sz="8" w:color="auto"/>
            </w:tcBorders>
            <w:shd w:val="clear" w:color="auto" w:fill="CCECFF"/>
          </w:tcPr>
          <w:p>
            <w:pPr>
              <w:jc w:val="right"/>
              <w:ind w:right="208"/>
              <w:spacing w:after="0" w:line="155" w:lineRule="exact"/>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335.3</w:t>
            </w:r>
          </w:p>
        </w:tc>
        <w:tc>
          <w:tcPr>
            <w:tcW w:w="340" w:type="dxa"/>
            <w:vAlign w:val="bottom"/>
            <w:tcBorders>
              <w:top w:val="single" w:sz="8" w:color="CCECFF"/>
            </w:tcBorders>
            <w:shd w:val="clear" w:color="auto" w:fill="CCECFF"/>
          </w:tcPr>
          <w:p>
            <w:pPr>
              <w:spacing w:after="0"/>
              <w:rPr>
                <w:sz w:val="13"/>
                <w:szCs w:val="13"/>
                <w:color w:val="auto"/>
              </w:rPr>
            </w:pPr>
          </w:p>
        </w:tc>
        <w:tc>
          <w:tcPr>
            <w:tcW w:w="180" w:type="dxa"/>
            <w:vAlign w:val="bottom"/>
            <w:tcBorders>
              <w:top w:val="single" w:sz="8" w:color="auto"/>
            </w:tcBorders>
            <w:shd w:val="clear" w:color="auto" w:fill="CCECFF"/>
          </w:tcPr>
          <w:p>
            <w:pPr>
              <w:jc w:val="right"/>
              <w:ind w:right="28"/>
              <w:spacing w:after="0" w:line="155" w:lineRule="exact"/>
              <w:rPr>
                <w:sz w:val="20"/>
                <w:szCs w:val="20"/>
                <w:color w:val="auto"/>
              </w:rPr>
            </w:pPr>
            <w:r>
              <w:rPr>
                <w:rFonts w:ascii="Arial" w:cs="Arial" w:eastAsia="Arial" w:hAnsi="Arial"/>
                <w:sz w:val="14"/>
                <w:szCs w:val="14"/>
                <w:color w:val="auto"/>
                <w:w w:val="76"/>
              </w:rPr>
              <w:t>$</w:t>
            </w:r>
          </w:p>
        </w:tc>
        <w:tc>
          <w:tcPr>
            <w:tcW w:w="108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w:t>
            </w:r>
          </w:p>
        </w:tc>
        <w:tc>
          <w:tcPr>
            <w:tcW w:w="120" w:type="dxa"/>
            <w:vAlign w:val="bottom"/>
            <w:tcBorders>
              <w:top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820" w:type="dxa"/>
            <w:vAlign w:val="bottom"/>
          </w:tcPr>
          <w:p>
            <w:pPr>
              <w:spacing w:after="0"/>
              <w:rPr>
                <w:sz w:val="20"/>
                <w:szCs w:val="20"/>
                <w:color w:val="auto"/>
              </w:rPr>
            </w:pPr>
            <w:r>
              <w:rPr>
                <w:rFonts w:ascii="Arial" w:cs="Arial" w:eastAsia="Arial" w:hAnsi="Arial"/>
                <w:sz w:val="14"/>
                <w:szCs w:val="14"/>
                <w:color w:val="auto"/>
              </w:rPr>
              <w:t>2023 Notes</w:t>
            </w:r>
          </w:p>
        </w:tc>
        <w:tc>
          <w:tcPr>
            <w:tcW w:w="84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138.6</w:t>
            </w:r>
          </w:p>
        </w:tc>
        <w:tc>
          <w:tcPr>
            <w:tcW w:w="2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00" w:type="dxa"/>
            <w:vAlign w:val="bottom"/>
          </w:tcPr>
          <w:p>
            <w:pPr>
              <w:jc w:val="right"/>
              <w:spacing w:after="0"/>
              <w:rPr>
                <w:sz w:val="20"/>
                <w:szCs w:val="20"/>
                <w:color w:val="auto"/>
              </w:rPr>
            </w:pPr>
            <w:r>
              <w:rPr>
                <w:rFonts w:ascii="Arial" w:cs="Arial" w:eastAsia="Arial" w:hAnsi="Arial"/>
                <w:sz w:val="14"/>
                <w:szCs w:val="14"/>
                <w:color w:val="auto"/>
                <w:w w:val="95"/>
              </w:rPr>
              <w:t>20.8</w:t>
            </w: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41.6</w:t>
            </w:r>
          </w:p>
        </w:tc>
        <w:tc>
          <w:tcPr>
            <w:tcW w:w="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76.2</w:t>
            </w: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3820" w:type="dxa"/>
            <w:vAlign w:val="bottom"/>
            <w:shd w:val="clear" w:color="auto" w:fill="CCECFF"/>
          </w:tcPr>
          <w:p>
            <w:pPr>
              <w:spacing w:after="0"/>
              <w:rPr>
                <w:sz w:val="20"/>
                <w:szCs w:val="20"/>
                <w:color w:val="auto"/>
              </w:rPr>
            </w:pPr>
            <w:r>
              <w:rPr>
                <w:rFonts w:ascii="Arial" w:cs="Arial" w:eastAsia="Arial" w:hAnsi="Arial"/>
                <w:sz w:val="14"/>
                <w:szCs w:val="14"/>
                <w:color w:val="auto"/>
              </w:rPr>
              <w:t>2031 Asset-Backed Debt</w:t>
            </w:r>
          </w:p>
        </w:tc>
        <w:tc>
          <w:tcPr>
            <w:tcW w:w="840" w:type="dxa"/>
            <w:vAlign w:val="bottom"/>
            <w:shd w:val="clear" w:color="auto" w:fill="CCECFF"/>
          </w:tcPr>
          <w:p>
            <w:pPr>
              <w:spacing w:after="0"/>
              <w:rPr>
                <w:sz w:val="14"/>
                <w:szCs w:val="14"/>
                <w:color w:val="auto"/>
              </w:rPr>
            </w:pPr>
          </w:p>
        </w:tc>
        <w:tc>
          <w:tcPr>
            <w:tcW w:w="4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228.0</w:t>
            </w:r>
          </w:p>
        </w:tc>
        <w:tc>
          <w:tcPr>
            <w:tcW w:w="240" w:type="dxa"/>
            <w:vAlign w:val="bottom"/>
            <w:shd w:val="clear" w:color="auto" w:fill="CCECFF"/>
          </w:tcPr>
          <w:p>
            <w:pPr>
              <w:spacing w:after="0"/>
              <w:rPr>
                <w:sz w:val="14"/>
                <w:szCs w:val="14"/>
                <w:color w:val="auto"/>
              </w:rPr>
            </w:pPr>
          </w:p>
        </w:tc>
        <w:tc>
          <w:tcPr>
            <w:tcW w:w="940" w:type="dxa"/>
            <w:vAlign w:val="bottom"/>
            <w:shd w:val="clear" w:color="auto" w:fill="CCECFF"/>
          </w:tcPr>
          <w:p>
            <w:pPr>
              <w:spacing w:after="0"/>
              <w:rPr>
                <w:sz w:val="14"/>
                <w:szCs w:val="14"/>
                <w:color w:val="auto"/>
              </w:rPr>
            </w:pPr>
          </w:p>
        </w:tc>
        <w:tc>
          <w:tcPr>
            <w:tcW w:w="540" w:type="dxa"/>
            <w:vAlign w:val="bottom"/>
            <w:gridSpan w:val="2"/>
            <w:shd w:val="clear" w:color="auto" w:fill="CCECFF"/>
          </w:tcPr>
          <w:p>
            <w:pPr>
              <w:jc w:val="right"/>
              <w:ind w:right="26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CFF"/>
          </w:tcPr>
          <w:p>
            <w:pPr>
              <w:spacing w:after="0"/>
              <w:rPr>
                <w:sz w:val="14"/>
                <w:szCs w:val="14"/>
                <w:color w:val="auto"/>
              </w:rPr>
            </w:pPr>
          </w:p>
        </w:tc>
        <w:tc>
          <w:tcPr>
            <w:tcW w:w="1220" w:type="dxa"/>
            <w:vAlign w:val="bottom"/>
            <w:gridSpan w:val="2"/>
            <w:shd w:val="clear" w:color="auto" w:fill="CCECFF"/>
          </w:tcPr>
          <w:p>
            <w:pPr>
              <w:jc w:val="right"/>
              <w:ind w:right="24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CFF"/>
          </w:tcPr>
          <w:p>
            <w:pPr>
              <w:spacing w:after="0"/>
              <w:rPr>
                <w:sz w:val="14"/>
                <w:szCs w:val="14"/>
                <w:color w:val="auto"/>
              </w:rPr>
            </w:pPr>
          </w:p>
        </w:tc>
        <w:tc>
          <w:tcPr>
            <w:tcW w:w="1240" w:type="dxa"/>
            <w:vAlign w:val="bottom"/>
            <w:gridSpan w:val="2"/>
            <w:shd w:val="clear" w:color="auto" w:fill="CCECFF"/>
          </w:tcPr>
          <w:p>
            <w:pPr>
              <w:jc w:val="right"/>
              <w:ind w:right="3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CFF"/>
          </w:tcPr>
          <w:p>
            <w:pPr>
              <w:spacing w:after="0"/>
              <w:rPr>
                <w:sz w:val="14"/>
                <w:szCs w:val="14"/>
                <w:color w:val="auto"/>
              </w:rPr>
            </w:pPr>
          </w:p>
        </w:tc>
        <w:tc>
          <w:tcPr>
            <w:tcW w:w="10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228.0</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3820" w:type="dxa"/>
            <w:vAlign w:val="bottom"/>
          </w:tcPr>
          <w:p>
            <w:pPr>
              <w:spacing w:after="0" w:line="155" w:lineRule="exact"/>
              <w:rPr>
                <w:sz w:val="20"/>
                <w:szCs w:val="20"/>
                <w:color w:val="auto"/>
              </w:rPr>
            </w:pPr>
            <w:r>
              <w:rPr>
                <w:rFonts w:ascii="Arial" w:cs="Arial" w:eastAsia="Arial" w:hAnsi="Arial"/>
                <w:sz w:val="14"/>
                <w:szCs w:val="14"/>
                <w:color w:val="auto"/>
              </w:rPr>
              <w:t xml:space="preserve">Total debt outstanding </w:t>
            </w:r>
            <w:r>
              <w:rPr>
                <w:rFonts w:ascii="Arial" w:cs="Arial" w:eastAsia="Arial" w:hAnsi="Arial"/>
                <w:sz w:val="12"/>
                <w:szCs w:val="12"/>
                <w:color w:val="auto"/>
              </w:rPr>
              <w:t>(1)</w:t>
            </w:r>
          </w:p>
        </w:tc>
        <w:tc>
          <w:tcPr>
            <w:tcW w:w="840" w:type="dxa"/>
            <w:vAlign w:val="bottom"/>
            <w:tcBorders>
              <w:top w:val="single" w:sz="8" w:color="auto"/>
            </w:tcBorders>
          </w:tcPr>
          <w:p>
            <w:pPr>
              <w:jc w:val="right"/>
              <w:ind w:right="723"/>
              <w:spacing w:after="0"/>
              <w:rPr>
                <w:sz w:val="20"/>
                <w:szCs w:val="20"/>
                <w:color w:val="auto"/>
              </w:rPr>
            </w:pPr>
            <w:r>
              <w:rPr>
                <w:rFonts w:ascii="Arial" w:cs="Arial" w:eastAsia="Arial" w:hAnsi="Arial"/>
                <w:sz w:val="10"/>
                <w:szCs w:val="10"/>
                <w:color w:val="auto"/>
                <w:w w:val="71"/>
              </w:rPr>
              <w:t>$</w:t>
            </w:r>
          </w:p>
        </w:tc>
        <w:tc>
          <w:tcPr>
            <w:tcW w:w="4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701.9</w:t>
            </w:r>
          </w:p>
        </w:tc>
        <w:tc>
          <w:tcPr>
            <w:tcW w:w="240" w:type="dxa"/>
            <w:vAlign w:val="bottom"/>
          </w:tcPr>
          <w:p>
            <w:pPr>
              <w:spacing w:after="0"/>
              <w:rPr>
                <w:sz w:val="13"/>
                <w:szCs w:val="13"/>
                <w:color w:val="auto"/>
              </w:rPr>
            </w:pPr>
          </w:p>
        </w:tc>
        <w:tc>
          <w:tcPr>
            <w:tcW w:w="940" w:type="dxa"/>
            <w:vAlign w:val="bottom"/>
            <w:tcBorders>
              <w:top w:val="single" w:sz="8" w:color="auto"/>
            </w:tcBorders>
          </w:tcPr>
          <w:p>
            <w:pPr>
              <w:jc w:val="right"/>
              <w:ind w:right="788"/>
              <w:spacing w:after="0" w:line="155" w:lineRule="exact"/>
              <w:rPr>
                <w:sz w:val="20"/>
                <w:szCs w:val="20"/>
                <w:color w:val="auto"/>
              </w:rPr>
            </w:pPr>
            <w:r>
              <w:rPr>
                <w:rFonts w:ascii="Arial" w:cs="Arial" w:eastAsia="Arial" w:hAnsi="Arial"/>
                <w:sz w:val="14"/>
                <w:szCs w:val="14"/>
                <w:color w:val="auto"/>
                <w:w w:val="76"/>
              </w:rPr>
              <w:t>$</w:t>
            </w:r>
          </w:p>
        </w:tc>
        <w:tc>
          <w:tcPr>
            <w:tcW w:w="3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w w:val="95"/>
              </w:rPr>
              <w:t>20.8</w:t>
            </w:r>
          </w:p>
        </w:tc>
        <w:tc>
          <w:tcPr>
            <w:tcW w:w="240" w:type="dxa"/>
            <w:vAlign w:val="bottom"/>
          </w:tcPr>
          <w:p>
            <w:pPr>
              <w:spacing w:after="0"/>
              <w:rPr>
                <w:sz w:val="13"/>
                <w:szCs w:val="13"/>
                <w:color w:val="auto"/>
              </w:rPr>
            </w:pPr>
          </w:p>
        </w:tc>
        <w:tc>
          <w:tcPr>
            <w:tcW w:w="260" w:type="dxa"/>
            <w:vAlign w:val="bottom"/>
            <w:tcBorders>
              <w:top w:val="single" w:sz="8" w:color="auto"/>
            </w:tcBorders>
          </w:tcPr>
          <w:p>
            <w:pPr>
              <w:jc w:val="right"/>
              <w:ind w:right="108"/>
              <w:spacing w:after="0" w:line="155" w:lineRule="exact"/>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41.6</w:t>
            </w:r>
          </w:p>
        </w:tc>
        <w:tc>
          <w:tcPr>
            <w:tcW w:w="240" w:type="dxa"/>
            <w:vAlign w:val="bottom"/>
          </w:tcPr>
          <w:p>
            <w:pPr>
              <w:spacing w:after="0"/>
              <w:rPr>
                <w:sz w:val="13"/>
                <w:szCs w:val="13"/>
                <w:color w:val="auto"/>
              </w:rPr>
            </w:pPr>
          </w:p>
        </w:tc>
        <w:tc>
          <w:tcPr>
            <w:tcW w:w="360" w:type="dxa"/>
            <w:vAlign w:val="bottom"/>
            <w:tcBorders>
              <w:top w:val="single" w:sz="8" w:color="auto"/>
            </w:tcBorders>
          </w:tcPr>
          <w:p>
            <w:pPr>
              <w:jc w:val="right"/>
              <w:ind w:right="208"/>
              <w:spacing w:after="0" w:line="155" w:lineRule="exact"/>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411.5</w:t>
            </w:r>
          </w:p>
        </w:tc>
        <w:tc>
          <w:tcPr>
            <w:tcW w:w="340" w:type="dxa"/>
            <w:vAlign w:val="bottom"/>
          </w:tcPr>
          <w:p>
            <w:pPr>
              <w:spacing w:after="0"/>
              <w:rPr>
                <w:sz w:val="13"/>
                <w:szCs w:val="13"/>
                <w:color w:val="auto"/>
              </w:rPr>
            </w:pPr>
          </w:p>
        </w:tc>
        <w:tc>
          <w:tcPr>
            <w:tcW w:w="180" w:type="dxa"/>
            <w:vAlign w:val="bottom"/>
            <w:tcBorders>
              <w:top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w w:val="76"/>
              </w:rPr>
              <w:t>$</w:t>
            </w:r>
          </w:p>
        </w:tc>
        <w:tc>
          <w:tcPr>
            <w:tcW w:w="10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228.0</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820" w:type="dxa"/>
            <w:vAlign w:val="bottom"/>
            <w:shd w:val="clear" w:color="auto" w:fill="CCECFF"/>
          </w:tcPr>
          <w:p>
            <w:pPr>
              <w:spacing w:after="0"/>
              <w:rPr>
                <w:sz w:val="20"/>
                <w:szCs w:val="20"/>
                <w:color w:val="auto"/>
              </w:rPr>
            </w:pPr>
            <w:r>
              <w:rPr>
                <w:rFonts w:ascii="Arial" w:cs="Arial" w:eastAsia="Arial" w:hAnsi="Arial"/>
                <w:sz w:val="14"/>
                <w:szCs w:val="14"/>
                <w:color w:val="auto"/>
              </w:rPr>
              <w:t>Unfunded commitments to PSSL</w:t>
            </w:r>
          </w:p>
        </w:tc>
        <w:tc>
          <w:tcPr>
            <w:tcW w:w="840" w:type="dxa"/>
            <w:vAlign w:val="bottom"/>
            <w:shd w:val="clear" w:color="auto" w:fill="CCECFF"/>
          </w:tcPr>
          <w:p>
            <w:pPr>
              <w:spacing w:after="0"/>
              <w:rPr>
                <w:sz w:val="14"/>
                <w:szCs w:val="14"/>
                <w:color w:val="auto"/>
              </w:rPr>
            </w:pPr>
          </w:p>
        </w:tc>
        <w:tc>
          <w:tcPr>
            <w:tcW w:w="4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26.7</w:t>
            </w:r>
          </w:p>
        </w:tc>
        <w:tc>
          <w:tcPr>
            <w:tcW w:w="240" w:type="dxa"/>
            <w:vAlign w:val="bottom"/>
            <w:shd w:val="clear" w:color="auto" w:fill="CCECFF"/>
          </w:tcPr>
          <w:p>
            <w:pPr>
              <w:spacing w:after="0"/>
              <w:rPr>
                <w:sz w:val="14"/>
                <w:szCs w:val="14"/>
                <w:color w:val="auto"/>
              </w:rPr>
            </w:pPr>
          </w:p>
        </w:tc>
        <w:tc>
          <w:tcPr>
            <w:tcW w:w="940" w:type="dxa"/>
            <w:vAlign w:val="bottom"/>
            <w:shd w:val="clear" w:color="auto" w:fill="CCECFF"/>
          </w:tcPr>
          <w:p>
            <w:pPr>
              <w:spacing w:after="0"/>
              <w:rPr>
                <w:sz w:val="14"/>
                <w:szCs w:val="14"/>
                <w:color w:val="auto"/>
              </w:rPr>
            </w:pPr>
          </w:p>
        </w:tc>
        <w:tc>
          <w:tcPr>
            <w:tcW w:w="540" w:type="dxa"/>
            <w:vAlign w:val="bottom"/>
            <w:gridSpan w:val="2"/>
            <w:shd w:val="clear" w:color="auto" w:fill="CCECFF"/>
          </w:tcPr>
          <w:p>
            <w:pPr>
              <w:jc w:val="right"/>
              <w:ind w:right="26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CFF"/>
          </w:tcPr>
          <w:p>
            <w:pPr>
              <w:spacing w:after="0"/>
              <w:rPr>
                <w:sz w:val="14"/>
                <w:szCs w:val="14"/>
                <w:color w:val="auto"/>
              </w:rPr>
            </w:pPr>
          </w:p>
        </w:tc>
        <w:tc>
          <w:tcPr>
            <w:tcW w:w="1220" w:type="dxa"/>
            <w:vAlign w:val="bottom"/>
            <w:gridSpan w:val="2"/>
            <w:shd w:val="clear" w:color="auto" w:fill="CCECFF"/>
          </w:tcPr>
          <w:p>
            <w:pPr>
              <w:jc w:val="right"/>
              <w:ind w:right="24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CFF"/>
          </w:tcPr>
          <w:p>
            <w:pPr>
              <w:spacing w:after="0"/>
              <w:rPr>
                <w:sz w:val="14"/>
                <w:szCs w:val="14"/>
                <w:color w:val="auto"/>
              </w:rPr>
            </w:pPr>
          </w:p>
        </w:tc>
        <w:tc>
          <w:tcPr>
            <w:tcW w:w="1240" w:type="dxa"/>
            <w:vAlign w:val="bottom"/>
            <w:gridSpan w:val="2"/>
            <w:shd w:val="clear" w:color="auto" w:fill="CCECFF"/>
          </w:tcPr>
          <w:p>
            <w:pPr>
              <w:jc w:val="right"/>
              <w:ind w:right="3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CFF"/>
          </w:tcPr>
          <w:p>
            <w:pPr>
              <w:spacing w:after="0"/>
              <w:rPr>
                <w:sz w:val="14"/>
                <w:szCs w:val="14"/>
                <w:color w:val="auto"/>
              </w:rPr>
            </w:pPr>
          </w:p>
        </w:tc>
        <w:tc>
          <w:tcPr>
            <w:tcW w:w="10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26.7</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820" w:type="dxa"/>
            <w:vAlign w:val="bottom"/>
          </w:tcPr>
          <w:p>
            <w:pPr>
              <w:spacing w:after="0"/>
              <w:rPr>
                <w:sz w:val="20"/>
                <w:szCs w:val="20"/>
                <w:color w:val="auto"/>
              </w:rPr>
            </w:pPr>
            <w:r>
              <w:rPr>
                <w:rFonts w:ascii="Arial" w:cs="Arial" w:eastAsia="Arial" w:hAnsi="Arial"/>
                <w:sz w:val="14"/>
                <w:szCs w:val="14"/>
                <w:color w:val="auto"/>
              </w:rPr>
              <w:t xml:space="preserve">Unfunded investments </w:t>
            </w:r>
            <w:r>
              <w:rPr>
                <w:rFonts w:ascii="Arial" w:cs="Arial" w:eastAsia="Arial" w:hAnsi="Arial"/>
                <w:sz w:val="12"/>
                <w:szCs w:val="12"/>
                <w:color w:val="auto"/>
              </w:rPr>
              <w:t>(2)</w:t>
            </w:r>
          </w:p>
        </w:tc>
        <w:tc>
          <w:tcPr>
            <w:tcW w:w="84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85.1</w:t>
            </w:r>
          </w:p>
        </w:tc>
        <w:tc>
          <w:tcPr>
            <w:tcW w:w="2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13.9</w:t>
            </w:r>
          </w:p>
        </w:tc>
        <w:tc>
          <w:tcPr>
            <w:tcW w:w="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57.7</w:t>
            </w: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13.5</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3820" w:type="dxa"/>
            <w:vAlign w:val="bottom"/>
            <w:tcBorders>
              <w:top w:val="single" w:sz="8" w:color="CCECFF"/>
              <w:bottom w:val="single" w:sz="8" w:color="CCECFF"/>
            </w:tcBorders>
            <w:shd w:val="clear" w:color="auto" w:fill="CCECFF"/>
          </w:tcPr>
          <w:p>
            <w:pPr>
              <w:spacing w:after="0" w:line="155" w:lineRule="exact"/>
              <w:rPr>
                <w:sz w:val="20"/>
                <w:szCs w:val="20"/>
                <w:color w:val="auto"/>
              </w:rPr>
            </w:pPr>
            <w:r>
              <w:rPr>
                <w:rFonts w:ascii="Arial" w:cs="Arial" w:eastAsia="Arial" w:hAnsi="Arial"/>
                <w:sz w:val="14"/>
                <w:szCs w:val="14"/>
                <w:color w:val="auto"/>
              </w:rPr>
              <w:t>Total contractual obligations</w:t>
            </w:r>
          </w:p>
        </w:tc>
        <w:tc>
          <w:tcPr>
            <w:tcW w:w="840" w:type="dxa"/>
            <w:vAlign w:val="bottom"/>
            <w:tcBorders>
              <w:top w:val="single" w:sz="8" w:color="auto"/>
              <w:bottom w:val="single" w:sz="8" w:color="auto"/>
            </w:tcBorders>
            <w:shd w:val="clear" w:color="auto" w:fill="CCECFF"/>
          </w:tcPr>
          <w:p>
            <w:pPr>
              <w:jc w:val="right"/>
              <w:ind w:right="723"/>
              <w:spacing w:after="0"/>
              <w:rPr>
                <w:sz w:val="20"/>
                <w:szCs w:val="20"/>
                <w:color w:val="auto"/>
              </w:rPr>
            </w:pPr>
            <w:r>
              <w:rPr>
                <w:rFonts w:ascii="Arial" w:cs="Arial" w:eastAsia="Arial" w:hAnsi="Arial"/>
                <w:sz w:val="10"/>
                <w:szCs w:val="10"/>
                <w:color w:val="auto"/>
                <w:w w:val="71"/>
              </w:rPr>
              <w:t>$</w:t>
            </w:r>
          </w:p>
        </w:tc>
        <w:tc>
          <w:tcPr>
            <w:tcW w:w="40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813.7</w:t>
            </w:r>
          </w:p>
        </w:tc>
        <w:tc>
          <w:tcPr>
            <w:tcW w:w="240" w:type="dxa"/>
            <w:vAlign w:val="bottom"/>
            <w:tcBorders>
              <w:top w:val="single" w:sz="8" w:color="CCECFF"/>
              <w:bottom w:val="single" w:sz="8" w:color="CCECFF"/>
            </w:tcBorders>
            <w:shd w:val="clear" w:color="auto" w:fill="CCECFF"/>
          </w:tcPr>
          <w:p>
            <w:pPr>
              <w:spacing w:after="0"/>
              <w:rPr>
                <w:sz w:val="13"/>
                <w:szCs w:val="13"/>
                <w:color w:val="auto"/>
              </w:rPr>
            </w:pPr>
          </w:p>
        </w:tc>
        <w:tc>
          <w:tcPr>
            <w:tcW w:w="940" w:type="dxa"/>
            <w:vAlign w:val="bottom"/>
            <w:tcBorders>
              <w:top w:val="single" w:sz="8" w:color="auto"/>
              <w:bottom w:val="single" w:sz="8" w:color="auto"/>
            </w:tcBorders>
            <w:shd w:val="clear" w:color="auto" w:fill="CCECFF"/>
          </w:tcPr>
          <w:p>
            <w:pPr>
              <w:jc w:val="right"/>
              <w:ind w:right="788"/>
              <w:spacing w:after="0" w:line="155" w:lineRule="exact"/>
              <w:rPr>
                <w:sz w:val="20"/>
                <w:szCs w:val="20"/>
                <w:color w:val="auto"/>
              </w:rPr>
            </w:pPr>
            <w:r>
              <w:rPr>
                <w:rFonts w:ascii="Arial" w:cs="Arial" w:eastAsia="Arial" w:hAnsi="Arial"/>
                <w:sz w:val="14"/>
                <w:szCs w:val="14"/>
                <w:color w:val="auto"/>
                <w:w w:val="76"/>
              </w:rPr>
              <w:t>$</w:t>
            </w:r>
          </w:p>
        </w:tc>
        <w:tc>
          <w:tcPr>
            <w:tcW w:w="30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w w:val="95"/>
              </w:rPr>
              <w:t>20.8</w:t>
            </w:r>
          </w:p>
        </w:tc>
        <w:tc>
          <w:tcPr>
            <w:tcW w:w="240" w:type="dxa"/>
            <w:vAlign w:val="bottom"/>
            <w:tcBorders>
              <w:top w:val="single" w:sz="8" w:color="CCECFF"/>
              <w:bottom w:val="single" w:sz="8" w:color="CCECFF"/>
            </w:tcBorders>
            <w:shd w:val="clear" w:color="auto" w:fill="CCECFF"/>
          </w:tcPr>
          <w:p>
            <w:pPr>
              <w:spacing w:after="0"/>
              <w:rPr>
                <w:sz w:val="13"/>
                <w:szCs w:val="13"/>
                <w:color w:val="auto"/>
              </w:rPr>
            </w:pPr>
          </w:p>
        </w:tc>
        <w:tc>
          <w:tcPr>
            <w:tcW w:w="260" w:type="dxa"/>
            <w:vAlign w:val="bottom"/>
            <w:tcBorders>
              <w:top w:val="single" w:sz="8" w:color="auto"/>
              <w:bottom w:val="single" w:sz="8" w:color="auto"/>
            </w:tcBorders>
            <w:shd w:val="clear" w:color="auto" w:fill="CCECFF"/>
          </w:tcPr>
          <w:p>
            <w:pPr>
              <w:jc w:val="right"/>
              <w:ind w:right="108"/>
              <w:spacing w:after="0" w:line="155" w:lineRule="exact"/>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55.5</w:t>
            </w:r>
          </w:p>
        </w:tc>
        <w:tc>
          <w:tcPr>
            <w:tcW w:w="240" w:type="dxa"/>
            <w:vAlign w:val="bottom"/>
            <w:tcBorders>
              <w:top w:val="single" w:sz="8" w:color="CCECFF"/>
              <w:bottom w:val="single" w:sz="8" w:color="CCECFF"/>
            </w:tcBorders>
            <w:shd w:val="clear" w:color="auto" w:fill="CCECFF"/>
          </w:tcPr>
          <w:p>
            <w:pPr>
              <w:spacing w:after="0"/>
              <w:rPr>
                <w:sz w:val="13"/>
                <w:szCs w:val="13"/>
                <w:color w:val="auto"/>
              </w:rPr>
            </w:pPr>
          </w:p>
        </w:tc>
        <w:tc>
          <w:tcPr>
            <w:tcW w:w="360" w:type="dxa"/>
            <w:vAlign w:val="bottom"/>
            <w:tcBorders>
              <w:top w:val="single" w:sz="8" w:color="auto"/>
              <w:bottom w:val="single" w:sz="8" w:color="auto"/>
            </w:tcBorders>
            <w:shd w:val="clear" w:color="auto" w:fill="CCECFF"/>
          </w:tcPr>
          <w:p>
            <w:pPr>
              <w:jc w:val="right"/>
              <w:ind w:right="208"/>
              <w:spacing w:after="0" w:line="155" w:lineRule="exact"/>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469.2</w:t>
            </w:r>
          </w:p>
        </w:tc>
        <w:tc>
          <w:tcPr>
            <w:tcW w:w="340" w:type="dxa"/>
            <w:vAlign w:val="bottom"/>
            <w:tcBorders>
              <w:top w:val="single" w:sz="8" w:color="CCECFF"/>
              <w:bottom w:val="single" w:sz="8" w:color="CCECFF"/>
            </w:tcBorders>
            <w:shd w:val="clear" w:color="auto" w:fill="CCECFF"/>
          </w:tcPr>
          <w:p>
            <w:pPr>
              <w:spacing w:after="0"/>
              <w:rPr>
                <w:sz w:val="13"/>
                <w:szCs w:val="13"/>
                <w:color w:val="auto"/>
              </w:rPr>
            </w:pPr>
          </w:p>
        </w:tc>
        <w:tc>
          <w:tcPr>
            <w:tcW w:w="180" w:type="dxa"/>
            <w:vAlign w:val="bottom"/>
            <w:tcBorders>
              <w:top w:val="single" w:sz="8" w:color="auto"/>
              <w:bottom w:val="single" w:sz="8" w:color="auto"/>
            </w:tcBorders>
            <w:shd w:val="clear" w:color="auto" w:fill="CCECFF"/>
          </w:tcPr>
          <w:p>
            <w:pPr>
              <w:jc w:val="right"/>
              <w:ind w:right="28"/>
              <w:spacing w:after="0" w:line="155" w:lineRule="exact"/>
              <w:rPr>
                <w:sz w:val="20"/>
                <w:szCs w:val="20"/>
                <w:color w:val="auto"/>
              </w:rPr>
            </w:pPr>
            <w:r>
              <w:rPr>
                <w:rFonts w:ascii="Arial" w:cs="Arial" w:eastAsia="Arial" w:hAnsi="Arial"/>
                <w:sz w:val="14"/>
                <w:szCs w:val="14"/>
                <w:color w:val="auto"/>
                <w:w w:val="76"/>
              </w:rPr>
              <w:t>$</w:t>
            </w:r>
          </w:p>
        </w:tc>
        <w:tc>
          <w:tcPr>
            <w:tcW w:w="108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268.2</w:t>
            </w:r>
          </w:p>
        </w:tc>
        <w:tc>
          <w:tcPr>
            <w:tcW w:w="120" w:type="dxa"/>
            <w:vAlign w:val="bottom"/>
            <w:tcBorders>
              <w:top w:val="single" w:sz="8" w:color="CCECFF"/>
              <w:bottom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185991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859915" cy="8890"/>
                    </a:xfrm>
                    <a:prstGeom prst="rect">
                      <a:avLst/>
                    </a:prstGeom>
                    <a:noFill/>
                  </pic:spPr>
                </pic:pic>
              </a:graphicData>
            </a:graphic>
          </wp:anchor>
        </w:drawing>
      </w:r>
    </w:p>
    <w:p>
      <w:pPr>
        <w:spacing w:after="0" w:line="150" w:lineRule="exact"/>
        <w:rPr>
          <w:sz w:val="20"/>
          <w:szCs w:val="20"/>
          <w:color w:val="auto"/>
        </w:rPr>
      </w:pPr>
    </w:p>
    <w:p>
      <w:pPr>
        <w:ind w:left="380" w:right="40" w:hanging="372"/>
        <w:spacing w:after="0" w:line="230" w:lineRule="auto"/>
        <w:tabs>
          <w:tab w:leader="none" w:pos="380" w:val="left"/>
        </w:tabs>
        <w:numPr>
          <w:ilvl w:val="0"/>
          <w:numId w:val="26"/>
        </w:numPr>
        <w:rPr>
          <w:rFonts w:ascii="Arial" w:cs="Arial" w:eastAsia="Arial" w:hAnsi="Arial"/>
          <w:sz w:val="12"/>
          <w:szCs w:val="12"/>
          <w:color w:val="auto"/>
        </w:rPr>
      </w:pPr>
      <w:r>
        <w:rPr>
          <w:rFonts w:ascii="Arial" w:cs="Arial" w:eastAsia="Arial" w:hAnsi="Arial"/>
          <w:sz w:val="14"/>
          <w:szCs w:val="14"/>
          <w:color w:val="auto"/>
        </w:rPr>
        <w:t>The annualized weighted average cost of debt as of December 31, 2019, excluding amendment costs and debt issuance costs, was 3.9% exclusive of the fee on the undrawn commitment on the Credit Facility.</w:t>
      </w:r>
    </w:p>
    <w:p>
      <w:pPr>
        <w:ind w:left="380" w:hanging="372"/>
        <w:spacing w:after="0"/>
        <w:tabs>
          <w:tab w:leader="none" w:pos="380" w:val="left"/>
        </w:tabs>
        <w:numPr>
          <w:ilvl w:val="0"/>
          <w:numId w:val="26"/>
        </w:numPr>
        <w:rPr>
          <w:rFonts w:ascii="Arial" w:cs="Arial" w:eastAsia="Arial" w:hAnsi="Arial"/>
          <w:sz w:val="12"/>
          <w:szCs w:val="12"/>
          <w:color w:val="auto"/>
        </w:rPr>
      </w:pPr>
      <w:r>
        <w:rPr>
          <w:rFonts w:ascii="Arial" w:cs="Arial" w:eastAsia="Arial" w:hAnsi="Arial"/>
          <w:sz w:val="14"/>
          <w:szCs w:val="14"/>
          <w:color w:val="auto"/>
        </w:rPr>
        <w:t>Unfunded debt and equity investments are disclosed in the Consolidated Schedule of Investments and Note 11 of our Consolidated Financial Statements.</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149465"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18" w:right="339" w:bottom="1440" w:gutter="0" w:footer="0" w:header="0"/>
        </w:sectPr>
      </w:pPr>
    </w:p>
    <w:bookmarkStart w:id="41" w:name="page42"/>
    <w:bookmarkEnd w:id="41"/>
    <w:p>
      <w:pPr>
        <w:ind w:right="40" w:firstLine="438"/>
        <w:spacing w:after="0" w:line="233" w:lineRule="auto"/>
        <w:rPr>
          <w:sz w:val="20"/>
          <w:szCs w:val="20"/>
          <w:color w:val="auto"/>
        </w:rPr>
      </w:pPr>
      <w:r>
        <w:rPr>
          <w:rFonts w:ascii="Arial" w:cs="Arial" w:eastAsia="Arial" w:hAnsi="Arial"/>
          <w:sz w:val="14"/>
          <w:szCs w:val="14"/>
          <w:color w:val="auto"/>
        </w:rPr>
        <w:t>We have entered into certain contracts under which we have material future commitments. Under our Investment Management Agreement, which was most recently reapproved by our board of directors, including a majority of our directors who are not interested persons of us or the Investment Adviser, in February 2020, PennantPark Investment Advisers serves as our investment adviser. Payments under our Investment Management Agreement in each reporting period are equal to (1) a management fee equal to a percentage of the value of our average adjusted gross assets and (2) an incentive fee based on our performance.</w:t>
      </w:r>
    </w:p>
    <w:p>
      <w:pPr>
        <w:spacing w:after="0" w:line="117" w:lineRule="exact"/>
        <w:rPr>
          <w:sz w:val="20"/>
          <w:szCs w:val="20"/>
          <w:color w:val="auto"/>
        </w:rPr>
      </w:pPr>
    </w:p>
    <w:p>
      <w:pPr>
        <w:ind w:right="20" w:firstLine="438"/>
        <w:spacing w:after="0" w:line="231" w:lineRule="auto"/>
        <w:rPr>
          <w:sz w:val="20"/>
          <w:szCs w:val="20"/>
          <w:color w:val="auto"/>
        </w:rPr>
      </w:pPr>
      <w:r>
        <w:rPr>
          <w:rFonts w:ascii="Arial" w:cs="Arial" w:eastAsia="Arial" w:hAnsi="Arial"/>
          <w:sz w:val="14"/>
          <w:szCs w:val="14"/>
          <w:color w:val="auto"/>
        </w:rPr>
        <w:t>Under our Administration Agreement, which was most recently reapproved by our board of directors, including a majority of our directors who are not interested persons of us, in February 2020, the Administrator furnishes us with office facilities and administrative services necessary to conduct our day-to-day operations. If requested to provide significant managerial assistance to our portfolio companies, we or the Administrator will be paid an additional amount based on the services provided. Payment under our Administration Agreement is based upon our allocable portion of the Administrator’s overhead in performing its obligations under our Administration Agreement, including rent and our allocable portion of the costs of our Chief Compliance Officer, Chief Financial Officer and their respective staffs.</w:t>
      </w:r>
    </w:p>
    <w:p>
      <w:pPr>
        <w:spacing w:after="0" w:line="116" w:lineRule="exact"/>
        <w:rPr>
          <w:sz w:val="20"/>
          <w:szCs w:val="20"/>
          <w:color w:val="auto"/>
        </w:rPr>
      </w:pPr>
    </w:p>
    <w:p>
      <w:pPr>
        <w:ind w:right="80" w:firstLine="438"/>
        <w:spacing w:after="0" w:line="238" w:lineRule="auto"/>
        <w:rPr>
          <w:sz w:val="20"/>
          <w:szCs w:val="20"/>
          <w:color w:val="auto"/>
        </w:rPr>
      </w:pPr>
      <w:r>
        <w:rPr>
          <w:rFonts w:ascii="Arial" w:cs="Arial" w:eastAsia="Arial" w:hAnsi="Arial"/>
          <w:sz w:val="14"/>
          <w:szCs w:val="14"/>
          <w:color w:val="auto"/>
        </w:rPr>
        <w:t>If any of our contractual obligations discussed above are terminated, our costs under new agreements that we enter into may increase. In addition, we will likely incur significant time and expense in locating alternative parties to provide the services we expect to receive under our Investment Management Agreement and our Administration Agreement. Any new investment management agreement would also be subject to approval by our stockholders.</w:t>
      </w:r>
    </w:p>
    <w:p>
      <w:pPr>
        <w:spacing w:after="0" w:line="11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Off-Balance Sheet Arrangements</w:t>
      </w:r>
    </w:p>
    <w:p>
      <w:pPr>
        <w:spacing w:after="0" w:line="136" w:lineRule="exact"/>
        <w:rPr>
          <w:sz w:val="20"/>
          <w:szCs w:val="20"/>
          <w:color w:val="auto"/>
        </w:rPr>
      </w:pPr>
    </w:p>
    <w:p>
      <w:pPr>
        <w:ind w:left="440"/>
        <w:spacing w:after="0"/>
        <w:rPr>
          <w:sz w:val="20"/>
          <w:szCs w:val="20"/>
          <w:color w:val="auto"/>
        </w:rPr>
      </w:pPr>
      <w:r>
        <w:rPr>
          <w:rFonts w:ascii="Arial" w:cs="Arial" w:eastAsia="Arial" w:hAnsi="Arial"/>
          <w:sz w:val="14"/>
          <w:szCs w:val="14"/>
          <w:color w:val="auto"/>
        </w:rPr>
        <w:t>We currently engage in no off-balance sheet arrangements other than our funding requirements for the unfunded investments described above.</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Distributions</w:t>
      </w:r>
    </w:p>
    <w:p>
      <w:pPr>
        <w:spacing w:after="0" w:line="136" w:lineRule="exact"/>
        <w:rPr>
          <w:sz w:val="20"/>
          <w:szCs w:val="20"/>
          <w:color w:val="auto"/>
        </w:rPr>
      </w:pPr>
    </w:p>
    <w:p>
      <w:pPr>
        <w:jc w:val="both"/>
        <w:ind w:right="140" w:firstLine="438"/>
        <w:spacing w:after="0" w:line="238" w:lineRule="auto"/>
        <w:rPr>
          <w:sz w:val="20"/>
          <w:szCs w:val="20"/>
          <w:color w:val="auto"/>
        </w:rPr>
      </w:pPr>
      <w:r>
        <w:rPr>
          <w:rFonts w:ascii="Arial" w:cs="Arial" w:eastAsia="Arial" w:hAnsi="Arial"/>
          <w:sz w:val="14"/>
          <w:szCs w:val="14"/>
          <w:color w:val="auto"/>
        </w:rPr>
        <w:t>In order to be treated as a RIC for federal income tax purposes and to not be subject to corporate-level tax on undistributed income or gains, we are required, under Subchapter M of the Code, to annually distribute dividends for U.S. federal income tax purposes to our stockholders out of the assets legally available for distribution of an amount generally at least equal to 90% of investment company taxable income, determined without regard to any deduction for dividends paid.</w:t>
      </w:r>
    </w:p>
    <w:p>
      <w:pPr>
        <w:spacing w:after="0" w:line="115" w:lineRule="exact"/>
        <w:rPr>
          <w:sz w:val="20"/>
          <w:szCs w:val="20"/>
          <w:color w:val="auto"/>
        </w:rPr>
      </w:pPr>
    </w:p>
    <w:p>
      <w:pPr>
        <w:ind w:right="100" w:firstLine="438"/>
        <w:spacing w:after="0" w:line="231" w:lineRule="auto"/>
        <w:rPr>
          <w:sz w:val="20"/>
          <w:szCs w:val="20"/>
          <w:color w:val="auto"/>
        </w:rPr>
      </w:pPr>
      <w:r>
        <w:rPr>
          <w:rFonts w:ascii="Arial" w:cs="Arial" w:eastAsia="Arial" w:hAnsi="Arial"/>
          <w:sz w:val="14"/>
          <w:szCs w:val="14"/>
          <w:color w:val="auto"/>
        </w:rPr>
        <w:t>Although not required for us to maintain our RIC tax status, in order to preclude the imposition of a 4% nondeductible federal excise tax imposed on RICs, we must distribute dividends for U.S. federal income tax purposes to our stockholders in respect of each calendar year of an amount at least equal to the Excise Tax Avoidance Requirement. In addition, although we may distribute realized net capital gains (i.e., net long-term capital gains in excess of net short-term capital losses), if any, at least annually, out of the assets legally available for such distributions in the manner described above, we have retained and may continue to retain such net capital gains or investment company taxable income, contingent on maintaining our ability to be subject to tax as a RIC, in order to provide us with additional liquidity.</w:t>
      </w:r>
    </w:p>
    <w:p>
      <w:pPr>
        <w:spacing w:after="0" w:line="116" w:lineRule="exact"/>
        <w:rPr>
          <w:sz w:val="20"/>
          <w:szCs w:val="20"/>
          <w:color w:val="auto"/>
        </w:rPr>
      </w:pPr>
    </w:p>
    <w:p>
      <w:pPr>
        <w:ind w:right="20" w:firstLine="438"/>
        <w:spacing w:after="0" w:line="233" w:lineRule="auto"/>
        <w:rPr>
          <w:sz w:val="20"/>
          <w:szCs w:val="20"/>
          <w:color w:val="auto"/>
        </w:rPr>
      </w:pPr>
      <w:r>
        <w:rPr>
          <w:rFonts w:ascii="Arial" w:cs="Arial" w:eastAsia="Arial" w:hAnsi="Arial"/>
          <w:sz w:val="14"/>
          <w:szCs w:val="14"/>
          <w:color w:val="auto"/>
        </w:rPr>
        <w:t>During the three months ended December 31, 2019 and 2018, we declared distributions of $0.285 per share for total distributions of $11.1 million. We monitor available net investment income to determine if a return of capital for tax purposes may occur for the fiscal year. To the extent our taxable earnings fall below the total amount of our distributions for any given fiscal year, stockholders will be notified of the portion of those distributions deemed to be a tax return of capital. Tax characteristics of all distributions will be reported to stockholders subject to information reporting on Form 1099-DIV after the end of each calendar year and in our periodic reports filed with the SEC.</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4"/>
          <w:szCs w:val="14"/>
          <w:color w:val="auto"/>
        </w:rPr>
        <w:t>We intend to continue to make monthly distributions to our stockholders. Our monthly distributions, if any, are determined by our board of directors quarterly.</w:t>
      </w:r>
    </w:p>
    <w:p>
      <w:pPr>
        <w:spacing w:after="0" w:line="136" w:lineRule="exact"/>
        <w:rPr>
          <w:sz w:val="20"/>
          <w:szCs w:val="20"/>
          <w:color w:val="auto"/>
        </w:rPr>
      </w:pPr>
    </w:p>
    <w:p>
      <w:pPr>
        <w:ind w:firstLine="438"/>
        <w:spacing w:after="0" w:line="233" w:lineRule="auto"/>
        <w:rPr>
          <w:sz w:val="20"/>
          <w:szCs w:val="20"/>
          <w:color w:val="auto"/>
        </w:rPr>
      </w:pPr>
      <w:r>
        <w:rPr>
          <w:rFonts w:ascii="Arial" w:cs="Arial" w:eastAsia="Arial" w:hAnsi="Arial"/>
          <w:sz w:val="14"/>
          <w:szCs w:val="14"/>
          <w:color w:val="auto"/>
        </w:rPr>
        <w:t>We may not be able to achieve operating results that will allow us to make distributions at a specific level or to increase the amount of these distributions from time to time. In addition, we may be limited in our ability to make distributions due to the asset coverage ratio for borrowings applicable to us as a BDC under the 1940 Act and due to provisions in future credit facilities. If we do not distribute at least a certain percentage of our income annually, we could suffer adverse tax consequences, including possible loss of our ability to be subject to tax as a RIC. We cannot assure stockholders that they will receive any distributions at a particular level.</w:t>
      </w:r>
    </w:p>
    <w:p>
      <w:pPr>
        <w:spacing w:after="0" w:line="11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Recent Accounting Pronouncements</w:t>
      </w:r>
    </w:p>
    <w:p>
      <w:pPr>
        <w:spacing w:after="0" w:line="136" w:lineRule="exact"/>
        <w:rPr>
          <w:sz w:val="20"/>
          <w:szCs w:val="20"/>
          <w:color w:val="auto"/>
        </w:rPr>
      </w:pPr>
    </w:p>
    <w:p>
      <w:pPr>
        <w:ind w:right="40" w:firstLine="438"/>
        <w:spacing w:after="0" w:line="231" w:lineRule="auto"/>
        <w:rPr>
          <w:sz w:val="20"/>
          <w:szCs w:val="20"/>
          <w:color w:val="auto"/>
        </w:rPr>
      </w:pPr>
      <w:r>
        <w:rPr>
          <w:rFonts w:ascii="Arial" w:cs="Arial" w:eastAsia="Arial" w:hAnsi="Arial"/>
          <w:sz w:val="14"/>
          <w:szCs w:val="14"/>
          <w:color w:val="auto"/>
        </w:rPr>
        <w:t>In August 2018, the FASB issued Accounting Standards Update, or ASU, 2018-13, Fair Value Measurement (Topic 820): Disclosure Framework - Changes to the Disclosure Requirements for Fair Value Measurement, or ASU 2018-13, which changed the fair value measurement disclosure requirements of ASC Topic 820, Fair Value Measurements and Disclosures, or ASC 820. The key provisions include new, eliminated and modified disclosure requirements. The new guidance is effective for fiscal years beginning after December 15, 2019, including interim periods therein. Early application is permitted. The Company has adopted this accounting standard update effective October 1, 2019 and the impact its of adoption was not material to the Company’s financial statements and related disclosures.</w:t>
      </w:r>
    </w:p>
    <w:p>
      <w:pPr>
        <w:spacing w:after="0" w:line="112" w:lineRule="exact"/>
        <w:rPr>
          <w:sz w:val="20"/>
          <w:szCs w:val="20"/>
          <w:color w:val="auto"/>
        </w:rPr>
      </w:pPr>
    </w:p>
    <w:p>
      <w:pPr>
        <w:spacing w:after="0"/>
        <w:tabs>
          <w:tab w:leader="none" w:pos="740" w:val="left"/>
        </w:tabs>
        <w:rPr>
          <w:sz w:val="20"/>
          <w:szCs w:val="20"/>
          <w:color w:val="auto"/>
        </w:rPr>
      </w:pPr>
      <w:r>
        <w:rPr>
          <w:rFonts w:ascii="Arial" w:cs="Arial" w:eastAsia="Arial" w:hAnsi="Arial"/>
          <w:sz w:val="14"/>
          <w:szCs w:val="14"/>
          <w:b w:val="1"/>
          <w:bCs w:val="1"/>
          <w:color w:val="auto"/>
        </w:rPr>
        <w:t>Item 3.</w:t>
      </w:r>
      <w:r>
        <w:rPr>
          <w:sz w:val="20"/>
          <w:szCs w:val="20"/>
          <w:color w:val="auto"/>
        </w:rPr>
        <w:tab/>
      </w:r>
      <w:r>
        <w:rPr>
          <w:rFonts w:ascii="Arial" w:cs="Arial" w:eastAsia="Arial" w:hAnsi="Arial"/>
          <w:sz w:val="13"/>
          <w:szCs w:val="13"/>
          <w:b w:val="1"/>
          <w:bCs w:val="1"/>
          <w:color w:val="auto"/>
        </w:rPr>
        <w:t>Quantitative And Qualitative Disclosures About Market Risk</w:t>
      </w:r>
    </w:p>
    <w:p>
      <w:pPr>
        <w:spacing w:after="0" w:line="140" w:lineRule="exact"/>
        <w:rPr>
          <w:sz w:val="20"/>
          <w:szCs w:val="20"/>
          <w:color w:val="auto"/>
        </w:rPr>
      </w:pPr>
    </w:p>
    <w:p>
      <w:pPr>
        <w:ind w:right="80" w:firstLine="438"/>
        <w:spacing w:after="0" w:line="231" w:lineRule="auto"/>
        <w:rPr>
          <w:sz w:val="20"/>
          <w:szCs w:val="20"/>
          <w:color w:val="auto"/>
        </w:rPr>
      </w:pPr>
      <w:r>
        <w:rPr>
          <w:rFonts w:ascii="Arial" w:cs="Arial" w:eastAsia="Arial" w:hAnsi="Arial"/>
          <w:sz w:val="14"/>
          <w:szCs w:val="14"/>
          <w:color w:val="auto"/>
        </w:rPr>
        <w:t>We are subject to financial market risks, including changes in interest rates. As of December 31, 2019, our debt portfolio consisted of 99% variable-rate investments. The variable-rate loans are usually based on a LIBOR rate and typically have durations of three months, after which they reset to current market interest rates. Variable-rate investments subject to a floor generally reset by reference to the current market index after one to nine months only if the index exceeds the floor. In regards to variable-rate instruments with a floor, we do not benefit from increases in interest rates until such rates exceed the floor and thereafter benefit from market rates above any such floor. In contrast, our cost of funds, to the extent it is not fixed, will fluctuate with changes in interest rates since it has no floor.</w:t>
      </w:r>
    </w:p>
    <w:p>
      <w:pPr>
        <w:spacing w:after="0" w:line="116" w:lineRule="exact"/>
        <w:rPr>
          <w:sz w:val="20"/>
          <w:szCs w:val="20"/>
          <w:color w:val="auto"/>
        </w:rPr>
      </w:pPr>
    </w:p>
    <w:p>
      <w:pPr>
        <w:ind w:right="500" w:firstLine="438"/>
        <w:spacing w:after="0" w:line="253" w:lineRule="auto"/>
        <w:rPr>
          <w:sz w:val="20"/>
          <w:szCs w:val="20"/>
          <w:color w:val="auto"/>
        </w:rPr>
      </w:pPr>
      <w:r>
        <w:rPr>
          <w:rFonts w:ascii="Arial" w:cs="Arial" w:eastAsia="Arial" w:hAnsi="Arial"/>
          <w:sz w:val="14"/>
          <w:szCs w:val="14"/>
          <w:color w:val="auto"/>
        </w:rPr>
        <w:t>Assuming that the most recent Consolidated Statements of Assets and Liabilities was to remain constant, and no actions were taken to alter the existing interest rate sensitivity, the following table shows the annualized impact of hypothetical base rate changes in interest rates:</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20" w:type="dxa"/>
            <w:vAlign w:val="bottom"/>
          </w:tcPr>
          <w:p>
            <w:pPr>
              <w:jc w:val="center"/>
              <w:ind w:left="588"/>
              <w:spacing w:after="0"/>
              <w:rPr>
                <w:sz w:val="20"/>
                <w:szCs w:val="20"/>
                <w:color w:val="auto"/>
              </w:rPr>
            </w:pPr>
            <w:r>
              <w:rPr>
                <w:rFonts w:ascii="Arial" w:cs="Arial" w:eastAsia="Arial" w:hAnsi="Arial"/>
                <w:sz w:val="14"/>
                <w:szCs w:val="14"/>
                <w:b w:val="1"/>
                <w:bCs w:val="1"/>
                <w:color w:val="auto"/>
                <w:w w:val="93"/>
              </w:rPr>
              <w:t>Change In Interest Income,</w:t>
            </w:r>
          </w:p>
        </w:tc>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120" w:type="dxa"/>
            <w:vAlign w:val="bottom"/>
          </w:tcPr>
          <w:p>
            <w:pPr>
              <w:jc w:val="center"/>
              <w:ind w:right="548"/>
              <w:spacing w:after="0"/>
              <w:rPr>
                <w:sz w:val="20"/>
                <w:szCs w:val="20"/>
                <w:color w:val="auto"/>
              </w:rPr>
            </w:pPr>
            <w:r>
              <w:rPr>
                <w:rFonts w:ascii="Arial" w:cs="Arial" w:eastAsia="Arial" w:hAnsi="Arial"/>
                <w:sz w:val="14"/>
                <w:szCs w:val="14"/>
                <w:b w:val="1"/>
                <w:bCs w:val="1"/>
                <w:color w:val="auto"/>
                <w:w w:val="94"/>
              </w:rPr>
              <w:t>Change In Interest Income,</w:t>
            </w:r>
          </w:p>
        </w:tc>
        <w:tc>
          <w:tcPr>
            <w:tcW w:w="0" w:type="dxa"/>
            <w:vAlign w:val="bottom"/>
          </w:tcPr>
          <w:p>
            <w:pPr>
              <w:spacing w:after="0"/>
              <w:rPr>
                <w:sz w:val="1"/>
                <w:szCs w:val="1"/>
                <w:color w:val="auto"/>
              </w:rPr>
            </w:pPr>
          </w:p>
        </w:tc>
      </w:tr>
      <w:tr>
        <w:trPr>
          <w:trHeight w:val="148"/>
        </w:trPr>
        <w:tc>
          <w:tcPr>
            <w:tcW w:w="36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Change In Interest Rates</w:t>
            </w:r>
          </w:p>
        </w:tc>
        <w:tc>
          <w:tcPr>
            <w:tcW w:w="220" w:type="dxa"/>
            <w:vAlign w:val="bottom"/>
          </w:tcPr>
          <w:p>
            <w:pPr>
              <w:spacing w:after="0"/>
              <w:rPr>
                <w:sz w:val="12"/>
                <w:szCs w:val="12"/>
                <w:color w:val="auto"/>
              </w:rPr>
            </w:pPr>
          </w:p>
        </w:tc>
        <w:tc>
          <w:tcPr>
            <w:tcW w:w="2820" w:type="dxa"/>
            <w:vAlign w:val="bottom"/>
          </w:tcPr>
          <w:p>
            <w:pPr>
              <w:jc w:val="center"/>
              <w:ind w:left="588"/>
              <w:spacing w:after="0" w:line="149" w:lineRule="exact"/>
              <w:rPr>
                <w:sz w:val="20"/>
                <w:szCs w:val="20"/>
                <w:color w:val="auto"/>
              </w:rPr>
            </w:pPr>
            <w:r>
              <w:rPr>
                <w:rFonts w:ascii="Arial" w:cs="Arial" w:eastAsia="Arial" w:hAnsi="Arial"/>
                <w:sz w:val="14"/>
                <w:szCs w:val="14"/>
                <w:b w:val="1"/>
                <w:bCs w:val="1"/>
                <w:color w:val="auto"/>
                <w:w w:val="93"/>
              </w:rPr>
              <w:t>Net Of Interest Expense</w:t>
            </w: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120" w:type="dxa"/>
            <w:vAlign w:val="bottom"/>
          </w:tcPr>
          <w:p>
            <w:pPr>
              <w:jc w:val="center"/>
              <w:ind w:right="548"/>
              <w:spacing w:after="0" w:line="149" w:lineRule="exact"/>
              <w:rPr>
                <w:sz w:val="20"/>
                <w:szCs w:val="20"/>
                <w:color w:val="auto"/>
              </w:rPr>
            </w:pPr>
            <w:r>
              <w:rPr>
                <w:rFonts w:ascii="Arial" w:cs="Arial" w:eastAsia="Arial" w:hAnsi="Arial"/>
                <w:sz w:val="14"/>
                <w:szCs w:val="14"/>
                <w:b w:val="1"/>
                <w:bCs w:val="1"/>
                <w:color w:val="auto"/>
                <w:w w:val="95"/>
              </w:rPr>
              <w:t>Net of Interest</w:t>
            </w:r>
          </w:p>
        </w:tc>
        <w:tc>
          <w:tcPr>
            <w:tcW w:w="0" w:type="dxa"/>
            <w:vAlign w:val="bottom"/>
          </w:tcPr>
          <w:p>
            <w:pPr>
              <w:spacing w:after="0"/>
              <w:rPr>
                <w:sz w:val="1"/>
                <w:szCs w:val="1"/>
                <w:color w:val="auto"/>
              </w:rPr>
            </w:pPr>
          </w:p>
        </w:tc>
      </w:tr>
      <w:tr>
        <w:trPr>
          <w:trHeight w:val="171"/>
        </w:trPr>
        <w:tc>
          <w:tcPr>
            <w:tcW w:w="3600" w:type="dxa"/>
            <w:vAlign w:val="bottom"/>
            <w:tcBorders>
              <w:bottom w:val="single" w:sz="8" w:color="auto"/>
            </w:tcBorders>
            <w:vMerge w:val="continue"/>
          </w:tcPr>
          <w:p>
            <w:pPr>
              <w:spacing w:after="0"/>
              <w:rPr>
                <w:sz w:val="14"/>
                <w:szCs w:val="14"/>
                <w:color w:val="auto"/>
              </w:rPr>
            </w:pPr>
          </w:p>
        </w:tc>
        <w:tc>
          <w:tcPr>
            <w:tcW w:w="220" w:type="dxa"/>
            <w:vAlign w:val="bottom"/>
            <w:tcBorders>
              <w:bottom w:val="single" w:sz="8" w:color="CCECFF"/>
            </w:tcBorders>
          </w:tcPr>
          <w:p>
            <w:pPr>
              <w:spacing w:after="0"/>
              <w:rPr>
                <w:sz w:val="14"/>
                <w:szCs w:val="14"/>
                <w:color w:val="auto"/>
              </w:rPr>
            </w:pPr>
          </w:p>
        </w:tc>
        <w:tc>
          <w:tcPr>
            <w:tcW w:w="2820" w:type="dxa"/>
            <w:vAlign w:val="bottom"/>
            <w:tcBorders>
              <w:bottom w:val="single" w:sz="8" w:color="auto"/>
            </w:tcBorders>
          </w:tcPr>
          <w:p>
            <w:pPr>
              <w:jc w:val="center"/>
              <w:ind w:left="588"/>
              <w:spacing w:after="0"/>
              <w:rPr>
                <w:sz w:val="20"/>
                <w:szCs w:val="20"/>
                <w:color w:val="auto"/>
              </w:rPr>
            </w:pPr>
            <w:r>
              <w:rPr>
                <w:rFonts w:ascii="Arial" w:cs="Arial" w:eastAsia="Arial" w:hAnsi="Arial"/>
                <w:sz w:val="14"/>
                <w:szCs w:val="14"/>
                <w:b w:val="1"/>
                <w:bCs w:val="1"/>
                <w:color w:val="auto"/>
                <w:w w:val="91"/>
              </w:rPr>
              <w:t>(in thousands)</w:t>
            </w:r>
          </w:p>
        </w:tc>
        <w:tc>
          <w:tcPr>
            <w:tcW w:w="760" w:type="dxa"/>
            <w:vAlign w:val="bottom"/>
            <w:tcBorders>
              <w:bottom w:val="single" w:sz="8" w:color="auto"/>
            </w:tcBorders>
          </w:tcPr>
          <w:p>
            <w:pPr>
              <w:spacing w:after="0"/>
              <w:rPr>
                <w:sz w:val="14"/>
                <w:szCs w:val="14"/>
                <w:color w:val="auto"/>
              </w:rPr>
            </w:pPr>
          </w:p>
        </w:tc>
        <w:tc>
          <w:tcPr>
            <w:tcW w:w="240" w:type="dxa"/>
            <w:vAlign w:val="bottom"/>
            <w:tcBorders>
              <w:bottom w:val="single" w:sz="8" w:color="CCECFF"/>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3120" w:type="dxa"/>
            <w:vAlign w:val="bottom"/>
            <w:tcBorders>
              <w:bottom w:val="single" w:sz="8" w:color="auto"/>
            </w:tcBorders>
          </w:tcPr>
          <w:p>
            <w:pPr>
              <w:jc w:val="center"/>
              <w:ind w:right="548"/>
              <w:spacing w:after="0"/>
              <w:rPr>
                <w:sz w:val="20"/>
                <w:szCs w:val="20"/>
                <w:color w:val="auto"/>
              </w:rPr>
            </w:pPr>
            <w:r>
              <w:rPr>
                <w:rFonts w:ascii="Arial" w:cs="Arial" w:eastAsia="Arial" w:hAnsi="Arial"/>
                <w:sz w:val="14"/>
                <w:szCs w:val="14"/>
                <w:b w:val="1"/>
                <w:bCs w:val="1"/>
                <w:color w:val="auto"/>
                <w:w w:val="89"/>
              </w:rPr>
              <w:t>Expense Per Share</w:t>
            </w:r>
          </w:p>
        </w:tc>
        <w:tc>
          <w:tcPr>
            <w:tcW w:w="0" w:type="dxa"/>
            <w:vAlign w:val="bottom"/>
          </w:tcPr>
          <w:p>
            <w:pPr>
              <w:spacing w:after="0"/>
              <w:rPr>
                <w:sz w:val="1"/>
                <w:szCs w:val="1"/>
                <w:color w:val="auto"/>
              </w:rPr>
            </w:pPr>
          </w:p>
        </w:tc>
      </w:tr>
      <w:tr>
        <w:trPr>
          <w:trHeight w:val="155"/>
        </w:trPr>
        <w:tc>
          <w:tcPr>
            <w:tcW w:w="3600" w:type="dxa"/>
            <w:vAlign w:val="bottom"/>
            <w:shd w:val="clear" w:color="auto" w:fill="CCECFF"/>
          </w:tcPr>
          <w:p>
            <w:pPr>
              <w:jc w:val="center"/>
              <w:spacing w:after="0" w:line="155" w:lineRule="exact"/>
              <w:rPr>
                <w:sz w:val="20"/>
                <w:szCs w:val="20"/>
                <w:color w:val="auto"/>
              </w:rPr>
            </w:pPr>
            <w:r>
              <w:rPr>
                <w:rFonts w:ascii="Arial" w:cs="Arial" w:eastAsia="Arial" w:hAnsi="Arial"/>
                <w:sz w:val="14"/>
                <w:szCs w:val="14"/>
                <w:color w:val="auto"/>
                <w:w w:val="96"/>
              </w:rPr>
              <w:t>Down 1%</w:t>
            </w:r>
          </w:p>
        </w:tc>
        <w:tc>
          <w:tcPr>
            <w:tcW w:w="220" w:type="dxa"/>
            <w:vAlign w:val="bottom"/>
            <w:shd w:val="clear" w:color="auto" w:fill="CCECFF"/>
          </w:tcPr>
          <w:p>
            <w:pPr>
              <w:spacing w:after="0"/>
              <w:rPr>
                <w:sz w:val="13"/>
                <w:szCs w:val="13"/>
                <w:color w:val="auto"/>
              </w:rPr>
            </w:pPr>
          </w:p>
        </w:tc>
        <w:tc>
          <w:tcPr>
            <w:tcW w:w="2820" w:type="dxa"/>
            <w:vAlign w:val="bottom"/>
            <w:shd w:val="clear" w:color="auto" w:fill="CCECFF"/>
          </w:tcPr>
          <w:p>
            <w:pPr>
              <w:jc w:val="right"/>
              <w:ind w:right="2668"/>
              <w:spacing w:after="0" w:line="155" w:lineRule="exact"/>
              <w:rPr>
                <w:sz w:val="20"/>
                <w:szCs w:val="20"/>
                <w:color w:val="auto"/>
              </w:rPr>
            </w:pPr>
            <w:r>
              <w:rPr>
                <w:rFonts w:ascii="Arial" w:cs="Arial" w:eastAsia="Arial" w:hAnsi="Arial"/>
                <w:sz w:val="14"/>
                <w:szCs w:val="14"/>
                <w:color w:val="auto"/>
                <w:w w:val="76"/>
              </w:rPr>
              <w:t>$</w:t>
            </w:r>
          </w:p>
        </w:tc>
        <w:tc>
          <w:tcPr>
            <w:tcW w:w="760" w:type="dxa"/>
            <w:vAlign w:val="bottom"/>
            <w:shd w:val="clear" w:color="auto" w:fill="CCECFF"/>
          </w:tcPr>
          <w:p>
            <w:pPr>
              <w:jc w:val="right"/>
              <w:spacing w:after="0" w:line="155" w:lineRule="exact"/>
              <w:rPr>
                <w:sz w:val="20"/>
                <w:szCs w:val="20"/>
                <w:color w:val="auto"/>
              </w:rPr>
            </w:pPr>
            <w:r>
              <w:rPr>
                <w:rFonts w:ascii="Arial" w:cs="Arial" w:eastAsia="Arial" w:hAnsi="Arial"/>
                <w:sz w:val="14"/>
                <w:szCs w:val="14"/>
                <w:color w:val="auto"/>
              </w:rPr>
              <w:t>(5,129)</w:t>
            </w:r>
          </w:p>
        </w:tc>
        <w:tc>
          <w:tcPr>
            <w:tcW w:w="240" w:type="dxa"/>
            <w:vAlign w:val="bottom"/>
            <w:shd w:val="clear" w:color="auto" w:fill="CCECFF"/>
          </w:tcPr>
          <w:p>
            <w:pPr>
              <w:spacing w:after="0"/>
              <w:rPr>
                <w:sz w:val="13"/>
                <w:szCs w:val="13"/>
                <w:color w:val="auto"/>
              </w:rPr>
            </w:pPr>
          </w:p>
        </w:tc>
        <w:tc>
          <w:tcPr>
            <w:tcW w:w="480" w:type="dxa"/>
            <w:vAlign w:val="bottom"/>
            <w:shd w:val="clear" w:color="auto" w:fill="CCECFF"/>
          </w:tcPr>
          <w:p>
            <w:pPr>
              <w:jc w:val="right"/>
              <w:ind w:right="369"/>
              <w:spacing w:after="0"/>
              <w:rPr>
                <w:sz w:val="20"/>
                <w:szCs w:val="20"/>
                <w:color w:val="auto"/>
              </w:rPr>
            </w:pPr>
            <w:r>
              <w:rPr>
                <w:rFonts w:ascii="Arial" w:cs="Arial" w:eastAsia="Arial" w:hAnsi="Arial"/>
                <w:sz w:val="10"/>
                <w:szCs w:val="10"/>
                <w:color w:val="auto"/>
                <w:w w:val="71"/>
              </w:rPr>
              <w:t>$</w:t>
            </w:r>
          </w:p>
        </w:tc>
        <w:tc>
          <w:tcPr>
            <w:tcW w:w="3120" w:type="dxa"/>
            <w:vAlign w:val="bottom"/>
            <w:shd w:val="clear" w:color="auto" w:fill="CCECFF"/>
          </w:tcPr>
          <w:p>
            <w:pPr>
              <w:jc w:val="right"/>
              <w:ind w:right="8"/>
              <w:spacing w:after="0" w:line="155" w:lineRule="exact"/>
              <w:rPr>
                <w:sz w:val="20"/>
                <w:szCs w:val="20"/>
                <w:color w:val="auto"/>
              </w:rPr>
            </w:pPr>
            <w:r>
              <w:rPr>
                <w:rFonts w:ascii="Arial" w:cs="Arial" w:eastAsia="Arial" w:hAnsi="Arial"/>
                <w:sz w:val="14"/>
                <w:szCs w:val="14"/>
                <w:color w:val="auto"/>
              </w:rPr>
              <w:t>(0.13)</w:t>
            </w:r>
          </w:p>
        </w:tc>
        <w:tc>
          <w:tcPr>
            <w:tcW w:w="0" w:type="dxa"/>
            <w:vAlign w:val="bottom"/>
          </w:tcPr>
          <w:p>
            <w:pPr>
              <w:spacing w:after="0"/>
              <w:rPr>
                <w:sz w:val="1"/>
                <w:szCs w:val="1"/>
                <w:color w:val="auto"/>
              </w:rPr>
            </w:pPr>
          </w:p>
        </w:tc>
      </w:tr>
      <w:tr>
        <w:trPr>
          <w:trHeight w:val="162"/>
        </w:trPr>
        <w:tc>
          <w:tcPr>
            <w:tcW w:w="3600" w:type="dxa"/>
            <w:vAlign w:val="bottom"/>
          </w:tcPr>
          <w:p>
            <w:pPr>
              <w:jc w:val="center"/>
              <w:spacing w:after="0"/>
              <w:rPr>
                <w:sz w:val="20"/>
                <w:szCs w:val="20"/>
                <w:color w:val="auto"/>
              </w:rPr>
            </w:pPr>
            <w:r>
              <w:rPr>
                <w:rFonts w:ascii="Arial" w:cs="Arial" w:eastAsia="Arial" w:hAnsi="Arial"/>
                <w:sz w:val="14"/>
                <w:szCs w:val="14"/>
                <w:color w:val="auto"/>
                <w:w w:val="95"/>
              </w:rPr>
              <w:t>Up 1%</w:t>
            </w:r>
          </w:p>
        </w:tc>
        <w:tc>
          <w:tcPr>
            <w:tcW w:w="22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5,129</w:t>
            </w: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120" w:type="dxa"/>
            <w:vAlign w:val="bottom"/>
          </w:tcPr>
          <w:p>
            <w:pPr>
              <w:jc w:val="right"/>
              <w:ind w:right="68"/>
              <w:spacing w:after="0"/>
              <w:rPr>
                <w:sz w:val="20"/>
                <w:szCs w:val="20"/>
                <w:color w:val="auto"/>
              </w:rPr>
            </w:pPr>
            <w:r>
              <w:rPr>
                <w:rFonts w:ascii="Arial" w:cs="Arial" w:eastAsia="Arial" w:hAnsi="Arial"/>
                <w:sz w:val="14"/>
                <w:szCs w:val="14"/>
                <w:color w:val="auto"/>
              </w:rPr>
              <w:t>0.13</w:t>
            </w:r>
          </w:p>
        </w:tc>
        <w:tc>
          <w:tcPr>
            <w:tcW w:w="0" w:type="dxa"/>
            <w:vAlign w:val="bottom"/>
          </w:tcPr>
          <w:p>
            <w:pPr>
              <w:spacing w:after="0"/>
              <w:rPr>
                <w:sz w:val="1"/>
                <w:szCs w:val="1"/>
                <w:color w:val="auto"/>
              </w:rPr>
            </w:pPr>
          </w:p>
        </w:tc>
      </w:tr>
      <w:tr>
        <w:trPr>
          <w:trHeight w:val="162"/>
        </w:trPr>
        <w:tc>
          <w:tcPr>
            <w:tcW w:w="3600" w:type="dxa"/>
            <w:vAlign w:val="bottom"/>
            <w:shd w:val="clear" w:color="auto" w:fill="CCECFF"/>
          </w:tcPr>
          <w:p>
            <w:pPr>
              <w:jc w:val="center"/>
              <w:spacing w:after="0"/>
              <w:rPr>
                <w:sz w:val="20"/>
                <w:szCs w:val="20"/>
                <w:color w:val="auto"/>
              </w:rPr>
            </w:pPr>
            <w:r>
              <w:rPr>
                <w:rFonts w:ascii="Arial" w:cs="Arial" w:eastAsia="Arial" w:hAnsi="Arial"/>
                <w:sz w:val="14"/>
                <w:szCs w:val="14"/>
                <w:color w:val="auto"/>
                <w:w w:val="95"/>
              </w:rPr>
              <w:t>Up 2%</w:t>
            </w:r>
          </w:p>
        </w:tc>
        <w:tc>
          <w:tcPr>
            <w:tcW w:w="220" w:type="dxa"/>
            <w:vAlign w:val="bottom"/>
            <w:shd w:val="clear" w:color="auto" w:fill="CCECFF"/>
          </w:tcPr>
          <w:p>
            <w:pPr>
              <w:spacing w:after="0"/>
              <w:rPr>
                <w:sz w:val="14"/>
                <w:szCs w:val="14"/>
                <w:color w:val="auto"/>
              </w:rPr>
            </w:pPr>
          </w:p>
        </w:tc>
        <w:tc>
          <w:tcPr>
            <w:tcW w:w="2820" w:type="dxa"/>
            <w:vAlign w:val="bottom"/>
            <w:shd w:val="clear" w:color="auto" w:fill="CCECFF"/>
          </w:tcPr>
          <w:p>
            <w:pPr>
              <w:spacing w:after="0"/>
              <w:rPr>
                <w:sz w:val="14"/>
                <w:szCs w:val="14"/>
                <w:color w:val="auto"/>
              </w:rPr>
            </w:pPr>
          </w:p>
        </w:tc>
        <w:tc>
          <w:tcPr>
            <w:tcW w:w="760" w:type="dxa"/>
            <w:vAlign w:val="bottom"/>
            <w:shd w:val="clear" w:color="auto" w:fill="CCECFF"/>
          </w:tcPr>
          <w:p>
            <w:pPr>
              <w:jc w:val="right"/>
              <w:ind w:right="48"/>
              <w:spacing w:after="0"/>
              <w:rPr>
                <w:sz w:val="20"/>
                <w:szCs w:val="20"/>
                <w:color w:val="auto"/>
              </w:rPr>
            </w:pPr>
            <w:r>
              <w:rPr>
                <w:rFonts w:ascii="Arial" w:cs="Arial" w:eastAsia="Arial" w:hAnsi="Arial"/>
                <w:sz w:val="14"/>
                <w:szCs w:val="14"/>
                <w:color w:val="auto"/>
              </w:rPr>
              <w:t>10,258</w:t>
            </w:r>
          </w:p>
        </w:tc>
        <w:tc>
          <w:tcPr>
            <w:tcW w:w="240" w:type="dxa"/>
            <w:vAlign w:val="bottom"/>
            <w:shd w:val="clear" w:color="auto" w:fill="CCECFF"/>
          </w:tcPr>
          <w:p>
            <w:pPr>
              <w:spacing w:after="0"/>
              <w:rPr>
                <w:sz w:val="14"/>
                <w:szCs w:val="14"/>
                <w:color w:val="auto"/>
              </w:rPr>
            </w:pPr>
          </w:p>
        </w:tc>
        <w:tc>
          <w:tcPr>
            <w:tcW w:w="480" w:type="dxa"/>
            <w:vAlign w:val="bottom"/>
            <w:shd w:val="clear" w:color="auto" w:fill="CCECFF"/>
          </w:tcPr>
          <w:p>
            <w:pPr>
              <w:spacing w:after="0"/>
              <w:rPr>
                <w:sz w:val="14"/>
                <w:szCs w:val="14"/>
                <w:color w:val="auto"/>
              </w:rPr>
            </w:pPr>
          </w:p>
        </w:tc>
        <w:tc>
          <w:tcPr>
            <w:tcW w:w="3120" w:type="dxa"/>
            <w:vAlign w:val="bottom"/>
            <w:shd w:val="clear" w:color="auto" w:fill="CCECFF"/>
          </w:tcPr>
          <w:p>
            <w:pPr>
              <w:jc w:val="right"/>
              <w:ind w:right="68"/>
              <w:spacing w:after="0"/>
              <w:rPr>
                <w:sz w:val="20"/>
                <w:szCs w:val="20"/>
                <w:color w:val="auto"/>
              </w:rPr>
            </w:pPr>
            <w:r>
              <w:rPr>
                <w:rFonts w:ascii="Arial" w:cs="Arial" w:eastAsia="Arial" w:hAnsi="Arial"/>
                <w:sz w:val="14"/>
                <w:szCs w:val="14"/>
                <w:color w:val="auto"/>
              </w:rPr>
              <w:t>0.26</w:t>
            </w:r>
          </w:p>
        </w:tc>
        <w:tc>
          <w:tcPr>
            <w:tcW w:w="0" w:type="dxa"/>
            <w:vAlign w:val="bottom"/>
          </w:tcPr>
          <w:p>
            <w:pPr>
              <w:spacing w:after="0"/>
              <w:rPr>
                <w:sz w:val="1"/>
                <w:szCs w:val="1"/>
                <w:color w:val="auto"/>
              </w:rPr>
            </w:pPr>
          </w:p>
        </w:tc>
      </w:tr>
      <w:tr>
        <w:trPr>
          <w:trHeight w:val="162"/>
        </w:trPr>
        <w:tc>
          <w:tcPr>
            <w:tcW w:w="3600" w:type="dxa"/>
            <w:vAlign w:val="bottom"/>
          </w:tcPr>
          <w:p>
            <w:pPr>
              <w:jc w:val="center"/>
              <w:spacing w:after="0"/>
              <w:rPr>
                <w:sz w:val="20"/>
                <w:szCs w:val="20"/>
                <w:color w:val="auto"/>
              </w:rPr>
            </w:pPr>
            <w:r>
              <w:rPr>
                <w:rFonts w:ascii="Arial" w:cs="Arial" w:eastAsia="Arial" w:hAnsi="Arial"/>
                <w:sz w:val="14"/>
                <w:szCs w:val="14"/>
                <w:color w:val="auto"/>
                <w:w w:val="95"/>
              </w:rPr>
              <w:t>Up 3%</w:t>
            </w:r>
          </w:p>
        </w:tc>
        <w:tc>
          <w:tcPr>
            <w:tcW w:w="22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15,714</w:t>
            </w: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120" w:type="dxa"/>
            <w:vAlign w:val="bottom"/>
          </w:tcPr>
          <w:p>
            <w:pPr>
              <w:jc w:val="right"/>
              <w:ind w:right="68"/>
              <w:spacing w:after="0"/>
              <w:rPr>
                <w:sz w:val="20"/>
                <w:szCs w:val="20"/>
                <w:color w:val="auto"/>
              </w:rPr>
            </w:pPr>
            <w:r>
              <w:rPr>
                <w:rFonts w:ascii="Arial" w:cs="Arial" w:eastAsia="Arial" w:hAnsi="Arial"/>
                <w:sz w:val="14"/>
                <w:szCs w:val="14"/>
                <w:color w:val="auto"/>
              </w:rPr>
              <w:t>0.41</w:t>
            </w:r>
          </w:p>
        </w:tc>
        <w:tc>
          <w:tcPr>
            <w:tcW w:w="0" w:type="dxa"/>
            <w:vAlign w:val="bottom"/>
          </w:tcPr>
          <w:p>
            <w:pPr>
              <w:spacing w:after="0"/>
              <w:rPr>
                <w:sz w:val="1"/>
                <w:szCs w:val="1"/>
                <w:color w:val="auto"/>
              </w:rPr>
            </w:pPr>
          </w:p>
        </w:tc>
      </w:tr>
      <w:tr>
        <w:trPr>
          <w:trHeight w:val="162"/>
        </w:trPr>
        <w:tc>
          <w:tcPr>
            <w:tcW w:w="3600" w:type="dxa"/>
            <w:vAlign w:val="bottom"/>
            <w:shd w:val="clear" w:color="auto" w:fill="CCECFF"/>
          </w:tcPr>
          <w:p>
            <w:pPr>
              <w:jc w:val="center"/>
              <w:spacing w:after="0"/>
              <w:rPr>
                <w:sz w:val="20"/>
                <w:szCs w:val="20"/>
                <w:color w:val="auto"/>
              </w:rPr>
            </w:pPr>
            <w:r>
              <w:rPr>
                <w:rFonts w:ascii="Arial" w:cs="Arial" w:eastAsia="Arial" w:hAnsi="Arial"/>
                <w:sz w:val="14"/>
                <w:szCs w:val="14"/>
                <w:color w:val="auto"/>
                <w:w w:val="95"/>
              </w:rPr>
              <w:t>Up 4%</w:t>
            </w:r>
          </w:p>
        </w:tc>
        <w:tc>
          <w:tcPr>
            <w:tcW w:w="3040" w:type="dxa"/>
            <w:vAlign w:val="bottom"/>
            <w:gridSpan w:val="2"/>
            <w:shd w:val="clear" w:color="auto" w:fill="CCECFF"/>
          </w:tcPr>
          <w:p>
            <w:pPr>
              <w:jc w:val="right"/>
              <w:ind w:right="2668"/>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CFF"/>
          </w:tcPr>
          <w:p>
            <w:pPr>
              <w:jc w:val="right"/>
              <w:ind w:right="48"/>
              <w:spacing w:after="0"/>
              <w:rPr>
                <w:sz w:val="20"/>
                <w:szCs w:val="20"/>
                <w:color w:val="auto"/>
              </w:rPr>
            </w:pPr>
            <w:r>
              <w:rPr>
                <w:rFonts w:ascii="Arial" w:cs="Arial" w:eastAsia="Arial" w:hAnsi="Arial"/>
                <w:sz w:val="14"/>
                <w:szCs w:val="14"/>
                <w:color w:val="auto"/>
              </w:rPr>
              <w:t>21,194</w:t>
            </w:r>
          </w:p>
        </w:tc>
        <w:tc>
          <w:tcPr>
            <w:tcW w:w="720" w:type="dxa"/>
            <w:vAlign w:val="bottom"/>
            <w:gridSpan w:val="2"/>
            <w:shd w:val="clear" w:color="auto" w:fill="CCECFF"/>
          </w:tcPr>
          <w:p>
            <w:pPr>
              <w:jc w:val="right"/>
              <w:ind w:right="369"/>
              <w:spacing w:after="0"/>
              <w:rPr>
                <w:sz w:val="20"/>
                <w:szCs w:val="20"/>
                <w:color w:val="auto"/>
              </w:rPr>
            </w:pPr>
            <w:r>
              <w:rPr>
                <w:rFonts w:ascii="Arial" w:cs="Arial" w:eastAsia="Arial" w:hAnsi="Arial"/>
                <w:sz w:val="14"/>
                <w:szCs w:val="14"/>
                <w:color w:val="auto"/>
              </w:rPr>
              <w:t>$</w:t>
            </w:r>
          </w:p>
        </w:tc>
        <w:tc>
          <w:tcPr>
            <w:tcW w:w="3120" w:type="dxa"/>
            <w:vAlign w:val="bottom"/>
            <w:shd w:val="clear" w:color="auto" w:fill="CCECFF"/>
          </w:tcPr>
          <w:p>
            <w:pPr>
              <w:jc w:val="right"/>
              <w:ind w:right="68"/>
              <w:spacing w:after="0"/>
              <w:rPr>
                <w:sz w:val="20"/>
                <w:szCs w:val="20"/>
                <w:color w:val="auto"/>
              </w:rPr>
            </w:pPr>
            <w:r>
              <w:rPr>
                <w:rFonts w:ascii="Arial" w:cs="Arial" w:eastAsia="Arial" w:hAnsi="Arial"/>
                <w:sz w:val="14"/>
                <w:szCs w:val="14"/>
                <w:color w:val="auto"/>
              </w:rPr>
              <w:t>0.55</w:t>
            </w:r>
          </w:p>
        </w:tc>
        <w:tc>
          <w:tcPr>
            <w:tcW w:w="0" w:type="dxa"/>
            <w:vAlign w:val="bottom"/>
          </w:tcPr>
          <w:p>
            <w:pPr>
              <w:spacing w:after="0"/>
              <w:rPr>
                <w:sz w:val="1"/>
                <w:szCs w:val="1"/>
                <w:color w:val="auto"/>
              </w:rPr>
            </w:pPr>
          </w:p>
        </w:tc>
      </w:tr>
    </w:tbl>
    <w:p>
      <w:pPr>
        <w:spacing w:after="0" w:line="130" w:lineRule="exact"/>
        <w:rPr>
          <w:sz w:val="20"/>
          <w:szCs w:val="20"/>
          <w:color w:val="auto"/>
        </w:rPr>
      </w:pPr>
    </w:p>
    <w:p>
      <w:pPr>
        <w:ind w:right="40" w:firstLine="438"/>
        <w:spacing w:after="0" w:line="238" w:lineRule="auto"/>
        <w:rPr>
          <w:sz w:val="20"/>
          <w:szCs w:val="20"/>
          <w:color w:val="auto"/>
        </w:rPr>
      </w:pPr>
      <w:r>
        <w:rPr>
          <w:rFonts w:ascii="Arial" w:cs="Arial" w:eastAsia="Arial" w:hAnsi="Arial"/>
          <w:sz w:val="14"/>
          <w:szCs w:val="14"/>
          <w:color w:val="auto"/>
        </w:rPr>
        <w:t>Although management believes that this measure is indicative of our sensitivity to interest rate changes, it does not adjust for potential changes in the credit market, credit quality, size and composition of the assets on the Consolidated Statements of Assets and Liabilities and other business developments that could affect net increase in net assets resulting from operations or net investment income. Accordingly, no assurances can be given that actual results would not differ materially from those shown above.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149465"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269" w:right="339" w:bottom="1440" w:gutter="0" w:footer="0" w:header="0"/>
        </w:sectPr>
      </w:pPr>
    </w:p>
    <w:bookmarkStart w:id="42" w:name="page43"/>
    <w:bookmarkEnd w:id="42"/>
    <w:p>
      <w:pPr>
        <w:jc w:val="both"/>
        <w:ind w:right="100" w:firstLine="438"/>
        <w:spacing w:after="0" w:line="238" w:lineRule="auto"/>
        <w:rPr>
          <w:sz w:val="20"/>
          <w:szCs w:val="20"/>
          <w:color w:val="auto"/>
        </w:rPr>
      </w:pPr>
      <w:r>
        <w:rPr>
          <w:rFonts w:ascii="Arial" w:cs="Arial" w:eastAsia="Arial" w:hAnsi="Arial"/>
          <w:sz w:val="14"/>
          <w:szCs w:val="14"/>
          <w:color w:val="auto"/>
        </w:rPr>
        <w:t>Because we borrow money to make investments, our net investment income is dependent upon the difference between the rate at which we borrow funds and the rate at which we invest these funds, as well as our level of leverage. As a result, there can be no assurance that a significant change in market interest rates will not have a material adverse effect on our net investment income or net assets.</w:t>
      </w:r>
    </w:p>
    <w:p>
      <w:pPr>
        <w:spacing w:after="0" w:line="115" w:lineRule="exact"/>
        <w:rPr>
          <w:sz w:val="20"/>
          <w:szCs w:val="20"/>
          <w:color w:val="auto"/>
        </w:rPr>
      </w:pPr>
    </w:p>
    <w:p>
      <w:pPr>
        <w:ind w:firstLine="438"/>
        <w:spacing w:after="0" w:line="255" w:lineRule="auto"/>
        <w:rPr>
          <w:sz w:val="20"/>
          <w:szCs w:val="20"/>
          <w:color w:val="auto"/>
        </w:rPr>
      </w:pPr>
      <w:r>
        <w:rPr>
          <w:rFonts w:ascii="Arial" w:cs="Arial" w:eastAsia="Arial" w:hAnsi="Arial"/>
          <w:sz w:val="13"/>
          <w:szCs w:val="13"/>
          <w:color w:val="auto"/>
        </w:rPr>
        <w:t>We may hedge against interest rate and foreign currency fluctuations by using standard hedging instruments such as futures, options and forward contracts or our Credit Facility subject to the requirements of the 1940 Act and applicable commodities laws. While hedging activities may insulate us against adverse changes in interest rates and foreign currencies, they may also limit our ability to participate in benefits of lower interest rates or higher exchange rates with respect to our portfolio of investments with fixed interest rates or investments denominated in foreign currencies. During the periods covered by this Report, we did not engage in interest rate hedging activities or foreign currency derivatives hedging activities.</w:t>
      </w:r>
    </w:p>
    <w:p>
      <w:pPr>
        <w:spacing w:after="0" w:line="103" w:lineRule="exact"/>
        <w:rPr>
          <w:sz w:val="20"/>
          <w:szCs w:val="20"/>
          <w:color w:val="auto"/>
        </w:rPr>
      </w:pPr>
    </w:p>
    <w:p>
      <w:pPr>
        <w:spacing w:after="0"/>
        <w:tabs>
          <w:tab w:leader="none" w:pos="740" w:val="left"/>
        </w:tabs>
        <w:rPr>
          <w:sz w:val="20"/>
          <w:szCs w:val="20"/>
          <w:color w:val="auto"/>
        </w:rPr>
      </w:pPr>
      <w:r>
        <w:rPr>
          <w:rFonts w:ascii="Arial" w:cs="Arial" w:eastAsia="Arial" w:hAnsi="Arial"/>
          <w:sz w:val="14"/>
          <w:szCs w:val="14"/>
          <w:b w:val="1"/>
          <w:bCs w:val="1"/>
          <w:color w:val="auto"/>
        </w:rPr>
        <w:t>Item 4.</w:t>
      </w:r>
      <w:r>
        <w:rPr>
          <w:sz w:val="20"/>
          <w:szCs w:val="20"/>
          <w:color w:val="auto"/>
        </w:rPr>
        <w:tab/>
      </w:r>
      <w:r>
        <w:rPr>
          <w:rFonts w:ascii="Arial" w:cs="Arial" w:eastAsia="Arial" w:hAnsi="Arial"/>
          <w:sz w:val="12"/>
          <w:szCs w:val="12"/>
          <w:b w:val="1"/>
          <w:bCs w:val="1"/>
          <w:color w:val="auto"/>
        </w:rPr>
        <w:t>Controls and Procedures</w:t>
      </w:r>
    </w:p>
    <w:p>
      <w:pPr>
        <w:spacing w:after="0" w:line="140" w:lineRule="exact"/>
        <w:rPr>
          <w:sz w:val="20"/>
          <w:szCs w:val="20"/>
          <w:color w:val="auto"/>
        </w:rPr>
      </w:pPr>
    </w:p>
    <w:p>
      <w:pPr>
        <w:ind w:right="20" w:firstLine="438"/>
        <w:spacing w:after="0" w:line="247" w:lineRule="auto"/>
        <w:rPr>
          <w:sz w:val="20"/>
          <w:szCs w:val="20"/>
          <w:color w:val="auto"/>
        </w:rPr>
      </w:pPr>
      <w:r>
        <w:rPr>
          <w:rFonts w:ascii="Arial" w:cs="Arial" w:eastAsia="Arial" w:hAnsi="Arial"/>
          <w:sz w:val="13"/>
          <w:szCs w:val="13"/>
          <w:color w:val="auto"/>
        </w:rPr>
        <w:t>As of the period covered by this Report, we, including our Chief Executive Officer and Chief Financial Officer, evaluated the effectiveness of the design and operation of our disclosure controls and procedures (as defined in Rule 13a-15(e) under the Exchange Act). Based on that evaluation, our management, including the Chief Executive Officer and Chief Financial Officer, concluded that our disclosure controls and procedures were effective and provided reasonable assurance that information required to be disclosed in our periodic filings with the SEC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 However, in evaluating the disclosure controls and procedures, management recognized that any controls and procedures, no matter how well designed and operated can provide only reasonable assurance of achieving the desired control objectives, and management necessarily was required to apply its judgment in evaluating the cost-benefit relationship of such possible controls and procedures.</w:t>
      </w:r>
    </w:p>
    <w:p>
      <w:pPr>
        <w:spacing w:after="0" w:line="111" w:lineRule="exact"/>
        <w:rPr>
          <w:sz w:val="20"/>
          <w:szCs w:val="20"/>
          <w:color w:val="auto"/>
        </w:rPr>
      </w:pPr>
    </w:p>
    <w:p>
      <w:pPr>
        <w:ind w:right="280" w:firstLine="438"/>
        <w:spacing w:after="0" w:line="253" w:lineRule="auto"/>
        <w:rPr>
          <w:sz w:val="20"/>
          <w:szCs w:val="20"/>
          <w:color w:val="auto"/>
        </w:rPr>
      </w:pPr>
      <w:r>
        <w:rPr>
          <w:rFonts w:ascii="Arial" w:cs="Arial" w:eastAsia="Arial" w:hAnsi="Arial"/>
          <w:sz w:val="14"/>
          <w:szCs w:val="14"/>
          <w:color w:val="auto"/>
        </w:rPr>
        <w:t>There have been no changes in our internal control over financial reporting that occurred during the quarter ended December 31, 2019 that have materially affected, or are reasonably likely to materially affect, our internal control over financial reporting.</w:t>
      </w:r>
    </w:p>
    <w:p>
      <w:pPr>
        <w:spacing w:after="0" w:line="246" w:lineRule="exact"/>
        <w:rPr>
          <w:sz w:val="20"/>
          <w:szCs w:val="20"/>
          <w:color w:val="auto"/>
        </w:rPr>
      </w:pPr>
    </w:p>
    <w:p>
      <w:pPr>
        <w:jc w:val="center"/>
        <w:ind w:right="-59"/>
        <w:spacing w:after="0"/>
        <w:rPr>
          <w:sz w:val="20"/>
          <w:szCs w:val="20"/>
          <w:color w:val="auto"/>
        </w:rPr>
      </w:pPr>
      <w:r>
        <w:rPr>
          <w:rFonts w:ascii="Arial" w:cs="Arial" w:eastAsia="Arial" w:hAnsi="Arial"/>
          <w:sz w:val="13"/>
          <w:szCs w:val="13"/>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149465"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80"/>
          </w:cols>
          <w:pgMar w:left="320" w:top="269" w:right="399" w:bottom="1440" w:gutter="0" w:footer="0" w:header="0"/>
        </w:sectPr>
      </w:pPr>
    </w:p>
    <w:bookmarkStart w:id="43" w:name="page44"/>
    <w:bookmarkEnd w:id="43"/>
    <w:p>
      <w:pPr>
        <w:spacing w:after="0"/>
        <w:rPr>
          <w:sz w:val="20"/>
          <w:szCs w:val="20"/>
          <w:color w:val="auto"/>
        </w:rPr>
      </w:pPr>
      <w:r>
        <w:rPr>
          <w:rFonts w:ascii="Arial" w:cs="Arial" w:eastAsia="Arial" w:hAnsi="Arial"/>
          <w:sz w:val="14"/>
          <w:szCs w:val="14"/>
          <w:b w:val="1"/>
          <w:bCs w:val="1"/>
          <w:color w:val="auto"/>
        </w:rPr>
        <w:t>PART II – OTHER INFORMATION</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1.Legal Proceedings</w:t>
      </w:r>
    </w:p>
    <w:p>
      <w:pPr>
        <w:spacing w:after="0" w:line="140" w:lineRule="exact"/>
        <w:rPr>
          <w:sz w:val="20"/>
          <w:szCs w:val="20"/>
          <w:color w:val="auto"/>
        </w:rPr>
      </w:pPr>
    </w:p>
    <w:p>
      <w:pPr>
        <w:ind w:right="80" w:firstLine="438"/>
        <w:spacing w:after="0" w:line="233" w:lineRule="auto"/>
        <w:rPr>
          <w:sz w:val="20"/>
          <w:szCs w:val="20"/>
          <w:color w:val="auto"/>
        </w:rPr>
      </w:pPr>
      <w:r>
        <w:rPr>
          <w:rFonts w:ascii="Arial" w:cs="Arial" w:eastAsia="Arial" w:hAnsi="Arial"/>
          <w:sz w:val="14"/>
          <w:szCs w:val="14"/>
          <w:color w:val="auto"/>
        </w:rPr>
        <w:t>None of us, our Investment Adviser or our Administrator, is currently subject to any material legal proceedings, nor, to our knowledge, is any material legal proceeding threatened against us, or against our Investment Adviser or Administrator. From time to time, we, our Investment Adviser or Administrator, may be a party to certain legal proceedings, including proceedings relating to the enforcement of our rights under contracts with our portfolio companies. While the outcome of these and any future legal proceedings cannot be predicted with certainty, we do not expect that these proceedings will have a material effect upon our financial condition or results of operations.</w:t>
      </w:r>
    </w:p>
    <w:p>
      <w:pPr>
        <w:spacing w:after="0" w:line="11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1A.Risk Factors</w:t>
      </w:r>
    </w:p>
    <w:p>
      <w:pPr>
        <w:spacing w:after="0" w:line="140" w:lineRule="exact"/>
        <w:rPr>
          <w:sz w:val="20"/>
          <w:szCs w:val="20"/>
          <w:color w:val="auto"/>
        </w:rPr>
      </w:pPr>
    </w:p>
    <w:p>
      <w:pPr>
        <w:jc w:val="both"/>
        <w:ind w:right="40" w:firstLine="438"/>
        <w:spacing w:after="0" w:line="233" w:lineRule="auto"/>
        <w:rPr>
          <w:sz w:val="20"/>
          <w:szCs w:val="20"/>
          <w:color w:val="auto"/>
        </w:rPr>
      </w:pPr>
      <w:r>
        <w:rPr>
          <w:rFonts w:ascii="Arial" w:cs="Arial" w:eastAsia="Arial" w:hAnsi="Arial"/>
          <w:sz w:val="14"/>
          <w:szCs w:val="14"/>
          <w:color w:val="auto"/>
        </w:rPr>
        <w:t>In addition to the other information set forth in this Report, you should consider carefully the factors discussed below, as well as in Part I “Item 1A. Risk Factors” in our Annual Report on Form 10-K for the fiscal year ended September 30, 2019 filed on November 20, 2019, which could materially affect our business, financial condition and/or operating results. The risks described below, as well as in our Annual Report on Form 10-K are not the only risks facing PennantPark Floating Rate Capital Ltd. Additional risks and uncertainties not currently known to us or that we currently deem to be immaterial also may materially and adversely affect our business, financial condition and/or operating results.</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4"/>
          <w:szCs w:val="14"/>
          <w:b w:val="1"/>
          <w:bCs w:val="1"/>
          <w:i w:val="1"/>
          <w:iCs w:val="1"/>
          <w:color w:val="auto"/>
        </w:rPr>
        <w:t>Legislation enacted in 2018 allows us to incur additional leverage.</w:t>
      </w:r>
    </w:p>
    <w:p>
      <w:pPr>
        <w:spacing w:after="0" w:line="136" w:lineRule="exact"/>
        <w:rPr>
          <w:sz w:val="20"/>
          <w:szCs w:val="20"/>
          <w:color w:val="auto"/>
        </w:rPr>
      </w:pPr>
    </w:p>
    <w:p>
      <w:pPr>
        <w:ind w:firstLine="438"/>
        <w:spacing w:after="0" w:line="244" w:lineRule="auto"/>
        <w:rPr>
          <w:sz w:val="20"/>
          <w:szCs w:val="20"/>
          <w:color w:val="auto"/>
        </w:rPr>
      </w:pPr>
      <w:r>
        <w:rPr>
          <w:rFonts w:ascii="Arial" w:cs="Arial" w:eastAsia="Arial" w:hAnsi="Arial"/>
          <w:sz w:val="13"/>
          <w:szCs w:val="13"/>
          <w:color w:val="auto"/>
        </w:rPr>
        <w:t>A BDC has historically been able to issue “senior securities,” including borrowing money from banks or other financial institutions, only in amounts such that its asset coverage, as defined in Section 61(a)(2) of the 1940 Act, equals at least 200% after such incurrence or issuance. In March 2018, the Consolidated Appropriations Act of 2018 (which includes the SBCAA) was enacted which amended the 1940 Act to decrease this percentage from 200% (i.e., $1 of debt outstanding for each $1 of equity) to 150% (i.e., $2 of debt outstanding for each $1 of equity) for a BDC that has received either stockholder approval or approval of a “required majority” (as defined in Section 57(o) of the 1940 Act) of its board of directors of the application of such lower asset coverage ratio to the BDC. On April 5, 2018, our board of directors approved such reduction. As of April 5, 2019, we are able to incur additional indebtedness so long as we comply with the applicable disclosure requirement, which may increase the risk of investing in us. Under the 200% minimum asset coverage ratio, the Company was permitted to borrow up to one dollar for investment purposes for every one dollar of investor equity and, under the 150% minimum asset coverage ratio, the Company is permitted to borrow up to two dollars for investment purposes for every one dollar of investor equity. In other words, Section 61(a)(2) of the 1940 Act permits BDCs to potentially increase their debt-to-equity ratio from a maximum of 1-to-1 to a maximum of 2-to-1. In addition, since our base management fee is determined and payable based upon our average adjusted gross assets, which includes any borrowings for investment purposes, our base management fee expense may increase if we incur additional leverage.</w:t>
      </w:r>
    </w:p>
    <w:p>
      <w:pPr>
        <w:spacing w:after="0" w:line="114" w:lineRule="exact"/>
        <w:rPr>
          <w:sz w:val="20"/>
          <w:szCs w:val="20"/>
          <w:color w:val="auto"/>
        </w:rPr>
      </w:pPr>
    </w:p>
    <w:p>
      <w:pPr>
        <w:ind w:right="360" w:firstLine="438"/>
        <w:spacing w:after="0" w:line="253" w:lineRule="auto"/>
        <w:rPr>
          <w:sz w:val="20"/>
          <w:szCs w:val="20"/>
          <w:color w:val="auto"/>
        </w:rPr>
      </w:pPr>
      <w:r>
        <w:rPr>
          <w:rFonts w:ascii="Arial" w:cs="Arial" w:eastAsia="Arial" w:hAnsi="Arial"/>
          <w:sz w:val="14"/>
          <w:szCs w:val="14"/>
          <w:b w:val="1"/>
          <w:bCs w:val="1"/>
          <w:i w:val="1"/>
          <w:iCs w:val="1"/>
          <w:color w:val="auto"/>
        </w:rPr>
        <w:t>Because we intend to distribute substantially all of our income to our stockholders to maintain our ability to be subject to tax as a RIC, we may need to raise additional capital to finance our growth. If funds are not available to us, we may need to curtail new investments, and our common stock value could decline.</w:t>
      </w:r>
    </w:p>
    <w:p>
      <w:pPr>
        <w:spacing w:after="0" w:line="106" w:lineRule="exact"/>
        <w:rPr>
          <w:sz w:val="20"/>
          <w:szCs w:val="20"/>
          <w:color w:val="auto"/>
        </w:rPr>
      </w:pPr>
    </w:p>
    <w:p>
      <w:pPr>
        <w:jc w:val="both"/>
        <w:ind w:right="120" w:firstLine="438"/>
        <w:spacing w:after="0" w:line="238" w:lineRule="auto"/>
        <w:rPr>
          <w:sz w:val="20"/>
          <w:szCs w:val="20"/>
          <w:color w:val="auto"/>
        </w:rPr>
      </w:pPr>
      <w:r>
        <w:rPr>
          <w:rFonts w:ascii="Arial" w:cs="Arial" w:eastAsia="Arial" w:hAnsi="Arial"/>
          <w:sz w:val="14"/>
          <w:szCs w:val="14"/>
          <w:color w:val="auto"/>
        </w:rPr>
        <w:t>In connection with satisfying the requirements to be subject to tax as a RIC for federal income tax purposes, we intend to distribute to our stockholders substantially all of our investment company taxable income and net capital gains each taxable year. However, we may retain all or a portion of our net capital gains and incur applicable income taxes with respect thereto and elect to treat such retained net capital gains as deemed dividend distributions to our stockholders.</w:t>
      </w:r>
    </w:p>
    <w:p>
      <w:pPr>
        <w:spacing w:after="0" w:line="115" w:lineRule="exact"/>
        <w:rPr>
          <w:sz w:val="20"/>
          <w:szCs w:val="20"/>
          <w:color w:val="auto"/>
        </w:rPr>
      </w:pPr>
    </w:p>
    <w:p>
      <w:pPr>
        <w:ind w:right="80" w:firstLine="438"/>
        <w:spacing w:after="0" w:line="229" w:lineRule="auto"/>
        <w:rPr>
          <w:sz w:val="20"/>
          <w:szCs w:val="20"/>
          <w:color w:val="auto"/>
        </w:rPr>
      </w:pPr>
      <w:r>
        <w:rPr>
          <w:rFonts w:ascii="Arial" w:cs="Arial" w:eastAsia="Arial" w:hAnsi="Arial"/>
          <w:sz w:val="14"/>
          <w:szCs w:val="14"/>
          <w:color w:val="auto"/>
        </w:rPr>
        <w:t>As noted above, on April 5, 2018, our board of directors, including a “required majority” (as such term is defined in Section 57(o) of the 1940 Act), approved a reduction of our asset coverage ratio from 200% to 150%. As a result, as of April 5, 2019, the asset coverage requirement applicable to us for senior securities was reduced from 200% (i.e., $1 of debt outstanding for each $1 of equity) to 150% (i.e., $2 of debt outstanding for each $1 of equity). If we incur additional indebtedness under this provision, the risk of investing in us will increase. If the value of our assets declines, we may be unable to satisfy this asset coverage test. If that happens, we may be required to sell a portion of our investments or sell additional common stock and, depending on the nature of our leverage, to repay a portion of our indebtedness at a time when such sales and repayments may be disadvantageous. In addition, the issuance of additional securities could dilute the percentage ownership of our current stockholders in us.</w:t>
      </w:r>
    </w:p>
    <w:p>
      <w:pPr>
        <w:spacing w:after="0" w:line="118" w:lineRule="exact"/>
        <w:rPr>
          <w:sz w:val="20"/>
          <w:szCs w:val="20"/>
          <w:color w:val="auto"/>
        </w:rPr>
      </w:pPr>
    </w:p>
    <w:p>
      <w:pPr>
        <w:ind w:right="60" w:firstLine="438"/>
        <w:spacing w:after="0" w:line="233" w:lineRule="auto"/>
        <w:rPr>
          <w:sz w:val="20"/>
          <w:szCs w:val="20"/>
          <w:color w:val="auto"/>
        </w:rPr>
      </w:pPr>
      <w:r>
        <w:rPr>
          <w:rFonts w:ascii="Arial" w:cs="Arial" w:eastAsia="Arial" w:hAnsi="Arial"/>
          <w:sz w:val="14"/>
          <w:szCs w:val="14"/>
          <w:color w:val="auto"/>
        </w:rPr>
        <w:t>We are partially dependent on our subsidiary Funding I for cash distributions to enable us to meet the distribution requirements in order to permit us to be subject to tax as a RIC. In this regard, Funding I is limited by its covenants from making certain distributions to us that may be necessary to fulfill our requirements to be subject to tax as a RIC. In such case, we would need to request a waiver of these covenants’ restrictions for Funding I to make certain distributions to enable us to be subject to tax as a RIC. We cannot assure you that Funding I will be granted such a waiver, and if Funding I is unable to obtain a waiver, compliance with the covenants may cause us to incur a corporate-level income tax.</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4"/>
          <w:szCs w:val="14"/>
          <w:b w:val="1"/>
          <w:bCs w:val="1"/>
          <w:i w:val="1"/>
          <w:iCs w:val="1"/>
          <w:color w:val="auto"/>
        </w:rPr>
        <w:t>If we incur additional debt, it could increase the risk of investing in our shares.</w:t>
      </w:r>
    </w:p>
    <w:p>
      <w:pPr>
        <w:spacing w:after="0" w:line="136" w:lineRule="exact"/>
        <w:rPr>
          <w:sz w:val="20"/>
          <w:szCs w:val="20"/>
          <w:color w:val="auto"/>
        </w:rPr>
      </w:pPr>
    </w:p>
    <w:p>
      <w:pPr>
        <w:ind w:right="20" w:firstLine="438"/>
        <w:spacing w:after="0" w:line="244" w:lineRule="auto"/>
        <w:rPr>
          <w:sz w:val="20"/>
          <w:szCs w:val="20"/>
          <w:color w:val="auto"/>
        </w:rPr>
      </w:pPr>
      <w:r>
        <w:rPr>
          <w:rFonts w:ascii="Arial" w:cs="Arial" w:eastAsia="Arial" w:hAnsi="Arial"/>
          <w:sz w:val="13"/>
          <w:szCs w:val="13"/>
          <w:color w:val="auto"/>
        </w:rPr>
        <w:t>We have indebtedness outstanding pursuant to our Credit Facility, 2023 Notes and the 2031 Asset-Backed Debt and expect in the future to borrow additional amounts under our Credit Facility or other debt securities, subject to market availability, and, may increase the size of our Credit Facility. We cannot assure you that our leverage will remain at current levels. The amount of leverage that we employ will depend upon our assessment of the market and other factors at the time of any proposed borrowing. Lenders have fixed dollar claims on our assets that are superior to the claims of our common stockholders or preferred stockholders, if any, and we have granted a security interest in Funding I’s assets in connection with our Credit Facility borrowings. In the case of a liquidation event, those lenders would receive proceeds before our stockholders. Any future debt issuance will increase our leverage and may be subordinate to our Credit Facility. In addition, borrowings or debt issuances, also known as leverage, magnify the potential for loss or gain on amounts invested and, therefore, increase the risks associated with investing in our securities. Leverage is generally considered a speculative investment technique. If the value of our assets decreases, then leveraging would cause the net asset value attributable to our common stock to decline more than it otherwise would have had we not utilized leverage. Similarly, any decrease in our revenue would cause our net income to decline more than it would have had we not borrowed funds and could negatively affect our ability to make distributions on our common or preferred stock. Our ability to service any debt that we incur depends largely on our financial performance and is subject to prevailing economic conditions and competitive pressures.</w:t>
      </w:r>
    </w:p>
    <w:p>
      <w:pPr>
        <w:spacing w:after="0" w:line="114" w:lineRule="exact"/>
        <w:rPr>
          <w:sz w:val="20"/>
          <w:szCs w:val="20"/>
          <w:color w:val="auto"/>
        </w:rPr>
      </w:pPr>
    </w:p>
    <w:p>
      <w:pPr>
        <w:ind w:right="20" w:firstLine="438"/>
        <w:spacing w:after="0" w:line="264" w:lineRule="auto"/>
        <w:rPr>
          <w:sz w:val="20"/>
          <w:szCs w:val="20"/>
          <w:color w:val="auto"/>
        </w:rPr>
      </w:pPr>
      <w:r>
        <w:rPr>
          <w:rFonts w:ascii="Arial" w:cs="Arial" w:eastAsia="Arial" w:hAnsi="Arial"/>
          <w:sz w:val="13"/>
          <w:szCs w:val="13"/>
          <w:color w:val="auto"/>
        </w:rPr>
        <w:t>As noted above, on April 5, 2018, our board of directors, including a “required majority” (as such term is defined in Section 57(o) of the 1940 Act), and our stockholders, respectively, approved a reduction of our asset coverage ratio. As a result, as of April 5, 2019, the asset coverage requirement applicable to us for senior securities was reduced from 200% to 150%. As of such date, we are able to incur additional indebtedness so long as we comply with the applicable disclosure requirements, which may increase the risk of investing in us.</w:t>
      </w:r>
    </w:p>
    <w:p>
      <w:pPr>
        <w:spacing w:after="0" w:line="9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2.Unregistered Sales of Equity Securities and Use of Proceeds</w:t>
      </w:r>
    </w:p>
    <w:p>
      <w:pPr>
        <w:spacing w:after="0" w:line="140" w:lineRule="exact"/>
        <w:rPr>
          <w:sz w:val="20"/>
          <w:szCs w:val="20"/>
          <w:color w:val="auto"/>
        </w:rPr>
      </w:pPr>
    </w:p>
    <w:p>
      <w:pPr>
        <w:ind w:left="440"/>
        <w:spacing w:after="0"/>
        <w:rPr>
          <w:sz w:val="20"/>
          <w:szCs w:val="20"/>
          <w:color w:val="auto"/>
        </w:rPr>
      </w:pPr>
      <w:r>
        <w:rPr>
          <w:rFonts w:ascii="Arial" w:cs="Arial" w:eastAsia="Arial" w:hAnsi="Arial"/>
          <w:sz w:val="14"/>
          <w:szCs w:val="14"/>
          <w:color w:val="auto"/>
        </w:rPr>
        <w:t>None.</w:t>
      </w:r>
    </w:p>
    <w:p>
      <w:pPr>
        <w:spacing w:after="0" w:line="13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3.Defaults Upon Senior Securities</w:t>
      </w:r>
    </w:p>
    <w:p>
      <w:pPr>
        <w:spacing w:after="0" w:line="140" w:lineRule="exact"/>
        <w:rPr>
          <w:sz w:val="20"/>
          <w:szCs w:val="20"/>
          <w:color w:val="auto"/>
        </w:rPr>
      </w:pPr>
    </w:p>
    <w:p>
      <w:pPr>
        <w:ind w:left="440"/>
        <w:spacing w:after="0"/>
        <w:rPr>
          <w:sz w:val="20"/>
          <w:szCs w:val="20"/>
          <w:color w:val="auto"/>
        </w:rPr>
      </w:pPr>
      <w:r>
        <w:rPr>
          <w:rFonts w:ascii="Arial" w:cs="Arial" w:eastAsia="Arial" w:hAnsi="Arial"/>
          <w:sz w:val="14"/>
          <w:szCs w:val="14"/>
          <w:color w:val="auto"/>
        </w:rPr>
        <w:t>None.</w:t>
      </w: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149465"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265" w:right="339" w:bottom="1440" w:gutter="0" w:footer="0" w:header="0"/>
        </w:sectPr>
      </w:pPr>
    </w:p>
    <w:bookmarkStart w:id="44" w:name="page45"/>
    <w:bookmarkEnd w:id="44"/>
    <w:p>
      <w:pPr>
        <w:spacing w:after="0"/>
        <w:rPr>
          <w:sz w:val="20"/>
          <w:szCs w:val="20"/>
          <w:color w:val="auto"/>
        </w:rPr>
      </w:pPr>
      <w:r>
        <w:rPr>
          <w:rFonts w:ascii="Arial" w:cs="Arial" w:eastAsia="Arial" w:hAnsi="Arial"/>
          <w:sz w:val="14"/>
          <w:szCs w:val="14"/>
          <w:b w:val="1"/>
          <w:bCs w:val="1"/>
          <w:color w:val="auto"/>
        </w:rPr>
        <w:t>Item 4.Mine Safety Disclosures</w:t>
      </w:r>
    </w:p>
    <w:p>
      <w:pPr>
        <w:spacing w:after="0" w:line="140" w:lineRule="exact"/>
        <w:rPr>
          <w:sz w:val="20"/>
          <w:szCs w:val="20"/>
          <w:color w:val="auto"/>
        </w:rPr>
      </w:pPr>
    </w:p>
    <w:p>
      <w:pPr>
        <w:ind w:left="440"/>
        <w:spacing w:after="0"/>
        <w:rPr>
          <w:sz w:val="20"/>
          <w:szCs w:val="20"/>
          <w:color w:val="auto"/>
        </w:rPr>
      </w:pPr>
      <w:r>
        <w:rPr>
          <w:rFonts w:ascii="Arial" w:cs="Arial" w:eastAsia="Arial" w:hAnsi="Arial"/>
          <w:sz w:val="14"/>
          <w:szCs w:val="14"/>
          <w:color w:val="auto"/>
        </w:rPr>
        <w:t>Not applicable.</w:t>
      </w:r>
    </w:p>
    <w:p>
      <w:pPr>
        <w:spacing w:after="0" w:line="13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5.Other Information</w:t>
      </w:r>
    </w:p>
    <w:p>
      <w:pPr>
        <w:spacing w:after="0" w:line="140" w:lineRule="exact"/>
        <w:rPr>
          <w:sz w:val="20"/>
          <w:szCs w:val="20"/>
          <w:color w:val="auto"/>
        </w:rPr>
      </w:pPr>
    </w:p>
    <w:p>
      <w:pPr>
        <w:ind w:left="440"/>
        <w:spacing w:after="0"/>
        <w:rPr>
          <w:sz w:val="20"/>
          <w:szCs w:val="20"/>
          <w:color w:val="auto"/>
        </w:rPr>
      </w:pPr>
      <w:r>
        <w:rPr>
          <w:rFonts w:ascii="Arial" w:cs="Arial" w:eastAsia="Arial" w:hAnsi="Arial"/>
          <w:sz w:val="14"/>
          <w:szCs w:val="14"/>
          <w:color w:val="auto"/>
        </w:rPr>
        <w:t>None.</w:t>
      </w:r>
    </w:p>
    <w:p>
      <w:pPr>
        <w:spacing w:after="0" w:line="276" w:lineRule="exact"/>
        <w:rPr>
          <w:sz w:val="20"/>
          <w:szCs w:val="20"/>
          <w:color w:val="auto"/>
        </w:rPr>
      </w:pPr>
    </w:p>
    <w:p>
      <w:pPr>
        <w:jc w:val="right"/>
        <w:ind w:right="4459"/>
        <w:spacing w:after="0"/>
        <w:rPr>
          <w:sz w:val="20"/>
          <w:szCs w:val="20"/>
          <w:color w:val="auto"/>
        </w:rPr>
      </w:pPr>
      <w:r>
        <w:rPr>
          <w:rFonts w:ascii="Arial" w:cs="Arial" w:eastAsia="Arial" w:hAnsi="Arial"/>
          <w:sz w:val="13"/>
          <w:szCs w:val="13"/>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149465"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139"/>
          </w:cols>
          <w:pgMar w:left="320" w:top="414" w:right="1440" w:bottom="1440" w:gutter="0" w:footer="0" w:header="0"/>
        </w:sectPr>
      </w:pPr>
    </w:p>
    <w:bookmarkStart w:id="45" w:name="page46"/>
    <w:bookmarkEnd w:id="45"/>
    <w:p>
      <w:pPr>
        <w:spacing w:after="0"/>
        <w:rPr>
          <w:sz w:val="20"/>
          <w:szCs w:val="20"/>
          <w:color w:val="auto"/>
        </w:rPr>
      </w:pPr>
      <w:r>
        <w:rPr>
          <w:rFonts w:ascii="Arial" w:cs="Arial" w:eastAsia="Arial" w:hAnsi="Arial"/>
          <w:sz w:val="14"/>
          <w:szCs w:val="14"/>
          <w:b w:val="1"/>
          <w:bCs w:val="1"/>
          <w:color w:val="auto"/>
        </w:rPr>
        <w:t>Item 6.Exhibits</w:t>
      </w:r>
    </w:p>
    <w:p>
      <w:pPr>
        <w:spacing w:after="0" w:line="140" w:lineRule="exact"/>
        <w:rPr>
          <w:sz w:val="20"/>
          <w:szCs w:val="20"/>
          <w:color w:val="auto"/>
        </w:rPr>
      </w:pPr>
    </w:p>
    <w:p>
      <w:pPr>
        <w:ind w:left="440"/>
        <w:spacing w:after="0"/>
        <w:rPr>
          <w:sz w:val="20"/>
          <w:szCs w:val="20"/>
          <w:color w:val="auto"/>
        </w:rPr>
      </w:pPr>
      <w:r>
        <w:rPr>
          <w:rFonts w:ascii="Arial" w:cs="Arial" w:eastAsia="Arial" w:hAnsi="Arial"/>
          <w:sz w:val="14"/>
          <w:szCs w:val="14"/>
          <w:color w:val="auto"/>
        </w:rPr>
        <w:t>Unless specifically indicated otherwise, the following exhibits are incorporated by reference to exhibits previously filed with the SEC:</w:t>
      </w:r>
    </w:p>
    <w:p>
      <w:pPr>
        <w:spacing w:after="0" w:line="136" w:lineRule="exact"/>
        <w:rPr>
          <w:sz w:val="20"/>
          <w:szCs w:val="20"/>
          <w:color w:val="auto"/>
        </w:rPr>
      </w:pPr>
    </w:p>
    <w:p>
      <w:pPr>
        <w:ind w:left="580" w:hanging="507"/>
        <w:spacing w:after="0" w:line="253" w:lineRule="auto"/>
        <w:tabs>
          <w:tab w:leader="none" w:pos="560" w:val="left"/>
        </w:tabs>
        <w:rPr>
          <w:rFonts w:ascii="Arial" w:cs="Arial" w:eastAsia="Arial" w:hAnsi="Arial"/>
          <w:sz w:val="14"/>
          <w:szCs w:val="14"/>
          <w:u w:val="single" w:color="auto"/>
          <w:color w:val="0000EE"/>
        </w:rPr>
      </w:pPr>
      <w:r>
        <w:rPr>
          <w:rFonts w:ascii="Arial" w:cs="Arial" w:eastAsia="Arial" w:hAnsi="Arial"/>
          <w:sz w:val="14"/>
          <w:szCs w:val="14"/>
          <w:color w:val="auto"/>
        </w:rPr>
        <w:t>3.1</w:t>
      </w:r>
      <w:r>
        <w:rPr>
          <w:sz w:val="20"/>
          <w:szCs w:val="20"/>
          <w:color w:val="auto"/>
        </w:rPr>
        <w:tab/>
      </w:r>
      <w:hyperlink r:id="rId78">
        <w:r>
          <w:rPr>
            <w:rFonts w:ascii="Arial" w:cs="Arial" w:eastAsia="Arial" w:hAnsi="Arial"/>
            <w:sz w:val="14"/>
            <w:szCs w:val="14"/>
            <w:u w:val="single" w:color="auto"/>
            <w:color w:val="0000EE"/>
          </w:rPr>
          <w:t>Articles of Amendment and Restatement of the Registrant (Incorporated by reference to Exhibit 99(A) to the Registrant's Pre-Effective Amendment No. 3 to the Registration Statement</w:t>
        </w:r>
      </w:hyperlink>
      <w:r>
        <w:rPr>
          <w:rFonts w:ascii="Arial" w:cs="Arial" w:eastAsia="Arial" w:hAnsi="Arial"/>
          <w:sz w:val="14"/>
          <w:szCs w:val="14"/>
          <w:u w:val="single" w:color="auto"/>
          <w:color w:val="0000EE"/>
        </w:rPr>
        <w:t xml:space="preserve"> </w:t>
      </w:r>
      <w:hyperlink r:id="rId78">
        <w:r>
          <w:rPr>
            <w:rFonts w:ascii="Arial" w:cs="Arial" w:eastAsia="Arial" w:hAnsi="Arial"/>
            <w:sz w:val="14"/>
            <w:szCs w:val="14"/>
            <w:u w:val="single" w:color="auto"/>
            <w:color w:val="0000EE"/>
          </w:rPr>
          <w:t>on Form N-2 (File No. 333-170243), filed on March 29, 2011).</w:t>
        </w:r>
      </w:hyperlink>
    </w:p>
    <w:p>
      <w:pPr>
        <w:spacing w:after="0" w:line="106" w:lineRule="exact"/>
        <w:rPr>
          <w:sz w:val="20"/>
          <w:szCs w:val="20"/>
          <w:color w:val="auto"/>
        </w:rPr>
      </w:pPr>
    </w:p>
    <w:p>
      <w:pPr>
        <w:ind w:left="80"/>
        <w:spacing w:after="0"/>
        <w:tabs>
          <w:tab w:leader="none" w:pos="560" w:val="left"/>
        </w:tabs>
        <w:rPr>
          <w:rFonts w:ascii="Arial" w:cs="Arial" w:eastAsia="Arial" w:hAnsi="Arial"/>
          <w:sz w:val="13"/>
          <w:szCs w:val="13"/>
          <w:u w:val="single" w:color="auto"/>
          <w:color w:val="0000EE"/>
        </w:rPr>
      </w:pPr>
      <w:r>
        <w:rPr>
          <w:rFonts w:ascii="Arial" w:cs="Arial" w:eastAsia="Arial" w:hAnsi="Arial"/>
          <w:sz w:val="14"/>
          <w:szCs w:val="14"/>
          <w:color w:val="auto"/>
        </w:rPr>
        <w:t>3.2</w:t>
      </w:r>
      <w:r>
        <w:rPr>
          <w:sz w:val="20"/>
          <w:szCs w:val="20"/>
          <w:color w:val="auto"/>
        </w:rPr>
        <w:tab/>
      </w:r>
      <w:hyperlink r:id="rId79">
        <w:r>
          <w:rPr>
            <w:rFonts w:ascii="Arial" w:cs="Arial" w:eastAsia="Arial" w:hAnsi="Arial"/>
            <w:sz w:val="13"/>
            <w:szCs w:val="13"/>
            <w:u w:val="single" w:color="auto"/>
            <w:color w:val="0000EE"/>
          </w:rPr>
          <w:t>Amended and Restated Bylaws of the Registrant (Incorporated by reference to Exhibit 3.1 to the Registrant’s Current Report on Form 8-K (File No. 814-00891), filed on December 2,</w:t>
        </w:r>
      </w:hyperlink>
    </w:p>
    <w:p>
      <w:pPr>
        <w:ind w:left="580"/>
        <w:spacing w:after="0"/>
        <w:rPr>
          <w:rFonts w:ascii="Arial" w:cs="Arial" w:eastAsia="Arial" w:hAnsi="Arial"/>
          <w:sz w:val="14"/>
          <w:szCs w:val="14"/>
          <w:u w:val="single" w:color="auto"/>
          <w:color w:val="0000EE"/>
        </w:rPr>
      </w:pPr>
      <w:hyperlink r:id="rId79">
        <w:r>
          <w:rPr>
            <w:rFonts w:ascii="Arial" w:cs="Arial" w:eastAsia="Arial" w:hAnsi="Arial"/>
            <w:sz w:val="14"/>
            <w:szCs w:val="14"/>
            <w:u w:val="single" w:color="auto"/>
            <w:color w:val="0000EE"/>
          </w:rPr>
          <w:t>2015).</w:t>
        </w:r>
      </w:hyperlink>
    </w:p>
    <w:p>
      <w:pPr>
        <w:spacing w:after="0" w:line="124" w:lineRule="exact"/>
        <w:rPr>
          <w:sz w:val="20"/>
          <w:szCs w:val="20"/>
          <w:color w:val="auto"/>
        </w:rPr>
      </w:pPr>
    </w:p>
    <w:p>
      <w:pPr>
        <w:ind w:left="80"/>
        <w:spacing w:after="0"/>
        <w:tabs>
          <w:tab w:leader="none" w:pos="560" w:val="left"/>
        </w:tabs>
        <w:rPr>
          <w:rFonts w:ascii="Arial" w:cs="Arial" w:eastAsia="Arial" w:hAnsi="Arial"/>
          <w:sz w:val="13"/>
          <w:szCs w:val="13"/>
          <w:u w:val="single" w:color="auto"/>
          <w:color w:val="0000EE"/>
        </w:rPr>
      </w:pPr>
      <w:r>
        <w:rPr>
          <w:rFonts w:ascii="Arial" w:cs="Arial" w:eastAsia="Arial" w:hAnsi="Arial"/>
          <w:sz w:val="14"/>
          <w:szCs w:val="14"/>
          <w:color w:val="auto"/>
        </w:rPr>
        <w:t>4.1</w:t>
      </w:r>
      <w:r>
        <w:rPr>
          <w:sz w:val="20"/>
          <w:szCs w:val="20"/>
          <w:color w:val="auto"/>
        </w:rPr>
        <w:tab/>
      </w:r>
      <w:hyperlink r:id="rId80">
        <w:r>
          <w:rPr>
            <w:rFonts w:ascii="Arial" w:cs="Arial" w:eastAsia="Arial" w:hAnsi="Arial"/>
            <w:sz w:val="13"/>
            <w:szCs w:val="13"/>
            <w:u w:val="single" w:color="auto"/>
            <w:color w:val="0000EE"/>
          </w:rPr>
          <w:t>Form of Share Certificate (Incorporated by reference to Exhibit 99(D) to the Registrant's Pre-Effective Amendment No. 5 to the Registration Statement on Form N-2 (File No. 333-</w:t>
        </w:r>
      </w:hyperlink>
    </w:p>
    <w:p>
      <w:pPr>
        <w:ind w:left="580"/>
        <w:spacing w:after="0"/>
        <w:rPr>
          <w:rFonts w:ascii="Arial" w:cs="Arial" w:eastAsia="Arial" w:hAnsi="Arial"/>
          <w:sz w:val="14"/>
          <w:szCs w:val="14"/>
          <w:u w:val="single" w:color="auto"/>
          <w:color w:val="0000EE"/>
        </w:rPr>
      </w:pPr>
      <w:hyperlink r:id="rId80">
        <w:r>
          <w:rPr>
            <w:rFonts w:ascii="Arial" w:cs="Arial" w:eastAsia="Arial" w:hAnsi="Arial"/>
            <w:sz w:val="14"/>
            <w:szCs w:val="14"/>
            <w:u w:val="single" w:color="auto"/>
            <w:color w:val="0000EE"/>
          </w:rPr>
          <w:t>170243), filed on April 5, 2011).</w:t>
        </w:r>
      </w:hyperlink>
    </w:p>
    <w:p>
      <w:pPr>
        <w:spacing w:after="0" w:line="205" w:lineRule="exact"/>
        <w:rPr>
          <w:sz w:val="20"/>
          <w:szCs w:val="20"/>
          <w:color w:val="auto"/>
        </w:rPr>
      </w:pPr>
    </w:p>
    <w:p>
      <w:pPr>
        <w:spacing w:after="0"/>
        <w:tabs>
          <w:tab w:leader="none" w:pos="560" w:val="left"/>
        </w:tabs>
        <w:rPr>
          <w:rFonts w:ascii="Arial" w:cs="Arial" w:eastAsia="Arial" w:hAnsi="Arial"/>
          <w:sz w:val="13"/>
          <w:szCs w:val="13"/>
          <w:u w:val="single" w:color="auto"/>
          <w:color w:val="0000EE"/>
        </w:rPr>
      </w:pPr>
      <w:r>
        <w:rPr>
          <w:rFonts w:ascii="Arial" w:cs="Arial" w:eastAsia="Arial" w:hAnsi="Arial"/>
          <w:sz w:val="14"/>
          <w:szCs w:val="14"/>
          <w:color w:val="auto"/>
        </w:rPr>
        <w:t>31.1*</w:t>
      </w:r>
      <w:r>
        <w:rPr>
          <w:sz w:val="20"/>
          <w:szCs w:val="20"/>
          <w:color w:val="auto"/>
        </w:rPr>
        <w:tab/>
      </w:r>
      <w:hyperlink w:anchor="page48">
        <w:r>
          <w:rPr>
            <w:rFonts w:ascii="Arial" w:cs="Arial" w:eastAsia="Arial" w:hAnsi="Arial"/>
            <w:sz w:val="13"/>
            <w:szCs w:val="13"/>
            <w:u w:val="single" w:color="auto"/>
            <w:color w:val="0000EE"/>
          </w:rPr>
          <w:t>Certification of Chief Executive Officer pursuant to Rule 13a-14 of the Securities Exchange Act of 1934, as amended.</w:t>
        </w:r>
      </w:hyperlink>
    </w:p>
    <w:p>
      <w:pPr>
        <w:spacing w:after="0" w:line="136" w:lineRule="exact"/>
        <w:rPr>
          <w:sz w:val="20"/>
          <w:szCs w:val="20"/>
          <w:color w:val="auto"/>
        </w:rPr>
      </w:pPr>
    </w:p>
    <w:p>
      <w:pPr>
        <w:spacing w:after="0"/>
        <w:tabs>
          <w:tab w:leader="none" w:pos="560" w:val="left"/>
        </w:tabs>
        <w:rPr>
          <w:rFonts w:ascii="Arial" w:cs="Arial" w:eastAsia="Arial" w:hAnsi="Arial"/>
          <w:sz w:val="13"/>
          <w:szCs w:val="13"/>
          <w:u w:val="single" w:color="auto"/>
          <w:color w:val="0000EE"/>
        </w:rPr>
      </w:pPr>
      <w:r>
        <w:rPr>
          <w:rFonts w:ascii="Arial" w:cs="Arial" w:eastAsia="Arial" w:hAnsi="Arial"/>
          <w:sz w:val="14"/>
          <w:szCs w:val="14"/>
          <w:color w:val="auto"/>
        </w:rPr>
        <w:t>31.2*</w:t>
      </w:r>
      <w:r>
        <w:rPr>
          <w:sz w:val="20"/>
          <w:szCs w:val="20"/>
          <w:color w:val="auto"/>
        </w:rPr>
        <w:tab/>
      </w:r>
      <w:hyperlink w:anchor="page49">
        <w:r>
          <w:rPr>
            <w:rFonts w:ascii="Arial" w:cs="Arial" w:eastAsia="Arial" w:hAnsi="Arial"/>
            <w:sz w:val="13"/>
            <w:szCs w:val="13"/>
            <w:u w:val="single" w:color="auto"/>
            <w:color w:val="0000EE"/>
          </w:rPr>
          <w:t>Certification of Chief Financial Officer pursuant to Rule 13a-14 of the Securities Exchange Act of 1934, as amended.</w:t>
        </w:r>
      </w:hyperlink>
    </w:p>
    <w:p>
      <w:pPr>
        <w:spacing w:after="0" w:line="136" w:lineRule="exact"/>
        <w:rPr>
          <w:sz w:val="20"/>
          <w:szCs w:val="20"/>
          <w:color w:val="auto"/>
        </w:rPr>
      </w:pPr>
    </w:p>
    <w:p>
      <w:pPr>
        <w:spacing w:after="0"/>
        <w:tabs>
          <w:tab w:leader="none" w:pos="560" w:val="left"/>
        </w:tabs>
        <w:rPr>
          <w:rFonts w:ascii="Arial" w:cs="Arial" w:eastAsia="Arial" w:hAnsi="Arial"/>
          <w:sz w:val="13"/>
          <w:szCs w:val="13"/>
          <w:u w:val="single" w:color="auto"/>
          <w:color w:val="0000EE"/>
        </w:rPr>
      </w:pPr>
      <w:r>
        <w:rPr>
          <w:rFonts w:ascii="Arial" w:cs="Arial" w:eastAsia="Arial" w:hAnsi="Arial"/>
          <w:sz w:val="14"/>
          <w:szCs w:val="14"/>
          <w:color w:val="auto"/>
        </w:rPr>
        <w:t>32.1*</w:t>
      </w:r>
      <w:r>
        <w:rPr>
          <w:sz w:val="20"/>
          <w:szCs w:val="20"/>
          <w:color w:val="auto"/>
        </w:rPr>
        <w:tab/>
      </w:r>
      <w:hyperlink w:anchor="page50">
        <w:r>
          <w:rPr>
            <w:rFonts w:ascii="Arial" w:cs="Arial" w:eastAsia="Arial" w:hAnsi="Arial"/>
            <w:sz w:val="13"/>
            <w:szCs w:val="13"/>
            <w:u w:val="single" w:color="auto"/>
            <w:color w:val="0000EE"/>
          </w:rPr>
          <w:t>Certification of Chief Executive Officer pursuant to section 906 of The Sarbanes-Oxley Act of 2002.</w:t>
        </w:r>
      </w:hyperlink>
    </w:p>
    <w:p>
      <w:pPr>
        <w:spacing w:after="0" w:line="136" w:lineRule="exact"/>
        <w:rPr>
          <w:sz w:val="20"/>
          <w:szCs w:val="20"/>
          <w:color w:val="auto"/>
        </w:rPr>
      </w:pPr>
    </w:p>
    <w:p>
      <w:pPr>
        <w:spacing w:after="0"/>
        <w:tabs>
          <w:tab w:leader="none" w:pos="560" w:val="left"/>
        </w:tabs>
        <w:rPr>
          <w:rFonts w:ascii="Arial" w:cs="Arial" w:eastAsia="Arial" w:hAnsi="Arial"/>
          <w:sz w:val="13"/>
          <w:szCs w:val="13"/>
          <w:u w:val="single" w:color="auto"/>
          <w:color w:val="0000EE"/>
        </w:rPr>
      </w:pPr>
      <w:r>
        <w:rPr>
          <w:rFonts w:ascii="Arial" w:cs="Arial" w:eastAsia="Arial" w:hAnsi="Arial"/>
          <w:sz w:val="14"/>
          <w:szCs w:val="14"/>
          <w:color w:val="auto"/>
        </w:rPr>
        <w:t>32.2*</w:t>
      </w:r>
      <w:r>
        <w:rPr>
          <w:sz w:val="20"/>
          <w:szCs w:val="20"/>
          <w:color w:val="auto"/>
        </w:rPr>
        <w:tab/>
      </w:r>
      <w:hyperlink w:anchor="page51">
        <w:r>
          <w:rPr>
            <w:rFonts w:ascii="Arial" w:cs="Arial" w:eastAsia="Arial" w:hAnsi="Arial"/>
            <w:sz w:val="13"/>
            <w:szCs w:val="13"/>
            <w:u w:val="single" w:color="auto"/>
            <w:color w:val="0000EE"/>
          </w:rPr>
          <w:t>Certification of Chief Financial Officer pursuant to section 906 of The Sarbanes-Oxley Act of 2002.</w:t>
        </w:r>
      </w:hyperlink>
    </w:p>
    <w:p>
      <w:pPr>
        <w:spacing w:after="0" w:line="136" w:lineRule="exact"/>
        <w:rPr>
          <w:sz w:val="20"/>
          <w:szCs w:val="20"/>
          <w:color w:val="auto"/>
        </w:rPr>
      </w:pPr>
    </w:p>
    <w:p>
      <w:pPr>
        <w:spacing w:after="0"/>
        <w:tabs>
          <w:tab w:leader="none" w:pos="560" w:val="left"/>
        </w:tabs>
        <w:rPr>
          <w:rFonts w:ascii="Arial" w:cs="Arial" w:eastAsia="Arial" w:hAnsi="Arial"/>
          <w:sz w:val="13"/>
          <w:szCs w:val="13"/>
          <w:u w:val="single" w:color="auto"/>
          <w:color w:val="0000EE"/>
        </w:rPr>
      </w:pPr>
      <w:r>
        <w:rPr>
          <w:rFonts w:ascii="Arial" w:cs="Arial" w:eastAsia="Arial" w:hAnsi="Arial"/>
          <w:sz w:val="14"/>
          <w:szCs w:val="14"/>
          <w:color w:val="auto"/>
        </w:rPr>
        <w:t>99.1</w:t>
      </w:r>
      <w:r>
        <w:rPr>
          <w:sz w:val="20"/>
          <w:szCs w:val="20"/>
          <w:color w:val="auto"/>
        </w:rPr>
        <w:tab/>
      </w:r>
      <w:hyperlink r:id="rId81">
        <w:r>
          <w:rPr>
            <w:rFonts w:ascii="Arial" w:cs="Arial" w:eastAsia="Arial" w:hAnsi="Arial"/>
            <w:sz w:val="13"/>
            <w:szCs w:val="13"/>
            <w:u w:val="single" w:color="auto"/>
            <w:color w:val="0000EE"/>
          </w:rPr>
          <w:t>Privacy Policy of the Registrant (Incorporated by reference to Exhibit 99.1 to the Registrant’s Annual Report on Form 10-K (File No. 814-00891), filed on November 17, 2011)</w:t>
        </w:r>
        <w:r>
          <w:rPr>
            <w:rFonts w:ascii="Arial" w:cs="Arial" w:eastAsia="Arial" w:hAnsi="Arial"/>
            <w:sz w:val="13"/>
            <w:szCs w:val="13"/>
            <w:color w:val="0000EE"/>
          </w:rPr>
          <w:t>.</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89535</wp:posOffset>
            </wp:positionV>
            <wp:extent cx="185991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2">
                      <a:extLst>
                        <a:ext uri="{28A0092B-C50C-407E-A947-70E740481C1C}"/>
                      </a:extLst>
                    </a:blip>
                    <a:srcRect/>
                    <a:stretch>
                      <a:fillRect/>
                    </a:stretch>
                  </pic:blipFill>
                  <pic:spPr bwMode="auto">
                    <a:xfrm>
                      <a:off x="0" y="0"/>
                      <a:ext cx="1859915" cy="8255"/>
                    </a:xfrm>
                    <a:prstGeom prst="rect">
                      <a:avLst/>
                    </a:prstGeom>
                    <a:noFill/>
                  </pic:spPr>
                </pic:pic>
              </a:graphicData>
            </a:graphic>
          </wp:anchor>
        </w:drawing>
      </w:r>
    </w:p>
    <w:p>
      <w:pPr>
        <w:spacing w:after="0" w:line="157" w:lineRule="exact"/>
        <w:rPr>
          <w:sz w:val="20"/>
          <w:szCs w:val="20"/>
          <w:color w:val="auto"/>
        </w:rPr>
      </w:pPr>
    </w:p>
    <w:p>
      <w:pPr>
        <w:ind w:left="380" w:hanging="372"/>
        <w:spacing w:after="0"/>
        <w:tabs>
          <w:tab w:leader="none" w:pos="380" w:val="left"/>
        </w:tabs>
        <w:numPr>
          <w:ilvl w:val="0"/>
          <w:numId w:val="27"/>
        </w:numPr>
        <w:rPr>
          <w:rFonts w:ascii="Arial" w:cs="Arial" w:eastAsia="Arial" w:hAnsi="Arial"/>
          <w:sz w:val="14"/>
          <w:szCs w:val="14"/>
          <w:color w:val="auto"/>
        </w:rPr>
      </w:pPr>
      <w:r>
        <w:rPr>
          <w:rFonts w:ascii="Arial" w:cs="Arial" w:eastAsia="Arial" w:hAnsi="Arial"/>
          <w:sz w:val="14"/>
          <w:szCs w:val="14"/>
          <w:color w:val="auto"/>
        </w:rPr>
        <w:t>Filed herewith.</w:t>
      </w:r>
    </w:p>
    <w:p>
      <w:pPr>
        <w:spacing w:after="0" w:line="200" w:lineRule="exact"/>
        <w:rPr>
          <w:sz w:val="20"/>
          <w:szCs w:val="20"/>
          <w:color w:val="auto"/>
        </w:rPr>
      </w:pPr>
    </w:p>
    <w:p>
      <w:pPr>
        <w:spacing w:after="0" w:line="211" w:lineRule="exact"/>
        <w:rPr>
          <w:sz w:val="20"/>
          <w:szCs w:val="20"/>
          <w:color w:val="auto"/>
        </w:rPr>
      </w:pPr>
    </w:p>
    <w:p>
      <w:pPr>
        <w:jc w:val="center"/>
        <w:ind w:right="-79"/>
        <w:spacing w:after="0"/>
        <w:rPr>
          <w:sz w:val="20"/>
          <w:szCs w:val="20"/>
          <w:color w:val="auto"/>
        </w:rPr>
      </w:pPr>
      <w:r>
        <w:rPr>
          <w:rFonts w:ascii="Arial" w:cs="Arial" w:eastAsia="Arial" w:hAnsi="Arial"/>
          <w:sz w:val="13"/>
          <w:szCs w:val="13"/>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149465"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80"/>
          </w:cols>
          <w:pgMar w:left="320" w:top="265" w:right="399" w:bottom="1440" w:gutter="0" w:footer="0" w:header="0"/>
        </w:sectPr>
      </w:pPr>
    </w:p>
    <w:bookmarkStart w:id="46" w:name="page47"/>
    <w:bookmarkEnd w:id="46"/>
    <w:p>
      <w:pPr>
        <w:jc w:val="center"/>
        <w:ind w:right="-39"/>
        <w:spacing w:after="0"/>
        <w:rPr>
          <w:sz w:val="20"/>
          <w:szCs w:val="20"/>
          <w:color w:val="auto"/>
        </w:rPr>
      </w:pPr>
      <w:r>
        <w:rPr>
          <w:rFonts w:ascii="Arial" w:cs="Arial" w:eastAsia="Arial" w:hAnsi="Arial"/>
          <w:sz w:val="14"/>
          <w:szCs w:val="14"/>
          <w:b w:val="1"/>
          <w:bCs w:val="1"/>
          <w:color w:val="auto"/>
        </w:rPr>
        <w:t>SIGNATURES</w:t>
      </w:r>
    </w:p>
    <w:p>
      <w:pPr>
        <w:spacing w:after="0" w:line="275" w:lineRule="exact"/>
        <w:rPr>
          <w:sz w:val="20"/>
          <w:szCs w:val="20"/>
          <w:color w:val="auto"/>
        </w:rPr>
      </w:pPr>
    </w:p>
    <w:p>
      <w:pPr>
        <w:ind w:firstLine="438"/>
        <w:spacing w:after="0" w:line="253" w:lineRule="auto"/>
        <w:rPr>
          <w:sz w:val="20"/>
          <w:szCs w:val="20"/>
          <w:color w:val="auto"/>
        </w:rPr>
      </w:pPr>
      <w:r>
        <w:rPr>
          <w:rFonts w:ascii="Arial" w:cs="Arial" w:eastAsia="Arial" w:hAnsi="Arial"/>
          <w:sz w:val="14"/>
          <w:szCs w:val="14"/>
          <w:color w:val="auto"/>
        </w:rPr>
        <w:t>Pursuant to the requirements of the Securities Exchange Act of 1934, the registrant has duly caused this Report on Form 10-Q to be signed on its behalf by the undersigned, thereunto duly authorized.</w:t>
      </w:r>
    </w:p>
    <w:p>
      <w:pPr>
        <w:sectPr>
          <w:pgSz w:w="11900" w:h="16838" w:orient="portrait"/>
          <w:cols w:equalWidth="0" w:num="1">
            <w:col w:w="11220"/>
          </w:cols>
          <w:pgMar w:left="320" w:top="265"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3"/>
          <w:szCs w:val="13"/>
          <w:color w:val="auto"/>
        </w:rPr>
        <w:t>Date: February 5, 2020</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Arial" w:cs="Arial" w:eastAsia="Arial" w:hAnsi="Arial"/>
          <w:sz w:val="13"/>
          <w:szCs w:val="13"/>
          <w:color w:val="auto"/>
        </w:rPr>
        <w:t>Date: February 5, 2020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4"/>
          <w:szCs w:val="14"/>
          <w:color w:val="auto"/>
        </w:rPr>
        <w:t>By:</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Arial" w:cs="Arial" w:eastAsia="Arial" w:hAnsi="Arial"/>
          <w:sz w:val="14"/>
          <w:szCs w:val="14"/>
          <w:color w:val="auto"/>
        </w:rPr>
        <w:t>By:</w:t>
      </w:r>
    </w:p>
    <w:p>
      <w:pPr>
        <w:spacing w:after="0" w:line="20" w:lineRule="exact"/>
        <w:rPr>
          <w:sz w:val="20"/>
          <w:szCs w:val="20"/>
          <w:color w:val="auto"/>
        </w:rPr>
      </w:pPr>
      <w:r>
        <w:rPr>
          <w:sz w:val="20"/>
          <w:szCs w:val="20"/>
          <w:color w:val="auto"/>
        </w:rPr>
        <w:br w:type="column"/>
      </w:r>
    </w:p>
    <w:p>
      <w:pPr>
        <w:spacing w:after="0" w:line="248" w:lineRule="exact"/>
        <w:rPr>
          <w:sz w:val="20"/>
          <w:szCs w:val="20"/>
          <w:color w:val="auto"/>
        </w:rPr>
      </w:pPr>
    </w:p>
    <w:p>
      <w:pPr>
        <w:ind w:left="240"/>
        <w:spacing w:after="0"/>
        <w:rPr>
          <w:sz w:val="20"/>
          <w:szCs w:val="20"/>
          <w:color w:val="auto"/>
        </w:rPr>
      </w:pPr>
      <w:r>
        <w:rPr>
          <w:rFonts w:ascii="Arial" w:cs="Arial" w:eastAsia="Arial" w:hAnsi="Arial"/>
          <w:sz w:val="14"/>
          <w:szCs w:val="14"/>
          <w:color w:val="auto"/>
        </w:rPr>
        <w:t>PENNANTPARK FLOATING RATE CAPITAL LTD.</w:t>
      </w:r>
    </w:p>
    <w:p>
      <w:pPr>
        <w:spacing w:after="0" w:line="231" w:lineRule="exact"/>
        <w:rPr>
          <w:sz w:val="20"/>
          <w:szCs w:val="20"/>
          <w:color w:val="auto"/>
        </w:rPr>
      </w:pPr>
    </w:p>
    <w:p>
      <w:pPr>
        <w:ind w:left="1440"/>
        <w:spacing w:after="0"/>
        <w:rPr>
          <w:sz w:val="20"/>
          <w:szCs w:val="20"/>
          <w:color w:val="auto"/>
        </w:rPr>
      </w:pPr>
      <w:r>
        <w:rPr>
          <w:rFonts w:ascii="Arial" w:cs="Arial" w:eastAsia="Arial" w:hAnsi="Arial"/>
          <w:sz w:val="14"/>
          <w:szCs w:val="14"/>
          <w:color w:val="auto"/>
        </w:rPr>
        <w:t>/s/ Arthur H. Penn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3810</wp:posOffset>
            </wp:positionV>
            <wp:extent cx="325755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4">
                      <a:extLst>
                        <a:ext uri="{28A0092B-C50C-407E-A947-70E740481C1C}"/>
                      </a:extLst>
                    </a:blip>
                    <a:srcRect/>
                    <a:stretch>
                      <a:fillRect/>
                    </a:stretch>
                  </pic:blipFill>
                  <pic:spPr bwMode="auto">
                    <a:xfrm>
                      <a:off x="0" y="0"/>
                      <a:ext cx="3257550" cy="82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b w:val="1"/>
          <w:bCs w:val="1"/>
          <w:color w:val="auto"/>
        </w:rPr>
        <w:t>Arthur H. Penn</w:t>
      </w:r>
    </w:p>
    <w:p>
      <w:pPr>
        <w:spacing w:after="0" w:line="1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Chief Executive Officer and Chairman of the Board of Directors</w:t>
      </w:r>
    </w:p>
    <w:p>
      <w:pPr>
        <w:spacing w:after="0" w:line="15" w:lineRule="exact"/>
        <w:rPr>
          <w:sz w:val="20"/>
          <w:szCs w:val="20"/>
          <w:color w:val="auto"/>
        </w:rPr>
      </w:pPr>
    </w:p>
    <w:p>
      <w:pPr>
        <w:jc w:val="center"/>
        <w:ind w:right="580"/>
        <w:spacing w:after="0"/>
        <w:rPr>
          <w:sz w:val="20"/>
          <w:szCs w:val="20"/>
          <w:color w:val="auto"/>
        </w:rPr>
      </w:pPr>
      <w:r>
        <w:rPr>
          <w:rFonts w:ascii="Arial" w:cs="Arial" w:eastAsia="Arial" w:hAnsi="Arial"/>
          <w:sz w:val="14"/>
          <w:szCs w:val="14"/>
          <w:b w:val="1"/>
          <w:bCs w:val="1"/>
          <w:color w:val="auto"/>
        </w:rPr>
        <w:t>(Principal Executive Officer)</w:t>
      </w:r>
    </w:p>
    <w:p>
      <w:pPr>
        <w:spacing w:after="0" w:line="232" w:lineRule="exact"/>
        <w:rPr>
          <w:sz w:val="20"/>
          <w:szCs w:val="20"/>
          <w:color w:val="auto"/>
        </w:rPr>
      </w:pPr>
    </w:p>
    <w:p>
      <w:pPr>
        <w:jc w:val="center"/>
        <w:ind w:right="580"/>
        <w:spacing w:after="0"/>
        <w:rPr>
          <w:sz w:val="20"/>
          <w:szCs w:val="20"/>
          <w:color w:val="auto"/>
        </w:rPr>
      </w:pPr>
      <w:r>
        <w:rPr>
          <w:rFonts w:ascii="Arial" w:cs="Arial" w:eastAsia="Arial" w:hAnsi="Arial"/>
          <w:sz w:val="14"/>
          <w:szCs w:val="14"/>
          <w:color w:val="auto"/>
        </w:rPr>
        <w:t>/s/ Aviv Efrat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3810</wp:posOffset>
            </wp:positionV>
            <wp:extent cx="325755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5">
                      <a:extLst>
                        <a:ext uri="{28A0092B-C50C-407E-A947-70E740481C1C}"/>
                      </a:extLst>
                    </a:blip>
                    <a:srcRect/>
                    <a:stretch>
                      <a:fillRect/>
                    </a:stretch>
                  </pic:blipFill>
                  <pic:spPr bwMode="auto">
                    <a:xfrm>
                      <a:off x="0" y="0"/>
                      <a:ext cx="3257550" cy="8890"/>
                    </a:xfrm>
                    <a:prstGeom prst="rect">
                      <a:avLst/>
                    </a:prstGeom>
                    <a:noFill/>
                  </pic:spPr>
                </pic:pic>
              </a:graphicData>
            </a:graphic>
          </wp:anchor>
        </w:drawing>
      </w:r>
    </w:p>
    <w:p>
      <w:pPr>
        <w:jc w:val="center"/>
        <w:ind w:right="580"/>
        <w:spacing w:after="0"/>
        <w:rPr>
          <w:sz w:val="20"/>
          <w:szCs w:val="20"/>
          <w:color w:val="auto"/>
        </w:rPr>
      </w:pPr>
      <w:r>
        <w:rPr>
          <w:rFonts w:ascii="Arial" w:cs="Arial" w:eastAsia="Arial" w:hAnsi="Arial"/>
          <w:sz w:val="14"/>
          <w:szCs w:val="14"/>
          <w:b w:val="1"/>
          <w:bCs w:val="1"/>
          <w:color w:val="auto"/>
        </w:rPr>
        <w:t>Aviv Efrat</w:t>
      </w:r>
    </w:p>
    <w:p>
      <w:pPr>
        <w:spacing w:after="0" w:line="12" w:lineRule="exact"/>
        <w:rPr>
          <w:sz w:val="20"/>
          <w:szCs w:val="20"/>
          <w:color w:val="auto"/>
        </w:rPr>
      </w:pPr>
    </w:p>
    <w:p>
      <w:pPr>
        <w:jc w:val="center"/>
        <w:ind w:right="580"/>
        <w:spacing w:after="0"/>
        <w:rPr>
          <w:sz w:val="20"/>
          <w:szCs w:val="20"/>
          <w:color w:val="auto"/>
        </w:rPr>
      </w:pPr>
      <w:r>
        <w:rPr>
          <w:rFonts w:ascii="Arial" w:cs="Arial" w:eastAsia="Arial" w:hAnsi="Arial"/>
          <w:sz w:val="14"/>
          <w:szCs w:val="14"/>
          <w:b w:val="1"/>
          <w:bCs w:val="1"/>
          <w:color w:val="auto"/>
        </w:rPr>
        <w:t>Chief Financial Officer and Treasurer</w:t>
      </w:r>
    </w:p>
    <w:p>
      <w:pPr>
        <w:spacing w:after="0" w:line="4" w:lineRule="exact"/>
        <w:rPr>
          <w:sz w:val="20"/>
          <w:szCs w:val="20"/>
          <w:color w:val="auto"/>
        </w:rPr>
      </w:pPr>
    </w:p>
    <w:p>
      <w:pPr>
        <w:jc w:val="center"/>
        <w:ind w:right="580"/>
        <w:spacing w:after="0"/>
        <w:rPr>
          <w:sz w:val="20"/>
          <w:szCs w:val="20"/>
          <w:color w:val="auto"/>
        </w:rPr>
      </w:pPr>
      <w:r>
        <w:rPr>
          <w:rFonts w:ascii="Arial" w:cs="Arial" w:eastAsia="Arial" w:hAnsi="Arial"/>
          <w:sz w:val="14"/>
          <w:szCs w:val="14"/>
          <w:b w:val="1"/>
          <w:bCs w:val="1"/>
          <w:color w:val="auto"/>
        </w:rPr>
        <w:t>(Principal Financial and Accounting Officer)</w:t>
      </w:r>
    </w:p>
    <w:p>
      <w:pPr>
        <w:spacing w:after="0" w:line="200" w:lineRule="exact"/>
        <w:rPr>
          <w:sz w:val="20"/>
          <w:szCs w:val="20"/>
          <w:color w:val="auto"/>
        </w:rPr>
      </w:pPr>
    </w:p>
    <w:p>
      <w:pPr>
        <w:sectPr>
          <w:pgSz w:w="11900" w:h="16838" w:orient="portrait"/>
          <w:cols w:equalWidth="0" w:num="3">
            <w:col w:w="5060" w:space="720"/>
            <w:col w:w="220" w:space="700"/>
            <w:col w:w="4520"/>
          </w:cols>
          <w:pgMar w:left="320" w:top="265" w:right="359" w:bottom="1440" w:gutter="0" w:footer="0" w:header="0"/>
          <w:type w:val="continuous"/>
        </w:sectPr>
      </w:pPr>
    </w:p>
    <w:p>
      <w:pPr>
        <w:spacing w:after="0" w:line="307" w:lineRule="exact"/>
        <w:rPr>
          <w:sz w:val="20"/>
          <w:szCs w:val="20"/>
          <w:color w:val="auto"/>
        </w:rPr>
      </w:pPr>
    </w:p>
    <w:p>
      <w:pPr>
        <w:jc w:val="center"/>
        <w:ind w:right="-19"/>
        <w:spacing w:after="0"/>
        <w:rPr>
          <w:sz w:val="20"/>
          <w:szCs w:val="20"/>
          <w:color w:val="auto"/>
        </w:rPr>
      </w:pPr>
      <w:r>
        <w:rPr>
          <w:rFonts w:ascii="Arial" w:cs="Arial" w:eastAsia="Arial" w:hAnsi="Arial"/>
          <w:sz w:val="10"/>
          <w:szCs w:val="10"/>
          <w:color w:val="auto"/>
        </w:rPr>
        <w:t>47</w:t>
      </w:r>
    </w:p>
    <w:p>
      <w:pPr>
        <w:sectPr>
          <w:pgSz w:w="11900" w:h="16838" w:orient="portrait"/>
          <w:cols w:equalWidth="0" w:num="1">
            <w:col w:w="11220"/>
          </w:cols>
          <w:pgMar w:left="320" w:top="265" w:right="359" w:bottom="1440" w:gutter="0" w:footer="0" w:header="0"/>
          <w:type w:val="continuous"/>
        </w:sectPr>
      </w:pPr>
    </w:p>
    <w:bookmarkStart w:id="47" w:name="page48"/>
    <w:bookmarkEnd w:id="47"/>
    <w:p>
      <w:pPr>
        <w:jc w:val="right"/>
        <w:spacing w:after="0"/>
        <w:rPr>
          <w:sz w:val="20"/>
          <w:szCs w:val="20"/>
          <w:color w:val="auto"/>
        </w:rPr>
      </w:pPr>
      <w:r>
        <w:rPr>
          <w:rFonts w:ascii="Arial" w:cs="Arial" w:eastAsia="Arial" w:hAnsi="Arial"/>
          <w:sz w:val="14"/>
          <w:szCs w:val="14"/>
          <w:b w:val="1"/>
          <w:bCs w:val="1"/>
          <w:color w:val="auto"/>
        </w:rPr>
        <w:t>EXHIBIT 31.1</w:t>
      </w:r>
    </w:p>
    <w:p>
      <w:pPr>
        <w:ind w:left="4040"/>
        <w:spacing w:after="0" w:line="225" w:lineRule="auto"/>
        <w:rPr>
          <w:sz w:val="20"/>
          <w:szCs w:val="20"/>
          <w:color w:val="auto"/>
        </w:rPr>
      </w:pPr>
      <w:r>
        <w:rPr>
          <w:rFonts w:ascii="Arial" w:cs="Arial" w:eastAsia="Arial" w:hAnsi="Arial"/>
          <w:sz w:val="14"/>
          <w:szCs w:val="14"/>
          <w:b w:val="1"/>
          <w:bCs w:val="1"/>
          <w:color w:val="auto"/>
        </w:rPr>
        <w:t>CERTIFICATION PURSUANT TO SECTION 302</w:t>
      </w:r>
    </w:p>
    <w:p>
      <w:pPr>
        <w:ind w:left="4020"/>
        <w:spacing w:after="0"/>
        <w:rPr>
          <w:sz w:val="20"/>
          <w:szCs w:val="20"/>
          <w:color w:val="auto"/>
        </w:rPr>
      </w:pPr>
      <w:r>
        <w:rPr>
          <w:rFonts w:ascii="Arial" w:cs="Arial" w:eastAsia="Arial" w:hAnsi="Arial"/>
          <w:sz w:val="14"/>
          <w:szCs w:val="14"/>
          <w:b w:val="1"/>
          <w:bCs w:val="1"/>
          <w:color w:val="auto"/>
        </w:rPr>
        <w:t>CHIEF EXECUTIVE OFFICER CERTIFICATION</w:t>
      </w:r>
    </w:p>
    <w:p>
      <w:pPr>
        <w:spacing w:after="0" w:line="138" w:lineRule="exact"/>
        <w:rPr>
          <w:sz w:val="20"/>
          <w:szCs w:val="20"/>
          <w:color w:val="auto"/>
        </w:rPr>
      </w:pPr>
    </w:p>
    <w:p>
      <w:pPr>
        <w:spacing w:after="0"/>
        <w:rPr>
          <w:sz w:val="20"/>
          <w:szCs w:val="20"/>
          <w:color w:val="auto"/>
        </w:rPr>
      </w:pPr>
      <w:r>
        <w:rPr>
          <w:rFonts w:ascii="Arial" w:cs="Arial" w:eastAsia="Arial" w:hAnsi="Arial"/>
          <w:sz w:val="14"/>
          <w:szCs w:val="14"/>
          <w:color w:val="auto"/>
        </w:rPr>
        <w:t>I, Arthur H. Penn, Chief Executive Officer of PennantPark Floating Rate Capital Ltd., certify that:</w:t>
      </w:r>
    </w:p>
    <w:p>
      <w:pPr>
        <w:spacing w:after="0" w:line="150" w:lineRule="exact"/>
        <w:rPr>
          <w:sz w:val="20"/>
          <w:szCs w:val="20"/>
          <w:color w:val="auto"/>
        </w:rPr>
      </w:pPr>
    </w:p>
    <w:p>
      <w:pPr>
        <w:ind w:left="900" w:hanging="143"/>
        <w:spacing w:after="0"/>
        <w:tabs>
          <w:tab w:leader="none" w:pos="900" w:val="left"/>
        </w:tabs>
        <w:numPr>
          <w:ilvl w:val="0"/>
          <w:numId w:val="28"/>
        </w:numPr>
        <w:rPr>
          <w:rFonts w:ascii="Arial" w:cs="Arial" w:eastAsia="Arial" w:hAnsi="Arial"/>
          <w:sz w:val="14"/>
          <w:szCs w:val="14"/>
          <w:color w:val="auto"/>
        </w:rPr>
      </w:pPr>
      <w:r>
        <w:rPr>
          <w:rFonts w:ascii="Arial" w:cs="Arial" w:eastAsia="Arial" w:hAnsi="Arial"/>
          <w:sz w:val="14"/>
          <w:szCs w:val="14"/>
          <w:color w:val="auto"/>
        </w:rPr>
        <w:t>I have reviewed this Report on Form 10-Q of PennantPark Floating Rate Capital Ltd.;</w:t>
      </w:r>
    </w:p>
    <w:p>
      <w:pPr>
        <w:spacing w:after="0" w:line="149" w:lineRule="exact"/>
        <w:rPr>
          <w:rFonts w:ascii="Arial" w:cs="Arial" w:eastAsia="Arial" w:hAnsi="Arial"/>
          <w:sz w:val="14"/>
          <w:szCs w:val="14"/>
          <w:color w:val="auto"/>
        </w:rPr>
      </w:pPr>
    </w:p>
    <w:p>
      <w:pPr>
        <w:ind w:right="20" w:firstLine="757"/>
        <w:spacing w:after="0" w:line="253" w:lineRule="auto"/>
        <w:tabs>
          <w:tab w:leader="none" w:pos="895" w:val="left"/>
        </w:tabs>
        <w:numPr>
          <w:ilvl w:val="0"/>
          <w:numId w:val="28"/>
        </w:numPr>
        <w:rPr>
          <w:rFonts w:ascii="Arial" w:cs="Arial" w:eastAsia="Arial" w:hAnsi="Arial"/>
          <w:sz w:val="14"/>
          <w:szCs w:val="14"/>
          <w:color w:val="auto"/>
        </w:rPr>
      </w:pPr>
      <w:r>
        <w:rPr>
          <w:rFonts w:ascii="Arial" w:cs="Arial" w:eastAsia="Arial" w:hAnsi="Arial"/>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9" w:lineRule="exact"/>
        <w:rPr>
          <w:rFonts w:ascii="Arial" w:cs="Arial" w:eastAsia="Arial" w:hAnsi="Arial"/>
          <w:sz w:val="14"/>
          <w:szCs w:val="14"/>
          <w:color w:val="auto"/>
        </w:rPr>
      </w:pPr>
    </w:p>
    <w:p>
      <w:pPr>
        <w:ind w:firstLine="757"/>
        <w:spacing w:after="0" w:line="253" w:lineRule="auto"/>
        <w:tabs>
          <w:tab w:leader="none" w:pos="899" w:val="left"/>
        </w:tabs>
        <w:numPr>
          <w:ilvl w:val="0"/>
          <w:numId w:val="28"/>
        </w:numPr>
        <w:rPr>
          <w:rFonts w:ascii="Arial" w:cs="Arial" w:eastAsia="Arial" w:hAnsi="Arial"/>
          <w:sz w:val="14"/>
          <w:szCs w:val="14"/>
          <w:color w:val="auto"/>
        </w:rPr>
      </w:pPr>
      <w:r>
        <w:rPr>
          <w:rFonts w:ascii="Arial" w:cs="Arial" w:eastAsia="Arial" w:hAnsi="Arial"/>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9" w:lineRule="exact"/>
        <w:rPr>
          <w:rFonts w:ascii="Arial" w:cs="Arial" w:eastAsia="Arial" w:hAnsi="Arial"/>
          <w:sz w:val="14"/>
          <w:szCs w:val="14"/>
          <w:color w:val="auto"/>
        </w:rPr>
      </w:pPr>
    </w:p>
    <w:p>
      <w:pPr>
        <w:ind w:left="900" w:hanging="143"/>
        <w:spacing w:after="0"/>
        <w:tabs>
          <w:tab w:leader="none" w:pos="900" w:val="left"/>
        </w:tabs>
        <w:numPr>
          <w:ilvl w:val="0"/>
          <w:numId w:val="28"/>
        </w:numPr>
        <w:rPr>
          <w:rFonts w:ascii="Arial" w:cs="Arial" w:eastAsia="Arial" w:hAnsi="Arial"/>
          <w:sz w:val="13"/>
          <w:szCs w:val="13"/>
          <w:color w:val="auto"/>
        </w:rPr>
      </w:pPr>
      <w:r>
        <w:rPr>
          <w:rFonts w:ascii="Arial" w:cs="Arial" w:eastAsia="Arial" w:hAnsi="Arial"/>
          <w:sz w:val="13"/>
          <w:szCs w:val="13"/>
          <w:color w:val="auto"/>
        </w:rPr>
        <w:t>The registrant’s other certifying officer and I are responsible for establishing and maintaining disclosure controls and procedures (as defined in Exchange Act Rules 13a-15(e) and</w:t>
      </w:r>
    </w:p>
    <w:p>
      <w:pPr>
        <w:spacing w:after="0" w:line="1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4"/>
          <w:szCs w:val="14"/>
          <w:color w:val="auto"/>
        </w:rPr>
        <w:t>15d-15(e)) and internal control over financial reporting (as defined in Exchange Act Rules 13a-15(f) and 15d-15(f)) for the registrant and have:</w:t>
      </w:r>
    </w:p>
    <w:p>
      <w:pPr>
        <w:spacing w:after="0" w:line="43" w:lineRule="exact"/>
        <w:rPr>
          <w:rFonts w:ascii="Arial" w:cs="Arial" w:eastAsia="Arial" w:hAnsi="Arial"/>
          <w:sz w:val="13"/>
          <w:szCs w:val="13"/>
          <w:color w:val="auto"/>
        </w:rPr>
      </w:pPr>
    </w:p>
    <w:p>
      <w:pPr>
        <w:jc w:val="both"/>
        <w:ind w:firstLine="1405"/>
        <w:spacing w:after="0" w:line="238" w:lineRule="auto"/>
        <w:tabs>
          <w:tab w:leader="none" w:pos="1560" w:val="left"/>
        </w:tabs>
        <w:numPr>
          <w:ilvl w:val="1"/>
          <w:numId w:val="28"/>
        </w:numPr>
        <w:rPr>
          <w:rFonts w:ascii="Arial" w:cs="Arial" w:eastAsia="Arial" w:hAnsi="Arial"/>
          <w:sz w:val="14"/>
          <w:szCs w:val="14"/>
          <w:color w:val="auto"/>
        </w:rPr>
      </w:pPr>
      <w:r>
        <w:rPr>
          <w:rFonts w:ascii="Arial" w:cs="Arial" w:eastAsia="Arial" w:hAnsi="Arial"/>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and</w:t>
      </w:r>
    </w:p>
    <w:p>
      <w:pPr>
        <w:spacing w:after="0" w:line="128" w:lineRule="exact"/>
        <w:rPr>
          <w:rFonts w:ascii="Arial" w:cs="Arial" w:eastAsia="Arial" w:hAnsi="Arial"/>
          <w:sz w:val="14"/>
          <w:szCs w:val="14"/>
          <w:color w:val="auto"/>
        </w:rPr>
      </w:pPr>
    </w:p>
    <w:p>
      <w:pPr>
        <w:jc w:val="both"/>
        <w:ind w:firstLine="1405"/>
        <w:spacing w:after="0" w:line="238" w:lineRule="auto"/>
        <w:tabs>
          <w:tab w:leader="none" w:pos="1573" w:val="left"/>
        </w:tabs>
        <w:numPr>
          <w:ilvl w:val="1"/>
          <w:numId w:val="28"/>
        </w:numPr>
        <w:rPr>
          <w:rFonts w:ascii="Arial" w:cs="Arial" w:eastAsia="Arial" w:hAnsi="Arial"/>
          <w:sz w:val="14"/>
          <w:szCs w:val="14"/>
          <w:color w:val="auto"/>
        </w:rPr>
      </w:pPr>
      <w:r>
        <w:rPr>
          <w:rFonts w:ascii="Arial" w:cs="Arial" w:eastAsia="Arial" w:hAnsi="Arial"/>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and</w:t>
      </w:r>
    </w:p>
    <w:p>
      <w:pPr>
        <w:spacing w:after="0" w:line="128" w:lineRule="exact"/>
        <w:rPr>
          <w:rFonts w:ascii="Arial" w:cs="Arial" w:eastAsia="Arial" w:hAnsi="Arial"/>
          <w:sz w:val="14"/>
          <w:szCs w:val="14"/>
          <w:color w:val="auto"/>
        </w:rPr>
      </w:pPr>
    </w:p>
    <w:p>
      <w:pPr>
        <w:ind w:firstLine="1405"/>
        <w:spacing w:after="0" w:line="253" w:lineRule="auto"/>
        <w:tabs>
          <w:tab w:leader="none" w:pos="1549" w:val="left"/>
        </w:tabs>
        <w:numPr>
          <w:ilvl w:val="1"/>
          <w:numId w:val="28"/>
        </w:numPr>
        <w:rPr>
          <w:rFonts w:ascii="Arial" w:cs="Arial" w:eastAsia="Arial" w:hAnsi="Arial"/>
          <w:sz w:val="14"/>
          <w:szCs w:val="14"/>
          <w:color w:val="auto"/>
        </w:rPr>
      </w:pPr>
      <w:r>
        <w:rPr>
          <w:rFonts w:ascii="Arial" w:cs="Arial" w:eastAsia="Arial" w:hAnsi="Arial"/>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9" w:lineRule="exact"/>
        <w:rPr>
          <w:rFonts w:ascii="Arial" w:cs="Arial" w:eastAsia="Arial" w:hAnsi="Arial"/>
          <w:sz w:val="14"/>
          <w:szCs w:val="14"/>
          <w:color w:val="auto"/>
        </w:rPr>
      </w:pPr>
    </w:p>
    <w:p>
      <w:pPr>
        <w:jc w:val="both"/>
        <w:ind w:firstLine="1405"/>
        <w:spacing w:after="0" w:line="290" w:lineRule="auto"/>
        <w:tabs>
          <w:tab w:leader="none" w:pos="1570" w:val="left"/>
        </w:tabs>
        <w:numPr>
          <w:ilvl w:val="1"/>
          <w:numId w:val="28"/>
        </w:numPr>
        <w:rPr>
          <w:rFonts w:ascii="Arial" w:cs="Arial" w:eastAsia="Arial" w:hAnsi="Arial"/>
          <w:sz w:val="13"/>
          <w:szCs w:val="13"/>
          <w:color w:val="auto"/>
        </w:rPr>
      </w:pPr>
      <w:r>
        <w:rPr>
          <w:rFonts w:ascii="Arial" w:cs="Arial" w:eastAsia="Arial" w:hAnsi="Arial"/>
          <w:sz w:val="13"/>
          <w:szCs w:val="13"/>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7" w:lineRule="exact"/>
        <w:rPr>
          <w:rFonts w:ascii="Arial" w:cs="Arial" w:eastAsia="Arial" w:hAnsi="Arial"/>
          <w:sz w:val="13"/>
          <w:szCs w:val="13"/>
          <w:color w:val="auto"/>
        </w:rPr>
      </w:pPr>
    </w:p>
    <w:p>
      <w:pPr>
        <w:ind w:firstLine="757"/>
        <w:spacing w:after="0" w:line="253" w:lineRule="auto"/>
        <w:tabs>
          <w:tab w:leader="none" w:pos="902" w:val="left"/>
        </w:tabs>
        <w:numPr>
          <w:ilvl w:val="0"/>
          <w:numId w:val="28"/>
        </w:numPr>
        <w:rPr>
          <w:rFonts w:ascii="Arial" w:cs="Arial" w:eastAsia="Arial" w:hAnsi="Arial"/>
          <w:sz w:val="14"/>
          <w:szCs w:val="14"/>
          <w:color w:val="auto"/>
        </w:rPr>
      </w:pPr>
      <w:r>
        <w:rPr>
          <w:rFonts w:ascii="Arial" w:cs="Arial" w:eastAsia="Arial" w:hAnsi="Arial"/>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4"/>
          <w:szCs w:val="14"/>
          <w:color w:val="auto"/>
        </w:rPr>
      </w:pPr>
    </w:p>
    <w:p>
      <w:pPr>
        <w:ind w:right="20" w:firstLine="1405"/>
        <w:spacing w:after="0" w:line="253" w:lineRule="auto"/>
        <w:tabs>
          <w:tab w:leader="none" w:pos="1559" w:val="left"/>
        </w:tabs>
        <w:numPr>
          <w:ilvl w:val="1"/>
          <w:numId w:val="28"/>
        </w:numPr>
        <w:rPr>
          <w:rFonts w:ascii="Arial" w:cs="Arial" w:eastAsia="Arial" w:hAnsi="Arial"/>
          <w:sz w:val="14"/>
          <w:szCs w:val="14"/>
          <w:color w:val="auto"/>
        </w:rPr>
      </w:pPr>
      <w:r>
        <w:rPr>
          <w:rFonts w:ascii="Arial" w:cs="Arial" w:eastAsia="Arial" w:hAnsi="Arial"/>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9" w:lineRule="exact"/>
        <w:rPr>
          <w:rFonts w:ascii="Arial" w:cs="Arial" w:eastAsia="Arial" w:hAnsi="Arial"/>
          <w:sz w:val="14"/>
          <w:szCs w:val="14"/>
          <w:color w:val="auto"/>
        </w:rPr>
      </w:pPr>
    </w:p>
    <w:p>
      <w:pPr>
        <w:ind w:left="1580" w:hanging="175"/>
        <w:spacing w:after="0"/>
        <w:tabs>
          <w:tab w:leader="none" w:pos="1580" w:val="left"/>
        </w:tabs>
        <w:numPr>
          <w:ilvl w:val="1"/>
          <w:numId w:val="28"/>
        </w:numPr>
        <w:rPr>
          <w:rFonts w:ascii="Arial" w:cs="Arial" w:eastAsia="Arial" w:hAnsi="Arial"/>
          <w:sz w:val="13"/>
          <w:szCs w:val="13"/>
          <w:color w:val="auto"/>
        </w:rPr>
      </w:pPr>
      <w:r>
        <w:rPr>
          <w:rFonts w:ascii="Arial" w:cs="Arial" w:eastAsia="Arial" w:hAnsi="Arial"/>
          <w:sz w:val="13"/>
          <w:szCs w:val="13"/>
          <w:color w:val="auto"/>
        </w:rPr>
        <w:t>Any fraud, whether or not material, that involves management or other employees who have a significant role in the registrant’s internal control over financial</w:t>
      </w:r>
    </w:p>
    <w:p>
      <w:pPr>
        <w:spacing w:after="0" w:line="1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4"/>
          <w:szCs w:val="14"/>
          <w:color w:val="auto"/>
        </w:rPr>
        <w:t>reporting.</w:t>
      </w:r>
    </w:p>
    <w:p>
      <w:pPr>
        <w:spacing w:after="0" w:line="138" w:lineRule="exact"/>
        <w:rPr>
          <w:sz w:val="20"/>
          <w:szCs w:val="20"/>
          <w:color w:val="auto"/>
        </w:rPr>
      </w:pPr>
    </w:p>
    <w:p>
      <w:pPr>
        <w:spacing w:after="0"/>
        <w:rPr>
          <w:sz w:val="20"/>
          <w:szCs w:val="20"/>
          <w:color w:val="auto"/>
        </w:rPr>
      </w:pPr>
      <w:r>
        <w:rPr>
          <w:rFonts w:ascii="Arial" w:cs="Arial" w:eastAsia="Arial" w:hAnsi="Arial"/>
          <w:sz w:val="14"/>
          <w:szCs w:val="14"/>
          <w:color w:val="auto"/>
        </w:rPr>
        <w:t>Dated: February 5, 2020</w:t>
      </w:r>
    </w:p>
    <w:p>
      <w:pPr>
        <w:spacing w:after="0" w:line="339" w:lineRule="exact"/>
        <w:rPr>
          <w:sz w:val="20"/>
          <w:szCs w:val="20"/>
          <w:color w:val="auto"/>
        </w:rPr>
      </w:pPr>
    </w:p>
    <w:p>
      <w:pPr>
        <w:spacing w:after="0"/>
        <w:rPr>
          <w:sz w:val="20"/>
          <w:szCs w:val="20"/>
          <w:color w:val="auto"/>
        </w:rPr>
      </w:pPr>
      <w:r>
        <w:rPr>
          <w:rFonts w:ascii="Arial" w:cs="Arial" w:eastAsia="Arial" w:hAnsi="Arial"/>
          <w:sz w:val="14"/>
          <w:szCs w:val="14"/>
          <w:color w:val="auto"/>
        </w:rPr>
        <w:t>/s/ Arthur H. Penn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246888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6">
                      <a:extLst>
                        <a:ext uri="{28A0092B-C50C-407E-A947-70E740481C1C}"/>
                      </a:extLst>
                    </a:blip>
                    <a:srcRect/>
                    <a:stretch>
                      <a:fillRect/>
                    </a:stretch>
                  </pic:blipFill>
                  <pic:spPr bwMode="auto">
                    <a:xfrm>
                      <a:off x="0" y="0"/>
                      <a:ext cx="2468880" cy="8890"/>
                    </a:xfrm>
                    <a:prstGeom prst="rect">
                      <a:avLst/>
                    </a:prstGeom>
                    <a:noFill/>
                  </pic:spPr>
                </pic:pic>
              </a:graphicData>
            </a:graphic>
          </wp:anchor>
        </w:drawing>
      </w:r>
    </w:p>
    <w:p>
      <w:pPr>
        <w:spacing w:after="0" w:line="49" w:lineRule="exact"/>
        <w:rPr>
          <w:sz w:val="20"/>
          <w:szCs w:val="20"/>
          <w:color w:val="auto"/>
        </w:rPr>
      </w:pPr>
    </w:p>
    <w:p>
      <w:pPr>
        <w:spacing w:after="0"/>
        <w:rPr>
          <w:sz w:val="20"/>
          <w:szCs w:val="20"/>
          <w:color w:val="auto"/>
        </w:rPr>
      </w:pPr>
      <w:r>
        <w:rPr>
          <w:rFonts w:ascii="Arial" w:cs="Arial" w:eastAsia="Arial" w:hAnsi="Arial"/>
          <w:sz w:val="14"/>
          <w:szCs w:val="14"/>
          <w:color w:val="auto"/>
        </w:rPr>
        <w:t>Name: Arthur H. Penn</w:t>
      </w:r>
    </w:p>
    <w:p>
      <w:pPr>
        <w:spacing w:after="0" w:line="28" w:lineRule="exact"/>
        <w:rPr>
          <w:sz w:val="20"/>
          <w:szCs w:val="20"/>
          <w:color w:val="auto"/>
        </w:rPr>
      </w:pPr>
    </w:p>
    <w:p>
      <w:pPr>
        <w:spacing w:after="0"/>
        <w:tabs>
          <w:tab w:leader="none" w:pos="440" w:val="left"/>
        </w:tabs>
        <w:rPr>
          <w:sz w:val="20"/>
          <w:szCs w:val="20"/>
          <w:color w:val="auto"/>
        </w:rPr>
      </w:pPr>
      <w:r>
        <w:rPr>
          <w:rFonts w:ascii="Arial" w:cs="Arial" w:eastAsia="Arial" w:hAnsi="Arial"/>
          <w:sz w:val="14"/>
          <w:szCs w:val="14"/>
          <w:color w:val="auto"/>
        </w:rPr>
        <w:t>Title:</w:t>
      </w:r>
      <w:r>
        <w:rPr>
          <w:sz w:val="20"/>
          <w:szCs w:val="20"/>
          <w:color w:val="auto"/>
        </w:rPr>
        <w:tab/>
      </w:r>
      <w:r>
        <w:rPr>
          <w:rFonts w:ascii="Arial" w:cs="Arial" w:eastAsia="Arial" w:hAnsi="Arial"/>
          <w:sz w:val="13"/>
          <w:szCs w:val="13"/>
          <w:color w:val="auto"/>
        </w:rPr>
        <w:t>Chief Executive Officer</w:t>
      </w:r>
    </w:p>
    <w:p>
      <w:pPr>
        <w:sectPr>
          <w:pgSz w:w="11900" w:h="16838" w:orient="portrait"/>
          <w:cols w:equalWidth="0" w:num="1">
            <w:col w:w="11240"/>
          </w:cols>
          <w:pgMar w:left="320" w:top="118" w:right="339" w:bottom="1440" w:gutter="0" w:footer="0" w:header="0"/>
        </w:sectPr>
      </w:pPr>
    </w:p>
    <w:bookmarkStart w:id="48" w:name="page49"/>
    <w:bookmarkEnd w:id="48"/>
    <w:p>
      <w:pPr>
        <w:jc w:val="right"/>
        <w:spacing w:after="0"/>
        <w:rPr>
          <w:sz w:val="20"/>
          <w:szCs w:val="20"/>
          <w:color w:val="auto"/>
        </w:rPr>
      </w:pPr>
      <w:r>
        <w:rPr>
          <w:rFonts w:ascii="Arial" w:cs="Arial" w:eastAsia="Arial" w:hAnsi="Arial"/>
          <w:sz w:val="14"/>
          <w:szCs w:val="14"/>
          <w:b w:val="1"/>
          <w:bCs w:val="1"/>
          <w:color w:val="auto"/>
        </w:rPr>
        <w:t>EXHIBIT 31.2</w:t>
      </w:r>
    </w:p>
    <w:p>
      <w:pPr>
        <w:ind w:left="4040"/>
        <w:spacing w:after="0" w:line="225" w:lineRule="auto"/>
        <w:rPr>
          <w:sz w:val="20"/>
          <w:szCs w:val="20"/>
          <w:color w:val="auto"/>
        </w:rPr>
      </w:pPr>
      <w:r>
        <w:rPr>
          <w:rFonts w:ascii="Arial" w:cs="Arial" w:eastAsia="Arial" w:hAnsi="Arial"/>
          <w:sz w:val="14"/>
          <w:szCs w:val="14"/>
          <w:b w:val="1"/>
          <w:bCs w:val="1"/>
          <w:color w:val="auto"/>
        </w:rPr>
        <w:t>CERTIFICATION PURSUANT TO SECTION 302</w:t>
      </w:r>
    </w:p>
    <w:p>
      <w:pPr>
        <w:ind w:left="4040"/>
        <w:spacing w:after="0"/>
        <w:rPr>
          <w:sz w:val="20"/>
          <w:szCs w:val="20"/>
          <w:color w:val="auto"/>
        </w:rPr>
      </w:pPr>
      <w:r>
        <w:rPr>
          <w:rFonts w:ascii="Arial" w:cs="Arial" w:eastAsia="Arial" w:hAnsi="Arial"/>
          <w:sz w:val="14"/>
          <w:szCs w:val="14"/>
          <w:b w:val="1"/>
          <w:bCs w:val="1"/>
          <w:color w:val="auto"/>
        </w:rPr>
        <w:t>CHIEF FINANCIAL OFFICER CERTIFICATION</w:t>
      </w:r>
    </w:p>
    <w:p>
      <w:pPr>
        <w:spacing w:after="0" w:line="138" w:lineRule="exact"/>
        <w:rPr>
          <w:sz w:val="20"/>
          <w:szCs w:val="20"/>
          <w:color w:val="auto"/>
        </w:rPr>
      </w:pPr>
    </w:p>
    <w:p>
      <w:pPr>
        <w:spacing w:after="0"/>
        <w:rPr>
          <w:sz w:val="20"/>
          <w:szCs w:val="20"/>
          <w:color w:val="auto"/>
        </w:rPr>
      </w:pPr>
      <w:r>
        <w:rPr>
          <w:rFonts w:ascii="Arial" w:cs="Arial" w:eastAsia="Arial" w:hAnsi="Arial"/>
          <w:sz w:val="14"/>
          <w:szCs w:val="14"/>
          <w:color w:val="auto"/>
        </w:rPr>
        <w:t>I, Aviv Efrat, Chief Financial Officer of PennantPark Floating Rate Capital Ltd., certify that:</w:t>
      </w:r>
    </w:p>
    <w:p>
      <w:pPr>
        <w:spacing w:after="0" w:line="150" w:lineRule="exact"/>
        <w:rPr>
          <w:sz w:val="20"/>
          <w:szCs w:val="20"/>
          <w:color w:val="auto"/>
        </w:rPr>
      </w:pPr>
    </w:p>
    <w:p>
      <w:pPr>
        <w:ind w:left="900" w:hanging="143"/>
        <w:spacing w:after="0"/>
        <w:tabs>
          <w:tab w:leader="none" w:pos="900" w:val="left"/>
        </w:tabs>
        <w:numPr>
          <w:ilvl w:val="0"/>
          <w:numId w:val="29"/>
        </w:numPr>
        <w:rPr>
          <w:rFonts w:ascii="Arial" w:cs="Arial" w:eastAsia="Arial" w:hAnsi="Arial"/>
          <w:sz w:val="14"/>
          <w:szCs w:val="14"/>
          <w:color w:val="auto"/>
        </w:rPr>
      </w:pPr>
      <w:r>
        <w:rPr>
          <w:rFonts w:ascii="Arial" w:cs="Arial" w:eastAsia="Arial" w:hAnsi="Arial"/>
          <w:sz w:val="14"/>
          <w:szCs w:val="14"/>
          <w:color w:val="auto"/>
        </w:rPr>
        <w:t>I have reviewed this Report on Form 10-Q of PennantPark Floating Rate Capital Ltd.;</w:t>
      </w:r>
    </w:p>
    <w:p>
      <w:pPr>
        <w:spacing w:after="0" w:line="149" w:lineRule="exact"/>
        <w:rPr>
          <w:rFonts w:ascii="Arial" w:cs="Arial" w:eastAsia="Arial" w:hAnsi="Arial"/>
          <w:sz w:val="14"/>
          <w:szCs w:val="14"/>
          <w:color w:val="auto"/>
        </w:rPr>
      </w:pPr>
    </w:p>
    <w:p>
      <w:pPr>
        <w:ind w:right="20" w:firstLine="757"/>
        <w:spacing w:after="0" w:line="253" w:lineRule="auto"/>
        <w:tabs>
          <w:tab w:leader="none" w:pos="895" w:val="left"/>
        </w:tabs>
        <w:numPr>
          <w:ilvl w:val="0"/>
          <w:numId w:val="29"/>
        </w:numPr>
        <w:rPr>
          <w:rFonts w:ascii="Arial" w:cs="Arial" w:eastAsia="Arial" w:hAnsi="Arial"/>
          <w:sz w:val="14"/>
          <w:szCs w:val="14"/>
          <w:color w:val="auto"/>
        </w:rPr>
      </w:pPr>
      <w:r>
        <w:rPr>
          <w:rFonts w:ascii="Arial" w:cs="Arial" w:eastAsia="Arial" w:hAnsi="Arial"/>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9" w:lineRule="exact"/>
        <w:rPr>
          <w:rFonts w:ascii="Arial" w:cs="Arial" w:eastAsia="Arial" w:hAnsi="Arial"/>
          <w:sz w:val="14"/>
          <w:szCs w:val="14"/>
          <w:color w:val="auto"/>
        </w:rPr>
      </w:pPr>
    </w:p>
    <w:p>
      <w:pPr>
        <w:ind w:firstLine="757"/>
        <w:spacing w:after="0" w:line="253" w:lineRule="auto"/>
        <w:tabs>
          <w:tab w:leader="none" w:pos="899" w:val="left"/>
        </w:tabs>
        <w:numPr>
          <w:ilvl w:val="0"/>
          <w:numId w:val="29"/>
        </w:numPr>
        <w:rPr>
          <w:rFonts w:ascii="Arial" w:cs="Arial" w:eastAsia="Arial" w:hAnsi="Arial"/>
          <w:sz w:val="14"/>
          <w:szCs w:val="14"/>
          <w:color w:val="auto"/>
        </w:rPr>
      </w:pPr>
      <w:r>
        <w:rPr>
          <w:rFonts w:ascii="Arial" w:cs="Arial" w:eastAsia="Arial" w:hAnsi="Arial"/>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9" w:lineRule="exact"/>
        <w:rPr>
          <w:rFonts w:ascii="Arial" w:cs="Arial" w:eastAsia="Arial" w:hAnsi="Arial"/>
          <w:sz w:val="14"/>
          <w:szCs w:val="14"/>
          <w:color w:val="auto"/>
        </w:rPr>
      </w:pPr>
    </w:p>
    <w:p>
      <w:pPr>
        <w:ind w:left="900" w:hanging="143"/>
        <w:spacing w:after="0"/>
        <w:tabs>
          <w:tab w:leader="none" w:pos="900" w:val="left"/>
        </w:tabs>
        <w:numPr>
          <w:ilvl w:val="0"/>
          <w:numId w:val="29"/>
        </w:numPr>
        <w:rPr>
          <w:rFonts w:ascii="Arial" w:cs="Arial" w:eastAsia="Arial" w:hAnsi="Arial"/>
          <w:sz w:val="13"/>
          <w:szCs w:val="13"/>
          <w:color w:val="auto"/>
        </w:rPr>
      </w:pPr>
      <w:r>
        <w:rPr>
          <w:rFonts w:ascii="Arial" w:cs="Arial" w:eastAsia="Arial" w:hAnsi="Arial"/>
          <w:sz w:val="13"/>
          <w:szCs w:val="13"/>
          <w:color w:val="auto"/>
        </w:rPr>
        <w:t>The registrant’s other certifying officer and I are responsible for establishing and maintaining disclosure controls and procedures (as defined in Exchange Act Rules 13a-15(e) and</w:t>
      </w:r>
    </w:p>
    <w:p>
      <w:pPr>
        <w:spacing w:after="0" w:line="1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4"/>
          <w:szCs w:val="14"/>
          <w:color w:val="auto"/>
        </w:rPr>
        <w:t>15d-15(e)) and internal control over financial reporting (as defined in Exchange Act Rules 13a-15(f) and 15d-15(f)) for the registrant and have:</w:t>
      </w:r>
    </w:p>
    <w:p>
      <w:pPr>
        <w:spacing w:after="0" w:line="43" w:lineRule="exact"/>
        <w:rPr>
          <w:rFonts w:ascii="Arial" w:cs="Arial" w:eastAsia="Arial" w:hAnsi="Arial"/>
          <w:sz w:val="13"/>
          <w:szCs w:val="13"/>
          <w:color w:val="auto"/>
        </w:rPr>
      </w:pPr>
    </w:p>
    <w:p>
      <w:pPr>
        <w:jc w:val="both"/>
        <w:ind w:firstLine="1405"/>
        <w:spacing w:after="0" w:line="238" w:lineRule="auto"/>
        <w:tabs>
          <w:tab w:leader="none" w:pos="1560" w:val="left"/>
        </w:tabs>
        <w:numPr>
          <w:ilvl w:val="1"/>
          <w:numId w:val="29"/>
        </w:numPr>
        <w:rPr>
          <w:rFonts w:ascii="Arial" w:cs="Arial" w:eastAsia="Arial" w:hAnsi="Arial"/>
          <w:sz w:val="14"/>
          <w:szCs w:val="14"/>
          <w:color w:val="auto"/>
        </w:rPr>
      </w:pPr>
      <w:r>
        <w:rPr>
          <w:rFonts w:ascii="Arial" w:cs="Arial" w:eastAsia="Arial" w:hAnsi="Arial"/>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and</w:t>
      </w:r>
    </w:p>
    <w:p>
      <w:pPr>
        <w:spacing w:after="0" w:line="128" w:lineRule="exact"/>
        <w:rPr>
          <w:rFonts w:ascii="Arial" w:cs="Arial" w:eastAsia="Arial" w:hAnsi="Arial"/>
          <w:sz w:val="14"/>
          <w:szCs w:val="14"/>
          <w:color w:val="auto"/>
        </w:rPr>
      </w:pPr>
    </w:p>
    <w:p>
      <w:pPr>
        <w:jc w:val="both"/>
        <w:ind w:firstLine="1405"/>
        <w:spacing w:after="0" w:line="238" w:lineRule="auto"/>
        <w:tabs>
          <w:tab w:leader="none" w:pos="1573" w:val="left"/>
        </w:tabs>
        <w:numPr>
          <w:ilvl w:val="1"/>
          <w:numId w:val="29"/>
        </w:numPr>
        <w:rPr>
          <w:rFonts w:ascii="Arial" w:cs="Arial" w:eastAsia="Arial" w:hAnsi="Arial"/>
          <w:sz w:val="14"/>
          <w:szCs w:val="14"/>
          <w:color w:val="auto"/>
        </w:rPr>
      </w:pPr>
      <w:r>
        <w:rPr>
          <w:rFonts w:ascii="Arial" w:cs="Arial" w:eastAsia="Arial" w:hAnsi="Arial"/>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and</w:t>
      </w:r>
    </w:p>
    <w:p>
      <w:pPr>
        <w:spacing w:after="0" w:line="128" w:lineRule="exact"/>
        <w:rPr>
          <w:rFonts w:ascii="Arial" w:cs="Arial" w:eastAsia="Arial" w:hAnsi="Arial"/>
          <w:sz w:val="14"/>
          <w:szCs w:val="14"/>
          <w:color w:val="auto"/>
        </w:rPr>
      </w:pPr>
    </w:p>
    <w:p>
      <w:pPr>
        <w:ind w:firstLine="1405"/>
        <w:spacing w:after="0" w:line="253" w:lineRule="auto"/>
        <w:tabs>
          <w:tab w:leader="none" w:pos="1549" w:val="left"/>
        </w:tabs>
        <w:numPr>
          <w:ilvl w:val="1"/>
          <w:numId w:val="29"/>
        </w:numPr>
        <w:rPr>
          <w:rFonts w:ascii="Arial" w:cs="Arial" w:eastAsia="Arial" w:hAnsi="Arial"/>
          <w:sz w:val="14"/>
          <w:szCs w:val="14"/>
          <w:color w:val="auto"/>
        </w:rPr>
      </w:pPr>
      <w:r>
        <w:rPr>
          <w:rFonts w:ascii="Arial" w:cs="Arial" w:eastAsia="Arial" w:hAnsi="Arial"/>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9" w:lineRule="exact"/>
        <w:rPr>
          <w:rFonts w:ascii="Arial" w:cs="Arial" w:eastAsia="Arial" w:hAnsi="Arial"/>
          <w:sz w:val="14"/>
          <w:szCs w:val="14"/>
          <w:color w:val="auto"/>
        </w:rPr>
      </w:pPr>
    </w:p>
    <w:p>
      <w:pPr>
        <w:jc w:val="both"/>
        <w:ind w:firstLine="1405"/>
        <w:spacing w:after="0" w:line="290" w:lineRule="auto"/>
        <w:tabs>
          <w:tab w:leader="none" w:pos="1570" w:val="left"/>
        </w:tabs>
        <w:numPr>
          <w:ilvl w:val="1"/>
          <w:numId w:val="29"/>
        </w:numPr>
        <w:rPr>
          <w:rFonts w:ascii="Arial" w:cs="Arial" w:eastAsia="Arial" w:hAnsi="Arial"/>
          <w:sz w:val="13"/>
          <w:szCs w:val="13"/>
          <w:color w:val="auto"/>
        </w:rPr>
      </w:pPr>
      <w:r>
        <w:rPr>
          <w:rFonts w:ascii="Arial" w:cs="Arial" w:eastAsia="Arial" w:hAnsi="Arial"/>
          <w:sz w:val="13"/>
          <w:szCs w:val="13"/>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7" w:lineRule="exact"/>
        <w:rPr>
          <w:rFonts w:ascii="Arial" w:cs="Arial" w:eastAsia="Arial" w:hAnsi="Arial"/>
          <w:sz w:val="13"/>
          <w:szCs w:val="13"/>
          <w:color w:val="auto"/>
        </w:rPr>
      </w:pPr>
    </w:p>
    <w:p>
      <w:pPr>
        <w:ind w:firstLine="757"/>
        <w:spacing w:after="0" w:line="253" w:lineRule="auto"/>
        <w:tabs>
          <w:tab w:leader="none" w:pos="902" w:val="left"/>
        </w:tabs>
        <w:numPr>
          <w:ilvl w:val="0"/>
          <w:numId w:val="29"/>
        </w:numPr>
        <w:rPr>
          <w:rFonts w:ascii="Arial" w:cs="Arial" w:eastAsia="Arial" w:hAnsi="Arial"/>
          <w:sz w:val="14"/>
          <w:szCs w:val="14"/>
          <w:color w:val="auto"/>
        </w:rPr>
      </w:pPr>
      <w:r>
        <w:rPr>
          <w:rFonts w:ascii="Arial" w:cs="Arial" w:eastAsia="Arial" w:hAnsi="Arial"/>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4"/>
          <w:szCs w:val="14"/>
          <w:color w:val="auto"/>
        </w:rPr>
      </w:pPr>
    </w:p>
    <w:p>
      <w:pPr>
        <w:ind w:right="20" w:firstLine="1405"/>
        <w:spacing w:after="0" w:line="253" w:lineRule="auto"/>
        <w:tabs>
          <w:tab w:leader="none" w:pos="1559" w:val="left"/>
        </w:tabs>
        <w:numPr>
          <w:ilvl w:val="1"/>
          <w:numId w:val="29"/>
        </w:numPr>
        <w:rPr>
          <w:rFonts w:ascii="Arial" w:cs="Arial" w:eastAsia="Arial" w:hAnsi="Arial"/>
          <w:sz w:val="14"/>
          <w:szCs w:val="14"/>
          <w:color w:val="auto"/>
        </w:rPr>
      </w:pPr>
      <w:r>
        <w:rPr>
          <w:rFonts w:ascii="Arial" w:cs="Arial" w:eastAsia="Arial" w:hAnsi="Arial"/>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9" w:lineRule="exact"/>
        <w:rPr>
          <w:rFonts w:ascii="Arial" w:cs="Arial" w:eastAsia="Arial" w:hAnsi="Arial"/>
          <w:sz w:val="14"/>
          <w:szCs w:val="14"/>
          <w:color w:val="auto"/>
        </w:rPr>
      </w:pPr>
    </w:p>
    <w:p>
      <w:pPr>
        <w:ind w:left="1580" w:hanging="175"/>
        <w:spacing w:after="0"/>
        <w:tabs>
          <w:tab w:leader="none" w:pos="1580" w:val="left"/>
        </w:tabs>
        <w:numPr>
          <w:ilvl w:val="1"/>
          <w:numId w:val="29"/>
        </w:numPr>
        <w:rPr>
          <w:rFonts w:ascii="Arial" w:cs="Arial" w:eastAsia="Arial" w:hAnsi="Arial"/>
          <w:sz w:val="13"/>
          <w:szCs w:val="13"/>
          <w:color w:val="auto"/>
        </w:rPr>
      </w:pPr>
      <w:r>
        <w:rPr>
          <w:rFonts w:ascii="Arial" w:cs="Arial" w:eastAsia="Arial" w:hAnsi="Arial"/>
          <w:sz w:val="13"/>
          <w:szCs w:val="13"/>
          <w:color w:val="auto"/>
        </w:rPr>
        <w:t>Any fraud, whether or not material, that involves management or other employees who have a significant role in the registrant’s internal control over financial</w:t>
      </w:r>
    </w:p>
    <w:p>
      <w:pPr>
        <w:spacing w:after="0" w:line="1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4"/>
          <w:szCs w:val="14"/>
          <w:color w:val="auto"/>
        </w:rPr>
        <w:t>reporting.</w:t>
      </w:r>
    </w:p>
    <w:p>
      <w:pPr>
        <w:spacing w:after="0" w:line="138" w:lineRule="exact"/>
        <w:rPr>
          <w:sz w:val="20"/>
          <w:szCs w:val="20"/>
          <w:color w:val="auto"/>
        </w:rPr>
      </w:pPr>
    </w:p>
    <w:p>
      <w:pPr>
        <w:spacing w:after="0"/>
        <w:rPr>
          <w:sz w:val="20"/>
          <w:szCs w:val="20"/>
          <w:color w:val="auto"/>
        </w:rPr>
      </w:pPr>
      <w:r>
        <w:rPr>
          <w:rFonts w:ascii="Arial" w:cs="Arial" w:eastAsia="Arial" w:hAnsi="Arial"/>
          <w:sz w:val="14"/>
          <w:szCs w:val="14"/>
          <w:color w:val="auto"/>
        </w:rPr>
        <w:t>Dated: February 5, 2020</w:t>
      </w:r>
    </w:p>
    <w:p>
      <w:pPr>
        <w:spacing w:after="0" w:line="339" w:lineRule="exact"/>
        <w:rPr>
          <w:sz w:val="20"/>
          <w:szCs w:val="20"/>
          <w:color w:val="auto"/>
        </w:rPr>
      </w:pPr>
    </w:p>
    <w:p>
      <w:pPr>
        <w:spacing w:after="0"/>
        <w:rPr>
          <w:sz w:val="20"/>
          <w:szCs w:val="20"/>
          <w:color w:val="auto"/>
        </w:rPr>
      </w:pPr>
      <w:r>
        <w:rPr>
          <w:rFonts w:ascii="Arial" w:cs="Arial" w:eastAsia="Arial" w:hAnsi="Arial"/>
          <w:sz w:val="14"/>
          <w:szCs w:val="14"/>
          <w:color w:val="auto"/>
        </w:rPr>
        <w:t>/s/ Aviv Efrat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246888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7">
                      <a:extLst>
                        <a:ext uri="{28A0092B-C50C-407E-A947-70E740481C1C}"/>
                      </a:extLst>
                    </a:blip>
                    <a:srcRect/>
                    <a:stretch>
                      <a:fillRect/>
                    </a:stretch>
                  </pic:blipFill>
                  <pic:spPr bwMode="auto">
                    <a:xfrm>
                      <a:off x="0" y="0"/>
                      <a:ext cx="2468880" cy="8890"/>
                    </a:xfrm>
                    <a:prstGeom prst="rect">
                      <a:avLst/>
                    </a:prstGeom>
                    <a:noFill/>
                  </pic:spPr>
                </pic:pic>
              </a:graphicData>
            </a:graphic>
          </wp:anchor>
        </w:drawing>
      </w:r>
    </w:p>
    <w:p>
      <w:pPr>
        <w:spacing w:after="0" w:line="49" w:lineRule="exact"/>
        <w:rPr>
          <w:sz w:val="20"/>
          <w:szCs w:val="20"/>
          <w:color w:val="auto"/>
        </w:rPr>
      </w:pPr>
    </w:p>
    <w:p>
      <w:pPr>
        <w:spacing w:after="0"/>
        <w:rPr>
          <w:sz w:val="20"/>
          <w:szCs w:val="20"/>
          <w:color w:val="auto"/>
        </w:rPr>
      </w:pPr>
      <w:r>
        <w:rPr>
          <w:rFonts w:ascii="Arial" w:cs="Arial" w:eastAsia="Arial" w:hAnsi="Arial"/>
          <w:sz w:val="14"/>
          <w:szCs w:val="14"/>
          <w:color w:val="auto"/>
        </w:rPr>
        <w:t>Name: Aviv Efrat</w:t>
      </w:r>
    </w:p>
    <w:p>
      <w:pPr>
        <w:spacing w:after="0" w:line="28" w:lineRule="exact"/>
        <w:rPr>
          <w:sz w:val="20"/>
          <w:szCs w:val="20"/>
          <w:color w:val="auto"/>
        </w:rPr>
      </w:pPr>
    </w:p>
    <w:p>
      <w:pPr>
        <w:spacing w:after="0"/>
        <w:tabs>
          <w:tab w:leader="none" w:pos="440" w:val="left"/>
        </w:tabs>
        <w:rPr>
          <w:sz w:val="20"/>
          <w:szCs w:val="20"/>
          <w:color w:val="auto"/>
        </w:rPr>
      </w:pPr>
      <w:r>
        <w:rPr>
          <w:rFonts w:ascii="Arial" w:cs="Arial" w:eastAsia="Arial" w:hAnsi="Arial"/>
          <w:sz w:val="14"/>
          <w:szCs w:val="14"/>
          <w:color w:val="auto"/>
        </w:rPr>
        <w:t>Title:</w:t>
      </w:r>
      <w:r>
        <w:rPr>
          <w:sz w:val="20"/>
          <w:szCs w:val="20"/>
          <w:color w:val="auto"/>
        </w:rPr>
        <w:tab/>
      </w:r>
      <w:r>
        <w:rPr>
          <w:rFonts w:ascii="Arial" w:cs="Arial" w:eastAsia="Arial" w:hAnsi="Arial"/>
          <w:sz w:val="13"/>
          <w:szCs w:val="13"/>
          <w:color w:val="auto"/>
        </w:rPr>
        <w:t>Chief Financial Officer</w:t>
      </w:r>
    </w:p>
    <w:p>
      <w:pPr>
        <w:sectPr>
          <w:pgSz w:w="11900" w:h="16838" w:orient="portrait"/>
          <w:cols w:equalWidth="0" w:num="1">
            <w:col w:w="11240"/>
          </w:cols>
          <w:pgMar w:left="320" w:top="118" w:right="339" w:bottom="1440" w:gutter="0" w:footer="0" w:header="0"/>
        </w:sectPr>
      </w:pPr>
    </w:p>
    <w:bookmarkStart w:id="49" w:name="page50"/>
    <w:bookmarkEnd w:id="49"/>
    <w:p>
      <w:pPr>
        <w:jc w:val="right"/>
        <w:spacing w:after="0"/>
        <w:rPr>
          <w:sz w:val="20"/>
          <w:szCs w:val="20"/>
          <w:color w:val="auto"/>
        </w:rPr>
      </w:pPr>
      <w:r>
        <w:rPr>
          <w:rFonts w:ascii="Arial" w:cs="Arial" w:eastAsia="Arial" w:hAnsi="Arial"/>
          <w:sz w:val="14"/>
          <w:szCs w:val="14"/>
          <w:b w:val="1"/>
          <w:bCs w:val="1"/>
          <w:color w:val="auto"/>
        </w:rPr>
        <w:t>EXHIBIT 32.1</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CERTIFICATION OF CHIEF EXECUTIVE OFFICER</w:t>
      </w:r>
    </w:p>
    <w:p>
      <w:pPr>
        <w:jc w:val="center"/>
        <w:spacing w:after="0" w:line="226" w:lineRule="auto"/>
        <w:rPr>
          <w:sz w:val="20"/>
          <w:szCs w:val="20"/>
          <w:color w:val="auto"/>
        </w:rPr>
      </w:pPr>
      <w:r>
        <w:rPr>
          <w:rFonts w:ascii="Arial" w:cs="Arial" w:eastAsia="Arial" w:hAnsi="Arial"/>
          <w:sz w:val="14"/>
          <w:szCs w:val="14"/>
          <w:b w:val="1"/>
          <w:bCs w:val="1"/>
          <w:color w:val="auto"/>
        </w:rPr>
        <w:t>PURSUANT TO</w:t>
      </w:r>
    </w:p>
    <w:p>
      <w:pPr>
        <w:jc w:val="center"/>
        <w:spacing w:after="0"/>
        <w:rPr>
          <w:sz w:val="20"/>
          <w:szCs w:val="20"/>
          <w:color w:val="auto"/>
        </w:rPr>
      </w:pPr>
      <w:r>
        <w:rPr>
          <w:rFonts w:ascii="Arial" w:cs="Arial" w:eastAsia="Arial" w:hAnsi="Arial"/>
          <w:sz w:val="14"/>
          <w:szCs w:val="14"/>
          <w:b w:val="1"/>
          <w:bCs w:val="1"/>
          <w:color w:val="auto"/>
        </w:rPr>
        <w:t>SECTION 906 OF THE SARBANES-OXLEY ACT OF 2002 (18 U.S.C. 1350)</w:t>
      </w:r>
    </w:p>
    <w:p>
      <w:pPr>
        <w:spacing w:after="0" w:line="138" w:lineRule="exact"/>
        <w:rPr>
          <w:sz w:val="20"/>
          <w:szCs w:val="20"/>
          <w:color w:val="auto"/>
        </w:rPr>
      </w:pPr>
    </w:p>
    <w:p>
      <w:pPr>
        <w:ind w:left="480"/>
        <w:spacing w:after="0"/>
        <w:rPr>
          <w:sz w:val="20"/>
          <w:szCs w:val="20"/>
          <w:color w:val="auto"/>
        </w:rPr>
      </w:pPr>
      <w:r>
        <w:rPr>
          <w:rFonts w:ascii="Arial" w:cs="Arial" w:eastAsia="Arial" w:hAnsi="Arial"/>
          <w:sz w:val="13"/>
          <w:szCs w:val="13"/>
          <w:color w:val="auto"/>
        </w:rPr>
        <w:t>In connection with this Report on Form 10-Q for the three months ended December 31, 2019, or the Report, of PennantPark Floating Rate Capital Ltd., or the Registrant, as filed with the</w:t>
      </w:r>
    </w:p>
    <w:p>
      <w:pPr>
        <w:spacing w:after="0" w:line="11" w:lineRule="exact"/>
        <w:rPr>
          <w:sz w:val="20"/>
          <w:szCs w:val="20"/>
          <w:color w:val="auto"/>
        </w:rPr>
      </w:pPr>
    </w:p>
    <w:p>
      <w:pPr>
        <w:spacing w:after="0"/>
        <w:rPr>
          <w:sz w:val="20"/>
          <w:szCs w:val="20"/>
          <w:color w:val="auto"/>
        </w:rPr>
      </w:pPr>
      <w:r>
        <w:rPr>
          <w:rFonts w:ascii="Arial" w:cs="Arial" w:eastAsia="Arial" w:hAnsi="Arial"/>
          <w:sz w:val="14"/>
          <w:szCs w:val="14"/>
          <w:color w:val="auto"/>
        </w:rPr>
        <w:t>Securities and Exchange Commission on the date hereof, I, Arthur H. Penn, Chief Executive Officer of the Registrant, hereby certify, to the best of my knowledge, that:</w:t>
      </w:r>
    </w:p>
    <w:p>
      <w:pPr>
        <w:spacing w:after="0" w:line="57" w:lineRule="exact"/>
        <w:rPr>
          <w:sz w:val="20"/>
          <w:szCs w:val="20"/>
          <w:color w:val="auto"/>
        </w:rPr>
      </w:pPr>
    </w:p>
    <w:p>
      <w:pPr>
        <w:ind w:left="760" w:hanging="374"/>
        <w:spacing w:after="0"/>
        <w:tabs>
          <w:tab w:leader="none" w:pos="760" w:val="left"/>
        </w:tabs>
        <w:numPr>
          <w:ilvl w:val="0"/>
          <w:numId w:val="30"/>
        </w:numPr>
        <w:rPr>
          <w:rFonts w:ascii="Arial" w:cs="Arial" w:eastAsia="Arial" w:hAnsi="Arial"/>
          <w:sz w:val="14"/>
          <w:szCs w:val="14"/>
          <w:color w:val="auto"/>
        </w:rPr>
      </w:pPr>
      <w:r>
        <w:rPr>
          <w:rFonts w:ascii="Arial" w:cs="Arial" w:eastAsia="Arial" w:hAnsi="Arial"/>
          <w:sz w:val="14"/>
          <w:szCs w:val="14"/>
          <w:color w:val="auto"/>
        </w:rPr>
        <w:t>The Report fully complies with the requirements of Section 13(a) or 15(d) of the Securities Exchange Act of 1934, as amended; and</w:t>
      </w:r>
    </w:p>
    <w:p>
      <w:pPr>
        <w:spacing w:after="0" w:line="109" w:lineRule="exact"/>
        <w:rPr>
          <w:rFonts w:ascii="Arial" w:cs="Arial" w:eastAsia="Arial" w:hAnsi="Arial"/>
          <w:sz w:val="14"/>
          <w:szCs w:val="14"/>
          <w:color w:val="auto"/>
        </w:rPr>
      </w:pPr>
    </w:p>
    <w:p>
      <w:pPr>
        <w:ind w:left="760" w:hanging="374"/>
        <w:spacing w:after="0"/>
        <w:tabs>
          <w:tab w:leader="none" w:pos="760" w:val="left"/>
        </w:tabs>
        <w:numPr>
          <w:ilvl w:val="0"/>
          <w:numId w:val="30"/>
        </w:numPr>
        <w:rPr>
          <w:rFonts w:ascii="Arial" w:cs="Arial" w:eastAsia="Arial" w:hAnsi="Arial"/>
          <w:sz w:val="14"/>
          <w:szCs w:val="14"/>
          <w:color w:val="auto"/>
        </w:rPr>
      </w:pPr>
      <w:r>
        <w:rPr>
          <w:rFonts w:ascii="Arial" w:cs="Arial" w:eastAsia="Arial" w:hAnsi="Arial"/>
          <w:sz w:val="14"/>
          <w:szCs w:val="14"/>
          <w:color w:val="auto"/>
        </w:rPr>
        <w:t>The information contained in the Report fairly presents, in all material respects, the financial condition and results of operations of the Registrant.</w:t>
      </w: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Arial" w:cs="Arial" w:eastAsia="Arial" w:hAnsi="Arial"/>
          <w:sz w:val="14"/>
          <w:szCs w:val="14"/>
          <w:color w:val="auto"/>
        </w:rPr>
        <w:t>/s/ Arthur H. Penn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246888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8">
                      <a:extLst>
                        <a:ext uri="{28A0092B-C50C-407E-A947-70E740481C1C}"/>
                      </a:extLst>
                    </a:blip>
                    <a:srcRect/>
                    <a:stretch>
                      <a:fillRect/>
                    </a:stretch>
                  </pic:blipFill>
                  <pic:spPr bwMode="auto">
                    <a:xfrm>
                      <a:off x="0" y="0"/>
                      <a:ext cx="2468880" cy="8255"/>
                    </a:xfrm>
                    <a:prstGeom prst="rect">
                      <a:avLst/>
                    </a:prstGeom>
                    <a:noFill/>
                  </pic:spPr>
                </pic:pic>
              </a:graphicData>
            </a:graphic>
          </wp:anchor>
        </w:drawing>
      </w:r>
    </w:p>
    <w:p>
      <w:pPr>
        <w:spacing w:after="0" w:line="49" w:lineRule="exact"/>
        <w:rPr>
          <w:sz w:val="20"/>
          <w:szCs w:val="20"/>
          <w:color w:val="auto"/>
        </w:rPr>
      </w:pPr>
    </w:p>
    <w:p>
      <w:pPr>
        <w:spacing w:after="0"/>
        <w:rPr>
          <w:sz w:val="20"/>
          <w:szCs w:val="20"/>
          <w:color w:val="auto"/>
        </w:rPr>
      </w:pPr>
      <w:r>
        <w:rPr>
          <w:rFonts w:ascii="Arial" w:cs="Arial" w:eastAsia="Arial" w:hAnsi="Arial"/>
          <w:sz w:val="14"/>
          <w:szCs w:val="14"/>
          <w:color w:val="auto"/>
        </w:rPr>
        <w:t>Name: Arthur H. Penn</w:t>
      </w:r>
    </w:p>
    <w:p>
      <w:pPr>
        <w:spacing w:after="0" w:line="28" w:lineRule="exact"/>
        <w:rPr>
          <w:sz w:val="20"/>
          <w:szCs w:val="20"/>
          <w:color w:val="auto"/>
        </w:rPr>
      </w:pPr>
    </w:p>
    <w:p>
      <w:pPr>
        <w:spacing w:after="0"/>
        <w:tabs>
          <w:tab w:leader="none" w:pos="440" w:val="left"/>
        </w:tabs>
        <w:rPr>
          <w:sz w:val="20"/>
          <w:szCs w:val="20"/>
          <w:color w:val="auto"/>
        </w:rPr>
      </w:pPr>
      <w:r>
        <w:rPr>
          <w:rFonts w:ascii="Arial" w:cs="Arial" w:eastAsia="Arial" w:hAnsi="Arial"/>
          <w:sz w:val="14"/>
          <w:szCs w:val="14"/>
          <w:color w:val="auto"/>
        </w:rPr>
        <w:t>Title:</w:t>
      </w:r>
      <w:r>
        <w:rPr>
          <w:sz w:val="20"/>
          <w:szCs w:val="20"/>
          <w:color w:val="auto"/>
        </w:rPr>
        <w:tab/>
      </w:r>
      <w:r>
        <w:rPr>
          <w:rFonts w:ascii="Arial" w:cs="Arial" w:eastAsia="Arial" w:hAnsi="Arial"/>
          <w:sz w:val="13"/>
          <w:szCs w:val="13"/>
          <w:color w:val="auto"/>
        </w:rPr>
        <w:t>Chief Executive Officer</w:t>
      </w:r>
    </w:p>
    <w:p>
      <w:pPr>
        <w:spacing w:after="0" w:line="28" w:lineRule="exact"/>
        <w:rPr>
          <w:sz w:val="20"/>
          <w:szCs w:val="20"/>
          <w:color w:val="auto"/>
        </w:rPr>
      </w:pPr>
    </w:p>
    <w:p>
      <w:pPr>
        <w:spacing w:after="0"/>
        <w:tabs>
          <w:tab w:leader="none" w:pos="440" w:val="left"/>
        </w:tabs>
        <w:rPr>
          <w:sz w:val="20"/>
          <w:szCs w:val="20"/>
          <w:color w:val="auto"/>
        </w:rPr>
      </w:pPr>
      <w:r>
        <w:rPr>
          <w:rFonts w:ascii="Arial" w:cs="Arial" w:eastAsia="Arial" w:hAnsi="Arial"/>
          <w:sz w:val="14"/>
          <w:szCs w:val="14"/>
          <w:color w:val="auto"/>
        </w:rPr>
        <w:t>Date:</w:t>
      </w:r>
      <w:r>
        <w:rPr>
          <w:sz w:val="20"/>
          <w:szCs w:val="20"/>
          <w:color w:val="auto"/>
        </w:rPr>
        <w:tab/>
      </w:r>
      <w:r>
        <w:rPr>
          <w:rFonts w:ascii="Arial" w:cs="Arial" w:eastAsia="Arial" w:hAnsi="Arial"/>
          <w:sz w:val="13"/>
          <w:szCs w:val="13"/>
          <w:color w:val="auto"/>
        </w:rPr>
        <w:t>February 5, 2020</w:t>
      </w:r>
    </w:p>
    <w:p>
      <w:pPr>
        <w:sectPr>
          <w:pgSz w:w="11900" w:h="16838" w:orient="portrait"/>
          <w:cols w:equalWidth="0" w:num="1">
            <w:col w:w="11240"/>
          </w:cols>
          <w:pgMar w:left="320" w:top="118" w:right="339" w:bottom="1440" w:gutter="0" w:footer="0" w:header="0"/>
        </w:sectPr>
      </w:pPr>
    </w:p>
    <w:bookmarkStart w:id="50" w:name="page51"/>
    <w:bookmarkEnd w:id="50"/>
    <w:p>
      <w:pPr>
        <w:jc w:val="right"/>
        <w:spacing w:after="0"/>
        <w:rPr>
          <w:sz w:val="20"/>
          <w:szCs w:val="20"/>
          <w:color w:val="auto"/>
        </w:rPr>
      </w:pPr>
      <w:r>
        <w:rPr>
          <w:rFonts w:ascii="Arial" w:cs="Arial" w:eastAsia="Arial" w:hAnsi="Arial"/>
          <w:sz w:val="14"/>
          <w:szCs w:val="14"/>
          <w:b w:val="1"/>
          <w:bCs w:val="1"/>
          <w:color w:val="auto"/>
        </w:rPr>
        <w:t>EXHIBIT 32.2</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CERTIFICATION OF CHIEF FINANCIAL OFFICER</w:t>
      </w:r>
    </w:p>
    <w:p>
      <w:pPr>
        <w:jc w:val="center"/>
        <w:spacing w:after="0" w:line="226" w:lineRule="auto"/>
        <w:rPr>
          <w:sz w:val="20"/>
          <w:szCs w:val="20"/>
          <w:color w:val="auto"/>
        </w:rPr>
      </w:pPr>
      <w:r>
        <w:rPr>
          <w:rFonts w:ascii="Arial" w:cs="Arial" w:eastAsia="Arial" w:hAnsi="Arial"/>
          <w:sz w:val="14"/>
          <w:szCs w:val="14"/>
          <w:b w:val="1"/>
          <w:bCs w:val="1"/>
          <w:color w:val="auto"/>
        </w:rPr>
        <w:t>PURSUANT TO</w:t>
      </w:r>
    </w:p>
    <w:p>
      <w:pPr>
        <w:jc w:val="center"/>
        <w:spacing w:after="0"/>
        <w:rPr>
          <w:sz w:val="20"/>
          <w:szCs w:val="20"/>
          <w:color w:val="auto"/>
        </w:rPr>
      </w:pPr>
      <w:r>
        <w:rPr>
          <w:rFonts w:ascii="Arial" w:cs="Arial" w:eastAsia="Arial" w:hAnsi="Arial"/>
          <w:sz w:val="14"/>
          <w:szCs w:val="14"/>
          <w:b w:val="1"/>
          <w:bCs w:val="1"/>
          <w:color w:val="auto"/>
        </w:rPr>
        <w:t>SECTION 906 OF THE SARBANES-OXLEY ACT OF 2002 (18 U.S.C. 1350)</w:t>
      </w:r>
    </w:p>
    <w:p>
      <w:pPr>
        <w:spacing w:after="0" w:line="138" w:lineRule="exact"/>
        <w:rPr>
          <w:sz w:val="20"/>
          <w:szCs w:val="20"/>
          <w:color w:val="auto"/>
        </w:rPr>
      </w:pPr>
    </w:p>
    <w:p>
      <w:pPr>
        <w:ind w:left="480"/>
        <w:spacing w:after="0"/>
        <w:rPr>
          <w:sz w:val="20"/>
          <w:szCs w:val="20"/>
          <w:color w:val="auto"/>
        </w:rPr>
      </w:pPr>
      <w:r>
        <w:rPr>
          <w:rFonts w:ascii="Arial" w:cs="Arial" w:eastAsia="Arial" w:hAnsi="Arial"/>
          <w:sz w:val="13"/>
          <w:szCs w:val="13"/>
          <w:color w:val="auto"/>
        </w:rPr>
        <w:t>In connection with this Report on Form 10-Q for the three months ended December 31, 2019, or the Report, of PennantPark Floating Rate Capital Ltd., or the Registrant, as filed with the</w:t>
      </w:r>
    </w:p>
    <w:p>
      <w:pPr>
        <w:spacing w:after="0" w:line="11" w:lineRule="exact"/>
        <w:rPr>
          <w:sz w:val="20"/>
          <w:szCs w:val="20"/>
          <w:color w:val="auto"/>
        </w:rPr>
      </w:pPr>
    </w:p>
    <w:p>
      <w:pPr>
        <w:spacing w:after="0"/>
        <w:rPr>
          <w:sz w:val="20"/>
          <w:szCs w:val="20"/>
          <w:color w:val="auto"/>
        </w:rPr>
      </w:pPr>
      <w:r>
        <w:rPr>
          <w:rFonts w:ascii="Arial" w:cs="Arial" w:eastAsia="Arial" w:hAnsi="Arial"/>
          <w:sz w:val="14"/>
          <w:szCs w:val="14"/>
          <w:color w:val="auto"/>
        </w:rPr>
        <w:t>Securities and Exchange Commission on the date hereof, I, Aviv Efrat, Chief Financial Officer of the Registrant, hereby certify, to the best of my knowledge, that:</w:t>
      </w:r>
    </w:p>
    <w:p>
      <w:pPr>
        <w:spacing w:after="0" w:line="57" w:lineRule="exact"/>
        <w:rPr>
          <w:sz w:val="20"/>
          <w:szCs w:val="20"/>
          <w:color w:val="auto"/>
        </w:rPr>
      </w:pPr>
    </w:p>
    <w:p>
      <w:pPr>
        <w:ind w:left="760" w:hanging="374"/>
        <w:spacing w:after="0"/>
        <w:tabs>
          <w:tab w:leader="none" w:pos="760" w:val="left"/>
        </w:tabs>
        <w:numPr>
          <w:ilvl w:val="0"/>
          <w:numId w:val="31"/>
        </w:numPr>
        <w:rPr>
          <w:rFonts w:ascii="Arial" w:cs="Arial" w:eastAsia="Arial" w:hAnsi="Arial"/>
          <w:sz w:val="14"/>
          <w:szCs w:val="14"/>
          <w:color w:val="auto"/>
        </w:rPr>
      </w:pPr>
      <w:r>
        <w:rPr>
          <w:rFonts w:ascii="Arial" w:cs="Arial" w:eastAsia="Arial" w:hAnsi="Arial"/>
          <w:sz w:val="14"/>
          <w:szCs w:val="14"/>
          <w:color w:val="auto"/>
        </w:rPr>
        <w:t>The Report fully complies with the requirements of Section 13(a) or 15(d) of the Securities Exchange Act of 1934, as amended; and</w:t>
      </w:r>
    </w:p>
    <w:p>
      <w:pPr>
        <w:spacing w:after="0" w:line="109" w:lineRule="exact"/>
        <w:rPr>
          <w:rFonts w:ascii="Arial" w:cs="Arial" w:eastAsia="Arial" w:hAnsi="Arial"/>
          <w:sz w:val="14"/>
          <w:szCs w:val="14"/>
          <w:color w:val="auto"/>
        </w:rPr>
      </w:pPr>
    </w:p>
    <w:p>
      <w:pPr>
        <w:ind w:left="760" w:hanging="374"/>
        <w:spacing w:after="0"/>
        <w:tabs>
          <w:tab w:leader="none" w:pos="760" w:val="left"/>
        </w:tabs>
        <w:numPr>
          <w:ilvl w:val="0"/>
          <w:numId w:val="31"/>
        </w:numPr>
        <w:rPr>
          <w:rFonts w:ascii="Arial" w:cs="Arial" w:eastAsia="Arial" w:hAnsi="Arial"/>
          <w:sz w:val="14"/>
          <w:szCs w:val="14"/>
          <w:color w:val="auto"/>
        </w:rPr>
      </w:pPr>
      <w:r>
        <w:rPr>
          <w:rFonts w:ascii="Arial" w:cs="Arial" w:eastAsia="Arial" w:hAnsi="Arial"/>
          <w:sz w:val="14"/>
          <w:szCs w:val="14"/>
          <w:color w:val="auto"/>
        </w:rPr>
        <w:t>The information contained in the Report fairly presents, in all material respects, the financial condition and results of operations of the Registrant.</w:t>
      </w: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Arial" w:cs="Arial" w:eastAsia="Arial" w:hAnsi="Arial"/>
          <w:sz w:val="14"/>
          <w:szCs w:val="14"/>
          <w:color w:val="auto"/>
        </w:rPr>
        <w:t>/s/ Aviv Efrat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246888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9">
                      <a:extLst>
                        <a:ext uri="{28A0092B-C50C-407E-A947-70E740481C1C}"/>
                      </a:extLst>
                    </a:blip>
                    <a:srcRect/>
                    <a:stretch>
                      <a:fillRect/>
                    </a:stretch>
                  </pic:blipFill>
                  <pic:spPr bwMode="auto">
                    <a:xfrm>
                      <a:off x="0" y="0"/>
                      <a:ext cx="2468880" cy="8255"/>
                    </a:xfrm>
                    <a:prstGeom prst="rect">
                      <a:avLst/>
                    </a:prstGeom>
                    <a:noFill/>
                  </pic:spPr>
                </pic:pic>
              </a:graphicData>
            </a:graphic>
          </wp:anchor>
        </w:drawing>
      </w:r>
    </w:p>
    <w:p>
      <w:pPr>
        <w:spacing w:after="0" w:line="49" w:lineRule="exact"/>
        <w:rPr>
          <w:sz w:val="20"/>
          <w:szCs w:val="20"/>
          <w:color w:val="auto"/>
        </w:rPr>
      </w:pPr>
    </w:p>
    <w:p>
      <w:pPr>
        <w:spacing w:after="0"/>
        <w:rPr>
          <w:sz w:val="20"/>
          <w:szCs w:val="20"/>
          <w:color w:val="auto"/>
        </w:rPr>
      </w:pPr>
      <w:r>
        <w:rPr>
          <w:rFonts w:ascii="Arial" w:cs="Arial" w:eastAsia="Arial" w:hAnsi="Arial"/>
          <w:sz w:val="14"/>
          <w:szCs w:val="14"/>
          <w:color w:val="auto"/>
        </w:rPr>
        <w:t>Name: Aviv Efrat</w:t>
      </w:r>
    </w:p>
    <w:p>
      <w:pPr>
        <w:spacing w:after="0" w:line="28" w:lineRule="exact"/>
        <w:rPr>
          <w:sz w:val="20"/>
          <w:szCs w:val="20"/>
          <w:color w:val="auto"/>
        </w:rPr>
      </w:pPr>
    </w:p>
    <w:p>
      <w:pPr>
        <w:spacing w:after="0"/>
        <w:tabs>
          <w:tab w:leader="none" w:pos="440" w:val="left"/>
        </w:tabs>
        <w:rPr>
          <w:sz w:val="20"/>
          <w:szCs w:val="20"/>
          <w:color w:val="auto"/>
        </w:rPr>
      </w:pPr>
      <w:r>
        <w:rPr>
          <w:rFonts w:ascii="Arial" w:cs="Arial" w:eastAsia="Arial" w:hAnsi="Arial"/>
          <w:sz w:val="14"/>
          <w:szCs w:val="14"/>
          <w:color w:val="auto"/>
        </w:rPr>
        <w:t>Title:</w:t>
      </w:r>
      <w:r>
        <w:rPr>
          <w:sz w:val="20"/>
          <w:szCs w:val="20"/>
          <w:color w:val="auto"/>
        </w:rPr>
        <w:tab/>
      </w:r>
      <w:r>
        <w:rPr>
          <w:rFonts w:ascii="Arial" w:cs="Arial" w:eastAsia="Arial" w:hAnsi="Arial"/>
          <w:sz w:val="13"/>
          <w:szCs w:val="13"/>
          <w:color w:val="auto"/>
        </w:rPr>
        <w:t>Chief Financial Officer</w:t>
      </w:r>
    </w:p>
    <w:p>
      <w:pPr>
        <w:spacing w:after="0" w:line="28" w:lineRule="exact"/>
        <w:rPr>
          <w:sz w:val="20"/>
          <w:szCs w:val="20"/>
          <w:color w:val="auto"/>
        </w:rPr>
      </w:pPr>
    </w:p>
    <w:p>
      <w:pPr>
        <w:spacing w:after="0"/>
        <w:tabs>
          <w:tab w:leader="none" w:pos="440" w:val="left"/>
        </w:tabs>
        <w:rPr>
          <w:sz w:val="20"/>
          <w:szCs w:val="20"/>
          <w:color w:val="auto"/>
        </w:rPr>
      </w:pPr>
      <w:r>
        <w:rPr>
          <w:rFonts w:ascii="Arial" w:cs="Arial" w:eastAsia="Arial" w:hAnsi="Arial"/>
          <w:sz w:val="14"/>
          <w:szCs w:val="14"/>
          <w:color w:val="auto"/>
        </w:rPr>
        <w:t>Date:</w:t>
      </w:r>
      <w:r>
        <w:rPr>
          <w:sz w:val="20"/>
          <w:szCs w:val="20"/>
          <w:color w:val="auto"/>
        </w:rPr>
        <w:tab/>
      </w:r>
      <w:r>
        <w:rPr>
          <w:rFonts w:ascii="Arial" w:cs="Arial" w:eastAsia="Arial" w:hAnsi="Arial"/>
          <w:sz w:val="13"/>
          <w:szCs w:val="13"/>
          <w:color w:val="auto"/>
        </w:rPr>
        <w:t>February 5, 2020</w:t>
      </w:r>
    </w:p>
    <w:sectPr>
      <w:pgSz w:w="11900" w:h="16838" w:orient="portrait"/>
      <w:cols w:equalWidth="0" w:num="1">
        <w:col w:w="11240"/>
      </w:cols>
      <w:pgMar w:left="320" w:top="11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B68079A"/>
    <w:multiLevelType w:val="hybridMultilevel"/>
    <w:lvl w:ilvl="0">
      <w:lvlJc w:val="left"/>
      <w:lvlText w:val="☒"/>
      <w:numFmt w:val="bullet"/>
      <w:start w:val="1"/>
    </w:lvl>
  </w:abstractNum>
  <w:abstractNum w:abstractNumId="1">
    <w:nsid w:val="4E6AFB66"/>
    <w:multiLevelType w:val="hybridMultilevel"/>
    <w:lvl w:ilvl="0">
      <w:lvlJc w:val="left"/>
      <w:lvlText w:val="☐"/>
      <w:numFmt w:val="bullet"/>
      <w:start w:val="1"/>
    </w:lvl>
  </w:abstractNum>
  <w:abstractNum w:abstractNumId="2">
    <w:nsid w:val="25E45D32"/>
    <w:multiLevelType w:val="hybridMultilevel"/>
    <w:lvl w:ilvl="0">
      <w:lvlJc w:val="left"/>
      <w:lvlText w:val="(%1)"/>
      <w:numFmt w:val="decimal"/>
      <w:start w:val="1"/>
    </w:lvl>
  </w:abstractNum>
  <w:abstractNum w:abstractNumId="3">
    <w:nsid w:val="519B500D"/>
    <w:multiLevelType w:val="hybridMultilevel"/>
    <w:lvl w:ilvl="0">
      <w:lvlJc w:val="left"/>
      <w:lvlText w:val="(%1)"/>
      <w:numFmt w:val="decimal"/>
      <w:start w:val="1"/>
    </w:lvl>
  </w:abstractNum>
  <w:abstractNum w:abstractNumId="4">
    <w:nsid w:val="431BD7B7"/>
    <w:multiLevelType w:val="hybridMultilevel"/>
    <w:lvl w:ilvl="0">
      <w:lvlJc w:val="left"/>
      <w:lvlText w:val="(%1)"/>
      <w:numFmt w:val="decimal"/>
      <w:start w:val="1"/>
    </w:lvl>
  </w:abstractNum>
  <w:abstractNum w:abstractNumId="5">
    <w:nsid w:val="3F2DBA31"/>
    <w:multiLevelType w:val="hybridMultilevel"/>
    <w:lvl w:ilvl="0">
      <w:lvlJc w:val="left"/>
      <w:lvlText w:val="(%1)"/>
      <w:numFmt w:val="lowerLetter"/>
      <w:start w:val="5"/>
    </w:lvl>
    <w:lvl w:ilvl="1">
      <w:lvlJc w:val="left"/>
      <w:lvlText w:val="%2."/>
      <w:numFmt w:val="decimal"/>
      <w:start w:val="1"/>
    </w:lvl>
  </w:abstractNum>
  <w:abstractNum w:abstractNumId="6">
    <w:nsid w:val="7C83E458"/>
    <w:multiLevelType w:val="hybridMultilevel"/>
    <w:lvl w:ilvl="0">
      <w:lvlJc w:val="left"/>
      <w:lvlText w:val="(%1)"/>
      <w:numFmt w:val="decimal"/>
      <w:start w:val="1"/>
    </w:lvl>
  </w:abstractNum>
  <w:abstractNum w:abstractNumId="7">
    <w:nsid w:val="257130A3"/>
    <w:multiLevelType w:val="hybridMultilevel"/>
    <w:lvl w:ilvl="0">
      <w:lvlJc w:val="left"/>
      <w:lvlText w:val="(%1)"/>
      <w:numFmt w:val="decimal"/>
      <w:start w:val="1"/>
    </w:lvl>
  </w:abstractNum>
  <w:abstractNum w:abstractNumId="8">
    <w:nsid w:val="62BBD95A"/>
    <w:multiLevelType w:val="hybridMultilevel"/>
    <w:lvl w:ilvl="0">
      <w:lvlJc w:val="left"/>
      <w:lvlText w:val="(%1)"/>
      <w:numFmt w:val="decimal"/>
      <w:start w:val="1"/>
    </w:lvl>
  </w:abstractNum>
  <w:abstractNum w:abstractNumId="9">
    <w:nsid w:val="436C6125"/>
    <w:multiLevelType w:val="hybridMultilevel"/>
    <w:lvl w:ilvl="0">
      <w:lvlJc w:val="left"/>
      <w:lvlText w:val="(%1)"/>
      <w:numFmt w:val="decimal"/>
      <w:start w:val="1"/>
    </w:lvl>
  </w:abstractNum>
  <w:abstractNum w:abstractNumId="10">
    <w:nsid w:val="628C895D"/>
    <w:multiLevelType w:val="hybridMultilevel"/>
    <w:lvl w:ilvl="0">
      <w:lvlJc w:val="left"/>
      <w:lvlText w:val="(%1)"/>
      <w:numFmt w:val="decimal"/>
      <w:start w:val="1"/>
    </w:lvl>
  </w:abstractNum>
  <w:abstractNum w:abstractNumId="11">
    <w:nsid w:val="333AB105"/>
    <w:multiLevelType w:val="hybridMultilevel"/>
    <w:lvl w:ilvl="0">
      <w:lvlJc w:val="left"/>
      <w:lvlText w:val="(%1)"/>
      <w:numFmt w:val="decimal"/>
      <w:start w:val="1"/>
    </w:lvl>
  </w:abstractNum>
  <w:abstractNum w:abstractNumId="12">
    <w:nsid w:val="721DA317"/>
    <w:multiLevelType w:val="hybridMultilevel"/>
    <w:lvl w:ilvl="0">
      <w:lvlJc w:val="left"/>
      <w:lvlText w:val="(%1)"/>
      <w:numFmt w:val="decimal"/>
      <w:start w:val="1"/>
    </w:lvl>
  </w:abstractNum>
  <w:abstractNum w:abstractNumId="13">
    <w:nsid w:val="2443A858"/>
    <w:multiLevelType w:val="hybridMultilevel"/>
    <w:lvl w:ilvl="0">
      <w:lvlJc w:val="left"/>
      <w:lvlText w:val="*"/>
      <w:numFmt w:val="bullet"/>
      <w:start w:val="1"/>
    </w:lvl>
  </w:abstractNum>
  <w:abstractNum w:abstractNumId="14">
    <w:nsid w:val="2D1D5AE9"/>
    <w:multiLevelType w:val="hybridMultilevel"/>
    <w:lvl w:ilvl="0">
      <w:lvlJc w:val="left"/>
      <w:lvlText w:val="*"/>
      <w:numFmt w:val="bullet"/>
      <w:start w:val="1"/>
    </w:lvl>
  </w:abstractNum>
  <w:abstractNum w:abstractNumId="15">
    <w:nsid w:val="6763845E"/>
    <w:multiLevelType w:val="hybridMultilevel"/>
    <w:lvl w:ilvl="0">
      <w:lvlJc w:val="left"/>
      <w:lvlText w:val="(%1)"/>
      <w:numFmt w:val="decimal"/>
      <w:start w:val="1"/>
    </w:lvl>
  </w:abstractNum>
  <w:abstractNum w:abstractNumId="16">
    <w:nsid w:val="75A2A8D4"/>
    <w:multiLevelType w:val="hybridMultilevel"/>
    <w:lvl w:ilvl="0">
      <w:lvlJc w:val="left"/>
      <w:lvlText w:val="•"/>
      <w:numFmt w:val="bullet"/>
      <w:start w:val="1"/>
    </w:lvl>
  </w:abstractNum>
  <w:abstractNum w:abstractNumId="17">
    <w:nsid w:val="8EDBDAB"/>
    <w:multiLevelType w:val="hybridMultilevel"/>
    <w:lvl w:ilvl="0">
      <w:lvlJc w:val="left"/>
      <w:lvlText w:val="•"/>
      <w:numFmt w:val="bullet"/>
      <w:start w:val="1"/>
    </w:lvl>
  </w:abstractNum>
  <w:abstractNum w:abstractNumId="18">
    <w:nsid w:val="79838CB2"/>
    <w:multiLevelType w:val="hybridMultilevel"/>
    <w:lvl w:ilvl="0">
      <w:lvlJc w:val="left"/>
      <w:lvlText w:val="(%1)"/>
      <w:numFmt w:val="decimal"/>
      <w:start w:val="1"/>
    </w:lvl>
  </w:abstractNum>
  <w:abstractNum w:abstractNumId="19">
    <w:nsid w:val="4353D0CD"/>
    <w:multiLevelType w:val="hybridMultilevel"/>
    <w:lvl w:ilvl="0">
      <w:lvlJc w:val="left"/>
      <w:lvlText w:val="(%1)"/>
      <w:numFmt w:val="decimal"/>
      <w:start w:val="3"/>
    </w:lvl>
  </w:abstractNum>
  <w:abstractNum w:abstractNumId="20">
    <w:nsid w:val="B03E0C6"/>
    <w:multiLevelType w:val="hybridMultilevel"/>
    <w:lvl w:ilvl="0">
      <w:lvlJc w:val="left"/>
      <w:lvlText w:val="%1."/>
      <w:numFmt w:val="decimal"/>
      <w:start w:val="1"/>
    </w:lvl>
  </w:abstractNum>
  <w:abstractNum w:abstractNumId="21">
    <w:nsid w:val="189A769B"/>
    <w:multiLevelType w:val="hybridMultilevel"/>
    <w:lvl w:ilvl="0">
      <w:lvlJc w:val="left"/>
      <w:lvlText w:val="(%1)"/>
      <w:numFmt w:val="decimal"/>
      <w:start w:val="1"/>
    </w:lvl>
  </w:abstractNum>
  <w:abstractNum w:abstractNumId="22">
    <w:nsid w:val="54E49EB4"/>
    <w:multiLevelType w:val="hybridMultilevel"/>
    <w:lvl w:ilvl="0">
      <w:lvlJc w:val="left"/>
      <w:lvlText w:val="(%1)"/>
      <w:numFmt w:val="decimal"/>
      <w:start w:val="1"/>
    </w:lvl>
  </w:abstractNum>
  <w:abstractNum w:abstractNumId="23">
    <w:nsid w:val="71F32454"/>
    <w:multiLevelType w:val="hybridMultilevel"/>
    <w:lvl w:ilvl="0">
      <w:lvlJc w:val="left"/>
      <w:lvlText w:val="(%1)"/>
      <w:numFmt w:val="decimal"/>
      <w:start w:val="1"/>
    </w:lvl>
  </w:abstractNum>
  <w:abstractNum w:abstractNumId="24">
    <w:nsid w:val="2CA88611"/>
    <w:multiLevelType w:val="hybridMultilevel"/>
    <w:lvl w:ilvl="0">
      <w:lvlJc w:val="left"/>
      <w:lvlText w:val="(%1)"/>
      <w:numFmt w:val="decimal"/>
      <w:start w:val="1"/>
    </w:lvl>
  </w:abstractNum>
  <w:abstractNum w:abstractNumId="25">
    <w:nsid w:val="836C40E"/>
    <w:multiLevelType w:val="hybridMultilevel"/>
    <w:lvl w:ilvl="0">
      <w:lvlJc w:val="left"/>
      <w:lvlText w:val="(%1)"/>
      <w:numFmt w:val="decimal"/>
      <w:start w:val="1"/>
    </w:lvl>
  </w:abstractNum>
  <w:abstractNum w:abstractNumId="26">
    <w:nsid w:val="2901D82"/>
    <w:multiLevelType w:val="hybridMultilevel"/>
    <w:lvl w:ilvl="0">
      <w:lvlJc w:val="left"/>
      <w:lvlText w:val="*"/>
      <w:numFmt w:val="bullet"/>
      <w:start w:val="1"/>
    </w:lvl>
  </w:abstractNum>
  <w:abstractNum w:abstractNumId="27">
    <w:nsid w:val="3A95F874"/>
    <w:multiLevelType w:val="hybridMultilevel"/>
    <w:lvl w:ilvl="0">
      <w:lvlJc w:val="left"/>
      <w:lvlText w:val="%1."/>
      <w:numFmt w:val="decimal"/>
      <w:start w:val="1"/>
    </w:lvl>
    <w:lvl w:ilvl="1">
      <w:lvlJc w:val="left"/>
      <w:lvlText w:val="%2)"/>
      <w:numFmt w:val="lowerLetter"/>
      <w:start w:val="1"/>
    </w:lvl>
  </w:abstractNum>
  <w:abstractNum w:abstractNumId="28">
    <w:nsid w:val="8138641"/>
    <w:multiLevelType w:val="hybridMultilevel"/>
    <w:lvl w:ilvl="0">
      <w:lvlJc w:val="left"/>
      <w:lvlText w:val="%1."/>
      <w:numFmt w:val="decimal"/>
      <w:start w:val="1"/>
    </w:lvl>
    <w:lvl w:ilvl="1">
      <w:lvlJc w:val="left"/>
      <w:lvlText w:val="%2)"/>
      <w:numFmt w:val="lowerLetter"/>
      <w:start w:val="1"/>
    </w:lvl>
  </w:abstractNum>
  <w:abstractNum w:abstractNumId="29">
    <w:nsid w:val="1E7FF521"/>
    <w:multiLevelType w:val="hybridMultilevel"/>
    <w:lvl w:ilvl="0">
      <w:lvlJc w:val="left"/>
      <w:lvlText w:val="(%1)"/>
      <w:numFmt w:val="decimal"/>
      <w:start w:val="1"/>
    </w:lvl>
  </w:abstractNum>
  <w:abstractNum w:abstractNumId="30">
    <w:nsid w:val="7C3DBD3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82" Type="http://schemas.openxmlformats.org/officeDocument/2006/relationships/image" Target="media/image71.png"/><Relationship Id="rId83" Type="http://schemas.openxmlformats.org/officeDocument/2006/relationships/image" Target="media/image72.png"/><Relationship Id="rId84" Type="http://schemas.openxmlformats.org/officeDocument/2006/relationships/image" Target="media/image73.png"/><Relationship Id="rId85" Type="http://schemas.openxmlformats.org/officeDocument/2006/relationships/image" Target="media/image74.png"/><Relationship Id="rId86" Type="http://schemas.openxmlformats.org/officeDocument/2006/relationships/image" Target="media/image75.png"/><Relationship Id="rId87" Type="http://schemas.openxmlformats.org/officeDocument/2006/relationships/image" Target="media/image76.png"/><Relationship Id="rId88" Type="http://schemas.openxmlformats.org/officeDocument/2006/relationships/image" Target="media/image77.png"/><Relationship Id="rId89" Type="http://schemas.openxmlformats.org/officeDocument/2006/relationships/image" Target="media/image78.png"/><Relationship Id="rId78" Type="http://schemas.openxmlformats.org/officeDocument/2006/relationships/hyperlink" Target="http://www.sec.gov/Archives/edgar/data/1504619/000119312511080862/dex99a.htm" TargetMode="External"/><Relationship Id="rId79" Type="http://schemas.openxmlformats.org/officeDocument/2006/relationships/hyperlink" Target="http://www.sec.gov/Archives/edgar/data/1504619/000119312515393212/d59576dex31.htm" TargetMode="External"/><Relationship Id="rId80" Type="http://schemas.openxmlformats.org/officeDocument/2006/relationships/hyperlink" Target="http://www.sec.gov/Archives/edgar/data/1504619/000119312511088977/dex99d.htm" TargetMode="External"/><Relationship Id="rId81" Type="http://schemas.openxmlformats.org/officeDocument/2006/relationships/hyperlink" Target="http://www.sec.gov/Archives/edgar/data/1504619/000150461911000050/pfltprivacypolicy0930201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2020-05-05T12:11:33Z</dcterms:created>
  <dcterms:modified xsi:type="dcterms:W3CDTF">2020-05-05T12:11:33Z</dcterms:modified>
</cp:coreProperties>
</file>