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07,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May 7, 2015, PennantPark Floating Rate Capital Ltd. issued a press release announcing financial results for the second fiscal quarter ended March 31, 2015.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ind w:right="10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May 07,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07, 2015</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May 07,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spacing w:after="0" w:line="9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March 31, 2015</w:t>
      </w:r>
    </w:p>
    <w:p>
      <w:pPr>
        <w:spacing w:after="0" w:line="212"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NEW YORK, NY -- (Marketwired - May 07, 2015) - PennantPark Floating Rate Capital Ltd. (NASDAQ: PFLT) announced today financial results for the second fiscal quarter ended March 31, 2015.</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March 31, 2015</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335.5</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213.0</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14.30</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(cost $117.3)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117.6</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8.4%</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gain incentive fee accrued per share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0.32</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0.275</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38.4</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48.0</w:t>
            </w:r>
          </w:p>
        </w:tc>
      </w:tr>
      <w:tr>
        <w:trPr>
          <w:trHeight w:val="405"/>
        </w:trPr>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1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1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w:t>
            </w:r>
          </w:p>
        </w:tc>
        <w:tc>
          <w:tcPr>
            <w:tcW w:w="11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w:t>
            </w:r>
          </w:p>
        </w:tc>
      </w:tr>
    </w:tbl>
    <w:p>
      <w:pPr>
        <w:spacing w:after="0" w:line="399" w:lineRule="exact"/>
        <w:rPr>
          <w:sz w:val="20"/>
          <w:szCs w:val="20"/>
          <w:color w:val="auto"/>
        </w:rPr>
      </w:pPr>
    </w:p>
    <w:p>
      <w:pPr>
        <w:ind w:right="60" w:firstLine="8"/>
        <w:spacing w:after="0" w:line="236"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Core net investment income is a non-GAAP financial measure. The Company believes that core net investment income provides useful information to investors and management because it reflects the Company's financial performance excluding the charges related to incentive fee on net unrealized gains accrued under GAAP but not payable unless such net unrealized gains are realized. The presentation of this additional information is not meant to be considered in isolation or as a substitute for financial results prepared in accordance with GAAP.</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8, 2015</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May 8, 2015 to discuss its financial results. All interested parties are welcome to participate. You can access the conference call by dialing (888) 510-1786 approximately 5-10 minutes prior to the call. International callers should dial (719)</w:t>
      </w:r>
    </w:p>
    <w:p>
      <w:pPr>
        <w:spacing w:after="0" w:line="1" w:lineRule="exact"/>
        <w:rPr>
          <w:sz w:val="20"/>
          <w:szCs w:val="20"/>
          <w:color w:val="auto"/>
        </w:rPr>
      </w:pPr>
    </w:p>
    <w:p>
      <w:pPr>
        <w:ind w:right="200"/>
        <w:spacing w:after="0" w:line="234" w:lineRule="auto"/>
        <w:rPr>
          <w:sz w:val="20"/>
          <w:szCs w:val="20"/>
          <w:color w:val="auto"/>
        </w:rPr>
      </w:pPr>
      <w:r>
        <w:rPr>
          <w:rFonts w:ascii="Arial" w:cs="Arial" w:eastAsia="Arial" w:hAnsi="Arial"/>
          <w:sz w:val="22"/>
          <w:szCs w:val="22"/>
          <w:color w:val="auto"/>
        </w:rPr>
        <w:t>325-2429. All callers should reference PennantPark Floating Rate Capital Ltd. An archived replay of the call will be available through May 22, 2015 by calling (888) 203-1112. International callers please dial (719) 457-0820. For all phone replays, please reference conference ID #7032069.</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As of March 31, 2015, our portfolio totaled $335.5 million and consisted of $277.6 million of senior secured loans, $49.0 million of second lien secured debt and $8.9 million of subordinated debt, preferred and common equity. Our debt portfolio consisted of 95% variable-rate investments (including 91% with a London Interbank Offered Rate, or LIBOR, or prime floor) and 5% fixed-rate investments. Overall, the portfolio had net unrealized depreciation of $4.0 million. Our overall portfolio consisted of 71 companies with an average investment size of $4.7 million, had a weighted average yield on debt investments of 8.4%, and was invested 83% in senior secured loans, 14% in second lien secured debt and 3% in subordinated debt, preferred and common equity.</w:t>
      </w:r>
    </w:p>
    <w:p>
      <w:pPr>
        <w:spacing w:after="0" w:line="191"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As of September 30, 2014, our portfolio totaled $348.4 million and consisted of $302.5 million of senior secured loans, $36.5 million of second lien secured debt and $9.4 million of subordinated debt, preferred and common equity. Our debt portfolio consisted of 95% variable-rate investments (including 92% with a LIBOR, or prime floor) and 5% fixed-rate investments. As of September 30, 2014, we had one non-accrual debt investment, representing 0.6% of our overall portfolio on a cost basis. Overall, the portfolio had net unrealized appreciation of $0.1 million. Our overall portfolio consisted of 72 companies with an average investment size of $4.8 million, had a weighted average yield on debt investments of 8.2%, and was invested 87% in senior secured loans, 10% in second lien secured debt and 3% in subordinated debt, preferred and common equity.</w:t>
      </w:r>
    </w:p>
    <w:p>
      <w:pPr>
        <w:spacing w:after="0" w:line="152"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For the three months ended March 31, 2015, we invested $38.4 million in six new and nine existing portfolio companies with a weighted average yield on debt investments of 7.1%. Sales and repayments of investments for the three months ended March 31, 2015 totaled $48.0 million. For the six months ended March 31, 2015, we invested $85.4 million in 14 new and 14 existing portfolio companies with a weighted average yield on debt investments of 8.0%. Sales and repayments of investments for the six months ended March 31, 2015 totaled $92.9 million.</w:t>
      </w:r>
    </w:p>
    <w:p>
      <w:pPr>
        <w:sectPr>
          <w:pgSz w:w="11900" w:h="16934" w:orient="portrait"/>
          <w:cols w:equalWidth="0" w:num="1">
            <w:col w:w="11240"/>
          </w:cols>
          <w:pgMar w:left="320" w:top="111" w:right="339" w:bottom="0" w:gutter="0" w:footer="0" w:header="0"/>
        </w:sectPr>
      </w:pPr>
    </w:p>
    <w:bookmarkStart w:id="3" w:name="page4"/>
    <w:bookmarkEnd w:id="3"/>
    <w:p>
      <w:pPr>
        <w:ind w:right="80"/>
        <w:spacing w:after="0" w:line="249" w:lineRule="auto"/>
        <w:rPr>
          <w:sz w:val="20"/>
          <w:szCs w:val="20"/>
          <w:color w:val="auto"/>
        </w:rPr>
      </w:pPr>
      <w:r>
        <w:rPr>
          <w:rFonts w:ascii="Arial" w:cs="Arial" w:eastAsia="Arial" w:hAnsi="Arial"/>
          <w:sz w:val="21"/>
          <w:szCs w:val="21"/>
          <w:color w:val="auto"/>
        </w:rPr>
        <w:t>For the three months ended March 31, 2014, we invested $50.4 million in eight new and seven existing portfolio companies with a weighted average yield on debt investments of 8.3%. Sales and repayments of investments for the three months ended March 31, 2014 totaled $35.7 million. For the six months ended March 31, 2014, we invested $154.3 million in 25 new and 18 existing portfolio companies with a weighted average yield on debt investments of 7.9%. Sales and repayments of investments for the six months ended March 31, 2014 totaled $91.2 million.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2015 and 2014.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Investment income for the three and six months ended March 31, 2015 was $8.0 million and $15.5 million, respectively, and was attributable to $6.2 million and $12.0 million from senior secured loans and $1.8 million and $3.5 million from second lien secured debt and subordinated debt. This compares to investment income for the three and six months ended March 31, 2014, which was $7.6 million and $14.5 million, respectively, and was attributable to $6.3 million and $11.8 million from senior secured loans and $1.3 million and $2.7 million from second lien secured debt and subordinated debt. The increase in investment income compared to the same periods over the prior year was primarily due to a higher yielding portfolio.</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Expenses for the three and six months ended March 31, 2015 totaled $3.5 million and $5.5 million, respectively. Base management fee for the same periods totaled $0.9 million and $1.7 million, incentive fee totaled $1.3 million (including zero on net realized gains and $0.3 million on net unrealized gains accrued but not payable) and $1.0 million (including $(0.4) million on net realized gains and $(0.3) million on net unrealized gains accrued but not payable), our senior secured revolving credit facility, as amended, or the Credit Facility, expenses totaled $0.8 million and $1.7 million, general and administrative expenses totaled $0.4 million and $0.9 million and excise taxes were $0.1 million and $0.2 million, respectively. This compares to expenses for the three and six months ended March 31, 2014, which totaled $3.9 million and $7.5 million, respectively. Base management fee for the same periods totaled $1.0 million and $1.8 million, incentive fee totaled $1.4 million (including $0.3 million on net realized gains and $0.4 million on net unrealized gains accrued but not payable) and $2.1 million (including $0.7 million on net realized gains and $0.6 million on net unrealized gains accrued but not payable), Credit Facility expenses totaled $1.0 million and $2.4 million (including $0.7 million of Credit Facility amendment expenses), general and administrative expenses totaled $0.4 million and $1.0 million and excise taxes were $0.1 million and $0.2 million, respectively. The decrease in expenses compared to the same periods in the prior year was primarily due to a reduction in the accrual of incentive fees on realized and unrealized gains on the portfolio and the absence of Credit Facility amendment fees in the current period.</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Net investment income totaled $4.5 million and $9.9 million, or $0.30 and $0.67 per share, for the three and six months ended March 31, 2015, respectively. Core net investment income, a non-GAAP financial measure, totaled $4.7 million and $9.6 million, or $0.32 and $0.65 per share, for the three and six months ended March 31, 2015, respectively. Net investment income totaled $3.7 million and $7.0 million, or $0.25 and $0.47 per share, for the three and six months ended March 31, 2014, respectively. Core net investment income totaled $4.1 million and $8.2 million, or $0.28 and $0.55 per share, for the three and six months ended March 31, 2014, respectively. The increase in net investment income compared to the same periods in the prior year was due to a higher yielding portfolio, reduction in incentive fees on net realized and net unrealized gains on the portfolio and the absence of amendment fees in the current period on our Credit Facility.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Sales and repayments of investments for the three and six months ended March 31, 2015 totaled $48.0 million and $92.9 million and net realized gains totaled $0.6 million and $0.4 million, respectively. Sales and repayments of investments totaled $35.7 million and $91.2 million and realized gains totaled $0.5 million and $1.1 million for the three and six months ended March 31, 2014, respectively. The change in realized gains compared to the same periods in the prior year was primarily driven by changes in market conditions for our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300"/>
        <w:spacing w:after="0" w:line="248" w:lineRule="auto"/>
        <w:rPr>
          <w:sz w:val="20"/>
          <w:szCs w:val="20"/>
          <w:color w:val="auto"/>
        </w:rPr>
      </w:pPr>
      <w:r>
        <w:rPr>
          <w:rFonts w:ascii="Arial" w:cs="Arial" w:eastAsia="Arial" w:hAnsi="Arial"/>
          <w:sz w:val="21"/>
          <w:szCs w:val="21"/>
          <w:color w:val="auto"/>
        </w:rPr>
        <w:t>For the three and six months ended March 31, 2015, we reported net unrealized appreciation (depreciation) on investments of $0.9 million and $(4.0) million, respectively. For the three and six months ended March 31, 2014, we reported net unrealized appreciation on investments of $3.0 million and $5.3 million, respectively. As of March 31, 2015 and September 30, 2014, net unrealized (depreciation) appreciation on investments totaled $(4.0) million and $0.1 million, respectively. The change in net unrealized appreciation (depreciation) compared to the same periods in the prior year was primarily the result of the overall variation in the leveraged finance markets.</w:t>
      </w:r>
    </w:p>
    <w:p>
      <w:pPr>
        <w:spacing w:after="0" w:line="177"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For the three and six months ended March 31, 2015, our Credit Facility had an unrealized appreciation of $0.2 million and $0.3 million, respectively. For each of the three and six months ended March 31, 2014, our Credit Facility had an unrealized appreciation of zero. As of March 31, 2015 and September 30, 2014, net unrealized appreciation on our Credit Facility totaled $0.3 million and $0.5 million, respectively. The change in net unrealized appreciation compared to the same period in the prior year was primarily due to changes in the capital markets.</w:t>
      </w:r>
    </w:p>
    <w:p>
      <w:pPr>
        <w:sectPr>
          <w:pgSz w:w="11900" w:h="16838" w:orient="portrait"/>
          <w:cols w:equalWidth="0" w:num="1">
            <w:col w:w="11220"/>
          </w:cols>
          <w:pgMar w:left="320" w:top="118" w:right="35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3"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Net change in net assets resulting from operations totaled $6.1 million and $6.6 million, or $0.41 and $0.44 per share, respectively, for the three and six months ended March 31, 2015. This compares to a net change in net assets resulting from operations which totaled $7.2 million and $13.3 million, or $0.49 and $0.89 per share, respectively, for the three and six months ended March 31, 2014. The decrease in the net change in nets assets from operations compared to the same period in the prior year is due to lower net realized and unrealized gains partially offset by higher net investment income.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As of March 31, 2015 and September 30, 2014, we had $117.3 million and $146.4 million of outstanding borrowings under the Credit Facility, respectively, and carried an interest rate of 2.18% and 2.16%, respectively, excluding the 0.50% and 0.375% undrawn commitment fee, respectively. The annualized weighted average cost of debt for the six months ended March 31, 2015 and 2014, inclusive of the fee on the undrawn commitment on the Credit Facility but excluding amendment costs, was 2.46% and 2.39%, respectively.</w:t>
      </w:r>
    </w:p>
    <w:p>
      <w:pPr>
        <w:spacing w:after="0" w:line="187" w:lineRule="exact"/>
        <w:rPr>
          <w:sz w:val="20"/>
          <w:szCs w:val="20"/>
          <w:color w:val="auto"/>
        </w:rPr>
      </w:pPr>
    </w:p>
    <w:p>
      <w:pPr>
        <w:jc w:val="both"/>
        <w:ind w:right="900"/>
        <w:spacing w:after="0" w:line="328" w:lineRule="auto"/>
        <w:rPr>
          <w:sz w:val="20"/>
          <w:szCs w:val="20"/>
          <w:color w:val="auto"/>
        </w:rPr>
      </w:pPr>
      <w:r>
        <w:rPr>
          <w:rFonts w:ascii="Arial" w:cs="Arial" w:eastAsia="Arial" w:hAnsi="Arial"/>
          <w:sz w:val="19"/>
          <w:szCs w:val="19"/>
          <w:color w:val="auto"/>
        </w:rPr>
        <w:t>As of March 31, 2015 and September 30, 2014, we had $82.7 million and $53.6 million of unused borrowing capacity, respectively, subject to the regulatory restrictions that the 1940 Act imposes on us as a business development company.</w:t>
      </w:r>
    </w:p>
    <w:p>
      <w:pPr>
        <w:spacing w:after="0" w:line="105"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On March 31, 2015 and September 30, 2014, we had cash equivalents of $9.8 million and $13.1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ind w:right="280"/>
        <w:spacing w:after="0" w:line="297" w:lineRule="auto"/>
        <w:rPr>
          <w:sz w:val="20"/>
          <w:szCs w:val="20"/>
          <w:color w:val="auto"/>
        </w:rPr>
      </w:pPr>
      <w:r>
        <w:rPr>
          <w:rFonts w:ascii="Arial" w:cs="Arial" w:eastAsia="Arial" w:hAnsi="Arial"/>
          <w:sz w:val="19"/>
          <w:szCs w:val="19"/>
          <w:color w:val="auto"/>
        </w:rPr>
        <w:t>Our operating activities provided cash of $33.9 million for the six months ended March 31, 2015, and our financing activities used cash of $37.1 million for the same period. Our operating activities provided cash primarily from sales and repayments on our investment activities and our financing activities used cash primarily from net repayments under the Credit Facility.</w:t>
      </w:r>
    </w:p>
    <w:p>
      <w:pPr>
        <w:spacing w:after="0" w:line="134" w:lineRule="exact"/>
        <w:rPr>
          <w:sz w:val="20"/>
          <w:szCs w:val="20"/>
          <w:color w:val="auto"/>
        </w:rPr>
      </w:pPr>
    </w:p>
    <w:p>
      <w:pPr>
        <w:ind w:right="60"/>
        <w:spacing w:after="0"/>
        <w:rPr>
          <w:sz w:val="20"/>
          <w:szCs w:val="20"/>
          <w:color w:val="auto"/>
        </w:rPr>
      </w:pPr>
      <w:r>
        <w:rPr>
          <w:rFonts w:ascii="Arial" w:cs="Arial" w:eastAsia="Arial" w:hAnsi="Arial"/>
          <w:sz w:val="22"/>
          <w:szCs w:val="22"/>
          <w:color w:val="auto"/>
        </w:rPr>
        <w:t>Our operating activities used cash of $65.1 million for the six months ended March 31, 2014, and our financing activities provided cash of $65.6 million for the same period. Our operating activities used cash primarily for our investment activities and our financing activities provided cash primarily from net draws under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On April 29, 2015, PennantPark Floating Rate Capital Ltd. and MCG Capital Corporation (NASDAQ: MCGC) announced that they have entered into a definitive agreement under which PennantPark Floating Rate Capital Ltd. will acquire MCGC in a stock and cash transaction valued at approximately $175 million, or approximately $4.75 per MCGC share at closing. MCG stockholders will have the right to receive, per each share of MCG common stock, a number of shares of PennantPark Floating Rate Capital Ltd. common shares equal to $4.521 and $0.226 in cash (subject to an upward adjustment). The Boards of Directors of both companies have each unanimously approved the transaction. Consummation of the acquisition is subject to approval of both PennantPark Floating Rate Capital Ltd. and MCGC stockholders and other customary closing conditions. The transaction is expected to close during the third calendar quarter of 2015.</w:t>
      </w:r>
    </w:p>
    <w:p>
      <w:pPr>
        <w:spacing w:after="0" w:line="157"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We believe this transaction presents a unique opportunity for value creation for both PennantPark Floating Rate Capital Ltd. and MCGC stockholders. This transaction creates a larger middle-market senior floating rate capital provider with greater market coverage, access to capital, scale and diversification. We believe that our diversified portfolio composition and lending track record throughout various business cycles have positioned us to deliver value for our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During the three and six months ended March 31, 2015, we declared distributions of $0.275 and $0.545 per share, respectively, for total distributions of $4.1 million and $8.1 million, respectively. For the same periods in the prior year, we declared distributions of $0.270 and $0.540 per share, respectively, for total distributions of $4.0 million and $8.0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distributions will be reported to stockholders on Form 1099-DIV after the end of the calendar year and in our periodic reports filed with the Securities and Exchange Commission, or the SEC.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ectPr>
          <w:pgSz w:w="11900" w:h="16838" w:orient="portrait"/>
          <w:cols w:equalWidth="0" w:num="1">
            <w:col w:w="11200"/>
          </w:cols>
          <w:pgMar w:left="320" w:top="112" w:right="379" w:bottom="0" w:gutter="0" w:footer="0" w:header="0"/>
        </w:sectPr>
      </w:pPr>
    </w:p>
    <w:bookmarkStart w:id="5" w:name="page6"/>
    <w:bookmarkEnd w:id="5"/>
    <w:p>
      <w:pPr>
        <w:jc w:val="center"/>
        <w:ind w:right="2219"/>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2219"/>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March 31,</w:t>
            </w:r>
          </w:p>
        </w:tc>
        <w:tc>
          <w:tcPr>
            <w:tcW w:w="15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September 30,</w:t>
            </w:r>
          </w:p>
        </w:tc>
      </w:tr>
      <w:tr>
        <w:trPr>
          <w:trHeight w:val="203"/>
        </w:trPr>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2015</w:t>
            </w:r>
          </w:p>
        </w:tc>
        <w:tc>
          <w:tcPr>
            <w:tcW w:w="22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3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(cost - $339,492,784 and $348,354,295,</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$ 335,524,541</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$ 348,428,492</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9,835,853</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13,113,817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1,932,850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1,773,870</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6,501,875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9,001,938</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578,689</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556,359</w:t>
            </w:r>
          </w:p>
        </w:tc>
      </w:tr>
      <w:tr>
        <w:trPr>
          <w:trHeight w:val="203"/>
        </w:trPr>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354,373,808</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372,874,476</w:t>
            </w:r>
          </w:p>
        </w:tc>
      </w:tr>
      <w:tr>
        <w:trPr>
          <w:trHeight w:val="203"/>
        </w:trPr>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1,415,315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1,340,825</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19,539,850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3,162,000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2,705,882</w:t>
            </w:r>
          </w:p>
        </w:tc>
      </w:tr>
      <w:tr>
        <w:trPr>
          <w:trHeight w:val="203"/>
        </w:trPr>
        <w:tc>
          <w:tcPr>
            <w:tcW w:w="5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Credit Facility payable (cost - $117,300,000</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and $146,400,000, respectively)</w:t>
            </w: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117,593,250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146,949,000</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263,845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284,906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851,176</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914,978</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Performance-based incentive fee payable</w:t>
            </w:r>
          </w:p>
        </w:tc>
        <w:tc>
          <w:tcPr>
            <w:tcW w:w="1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1,475,644</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2,180,604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263,770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808,571</w:t>
            </w:r>
          </w:p>
        </w:tc>
      </w:tr>
      <w:tr>
        <w:trPr>
          <w:trHeight w:val="203"/>
        </w:trPr>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141,402,850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158,346,766</w:t>
            </w:r>
          </w:p>
        </w:tc>
      </w:tr>
      <w:tr>
        <w:trPr>
          <w:trHeight w:val="203"/>
        </w:trPr>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Common stock, 14,898,056 shares issued and</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Par value $0.001 per share and 100,000,000</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14,898</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14,898</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207,226,615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207,226,615</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1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6,683,175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4,878,091</w:t>
            </w:r>
          </w:p>
        </w:tc>
      </w:tr>
      <w:tr>
        <w:trPr>
          <w:trHeight w:val="203"/>
        </w:trPr>
        <w:tc>
          <w:tcPr>
            <w:tcW w:w="5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Accumulated net realized gain on investments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3,307,763</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2,882,909</w:t>
            </w:r>
          </w:p>
        </w:tc>
      </w:tr>
      <w:tr>
        <w:trPr>
          <w:trHeight w:val="203"/>
        </w:trPr>
        <w:tc>
          <w:tcPr>
            <w:tcW w:w="5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(depreciation) appreciation on</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0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(3,968,243)</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74,197</w:t>
            </w:r>
          </w:p>
        </w:tc>
      </w:tr>
      <w:tr>
        <w:trPr>
          <w:trHeight w:val="203"/>
        </w:trPr>
        <w:tc>
          <w:tcPr>
            <w:tcW w:w="5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appreciation on Credit Facility</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(293,250)</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(549,000)</w:t>
            </w:r>
          </w:p>
        </w:tc>
      </w:tr>
      <w:tr>
        <w:trPr>
          <w:trHeight w:val="203"/>
        </w:trPr>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$ 212,970,958</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$ 214,527,710</w:t>
            </w:r>
          </w:p>
        </w:tc>
      </w:tr>
      <w:tr>
        <w:trPr>
          <w:trHeight w:val="202"/>
        </w:trPr>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1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$ 354,373,808</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$ 372,874,476</w:t>
            </w:r>
          </w:p>
        </w:tc>
      </w:tr>
      <w:tr>
        <w:trPr>
          <w:trHeight w:val="203"/>
        </w:trPr>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14.40</w:t>
            </w:r>
          </w:p>
        </w:tc>
      </w:tr>
      <w:tr>
        <w:trPr>
          <w:trHeight w:val="203"/>
        </w:trPr>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8020" w:type="dxa"/>
            <w:vAlign w:val="bottom"/>
            <w:gridSpan w:val="6"/>
          </w:tcPr>
          <w:p>
            <w:pPr>
              <w:jc w:val="center"/>
              <w:ind w:left="32"/>
              <w:spacing w:after="0"/>
              <w:rPr>
                <w:sz w:val="20"/>
                <w:szCs w:val="20"/>
                <w:color w:val="auto"/>
              </w:rPr>
            </w:pPr>
            <w:r>
              <w:rPr>
                <w:rFonts w:ascii="Courier New" w:cs="Courier New" w:eastAsia="Courier New" w:hAnsi="Courier New"/>
                <w:sz w:val="18"/>
                <w:szCs w:val="18"/>
                <w:color w:val="auto"/>
                <w:w w:val="97"/>
              </w:rPr>
              <w:t>PENNANTPARK FLOATING RATE CAPITAL LTD. AND SUBSIDIARY</w:t>
            </w:r>
          </w:p>
        </w:tc>
      </w:tr>
      <w:tr>
        <w:trPr>
          <w:trHeight w:val="203"/>
        </w:trPr>
        <w:tc>
          <w:tcPr>
            <w:tcW w:w="6480" w:type="dxa"/>
            <w:vAlign w:val="bottom"/>
            <w:gridSpan w:val="4"/>
          </w:tcPr>
          <w:p>
            <w:pPr>
              <w:jc w:val="center"/>
              <w:ind w:left="157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252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860" w:type="dxa"/>
            <w:vAlign w:val="bottom"/>
          </w:tcPr>
          <w:p>
            <w:pPr>
              <w:spacing w:after="0"/>
              <w:rPr>
                <w:sz w:val="24"/>
                <w:szCs w:val="24"/>
                <w:color w:val="auto"/>
              </w:rPr>
            </w:pPr>
          </w:p>
        </w:tc>
        <w:tc>
          <w:tcPr>
            <w:tcW w:w="25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c>
          <w:tcPr>
            <w:tcW w:w="2640" w:type="dxa"/>
            <w:vAlign w:val="bottom"/>
            <w:gridSpan w:val="3"/>
          </w:tcPr>
          <w:p>
            <w:pPr>
              <w:jc w:val="right"/>
              <w:ind w:right="3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860" w:type="dxa"/>
            <w:vAlign w:val="bottom"/>
          </w:tcPr>
          <w:p>
            <w:pPr>
              <w:spacing w:after="0"/>
              <w:rPr>
                <w:sz w:val="17"/>
                <w:szCs w:val="17"/>
                <w:color w:val="auto"/>
              </w:rPr>
            </w:pPr>
          </w:p>
        </w:tc>
        <w:tc>
          <w:tcPr>
            <w:tcW w:w="25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March 31,</w:t>
            </w:r>
          </w:p>
        </w:tc>
        <w:tc>
          <w:tcPr>
            <w:tcW w:w="26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2860" w:type="dxa"/>
            <w:vAlign w:val="bottom"/>
          </w:tcPr>
          <w:p>
            <w:pPr>
              <w:spacing w:after="0"/>
              <w:rPr>
                <w:sz w:val="17"/>
                <w:szCs w:val="17"/>
                <w:color w:val="auto"/>
              </w:rPr>
            </w:pPr>
          </w:p>
        </w:tc>
        <w:tc>
          <w:tcPr>
            <w:tcW w:w="51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286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2015</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2015</w:t>
            </w:r>
          </w:p>
        </w:tc>
        <w:tc>
          <w:tcPr>
            <w:tcW w:w="2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2860" w:type="dxa"/>
            <w:vAlign w:val="bottom"/>
          </w:tcPr>
          <w:p>
            <w:pPr>
              <w:spacing w:after="0"/>
              <w:rPr>
                <w:sz w:val="17"/>
                <w:szCs w:val="17"/>
                <w:color w:val="auto"/>
              </w:rPr>
            </w:pPr>
          </w:p>
        </w:tc>
        <w:tc>
          <w:tcPr>
            <w:tcW w:w="3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$ 7,067,400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$ 7,529,198</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$14,516,174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$14,283,445</w:t>
            </w:r>
          </w:p>
        </w:tc>
      </w:tr>
      <w:tr>
        <w:trPr>
          <w:trHeight w:val="202"/>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915,859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94,278</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943,805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183,924</w:t>
            </w:r>
          </w:p>
        </w:tc>
      </w:tr>
      <w:tr>
        <w:trPr>
          <w:trHeight w:val="202"/>
        </w:trPr>
        <w:tc>
          <w:tcPr>
            <w:tcW w:w="2860" w:type="dxa"/>
            <w:vAlign w:val="bottom"/>
          </w:tcPr>
          <w:p>
            <w:pPr>
              <w:spacing w:after="0"/>
              <w:rPr>
                <w:sz w:val="17"/>
                <w:szCs w:val="17"/>
                <w:color w:val="auto"/>
              </w:rPr>
            </w:pPr>
          </w:p>
        </w:tc>
        <w:tc>
          <w:tcPr>
            <w:tcW w:w="3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7,983,259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7,623,476</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15,459,979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14,467,369</w:t>
            </w:r>
          </w:p>
        </w:tc>
      </w:tr>
      <w:tr>
        <w:trPr>
          <w:trHeight w:val="203"/>
        </w:trPr>
        <w:tc>
          <w:tcPr>
            <w:tcW w:w="2860" w:type="dxa"/>
            <w:vAlign w:val="bottom"/>
          </w:tcPr>
          <w:p>
            <w:pPr>
              <w:spacing w:after="0"/>
              <w:rPr>
                <w:sz w:val="17"/>
                <w:szCs w:val="17"/>
                <w:color w:val="auto"/>
              </w:rPr>
            </w:pPr>
          </w:p>
        </w:tc>
        <w:tc>
          <w:tcPr>
            <w:tcW w:w="3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851,176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952,949</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1,734,546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1,834,752</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1,345,982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1,417,315</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1,031,925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2,100,465</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Credit Facility</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775,975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963,688</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1,661,733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1,700,125</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223,500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201,000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449,500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402,000</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ectPr>
          <w:pgSz w:w="11900" w:h="16838" w:orient="portrait"/>
          <w:cols w:equalWidth="0" w:num="1">
            <w:col w:w="10139"/>
          </w:cols>
          <w:pgMar w:left="320" w:top="339"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ind w:left="320"/>
              <w:spacing w:after="0"/>
              <w:rPr>
                <w:sz w:val="20"/>
                <w:szCs w:val="20"/>
                <w:color w:val="auto"/>
              </w:rPr>
            </w:pPr>
            <w:r>
              <w:rPr>
                <w:rFonts w:ascii="Courier New" w:cs="Courier New" w:eastAsia="Courier New" w:hAnsi="Courier New"/>
                <w:sz w:val="18"/>
                <w:szCs w:val="18"/>
                <w:color w:val="auto"/>
              </w:rPr>
              <w:t>administrative expenses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220,547</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234,014</w:t>
            </w:r>
          </w:p>
        </w:tc>
        <w:tc>
          <w:tcPr>
            <w:tcW w:w="140" w:type="dxa"/>
            <w:vAlign w:val="bottom"/>
          </w:tcPr>
          <w:p>
            <w:pPr>
              <w:spacing w:after="0"/>
              <w:rPr>
                <w:sz w:val="17"/>
                <w:szCs w:val="17"/>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437,750</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524,654</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excise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and amendment costs</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3,417,180</w:t>
            </w: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3,768,966</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5,315,454</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6,561,996</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Excise tax</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130,000</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220,000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240,000</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Credit Facility amendment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712,930</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3,527,180</w:t>
            </w: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3,898,966</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5,535,454</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7,514,926</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4,456,079</w:t>
            </w: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3,724,510</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9,924,525</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6,952,443</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gain (loss) on investments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Credit Facility:</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non-</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controlled, non-affiliated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598,843</w:t>
            </w: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482,797</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424,854</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1,076,854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854,690</w:t>
            </w: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3,029,990</w:t>
            </w: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(4,042,440)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5,264,781</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214,875</w:t>
            </w: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255,750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 Credit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1,069,565</w:t>
            </w: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3,029,990</w:t>
            </w: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(3,786,690)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5,264,781</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realized and unrealized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(loss) from</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1,668,408</w:t>
            </w: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3,512,787</w:t>
            </w: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(3,361,836)</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6,341,635</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$ 6,124,487</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$ 7,237,297</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$ 6,562,689</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$13,294,078</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0.49</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0.89</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0.25</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0.47</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ectPr>
          <w:pgSz w:w="11900" w:h="16838" w:orient="portrait"/>
          <w:cols w:equalWidth="0" w:num="1">
            <w:col w:w="11200"/>
          </w:cols>
          <w:pgMar w:left="320" w:top="136" w:right="379"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PennantPark Floating Rate Capital Ltd.</w:t>
      </w:r>
    </w:p>
    <w:p>
      <w:pPr>
        <w:sectPr>
          <w:pgSz w:w="11900" w:h="16838" w:orient="portrait"/>
          <w:cols w:equalWidth="0" w:num="1">
            <w:col w:w="11200"/>
          </w:cols>
          <w:pgMar w:left="320" w:top="136" w:right="379" w:bottom="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Reception: (212) 905-1000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2020-05-05T12:04:28Z</dcterms:created>
  <dcterms:modified xsi:type="dcterms:W3CDTF">2020-05-05T12:04:28Z</dcterms:modified>
</cp:coreProperties>
</file>