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8-A</w:t>
      </w:r>
    </w:p>
    <w:p>
      <w:pPr>
        <w:spacing w:after="0" w:line="200" w:lineRule="exact"/>
        <w:rPr>
          <w:sz w:val="24"/>
          <w:szCs w:val="24"/>
          <w:color w:val="auto"/>
        </w:rPr>
      </w:pPr>
    </w:p>
    <w:p>
      <w:pPr>
        <w:spacing w:after="0" w:line="207"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tbl>
      <w:tblPr>
        <w:tblLayout w:type="fixed"/>
        <w:tblInd w:w="1360" w:type="dxa"/>
        <w:tblCellMar>
          <w:top w:w="0" w:type="dxa"/>
          <w:left w:w="0" w:type="dxa"/>
          <w:bottom w:w="0" w:type="dxa"/>
          <w:right w:w="0" w:type="dxa"/>
        </w:tblCellMar>
      </w:tblPr>
      <w:tr>
        <w:trPr>
          <w:trHeight w:val="256"/>
        </w:trPr>
        <w:tc>
          <w:tcPr>
            <w:tcW w:w="5380" w:type="dxa"/>
            <w:vAlign w:val="bottom"/>
          </w:tcPr>
          <w:p>
            <w:pPr>
              <w:jc w:val="center"/>
              <w:ind w:right="999"/>
              <w:spacing w:after="0"/>
              <w:rPr>
                <w:sz w:val="20"/>
                <w:szCs w:val="20"/>
                <w:color w:val="auto"/>
              </w:rPr>
            </w:pPr>
            <w:r>
              <w:rPr>
                <w:rFonts w:ascii="Arial" w:cs="Arial" w:eastAsia="Arial" w:hAnsi="Arial"/>
                <w:sz w:val="22"/>
                <w:szCs w:val="22"/>
                <w:b w:val="1"/>
                <w:bCs w:val="1"/>
                <w:color w:val="auto"/>
                <w:w w:val="95"/>
              </w:rPr>
              <w:t>Maryland</w:t>
            </w:r>
          </w:p>
        </w:tc>
        <w:tc>
          <w:tcPr>
            <w:tcW w:w="3680" w:type="dxa"/>
            <w:vAlign w:val="bottom"/>
          </w:tcPr>
          <w:p>
            <w:pPr>
              <w:jc w:val="right"/>
              <w:ind w:right="681"/>
              <w:spacing w:after="0"/>
              <w:rPr>
                <w:sz w:val="20"/>
                <w:szCs w:val="20"/>
                <w:color w:val="auto"/>
              </w:rPr>
            </w:pPr>
            <w:r>
              <w:rPr>
                <w:rFonts w:ascii="Arial" w:cs="Arial" w:eastAsia="Arial" w:hAnsi="Arial"/>
                <w:sz w:val="22"/>
                <w:szCs w:val="22"/>
                <w:b w:val="1"/>
                <w:bCs w:val="1"/>
                <w:color w:val="auto"/>
              </w:rPr>
              <w:t>27-3794690</w:t>
            </w:r>
          </w:p>
        </w:tc>
      </w:tr>
      <w:tr>
        <w:trPr>
          <w:trHeight w:val="230"/>
        </w:trPr>
        <w:tc>
          <w:tcPr>
            <w:tcW w:w="5380" w:type="dxa"/>
            <w:vAlign w:val="bottom"/>
          </w:tcPr>
          <w:p>
            <w:pPr>
              <w:jc w:val="center"/>
              <w:ind w:right="979"/>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981"/>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5380" w:type="dxa"/>
            <w:vAlign w:val="bottom"/>
          </w:tcPr>
          <w:p>
            <w:pPr>
              <w:jc w:val="center"/>
              <w:ind w:right="979"/>
              <w:spacing w:after="0"/>
              <w:rPr>
                <w:sz w:val="20"/>
                <w:szCs w:val="20"/>
                <w:color w:val="auto"/>
              </w:rPr>
            </w:pPr>
            <w:r>
              <w:rPr>
                <w:rFonts w:ascii="Arial" w:cs="Arial" w:eastAsia="Arial" w:hAnsi="Arial"/>
                <w:sz w:val="22"/>
                <w:szCs w:val="22"/>
                <w:b w:val="1"/>
                <w:bCs w:val="1"/>
                <w:color w:val="auto"/>
                <w:w w:val="88"/>
              </w:rPr>
              <w:t>1691 Michigan Avenue</w:t>
            </w:r>
          </w:p>
        </w:tc>
        <w:tc>
          <w:tcPr>
            <w:tcW w:w="3680" w:type="dxa"/>
            <w:vAlign w:val="bottom"/>
          </w:tcPr>
          <w:p>
            <w:pPr>
              <w:spacing w:after="0"/>
              <w:rPr>
                <w:sz w:val="24"/>
                <w:szCs w:val="24"/>
                <w:color w:val="auto"/>
              </w:rPr>
            </w:pPr>
          </w:p>
        </w:tc>
      </w:tr>
      <w:tr>
        <w:trPr>
          <w:trHeight w:val="256"/>
        </w:trPr>
        <w:tc>
          <w:tcPr>
            <w:tcW w:w="5380" w:type="dxa"/>
            <w:vAlign w:val="bottom"/>
          </w:tcPr>
          <w:p>
            <w:pPr>
              <w:jc w:val="center"/>
              <w:ind w:right="1059"/>
              <w:spacing w:after="0"/>
              <w:rPr>
                <w:sz w:val="20"/>
                <w:szCs w:val="20"/>
                <w:color w:val="auto"/>
              </w:rPr>
            </w:pPr>
            <w:r>
              <w:rPr>
                <w:rFonts w:ascii="Arial" w:cs="Arial" w:eastAsia="Arial" w:hAnsi="Arial"/>
                <w:sz w:val="22"/>
                <w:szCs w:val="22"/>
                <w:b w:val="1"/>
                <w:bCs w:val="1"/>
                <w:color w:val="auto"/>
                <w:w w:val="91"/>
              </w:rPr>
              <w:t>Miami Beach, Florida</w:t>
            </w:r>
          </w:p>
        </w:tc>
        <w:tc>
          <w:tcPr>
            <w:tcW w:w="3680" w:type="dxa"/>
            <w:vAlign w:val="bottom"/>
          </w:tcPr>
          <w:p>
            <w:pPr>
              <w:jc w:val="right"/>
              <w:ind w:right="921"/>
              <w:spacing w:after="0"/>
              <w:rPr>
                <w:sz w:val="20"/>
                <w:szCs w:val="20"/>
                <w:color w:val="auto"/>
              </w:rPr>
            </w:pPr>
            <w:r>
              <w:rPr>
                <w:rFonts w:ascii="Arial" w:cs="Arial" w:eastAsia="Arial" w:hAnsi="Arial"/>
                <w:sz w:val="22"/>
                <w:szCs w:val="22"/>
                <w:b w:val="1"/>
                <w:bCs w:val="1"/>
                <w:color w:val="auto"/>
              </w:rPr>
              <w:t>33139</w:t>
            </w:r>
          </w:p>
        </w:tc>
      </w:tr>
      <w:tr>
        <w:trPr>
          <w:trHeight w:val="213"/>
        </w:trPr>
        <w:tc>
          <w:tcPr>
            <w:tcW w:w="5380" w:type="dxa"/>
            <w:vAlign w:val="bottom"/>
          </w:tcPr>
          <w:p>
            <w:pPr>
              <w:jc w:val="center"/>
              <w:ind w:right="1039"/>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981"/>
              <w:spacing w:after="0"/>
              <w:rPr>
                <w:sz w:val="20"/>
                <w:szCs w:val="20"/>
                <w:color w:val="auto"/>
              </w:rPr>
            </w:pPr>
            <w:r>
              <w:rPr>
                <w:rFonts w:ascii="Arial" w:cs="Arial" w:eastAsia="Arial" w:hAnsi="Arial"/>
                <w:sz w:val="18"/>
                <w:szCs w:val="18"/>
                <w:color w:val="auto"/>
                <w:w w:val="94"/>
              </w:rPr>
              <w:t>(Zip Code)</w:t>
            </w:r>
          </w:p>
        </w:tc>
      </w:tr>
    </w:tbl>
    <w:p>
      <w:pPr>
        <w:spacing w:after="0"/>
        <w:rPr>
          <w:sz w:val="20"/>
          <w:szCs w:val="20"/>
          <w:color w:val="auto"/>
        </w:rPr>
      </w:pPr>
      <w:r>
        <w:rPr>
          <w:rFonts w:ascii="Arial" w:cs="Arial" w:eastAsia="Arial" w:hAnsi="Arial"/>
          <w:sz w:val="22"/>
          <w:szCs w:val="22"/>
          <w:color w:val="auto"/>
        </w:rPr>
        <w:t>Securities to be registered pursuant to Section 12(b) of the Act:</w:t>
      </w:r>
    </w:p>
    <w:p>
      <w:pPr>
        <w:spacing w:after="0" w:line="3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8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365"/>
        </w:trPr>
        <w:tc>
          <w:tcPr>
            <w:tcW w:w="6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to be so registered</w:t>
            </w:r>
          </w:p>
        </w:tc>
        <w:tc>
          <w:tcPr>
            <w:tcW w:w="8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274"/>
        </w:trPr>
        <w:tc>
          <w:tcPr>
            <w:tcW w:w="6480" w:type="dxa"/>
            <w:vAlign w:val="bottom"/>
          </w:tcPr>
          <w:p>
            <w:pPr>
              <w:jc w:val="center"/>
              <w:spacing w:after="0"/>
              <w:rPr>
                <w:sz w:val="20"/>
                <w:szCs w:val="20"/>
                <w:color w:val="auto"/>
              </w:rPr>
            </w:pPr>
            <w:r>
              <w:rPr>
                <w:rFonts w:ascii="Arial" w:cs="Arial" w:eastAsia="Arial" w:hAnsi="Arial"/>
                <w:sz w:val="22"/>
                <w:szCs w:val="22"/>
                <w:b w:val="1"/>
                <w:bCs w:val="1"/>
                <w:color w:val="auto"/>
                <w:w w:val="88"/>
              </w:rPr>
              <w:t>Common Stock, par value $0.001 per share</w:t>
            </w:r>
          </w:p>
        </w:tc>
        <w:tc>
          <w:tcPr>
            <w:tcW w:w="80" w:type="dxa"/>
            <w:vAlign w:val="bottom"/>
          </w:tcPr>
          <w:p>
            <w:pPr>
              <w:spacing w:after="0"/>
              <w:rPr>
                <w:sz w:val="23"/>
                <w:szCs w:val="23"/>
                <w:color w:val="auto"/>
              </w:rPr>
            </w:pPr>
          </w:p>
        </w:tc>
        <w:tc>
          <w:tcPr>
            <w:tcW w:w="4680" w:type="dxa"/>
            <w:vAlign w:val="bottom"/>
          </w:tcPr>
          <w:p>
            <w:pPr>
              <w:jc w:val="center"/>
              <w:spacing w:after="0"/>
              <w:rPr>
                <w:sz w:val="20"/>
                <w:szCs w:val="20"/>
                <w:color w:val="auto"/>
              </w:rPr>
            </w:pPr>
            <w:r>
              <w:rPr>
                <w:rFonts w:ascii="Arial" w:cs="Arial" w:eastAsia="Arial" w:hAnsi="Arial"/>
                <w:sz w:val="22"/>
                <w:szCs w:val="22"/>
                <w:b w:val="1"/>
                <w:bCs w:val="1"/>
                <w:color w:val="auto"/>
                <w:w w:val="88"/>
              </w:rPr>
              <w:t>The New York Stock Exchange</w:t>
            </w:r>
          </w:p>
        </w:tc>
      </w:tr>
    </w:tbl>
    <w:p>
      <w:pPr>
        <w:spacing w:after="0" w:line="319" w:lineRule="exact"/>
        <w:rPr>
          <w:sz w:val="24"/>
          <w:szCs w:val="24"/>
          <w:color w:val="auto"/>
        </w:rPr>
      </w:pPr>
    </w:p>
    <w:p>
      <w:pPr>
        <w:ind w:right="660"/>
        <w:spacing w:after="0" w:line="252" w:lineRule="exact"/>
        <w:rPr>
          <w:sz w:val="20"/>
          <w:szCs w:val="20"/>
          <w:color w:val="auto"/>
        </w:rPr>
      </w:pPr>
      <w:r>
        <w:rPr>
          <w:rFonts w:ascii="Arial" w:cs="Arial" w:eastAsia="Arial" w:hAnsi="Arial"/>
          <w:sz w:val="22"/>
          <w:szCs w:val="22"/>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22"/>
          <w:szCs w:val="22"/>
          <w:color w:val="auto"/>
        </w:rPr>
        <w:t>☒</w:t>
      </w:r>
    </w:p>
    <w:p>
      <w:pPr>
        <w:ind w:right="660"/>
        <w:spacing w:after="0" w:line="243" w:lineRule="exact"/>
        <w:rPr>
          <w:sz w:val="20"/>
          <w:szCs w:val="20"/>
          <w:color w:val="auto"/>
        </w:rPr>
      </w:pPr>
      <w:r>
        <w:rPr>
          <w:rFonts w:ascii="Arial" w:cs="Arial" w:eastAsia="Arial" w:hAnsi="Arial"/>
          <w:sz w:val="22"/>
          <w:szCs w:val="22"/>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22"/>
          <w:szCs w:val="22"/>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9"/>
          <w:szCs w:val="19"/>
          <w:color w:val="auto"/>
        </w:rPr>
        <w:t>If this form relates to the registration of a class of securities concurrently with a Regulation A offering, check the following box.</w:t>
      </w:r>
    </w:p>
    <w:p>
      <w:pPr>
        <w:spacing w:after="0" w:line="17"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31" w:lineRule="exact"/>
        <w:rPr>
          <w:sz w:val="24"/>
          <w:szCs w:val="24"/>
          <w:color w:val="auto"/>
        </w:rPr>
      </w:pPr>
    </w:p>
    <w:p>
      <w:pPr>
        <w:spacing w:after="0"/>
        <w:rPr>
          <w:sz w:val="20"/>
          <w:szCs w:val="20"/>
          <w:color w:val="auto"/>
        </w:rPr>
      </w:pPr>
      <w:r>
        <w:rPr>
          <w:rFonts w:ascii="Arial" w:cs="Arial" w:eastAsia="Arial" w:hAnsi="Arial"/>
          <w:sz w:val="19"/>
          <w:szCs w:val="19"/>
          <w:color w:val="auto"/>
        </w:rPr>
        <w:t>Securities Act registration statement or Regulation A offering statement file number to which this form relates: Not applicable</w:t>
      </w:r>
    </w:p>
    <w:p>
      <w:pPr>
        <w:spacing w:after="0" w:line="25" w:lineRule="exact"/>
        <w:rPr>
          <w:sz w:val="24"/>
          <w:szCs w:val="24"/>
          <w:color w:val="auto"/>
        </w:rPr>
      </w:pPr>
    </w:p>
    <w:p>
      <w:pPr>
        <w:spacing w:after="0"/>
        <w:rPr>
          <w:sz w:val="20"/>
          <w:szCs w:val="20"/>
          <w:color w:val="auto"/>
        </w:rPr>
      </w:pPr>
      <w:r>
        <w:rPr>
          <w:rFonts w:ascii="Arial" w:cs="Arial" w:eastAsia="Arial" w:hAnsi="Arial"/>
          <w:sz w:val="22"/>
          <w:szCs w:val="22"/>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20"/>
          <w:szCs w:val="20"/>
          <w:b w:val="1"/>
          <w:bCs w:val="1"/>
          <w:color w:val="auto"/>
        </w:rPr>
        <w:t>EXPLANATORY NOTE</w:t>
      </w:r>
    </w:p>
    <w:p>
      <w:pPr>
        <w:spacing w:after="0" w:line="207" w:lineRule="exact"/>
        <w:rPr>
          <w:sz w:val="20"/>
          <w:szCs w:val="20"/>
          <w:color w:val="auto"/>
        </w:rPr>
      </w:pPr>
    </w:p>
    <w:p>
      <w:pPr>
        <w:ind w:right="340"/>
        <w:spacing w:after="0" w:line="248" w:lineRule="auto"/>
        <w:rPr>
          <w:sz w:val="20"/>
          <w:szCs w:val="20"/>
          <w:color w:val="auto"/>
        </w:rPr>
      </w:pPr>
      <w:r>
        <w:rPr>
          <w:rFonts w:ascii="Arial" w:cs="Arial" w:eastAsia="Arial" w:hAnsi="Arial"/>
          <w:sz w:val="19"/>
          <w:szCs w:val="19"/>
          <w:i w:val="1"/>
          <w:iCs w:val="1"/>
          <w:color w:val="auto"/>
        </w:rPr>
        <w:t>This Registration Statement on Form 8-A is being filed by PennantPark Floating Rate Capital Ltd., a Maryland corporation, with the Securities and Exchange Commission (the “Commission”) in connection with the registration of its common stock, par value $0.001 per share (the “Common Stock”), under Section 12(b) of the Securities Exchange Act of 1934 (the “Exchange Act”), and the transfer of the listing of the Common Stock from the Nasdaq Stock Market LLC to the New York Stock Exchange.</w:t>
      </w:r>
    </w:p>
    <w:p>
      <w:pPr>
        <w:spacing w:after="0" w:line="171" w:lineRule="exact"/>
        <w:rPr>
          <w:sz w:val="20"/>
          <w:szCs w:val="20"/>
          <w:color w:val="auto"/>
        </w:rPr>
      </w:pPr>
    </w:p>
    <w:p>
      <w:pPr>
        <w:ind w:right="2700" w:firstLine="2776"/>
        <w:spacing w:after="0" w:line="349" w:lineRule="auto"/>
        <w:rPr>
          <w:sz w:val="20"/>
          <w:szCs w:val="20"/>
          <w:color w:val="auto"/>
        </w:rPr>
      </w:pPr>
      <w:r>
        <w:rPr>
          <w:rFonts w:ascii="Arial" w:cs="Arial" w:eastAsia="Arial" w:hAnsi="Arial"/>
          <w:sz w:val="20"/>
          <w:szCs w:val="20"/>
          <w:b w:val="1"/>
          <w:bCs w:val="1"/>
          <w:color w:val="auto"/>
        </w:rPr>
        <w:t>INFORMATION REQUIRED IN REGISTRATION STATEMENT Item 1. Description of Registrant’s Securities to be Registered.</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For a description of the securities registered hereunder, reference is made to the information set forth under the heading “Description of Securities” in Exhibit 4.4 to the registrant’s Annual Report on Form 10-K for the year ended September 30, 2019, filed with the Commission on November 20, 2019, which information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Exhibits.</w:t>
      </w:r>
    </w:p>
    <w:p>
      <w:pPr>
        <w:spacing w:after="0" w:line="8" w:lineRule="exact"/>
        <w:rPr>
          <w:sz w:val="20"/>
          <w:szCs w:val="20"/>
          <w:color w:val="auto"/>
        </w:rPr>
      </w:pPr>
    </w:p>
    <w:p>
      <w:pPr>
        <w:ind w:right="440"/>
        <w:spacing w:after="0" w:line="234" w:lineRule="auto"/>
        <w:rPr>
          <w:sz w:val="20"/>
          <w:szCs w:val="20"/>
          <w:color w:val="auto"/>
        </w:rPr>
      </w:pPr>
      <w:r>
        <w:rPr>
          <w:rFonts w:ascii="Arial" w:cs="Arial" w:eastAsia="Arial" w:hAnsi="Arial"/>
          <w:sz w:val="20"/>
          <w:szCs w:val="20"/>
          <w:color w:val="auto"/>
        </w:rPr>
        <w:t>No exhibits are required to be filed because no other securities of the registrant are registered on the New York Stock Exchange and the securities registered hereby are not being registered pursuant to Section 12(g)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0"/>
          <w:szCs w:val="20"/>
          <w:b w:val="1"/>
          <w:bCs w:val="1"/>
          <w:color w:val="auto"/>
        </w:rPr>
        <w:t>SIGNATURE</w:t>
      </w:r>
    </w:p>
    <w:p>
      <w:pPr>
        <w:spacing w:after="0" w:line="20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Pursuant to the requirements of Section 12 of the Securities Exchange Act of 1934, the registrant has duly caused this registration statement to be signed on its behalf by the undersigned, thereto duly authorized.</w:t>
      </w:r>
    </w:p>
    <w:p>
      <w:pPr>
        <w:spacing w:after="0" w:line="157"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PennantPark Floating Rate Capital Ltd.</w:t>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720" w:val="left"/>
          <w:tab w:leader="none" w:pos="4180" w:val="left"/>
        </w:tabs>
        <w:rPr>
          <w:sz w:val="20"/>
          <w:szCs w:val="20"/>
          <w:color w:val="auto"/>
        </w:rPr>
      </w:pPr>
      <w:r>
        <w:rPr>
          <w:rFonts w:ascii="Arial" w:cs="Arial" w:eastAsia="Arial" w:hAnsi="Arial"/>
          <w:sz w:val="20"/>
          <w:szCs w:val="20"/>
          <w:color w:val="auto"/>
        </w:rPr>
        <w:t>Date: March 31, 2022</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Richard Cheung</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Richard Cheung</w:t>
      </w:r>
    </w:p>
    <w:p>
      <w:pPr>
        <w:ind w:left="4200"/>
        <w:spacing w:after="0"/>
        <w:rPr>
          <w:sz w:val="20"/>
          <w:szCs w:val="20"/>
          <w:color w:val="auto"/>
        </w:rPr>
      </w:pPr>
      <w:r>
        <w:rPr>
          <w:rFonts w:ascii="Arial" w:cs="Arial" w:eastAsia="Arial" w:hAnsi="Arial"/>
          <w:sz w:val="20"/>
          <w:szCs w:val="20"/>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80"/>
      </w:cols>
      <w:pgMar w:left="320" w:top="11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2022-03-31T17:12:47Z</dcterms:created>
  <dcterms:modified xsi:type="dcterms:W3CDTF">2022-03-31T17:12:47Z</dcterms:modified>
</cp:coreProperties>
</file>