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2016</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6880" w:space="140"/>
            <w:col w:w="200" w:space="80"/>
            <w:col w:w="120" w:space="160"/>
            <w:col w:w="366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August 9, 2016 was 26,730,074.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JUNE 30,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2"/>
                <w:szCs w:val="22"/>
                <w:color w:val="auto"/>
              </w:rPr>
            </w:pP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2016 and 2015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2016 (unaudited) and September 30, 2015</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2"/>
                <w:szCs w:val="22"/>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86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860" w:type="dxa"/>
            <w:vAlign w:val="bottom"/>
          </w:tcPr>
          <w:p>
            <w:pPr>
              <w:ind w:left="274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86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June 30,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71"/>
        </w:trPr>
        <w:tc>
          <w:tcPr>
            <w:tcW w:w="5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(cost—$557,185,402 and $394,561,175, respectively)</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550,999,281</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388,535,383</w:t>
            </w:r>
          </w:p>
        </w:tc>
      </w:tr>
      <w:tr>
        <w:trPr>
          <w:trHeight w:val="148"/>
        </w:trPr>
        <w:tc>
          <w:tcPr>
            <w:tcW w:w="8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Controlled, affiliated investments (cost—$0 and $2,777,132, respectively)</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2,776,507</w:t>
            </w:r>
          </w:p>
        </w:tc>
      </w:tr>
      <w:tr>
        <w:trPr>
          <w:trHeight w:val="27"/>
        </w:trPr>
        <w:tc>
          <w:tcPr>
            <w:tcW w:w="5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8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of investments (cost—$557,185,402 and $397,338,307, respectively)</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550,999,281</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391,311,890</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(cost—$16,767,271 and $21,428,514, respectively)</w:t>
            </w:r>
          </w:p>
        </w:tc>
        <w:tc>
          <w:tcPr>
            <w:tcW w:w="1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16,790,402</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21,428,514</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3,201,502</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1,959,404</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1,693,258</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1,420,529</w:t>
            </w:r>
          </w:p>
        </w:tc>
      </w:tr>
      <w:tr>
        <w:trPr>
          <w:trHeight w:val="27"/>
        </w:trPr>
        <w:tc>
          <w:tcPr>
            <w:tcW w:w="5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assets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572,684,443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416,120,337</w:t>
            </w:r>
          </w:p>
        </w:tc>
      </w:tr>
      <w:tr>
        <w:trPr>
          <w:trHeight w:val="155"/>
        </w:trPr>
        <w:tc>
          <w:tcPr>
            <w:tcW w:w="8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2,539,357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2,539,357</w:t>
            </w:r>
          </w:p>
        </w:tc>
      </w:tr>
      <w:tr>
        <w:trPr>
          <w:trHeight w:val="149"/>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9,833,911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9,367,500</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(cost—$190,907,500 and $29,600,000, respectively) (See Notes 5 and 10)</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190,374,979</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29,600,000</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448,899</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224,633</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1,297,596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956,115</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497,716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2,936</w:t>
            </w:r>
          </w:p>
        </w:tc>
      </w:tr>
      <w:tr>
        <w:trPr>
          <w:trHeight w:val="149"/>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53,352</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539,347</w:t>
            </w:r>
          </w:p>
        </w:tc>
      </w:tr>
      <w:tr>
        <w:trPr>
          <w:trHeight w:val="163"/>
        </w:trPr>
        <w:tc>
          <w:tcPr>
            <w:tcW w:w="520" w:type="dxa"/>
            <w:vAlign w:val="bottom"/>
          </w:tcPr>
          <w:p>
            <w:pPr>
              <w:spacing w:after="0"/>
              <w:rPr>
                <w:sz w:val="14"/>
                <w:szCs w:val="14"/>
                <w:color w:val="auto"/>
              </w:rPr>
            </w:pPr>
          </w:p>
        </w:tc>
        <w:tc>
          <w:tcPr>
            <w:tcW w:w="78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205,045,810</w:t>
            </w:r>
          </w:p>
        </w:tc>
        <w:tc>
          <w:tcPr>
            <w:tcW w:w="4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43,229,888</w:t>
            </w:r>
          </w:p>
        </w:tc>
        <w:tc>
          <w:tcPr>
            <w:tcW w:w="100" w:type="dxa"/>
            <w:vAlign w:val="bottom"/>
          </w:tcPr>
          <w:p>
            <w:pPr>
              <w:spacing w:after="0"/>
              <w:rPr>
                <w:sz w:val="14"/>
                <w:szCs w:val="14"/>
                <w:color w:val="auto"/>
              </w:rPr>
            </w:pP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26,730,074 shares issued and outstanding.</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26,730</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26,730</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20" w:type="dxa"/>
            <w:vAlign w:val="bottom"/>
          </w:tcPr>
          <w:p>
            <w:pPr>
              <w:spacing w:after="0"/>
              <w:rPr>
                <w:sz w:val="12"/>
                <w:szCs w:val="12"/>
                <w:color w:val="auto"/>
              </w:rPr>
            </w:pPr>
          </w:p>
        </w:tc>
        <w:tc>
          <w:tcPr>
            <w:tcW w:w="14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371,502,801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371,502,801</w:t>
            </w:r>
          </w:p>
        </w:tc>
      </w:tr>
      <w:tr>
        <w:trPr>
          <w:trHeight w:val="149"/>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3,317,806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6,991,473</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20" w:type="dxa"/>
            <w:vAlign w:val="bottom"/>
          </w:tcPr>
          <w:p>
            <w:pPr>
              <w:spacing w:after="0"/>
              <w:rPr>
                <w:sz w:val="12"/>
                <w:szCs w:val="12"/>
                <w:color w:val="auto"/>
              </w:rPr>
            </w:pPr>
          </w:p>
        </w:tc>
        <w:tc>
          <w:tcPr>
            <w:tcW w:w="14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(1,578,235)</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395,862</w:t>
            </w:r>
          </w:p>
        </w:tc>
      </w:tr>
      <w:tr>
        <w:trPr>
          <w:trHeight w:val="148"/>
        </w:trPr>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(6,162,990)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(6,026,417)</w:t>
            </w:r>
          </w:p>
        </w:tc>
      </w:tr>
      <w:tr>
        <w:trPr>
          <w:trHeight w:val="148"/>
        </w:trPr>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532,521</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5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20" w:type="dxa"/>
            <w:vAlign w:val="bottom"/>
            <w:shd w:val="clear" w:color="auto" w:fill="CCEEFF"/>
          </w:tcPr>
          <w:p>
            <w:pPr>
              <w:spacing w:after="0"/>
              <w:rPr>
                <w:sz w:val="12"/>
                <w:szCs w:val="12"/>
                <w:color w:val="auto"/>
              </w:rPr>
            </w:pPr>
          </w:p>
        </w:tc>
        <w:tc>
          <w:tcPr>
            <w:tcW w:w="7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367,638,633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372,890,449</w:t>
            </w:r>
          </w:p>
        </w:tc>
      </w:tr>
      <w:tr>
        <w:trPr>
          <w:trHeight w:val="155"/>
        </w:trPr>
        <w:tc>
          <w:tcPr>
            <w:tcW w:w="520" w:type="dxa"/>
            <w:vAlign w:val="bottom"/>
          </w:tcPr>
          <w:p>
            <w:pPr>
              <w:spacing w:after="0"/>
              <w:rPr>
                <w:sz w:val="13"/>
                <w:szCs w:val="13"/>
                <w:color w:val="auto"/>
              </w:rPr>
            </w:pPr>
          </w:p>
        </w:tc>
        <w:tc>
          <w:tcPr>
            <w:tcW w:w="78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572,684,443</w:t>
            </w:r>
          </w:p>
        </w:tc>
        <w:tc>
          <w:tcPr>
            <w:tcW w:w="4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13.75</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13.95</w:t>
            </w:r>
          </w:p>
        </w:tc>
      </w:tr>
      <w:tr>
        <w:trPr>
          <w:trHeight w:val="20"/>
        </w:trPr>
        <w:tc>
          <w:tcPr>
            <w:tcW w:w="5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00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Pr>
          <w:p>
            <w:pPr>
              <w:spacing w:after="0"/>
              <w:rPr>
                <w:sz w:val="14"/>
                <w:szCs w:val="14"/>
                <w:color w:val="auto"/>
              </w:rPr>
            </w:pPr>
          </w:p>
        </w:tc>
        <w:tc>
          <w:tcPr>
            <w:tcW w:w="19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10,555,165</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6,940,910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28,794,610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21,457,084</w:t>
            </w: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226,431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163,377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2,005,698</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1,107,182</w:t>
            </w: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21,429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105,502</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10,803,025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7,104,287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30,905,810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22,564,266</w:t>
            </w:r>
          </w:p>
        </w:tc>
        <w:tc>
          <w:tcPr>
            <w:tcW w:w="0" w:type="dxa"/>
            <w:vAlign w:val="bottom"/>
          </w:tcPr>
          <w:p>
            <w:pPr>
              <w:spacing w:after="0"/>
              <w:rPr>
                <w:sz w:val="1"/>
                <w:szCs w:val="1"/>
                <w:color w:val="auto"/>
              </w:rPr>
            </w:pPr>
          </w:p>
        </w:tc>
      </w:tr>
      <w:tr>
        <w:trPr>
          <w:trHeight w:val="156"/>
        </w:trPr>
        <w:tc>
          <w:tcPr>
            <w:tcW w:w="72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1,297,595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881,953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3,556,451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2,616,499</w:t>
            </w: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497,716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630,806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1,336,660</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1,662,731</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1,276,288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785,899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3,338,863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2,447,632</w:t>
            </w:r>
          </w:p>
        </w:tc>
        <w:tc>
          <w:tcPr>
            <w:tcW w:w="0" w:type="dxa"/>
            <w:vAlign w:val="bottom"/>
          </w:tcPr>
          <w:p>
            <w:pPr>
              <w:spacing w:after="0"/>
              <w:rPr>
                <w:sz w:val="1"/>
                <w:szCs w:val="1"/>
                <w:color w:val="auto"/>
              </w:rPr>
            </w:pPr>
          </w:p>
        </w:tc>
      </w:tr>
      <w:tr>
        <w:trPr>
          <w:trHeight w:val="149"/>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673,000</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701,555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212,672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1,985,568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650,422</w:t>
            </w:r>
          </w:p>
        </w:tc>
        <w:tc>
          <w:tcPr>
            <w:tcW w:w="0" w:type="dxa"/>
            <w:vAlign w:val="bottom"/>
          </w:tcPr>
          <w:p>
            <w:pPr>
              <w:spacing w:after="0"/>
              <w:rPr>
                <w:sz w:val="1"/>
                <w:szCs w:val="1"/>
                <w:color w:val="auto"/>
              </w:rPr>
            </w:pPr>
          </w:p>
        </w:tc>
      </w:tr>
      <w:tr>
        <w:trPr>
          <w:trHeight w:val="155"/>
        </w:trPr>
        <w:tc>
          <w:tcPr>
            <w:tcW w:w="72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3,973,154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2,734,830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10,817,542</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8,050,284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330,000</w:t>
            </w: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10)</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162,311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907,722</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162,311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3,973,154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3,007,141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11,725,264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8,542,595</w:t>
            </w:r>
          </w:p>
        </w:tc>
        <w:tc>
          <w:tcPr>
            <w:tcW w:w="0" w:type="dxa"/>
            <w:vAlign w:val="bottom"/>
          </w:tcPr>
          <w:p>
            <w:pPr>
              <w:spacing w:after="0"/>
              <w:rPr>
                <w:sz w:val="1"/>
                <w:szCs w:val="1"/>
                <w:color w:val="auto"/>
              </w:rPr>
            </w:pPr>
          </w:p>
        </w:tc>
      </w:tr>
      <w:tr>
        <w:trPr>
          <w:trHeight w:val="163"/>
        </w:trPr>
        <w:tc>
          <w:tcPr>
            <w:tcW w:w="7240" w:type="dxa"/>
            <w:vAlign w:val="bottom"/>
          </w:tcPr>
          <w:p>
            <w:pPr>
              <w:ind w:left="300"/>
              <w:spacing w:after="0" w:line="155" w:lineRule="exact"/>
              <w:rPr>
                <w:sz w:val="20"/>
                <w:szCs w:val="20"/>
                <w:color w:val="auto"/>
              </w:rPr>
            </w:pPr>
            <w:r>
              <w:rPr>
                <w:rFonts w:ascii="Arial" w:cs="Arial" w:eastAsia="Arial" w:hAnsi="Arial"/>
                <w:sz w:val="14"/>
                <w:szCs w:val="14"/>
                <w:color w:val="auto"/>
              </w:rPr>
              <w:t>Net investment income</w:t>
            </w: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6,829,871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4,097,146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19,180,546</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14,021,671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line="149" w:lineRule="exact"/>
              <w:rPr>
                <w:sz w:val="20"/>
                <w:szCs w:val="20"/>
                <w:color w:val="auto"/>
              </w:rPr>
            </w:pPr>
            <w:r>
              <w:rPr>
                <w:rFonts w:ascii="Arial" w:cs="Arial" w:eastAsia="Arial" w:hAnsi="Arial"/>
                <w:sz w:val="14"/>
                <w:szCs w:val="14"/>
                <w:color w:val="auto"/>
              </w:rPr>
              <w:t>Net realized gain (loss) on non-controlled, non-affiliated investments</w:t>
            </w: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189,623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(1,974,097)</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413,535</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6,082,410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662,950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(136,573)</w:t>
            </w: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(3,379,490)</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depreciation (appreciation) (See Note 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317,438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532,521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233,750</w:t>
            </w:r>
          </w:p>
        </w:tc>
        <w:tc>
          <w:tcPr>
            <w:tcW w:w="0" w:type="dxa"/>
            <w:vAlign w:val="bottom"/>
          </w:tcPr>
          <w:p>
            <w:pPr>
              <w:spacing w:after="0"/>
              <w:rPr>
                <w:sz w:val="1"/>
                <w:szCs w:val="1"/>
                <w:color w:val="auto"/>
              </w:rPr>
            </w:pPr>
          </w:p>
        </w:tc>
      </w:tr>
      <w:tr>
        <w:trPr>
          <w:trHeight w:val="163"/>
        </w:trPr>
        <w:tc>
          <w:tcPr>
            <w:tcW w:w="72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6,399,848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640,950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395,948</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(3,145,740)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6,589,471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629,631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(1,578,149)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(2,732,205)</w:t>
            </w:r>
          </w:p>
        </w:tc>
        <w:tc>
          <w:tcPr>
            <w:tcW w:w="0" w:type="dxa"/>
            <w:vAlign w:val="bottom"/>
          </w:tcPr>
          <w:p>
            <w:pPr>
              <w:spacing w:after="0"/>
              <w:rPr>
                <w:sz w:val="1"/>
                <w:szCs w:val="1"/>
                <w:color w:val="auto"/>
              </w:rPr>
            </w:pPr>
          </w:p>
        </w:tc>
      </w:tr>
      <w:tr>
        <w:trPr>
          <w:trHeight w:val="156"/>
        </w:trPr>
        <w:tc>
          <w:tcPr>
            <w:tcW w:w="72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13,419,342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4,726,777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17,602,397</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11,289,466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0.50</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0.32</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0.72</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94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9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3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19,180,546</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14,021,671</w:t>
            </w:r>
          </w:p>
        </w:tc>
        <w:tc>
          <w:tcPr>
            <w:tcW w:w="0" w:type="dxa"/>
            <w:vAlign w:val="bottom"/>
          </w:tcPr>
          <w:p>
            <w:pPr>
              <w:spacing w:after="0"/>
              <w:rPr>
                <w:sz w:val="1"/>
                <w:szCs w:val="1"/>
                <w:color w:val="auto"/>
              </w:rPr>
            </w:pPr>
          </w:p>
        </w:tc>
      </w:tr>
      <w:tr>
        <w:trPr>
          <w:trHeight w:val="148"/>
        </w:trPr>
        <w:tc>
          <w:tcPr>
            <w:tcW w:w="9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(1,974,097)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413,535</w:t>
            </w:r>
          </w:p>
        </w:tc>
        <w:tc>
          <w:tcPr>
            <w:tcW w:w="0" w:type="dxa"/>
            <w:vAlign w:val="bottom"/>
          </w:tcPr>
          <w:p>
            <w:pPr>
              <w:spacing w:after="0"/>
              <w:rPr>
                <w:sz w:val="1"/>
                <w:szCs w:val="1"/>
                <w:color w:val="auto"/>
              </w:rPr>
            </w:pPr>
          </w:p>
        </w:tc>
      </w:tr>
      <w:tr>
        <w:trPr>
          <w:trHeight w:val="148"/>
        </w:trPr>
        <w:tc>
          <w:tcPr>
            <w:tcW w:w="93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0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(136,573)</w:t>
            </w: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(3,379,490)</w:t>
            </w:r>
          </w:p>
        </w:tc>
        <w:tc>
          <w:tcPr>
            <w:tcW w:w="0" w:type="dxa"/>
            <w:vAlign w:val="bottom"/>
          </w:tcPr>
          <w:p>
            <w:pPr>
              <w:spacing w:after="0"/>
              <w:rPr>
                <w:sz w:val="1"/>
                <w:szCs w:val="1"/>
                <w:color w:val="auto"/>
              </w:rPr>
            </w:pPr>
          </w:p>
        </w:tc>
      </w:tr>
      <w:tr>
        <w:trPr>
          <w:trHeight w:val="149"/>
        </w:trPr>
        <w:tc>
          <w:tcPr>
            <w:tcW w:w="9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532,521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233,750</w:t>
            </w:r>
          </w:p>
        </w:tc>
        <w:tc>
          <w:tcPr>
            <w:tcW w:w="0" w:type="dxa"/>
            <w:vAlign w:val="bottom"/>
          </w:tcPr>
          <w:p>
            <w:pPr>
              <w:spacing w:after="0"/>
              <w:rPr>
                <w:sz w:val="1"/>
                <w:szCs w:val="1"/>
                <w:color w:val="auto"/>
              </w:rPr>
            </w:pPr>
          </w:p>
        </w:tc>
      </w:tr>
      <w:tr>
        <w:trPr>
          <w:trHeight w:val="163"/>
        </w:trPr>
        <w:tc>
          <w:tcPr>
            <w:tcW w:w="93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17,602,397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11,289,466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(22,854,213)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(12,365,386)</w:t>
            </w:r>
          </w:p>
        </w:tc>
        <w:tc>
          <w:tcPr>
            <w:tcW w:w="0" w:type="dxa"/>
            <w:vAlign w:val="bottom"/>
          </w:tcPr>
          <w:p>
            <w:pPr>
              <w:spacing w:after="0"/>
              <w:rPr>
                <w:sz w:val="1"/>
                <w:szCs w:val="1"/>
                <w:color w:val="auto"/>
              </w:rPr>
            </w:pPr>
          </w:p>
        </w:tc>
      </w:tr>
      <w:tr>
        <w:trPr>
          <w:trHeight w:val="163"/>
        </w:trPr>
        <w:tc>
          <w:tcPr>
            <w:tcW w:w="93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(5,251,816)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(1,075,920)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30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372,890,449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214,527,710</w:t>
            </w:r>
          </w:p>
        </w:tc>
        <w:tc>
          <w:tcPr>
            <w:tcW w:w="0" w:type="dxa"/>
            <w:vAlign w:val="bottom"/>
          </w:tcPr>
          <w:p>
            <w:pPr>
              <w:spacing w:after="0"/>
              <w:rPr>
                <w:sz w:val="1"/>
                <w:szCs w:val="1"/>
                <w:color w:val="auto"/>
              </w:rPr>
            </w:pPr>
          </w:p>
        </w:tc>
      </w:tr>
      <w:tr>
        <w:trPr>
          <w:trHeight w:val="27"/>
        </w:trPr>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367,638,633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213,451,790</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3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3,317,806</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6,534,376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142"/>
        </w:trPr>
        <w:tc>
          <w:tcPr>
            <w:tcW w:w="9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1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16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17,602,397</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11,289,466</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provided by operating activities: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136,573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3,379,490</w:t>
            </w:r>
          </w:p>
        </w:tc>
        <w:tc>
          <w:tcPr>
            <w:tcW w:w="0" w:type="dxa"/>
            <w:vAlign w:val="bottom"/>
          </w:tcPr>
          <w:p>
            <w:pPr>
              <w:spacing w:after="0"/>
              <w:rPr>
                <w:sz w:val="1"/>
                <w:szCs w:val="1"/>
                <w:color w:val="auto"/>
              </w:rPr>
            </w:pPr>
          </w:p>
        </w:tc>
      </w:tr>
      <w:tr>
        <w:trPr>
          <w:trHeight w:val="149"/>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(532,521)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(233,750)</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(gain) on investments</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1,974,097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(413,535)</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(1,263,787)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(919,802)</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(257,653,704)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(160,986,701)</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(92,262)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(322,041)</w:t>
            </w:r>
          </w:p>
        </w:tc>
        <w:tc>
          <w:tcPr>
            <w:tcW w:w="0" w:type="dxa"/>
            <w:vAlign w:val="bottom"/>
          </w:tcPr>
          <w:p>
            <w:pPr>
              <w:spacing w:after="0"/>
              <w:rPr>
                <w:sz w:val="1"/>
                <w:szCs w:val="1"/>
                <w:color w:val="auto"/>
              </w:rPr>
            </w:pPr>
          </w:p>
        </w:tc>
      </w:tr>
      <w:tr>
        <w:trPr>
          <w:trHeight w:val="149"/>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97,092,286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146,165,582</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receivable</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(209,853)</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7,998,188</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(272,729)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(599,457)</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466,411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12,919,850</w:t>
            </w:r>
          </w:p>
        </w:tc>
        <w:tc>
          <w:tcPr>
            <w:tcW w:w="0" w:type="dxa"/>
            <w:vAlign w:val="bottom"/>
          </w:tcPr>
          <w:p>
            <w:pPr>
              <w:spacing w:after="0"/>
              <w:rPr>
                <w:sz w:val="1"/>
                <w:szCs w:val="1"/>
                <w:color w:val="auto"/>
              </w:rPr>
            </w:pPr>
          </w:p>
        </w:tc>
      </w:tr>
      <w:tr>
        <w:trPr>
          <w:trHeight w:val="149"/>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payable on Credit Facility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224,266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(22,655)</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management fee payable</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341,481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(33,025)</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performance-based incentive fee payable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494,780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(1,129,430)</w:t>
            </w:r>
          </w:p>
        </w:tc>
        <w:tc>
          <w:tcPr>
            <w:tcW w:w="0" w:type="dxa"/>
            <w:vAlign w:val="bottom"/>
          </w:tcPr>
          <w:p>
            <w:pPr>
              <w:spacing w:after="0"/>
              <w:rPr>
                <w:sz w:val="1"/>
                <w:szCs w:val="1"/>
                <w:color w:val="auto"/>
              </w:rPr>
            </w:pPr>
          </w:p>
        </w:tc>
      </w:tr>
      <w:tr>
        <w:trPr>
          <w:trHeight w:val="148"/>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Decrease in accrued other expenses</w:t>
            </w:r>
          </w:p>
        </w:tc>
        <w:tc>
          <w:tcPr>
            <w:tcW w:w="8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(485,995)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(529,627)</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1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(143,210,805)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16,352,700</w:t>
            </w:r>
          </w:p>
        </w:tc>
        <w:tc>
          <w:tcPr>
            <w:tcW w:w="0" w:type="dxa"/>
            <w:vAlign w:val="bottom"/>
          </w:tcPr>
          <w:p>
            <w:pPr>
              <w:spacing w:after="0"/>
              <w:rPr>
                <w:sz w:val="1"/>
                <w:szCs w:val="1"/>
                <w:color w:val="auto"/>
              </w:rPr>
            </w:pPr>
          </w:p>
        </w:tc>
      </w:tr>
      <w:tr>
        <w:trPr>
          <w:trHeight w:val="155"/>
        </w:trPr>
        <w:tc>
          <w:tcPr>
            <w:tcW w:w="91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(22,854,213)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(12,290,896)</w:t>
            </w:r>
          </w:p>
        </w:tc>
        <w:tc>
          <w:tcPr>
            <w:tcW w:w="0" w:type="dxa"/>
            <w:vAlign w:val="bottom"/>
          </w:tcPr>
          <w:p>
            <w:pPr>
              <w:spacing w:after="0"/>
              <w:rPr>
                <w:sz w:val="1"/>
                <w:szCs w:val="1"/>
                <w:color w:val="auto"/>
              </w:rPr>
            </w:pPr>
          </w:p>
        </w:tc>
      </w:tr>
      <w:tr>
        <w:trPr>
          <w:trHeight w:val="149"/>
        </w:trPr>
        <w:tc>
          <w:tcPr>
            <w:tcW w:w="916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196,807,500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103,400,000</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(110,100,000)</w:t>
            </w:r>
          </w:p>
        </w:tc>
        <w:tc>
          <w:tcPr>
            <w:tcW w:w="0" w:type="dxa"/>
            <w:vAlign w:val="bottom"/>
          </w:tcPr>
          <w:p>
            <w:pPr>
              <w:spacing w:after="0"/>
              <w:rPr>
                <w:sz w:val="1"/>
                <w:szCs w:val="1"/>
                <w:color w:val="auto"/>
              </w:rPr>
            </w:pPr>
          </w:p>
        </w:tc>
      </w:tr>
      <w:tr>
        <w:trPr>
          <w:trHeight w:val="163"/>
        </w:trPr>
        <w:tc>
          <w:tcPr>
            <w:tcW w:w="916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(used)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138,453,287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(18,990,896)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equivalents</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(4,757,518)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(2,638,196)</w:t>
            </w:r>
          </w:p>
        </w:tc>
        <w:tc>
          <w:tcPr>
            <w:tcW w:w="0" w:type="dxa"/>
            <w:vAlign w:val="bottom"/>
          </w:tcPr>
          <w:p>
            <w:pPr>
              <w:spacing w:after="0"/>
              <w:rPr>
                <w:sz w:val="1"/>
                <w:szCs w:val="1"/>
                <w:color w:val="auto"/>
              </w:rPr>
            </w:pPr>
          </w:p>
        </w:tc>
      </w:tr>
      <w:tr>
        <w:trPr>
          <w:trHeight w:val="148"/>
        </w:trPr>
        <w:tc>
          <w:tcPr>
            <w:tcW w:w="91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119,406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21,428,514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13,113,817</w:t>
            </w:r>
          </w:p>
        </w:tc>
        <w:tc>
          <w:tcPr>
            <w:tcW w:w="0" w:type="dxa"/>
            <w:vAlign w:val="bottom"/>
          </w:tcPr>
          <w:p>
            <w:pPr>
              <w:spacing w:after="0"/>
              <w:rPr>
                <w:sz w:val="1"/>
                <w:szCs w:val="1"/>
                <w:color w:val="auto"/>
              </w:rPr>
            </w:pPr>
          </w:p>
        </w:tc>
      </w:tr>
      <w:tr>
        <w:trPr>
          <w:trHeight w:val="156"/>
        </w:trPr>
        <w:tc>
          <w:tcPr>
            <w:tcW w:w="91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16,790,402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10,475,621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60" w:type="dxa"/>
            <w:vAlign w:val="bottom"/>
          </w:tcPr>
          <w:p>
            <w:pPr>
              <w:ind w:left="30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3,114,597</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2,470,287</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6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Taxes paid</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308,795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430,242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ind w:left="300"/>
              <w:spacing w:after="0"/>
              <w:rPr>
                <w:sz w:val="20"/>
                <w:szCs w:val="20"/>
                <w:color w:val="auto"/>
              </w:rPr>
            </w:pPr>
            <w:r>
              <w:rPr>
                <w:rFonts w:ascii="Arial" w:cs="Arial" w:eastAsia="Arial" w:hAnsi="Arial"/>
                <w:sz w:val="14"/>
                <w:szCs w:val="14"/>
                <w:color w:val="auto"/>
              </w:rPr>
              <w:t>Non-cash exchanges and conversions</w:t>
            </w: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6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4,547,934</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670,283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w w:val="97"/>
              </w:rPr>
              <w:t>Coupon</w:t>
            </w: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45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9"/>
              </w:rPr>
              <w:t xml:space="preserve">Investments in Non-Controlled, Non-Affiliated Portfolio Companies—149.9% </w:t>
            </w:r>
            <w:r>
              <w:rPr>
                <w:rFonts w:ascii="Arial" w:cs="Arial" w:eastAsia="Arial" w:hAnsi="Arial"/>
                <w:sz w:val="10"/>
                <w:szCs w:val="10"/>
                <w:b w:val="1"/>
                <w:bCs w:val="1"/>
                <w:color w:val="auto"/>
                <w:w w:val="89"/>
              </w:rPr>
              <w:t>(3), (4)</w:t>
            </w:r>
          </w:p>
        </w:tc>
        <w:tc>
          <w:tcPr>
            <w:tcW w:w="660" w:type="dxa"/>
            <w:vAlign w:val="bottom"/>
            <w:tcBorders>
              <w:top w:val="single" w:sz="8" w:color="auto"/>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Debt—133.0%</w:t>
            </w:r>
          </w:p>
        </w:tc>
        <w:tc>
          <w:tcPr>
            <w:tcW w:w="6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02/28/2019</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12,064,454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12,033,272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12,064,454</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04/04/2022</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3,996,984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3,977,771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3,947,022</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Scaffold</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03/31/2022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4,894,641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4,919,062</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12/21/2020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6,551,677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6,474,075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6,134,007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04/22/2022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10,000,000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9,804,869</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9,825,000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11/15/2018</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5,193,754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5,099,253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3,362,956</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06/29/2020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3,561,170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3,522,363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3,543,364</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09/17/2021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12,804,648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12,730,812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12,708,613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A</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06/03/2021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2,409,952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2,412,916</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Broder Bros., Co., Tranche B</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06/03/2021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2,470,000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2,423,647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2,427,659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Camin Cargo Control,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06/30/2021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2,475,000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2,453,327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2,351,250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CareCentrix,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07/08/2021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4,854,715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4,801,219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07/02/2020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4,975,000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4,940,772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4,639,187</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12/24/2019</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4,098,750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4,058,445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3,750,357</w:t>
            </w: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01/08/2019</w:t>
            </w:r>
          </w:p>
        </w:tc>
        <w:tc>
          <w:tcPr>
            <w:tcW w:w="1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4,900,000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4,869,553</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11/25/2020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6,288,400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6,174,059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6,288,400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11/25/2020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12/21/2020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11,484,177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11,393,129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11,426,756</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02/07/2022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1,958,323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1,959,358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03/19/2018</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2,244,847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2,231,061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2,244,847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12/09/2020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4,899,570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4,888,125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42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1"/>
              </w:rPr>
              <w:t>06/30/2020   Chemicals, Plastics and Rubber</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4,750,000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4,719,966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4,750,000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09/10/2020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8,662,500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8,624,006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8,619,188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09/10/2020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DYK Prime Acquisition, LLC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04/01/2022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7,406,250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7,334,110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7,369,219</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05/06/2021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8,695,652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8,652,201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8,608,969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05/06/2021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1,304,348</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07/01/2021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4,885,225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4,714,875</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12/23/2021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4,894,712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4,731,754</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05/31/2019</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3,875,088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3,851,250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11/04/2020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6,825,000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6,779,912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6,495,148</w:t>
            </w: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GTCR Valor Companies, Inc.</w:t>
            </w:r>
          </w:p>
        </w:tc>
        <w:tc>
          <w:tcPr>
            <w:tcW w:w="660" w:type="dxa"/>
            <w:vAlign w:val="bottom"/>
          </w:tcPr>
          <w:p>
            <w:pPr>
              <w:ind w:left="20"/>
              <w:spacing w:after="0" w:line="121" w:lineRule="exact"/>
              <w:rPr>
                <w:sz w:val="20"/>
                <w:szCs w:val="20"/>
                <w:color w:val="auto"/>
              </w:rPr>
            </w:pPr>
            <w:r>
              <w:rPr>
                <w:rFonts w:ascii="Arial" w:cs="Arial" w:eastAsia="Arial" w:hAnsi="Arial"/>
                <w:sz w:val="13"/>
                <w:szCs w:val="13"/>
                <w:color w:val="auto"/>
                <w:w w:val="95"/>
              </w:rPr>
              <w:t>06/16/2023</w:t>
            </w:r>
          </w:p>
        </w:tc>
        <w:tc>
          <w:tcPr>
            <w:tcW w:w="176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7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7,500,000</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7,201,189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7,120,350</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242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05/31/2022  Banking, Finance, Insurance and</w:t>
            </w:r>
          </w:p>
        </w:tc>
        <w:tc>
          <w:tcPr>
            <w:tcW w:w="7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6,930,240</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6,947,500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Real Estate</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10/21/2020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1,152,464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12/13/2019</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2,661,589</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2,645,735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2,511,598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08/05/2019</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6,517,360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5,906,250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ICC-Nexergy,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04/30/2020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4,844,245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4,686,976</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11/04/2020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6,243,320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6,147,084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6,243,320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04/09/2021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7,962,497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7,281,491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7,325,497</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05/01/2019</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9,030,651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8,959,834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7,676,054</w:t>
            </w: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03/30/2022</w:t>
            </w:r>
          </w:p>
        </w:tc>
        <w:tc>
          <w:tcPr>
            <w:tcW w:w="1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3,990,000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3,931,798</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660" w:type="dxa"/>
            <w:vAlign w:val="bottom"/>
          </w:tcPr>
          <w:p>
            <w:pPr>
              <w:ind w:left="20"/>
              <w:spacing w:after="0" w:line="121" w:lineRule="exact"/>
              <w:rPr>
                <w:sz w:val="20"/>
                <w:szCs w:val="20"/>
                <w:color w:val="auto"/>
              </w:rPr>
            </w:pPr>
            <w:r>
              <w:rPr>
                <w:rFonts w:ascii="Arial" w:cs="Arial" w:eastAsia="Arial" w:hAnsi="Arial"/>
                <w:sz w:val="13"/>
                <w:szCs w:val="13"/>
                <w:color w:val="auto"/>
                <w:w w:val="95"/>
              </w:rPr>
              <w:t>03/28/2019</w:t>
            </w:r>
          </w:p>
        </w:tc>
        <w:tc>
          <w:tcPr>
            <w:tcW w:w="17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5,299,436</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5,251,863</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5,299,436</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03/28/2019</w:t>
            </w:r>
          </w:p>
        </w:tc>
        <w:tc>
          <w:tcPr>
            <w:tcW w:w="1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12.00%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4,456,145</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06/30/2020</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6,697,039</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6,640,572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6,697,039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07/30/2020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4,816,446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4,789,750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242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1"/>
              </w:rPr>
              <w:t>02/19/2021   Chemicals, Plastics and Rubber</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3,930,773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3,904,399</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07/17/2020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2,887,500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2,863,085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2,858,625</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KHC Holdings, Inc.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10/31/2022</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12,437,500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12,236,297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12,250,937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10/30/2020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1,209,677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Lago Resort &amp; Casino,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03/07/2022</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10,200,000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10,002,634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9,996,000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11/13/2020</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1,950,018</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1,944,426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1,927,261</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11/30/2018</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5,423,580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5,382,268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5,423,580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05/10/2021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2,192,143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2,182,478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2,181,182</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05/10/2021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282,857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281,610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281,443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Lombart Brothers, Inc.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04/13/2022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Capital Equipment</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5,913,085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5,919,658</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04/13/2022</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Capital Equipment</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353,982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353,982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353,982</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04/13/2022</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Capital Equipment</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884,956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Long’s Drugs Incorporated</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08/19/2021</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4,950,238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01/15/2021</w:t>
            </w: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9,664,731</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9,533,035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9,664,731</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3"/>
                <w:szCs w:val="13"/>
                <w:color w:val="auto"/>
              </w:rPr>
              <w:t>LSF9 Cypress Holdings LLC</w:t>
            </w:r>
          </w:p>
        </w:tc>
        <w:tc>
          <w:tcPr>
            <w:tcW w:w="660" w:type="dxa"/>
            <w:vAlign w:val="bottom"/>
          </w:tcPr>
          <w:p>
            <w:pPr>
              <w:ind w:left="20"/>
              <w:spacing w:after="0" w:line="135" w:lineRule="exact"/>
              <w:rPr>
                <w:sz w:val="20"/>
                <w:szCs w:val="20"/>
                <w:color w:val="auto"/>
              </w:rPr>
            </w:pPr>
            <w:r>
              <w:rPr>
                <w:rFonts w:ascii="Arial" w:cs="Arial" w:eastAsia="Arial" w:hAnsi="Arial"/>
                <w:sz w:val="13"/>
                <w:szCs w:val="13"/>
                <w:color w:val="auto"/>
                <w:w w:val="95"/>
              </w:rPr>
              <w:t>10/10/2022</w:t>
            </w:r>
          </w:p>
        </w:tc>
        <w:tc>
          <w:tcPr>
            <w:tcW w:w="176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12,437,500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11,862,592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12,002,187</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24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04/18/2022   Chemicals, Plastics and Rubber</w:t>
            </w:r>
          </w:p>
        </w:tc>
        <w:tc>
          <w:tcPr>
            <w:tcW w:w="7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5,445,000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4,969,376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5,304,356</w:t>
            </w: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660" w:type="dxa"/>
            <w:vAlign w:val="bottom"/>
          </w:tcPr>
          <w:p>
            <w:pPr>
              <w:ind w:left="20"/>
              <w:spacing w:after="0" w:line="121" w:lineRule="exact"/>
              <w:rPr>
                <w:sz w:val="20"/>
                <w:szCs w:val="20"/>
                <w:color w:val="auto"/>
              </w:rPr>
            </w:pPr>
            <w:r>
              <w:rPr>
                <w:rFonts w:ascii="Arial" w:cs="Arial" w:eastAsia="Arial" w:hAnsi="Arial"/>
                <w:sz w:val="13"/>
                <w:szCs w:val="13"/>
                <w:color w:val="auto"/>
                <w:w w:val="95"/>
              </w:rPr>
              <w:t>01/27/2021</w:t>
            </w:r>
          </w:p>
        </w:tc>
        <w:tc>
          <w:tcPr>
            <w:tcW w:w="17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Diversified and</w:t>
            </w:r>
          </w:p>
        </w:tc>
        <w:tc>
          <w:tcPr>
            <w:tcW w:w="7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6.25%</w:t>
            </w:r>
          </w:p>
        </w:tc>
        <w:tc>
          <w:tcPr>
            <w:tcW w:w="9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P+275</w:t>
            </w:r>
            <w:r>
              <w:rPr>
                <w:rFonts w:ascii="Arial" w:cs="Arial" w:eastAsia="Arial" w:hAnsi="Arial"/>
                <w:sz w:val="10"/>
                <w:szCs w:val="10"/>
                <w:color w:val="auto"/>
              </w:rPr>
              <w:t>(9)</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8"/>
              </w:rPr>
              <w:t>17,287,548</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12,089,390</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13,263,195</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Production</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01/27/2021</w:t>
            </w:r>
          </w:p>
        </w:tc>
        <w:tc>
          <w:tcPr>
            <w:tcW w:w="1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Diversified and</w:t>
            </w:r>
          </w:p>
        </w:tc>
        <w:tc>
          <w:tcPr>
            <w:tcW w:w="7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P+275</w:t>
            </w:r>
            <w:r>
              <w:rPr>
                <w:rFonts w:ascii="Arial" w:cs="Arial" w:eastAsia="Arial" w:hAnsi="Arial"/>
                <w:sz w:val="10"/>
                <w:szCs w:val="10"/>
                <w:color w:val="auto"/>
              </w:rPr>
              <w:t>(9)</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817,518</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817,518</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817,518</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Production</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660" w:type="dxa"/>
            <w:vAlign w:val="bottom"/>
          </w:tcPr>
          <w:p>
            <w:pPr>
              <w:ind w:left="20"/>
              <w:spacing w:after="0" w:line="121" w:lineRule="exact"/>
              <w:rPr>
                <w:sz w:val="20"/>
                <w:szCs w:val="20"/>
                <w:color w:val="auto"/>
              </w:rPr>
            </w:pPr>
            <w:r>
              <w:rPr>
                <w:rFonts w:ascii="Arial" w:cs="Arial" w:eastAsia="Arial" w:hAnsi="Arial"/>
                <w:sz w:val="13"/>
                <w:szCs w:val="13"/>
                <w:color w:val="auto"/>
                <w:w w:val="95"/>
              </w:rPr>
              <w:t>01/27/2021</w:t>
            </w:r>
          </w:p>
        </w:tc>
        <w:tc>
          <w:tcPr>
            <w:tcW w:w="17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Diversified and</w:t>
            </w:r>
          </w:p>
        </w:tc>
        <w:tc>
          <w:tcPr>
            <w:tcW w:w="70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885,645</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Production</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8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Above</w:t>
            </w:r>
          </w:p>
        </w:tc>
        <w:tc>
          <w:tcPr>
            <w:tcW w:w="8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vMerge w:val="continue"/>
          </w:tcPr>
          <w:p>
            <w:pPr>
              <w:spacing w:after="0"/>
              <w:rPr>
                <w:sz w:val="13"/>
                <w:szCs w:val="13"/>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Maturity</w:t>
            </w:r>
          </w:p>
        </w:tc>
        <w:tc>
          <w:tcPr>
            <w:tcW w:w="1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Coupon</w:t>
            </w:r>
          </w:p>
        </w:tc>
        <w:tc>
          <w:tcPr>
            <w:tcW w:w="3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(1)</w:t>
            </w:r>
          </w:p>
        </w:tc>
        <w:tc>
          <w:tcPr>
            <w:tcW w:w="3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(2)</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New Trident HoldCorp, Inc.</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07/31/2019</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Healthcare and Pharmaceuticals</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6.50%</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L+525</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8,842,647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8,794,073</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8,312,088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PlayPower,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06/23/2021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3,960,000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3,925,700</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3,910,500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06/28/2019</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15,070,270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8"/>
              </w:rPr>
              <w:t>14,936,779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14,806,540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Precyse Acquisition Corp.</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10/20/2022</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3,941,387</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3,980,000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11/01/2018</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7.50%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L+650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7,528,230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7,466,070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7,227,100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Profile Products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05/20/2021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Environmental Industries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7,328,893</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7,265,937</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7,328,893</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05/20/2020</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Environmental Industries</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2,459,016</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03/18/2021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L+450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6,912,500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6,883,037</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6,739,688</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06/18/2019</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L+750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3,534,117</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3,513,166</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3,534,117</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08/07/2020</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6.75%</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4,275,000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4,219,181</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4,157,438</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Sensus USA,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04/05/2023</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3"/>
              </w:rPr>
              <w:t>Utilities: Water</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10,000,000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9,708,380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9,925,000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05/21/2021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10,000,000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9,901,548</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9,865,692</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04/21/2017</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L+750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5,668,843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5,590,789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5,640,499</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10/19/2021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7.25%</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L+625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7,406,250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7,289,236</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7,406,250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12/16/2020</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7,465,468</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7,411,362</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7,409,477</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10/18/2019</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5.00%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L+400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5,850,000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5,832,973</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5,733,000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07/09/2021</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4,822,723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4,785,366</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4,252,051</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3,916,894</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3,877,725</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3,877,725</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6,016,349</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5,956,186</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5,956,186</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1,566,757</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11/02/2020</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1,975,000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1,822,673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1,520,750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12/28/2020</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11.25%</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L+1,075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10,925,059</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8"/>
              </w:rPr>
              <w:t>10,722,760</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10,909,328</w:t>
            </w:r>
          </w:p>
        </w:tc>
        <w:tc>
          <w:tcPr>
            <w:tcW w:w="0" w:type="dxa"/>
            <w:vAlign w:val="bottom"/>
          </w:tcPr>
          <w:p>
            <w:pPr>
              <w:spacing w:after="0"/>
              <w:rPr>
                <w:sz w:val="1"/>
                <w:szCs w:val="1"/>
                <w:color w:val="auto"/>
              </w:rPr>
            </w:pPr>
          </w:p>
        </w:tc>
      </w:tr>
      <w:tr>
        <w:trPr>
          <w:trHeight w:val="121"/>
        </w:trPr>
        <w:tc>
          <w:tcPr>
            <w:tcW w:w="3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9.74%</w:t>
            </w:r>
          </w:p>
        </w:tc>
        <w:tc>
          <w:tcPr>
            <w:tcW w:w="96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L+850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310,900</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310,900</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310,900</w:t>
            </w: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1.00%)</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01/14/2019</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L+750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599,702</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558,841</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581,711</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151,090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10/04/2021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Chemicals, Plastics and Rubber</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4,975,000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4,929,933</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4,925,250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12/31/2019</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9,950,000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9,862,444</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9,900,250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08/13/2021</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L+900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3,097,656</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3,097,656</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3,097,656</w:t>
            </w:r>
          </w:p>
        </w:tc>
        <w:tc>
          <w:tcPr>
            <w:tcW w:w="0" w:type="dxa"/>
            <w:vAlign w:val="bottom"/>
          </w:tcPr>
          <w:p>
            <w:pPr>
              <w:spacing w:after="0"/>
              <w:rPr>
                <w:sz w:val="1"/>
                <w:szCs w:val="1"/>
                <w:color w:val="auto"/>
              </w:rPr>
            </w:pPr>
          </w:p>
        </w:tc>
      </w:tr>
      <w:tr>
        <w:trPr>
          <w:trHeight w:val="121"/>
        </w:trPr>
        <w:tc>
          <w:tcPr>
            <w:tcW w:w="3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Vistage Worldwide, Inc.</w:t>
            </w:r>
          </w:p>
        </w:tc>
        <w:tc>
          <w:tcPr>
            <w:tcW w:w="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08/19/2021</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7"/>
              </w:rPr>
              <w:t>Media: Broadcasting and</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4,906,250</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4,862,563</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4,906,250</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Subscription</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08/30/2018</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L+725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2,393,762</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2,373,845</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1,915,009</w:t>
            </w:r>
          </w:p>
        </w:tc>
        <w:tc>
          <w:tcPr>
            <w:tcW w:w="0" w:type="dxa"/>
            <w:vAlign w:val="bottom"/>
          </w:tcPr>
          <w:p>
            <w:pPr>
              <w:spacing w:after="0"/>
              <w:rPr>
                <w:sz w:val="1"/>
                <w:szCs w:val="1"/>
                <w:color w:val="auto"/>
              </w:rPr>
            </w:pPr>
          </w:p>
        </w:tc>
      </w:tr>
      <w:tr>
        <w:trPr>
          <w:trHeight w:val="121"/>
        </w:trPr>
        <w:tc>
          <w:tcPr>
            <w:tcW w:w="3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10/30/2020</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7"/>
              </w:rPr>
              <w:t>Banking, Finance, Insurance and</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L+800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7,335,002</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7,274,446</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7,335,002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Real Estate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8"/>
              </w:rPr>
              <w:t>494,173,038</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489,065,748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Debt—14.1%</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L+700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936,322</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716,430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09/01/2017</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Metals and Mining</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11.50%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600,000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12/31/2020</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Chemicals, Plastics and Rubber</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1,969,563</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09/30/2020</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Wholesale</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L+1,000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8"/>
              </w:rPr>
              <w:t>10,488,120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10,230,000</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07/31/2019</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11.00%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3,947,855</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4,020,000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07/07/2022</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10.75%</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L+975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10,750,000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8"/>
              </w:rPr>
              <w:t>10,601,962</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10,660,453</w:t>
            </w: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MailSouth, Inc.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10/22/2021</w:t>
            </w:r>
          </w:p>
        </w:tc>
        <w:tc>
          <w:tcPr>
            <w:tcW w:w="180" w:type="dxa"/>
            <w:vAlign w:val="bottom"/>
          </w:tcPr>
          <w:p>
            <w:pPr>
              <w:spacing w:after="0"/>
              <w:rPr>
                <w:sz w:val="10"/>
                <w:szCs w:val="10"/>
                <w:color w:val="auto"/>
              </w:rPr>
            </w:pP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11.50%</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L+1,050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3,775,000</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3,701,118</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3,699,500</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07/07/2021</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11.75%</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L+1,050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8"/>
              </w:rPr>
              <w:t>10,907,147</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10,890,000</w:t>
            </w: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10/02/2020</w:t>
            </w:r>
          </w:p>
        </w:tc>
        <w:tc>
          <w:tcPr>
            <w:tcW w:w="180" w:type="dxa"/>
            <w:vAlign w:val="bottom"/>
          </w:tcPr>
          <w:p>
            <w:pPr>
              <w:spacing w:after="0"/>
              <w:rPr>
                <w:sz w:val="10"/>
                <w:szCs w:val="10"/>
                <w:color w:val="auto"/>
              </w:rPr>
            </w:pP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Media: Diversified and</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9.00%</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L+775</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4,872,042</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4,824,256</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4,725,881</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Production</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08/01/2016</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2,812,500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2,804,106</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1,546,875</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VT Buyer Acquisition Corp.</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01/30/2023</w:t>
            </w: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10.75%</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L+975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2,625,000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2,536,650</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2,572,500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8"/>
              </w:rPr>
              <w:t>53,717,099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51,681,639</w:t>
            </w: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07/30/2018</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7.50%</w:t>
            </w:r>
          </w:p>
        </w:tc>
        <w:tc>
          <w:tcPr>
            <w:tcW w:w="96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1,135,273</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1,016,731</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885,513</w:t>
            </w: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7.50%)</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Credit Infonet, Inc.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10/26/2018</w:t>
            </w:r>
          </w:p>
        </w:tc>
        <w:tc>
          <w:tcPr>
            <w:tcW w:w="180" w:type="dxa"/>
            <w:vAlign w:val="bottom"/>
          </w:tcPr>
          <w:p>
            <w:pPr>
              <w:spacing w:after="0"/>
              <w:rPr>
                <w:sz w:val="10"/>
                <w:szCs w:val="10"/>
                <w:color w:val="auto"/>
              </w:rPr>
            </w:pP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13.50%</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2,059,400</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2,039,139</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1,900,497</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(PIK 2.25%)</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9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UniTek Global Services, Inc.</w:t>
            </w:r>
          </w:p>
        </w:tc>
        <w:tc>
          <w:tcPr>
            <w:tcW w:w="6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07/15/2019</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3"/>
                <w:szCs w:val="13"/>
                <w:color w:val="auto"/>
              </w:rPr>
              <w:t>15.00%</w:t>
            </w:r>
          </w:p>
        </w:tc>
        <w:tc>
          <w:tcPr>
            <w:tcW w:w="96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141,570</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141,570</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141,570</w:t>
            </w: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5"/>
              </w:rPr>
              <w:t>(PIK 15.00%)</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3,197,440</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2,927,580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Equity—0.5% </w:t>
            </w:r>
            <w:r>
              <w:rPr>
                <w:rFonts w:ascii="Arial" w:cs="Arial" w:eastAsia="Arial" w:hAnsi="Arial"/>
                <w:sz w:val="10"/>
                <w:szCs w:val="10"/>
                <w:b w:val="1"/>
                <w:bCs w:val="1"/>
                <w:color w:val="auto"/>
              </w:rPr>
              <w:t>(7), (8)</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8.00%</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295,451</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378,050</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13.50%</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1,047,317</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670,283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1,275,294</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Preferred Equity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965,734</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1,653,344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Equity/Warrants—1.5% </w:t>
            </w:r>
            <w:r>
              <w:rPr>
                <w:rFonts w:ascii="Arial" w:cs="Arial" w:eastAsia="Arial" w:hAnsi="Arial"/>
                <w:sz w:val="10"/>
                <w:szCs w:val="10"/>
                <w:b w:val="1"/>
                <w:bCs w:val="1"/>
                <w:color w:val="auto"/>
              </w:rPr>
              <w:t>(7), (8)</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99,029</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3,514,572</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3,548,954</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4,298</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1,186,649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19,341</w:t>
            </w:r>
          </w:p>
        </w:tc>
        <w:tc>
          <w:tcPr>
            <w:tcW w:w="0" w:type="dxa"/>
            <w:vAlign w:val="bottom"/>
          </w:tcPr>
          <w:p>
            <w:pPr>
              <w:spacing w:after="0"/>
              <w:rPr>
                <w:sz w:val="1"/>
                <w:szCs w:val="1"/>
                <w:color w:val="auto"/>
              </w:rPr>
            </w:pPr>
          </w:p>
        </w:tc>
      </w:tr>
      <w:tr>
        <w:trPr>
          <w:trHeight w:val="135"/>
        </w:trPr>
        <w:tc>
          <w:tcPr>
            <w:tcW w:w="3940" w:type="dxa"/>
            <w:vAlign w:val="bottom"/>
            <w:gridSpan w:val="2"/>
          </w:tcPr>
          <w:p>
            <w:pPr>
              <w:spacing w:after="0" w:line="135" w:lineRule="exact"/>
              <w:rPr>
                <w:sz w:val="20"/>
                <w:szCs w:val="20"/>
                <w:color w:val="auto"/>
              </w:rPr>
            </w:pPr>
            <w:r>
              <w:rPr>
                <w:rFonts w:ascii="Arial" w:cs="Arial" w:eastAsia="Arial" w:hAnsi="Arial"/>
                <w:sz w:val="13"/>
                <w:szCs w:val="13"/>
                <w:color w:val="auto"/>
              </w:rPr>
              <w:t>Corfin InvestCo, L.P.</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300,000</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509,494</w:t>
            </w: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45,761</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82,985</w:t>
            </w:r>
          </w:p>
        </w:tc>
        <w:tc>
          <w:tcPr>
            <w:tcW w:w="0" w:type="dxa"/>
            <w:vAlign w:val="bottom"/>
          </w:tcPr>
          <w:p>
            <w:pPr>
              <w:spacing w:after="0"/>
              <w:rPr>
                <w:sz w:val="1"/>
                <w:szCs w:val="1"/>
                <w:color w:val="auto"/>
              </w:rPr>
            </w:pPr>
          </w:p>
        </w:tc>
      </w:tr>
      <w:tr>
        <w:trPr>
          <w:trHeight w:val="161"/>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(Interior Specialists, Inc.)</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J.A. Cosmetics US, Inc.</w:t>
            </w:r>
          </w:p>
        </w:tc>
        <w:tc>
          <w:tcPr>
            <w:tcW w:w="78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414,108</w:t>
            </w: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w:t>
            </w: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Banking, Finance, Insurance and</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11,867</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27,995</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97,072</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Real Estate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149,617</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496,019</w:t>
            </w:r>
          </w:p>
        </w:tc>
        <w:tc>
          <w:tcPr>
            <w:tcW w:w="0" w:type="dxa"/>
            <w:vAlign w:val="bottom"/>
          </w:tcPr>
          <w:p>
            <w:pPr>
              <w:spacing w:after="0"/>
              <w:rPr>
                <w:sz w:val="1"/>
                <w:szCs w:val="1"/>
                <w:color w:val="auto"/>
              </w:rPr>
            </w:pPr>
          </w:p>
        </w:tc>
      </w:tr>
      <w:tr>
        <w:trPr>
          <w:trHeight w:val="121"/>
        </w:trPr>
        <w:tc>
          <w:tcPr>
            <w:tcW w:w="394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2"/>
              </w:rPr>
              <w:t>Media: Advertising, Printing</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56,895</w:t>
            </w:r>
          </w:p>
        </w:tc>
        <w:tc>
          <w:tcPr>
            <w:tcW w:w="100" w:type="dxa"/>
            <w:vAlign w:val="bottom"/>
          </w:tcPr>
          <w:p>
            <w:pPr>
              <w:spacing w:after="0"/>
              <w:rPr>
                <w:sz w:val="10"/>
                <w:szCs w:val="10"/>
                <w:color w:val="auto"/>
              </w:rPr>
            </w:pPr>
          </w:p>
        </w:tc>
        <w:tc>
          <w:tcPr>
            <w:tcW w:w="74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502,997</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2"/>
              </w:rPr>
              <w:t>and</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5,132,091</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5,670,970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540" w:type="dxa"/>
            <w:vAlign w:val="bottom"/>
            <w:gridSpan w:val="2"/>
          </w:tcPr>
          <w:p>
            <w:pPr>
              <w:ind w:left="1600"/>
              <w:spacing w:after="0" w:line="135" w:lineRule="exact"/>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Above</w:t>
            </w:r>
          </w:p>
        </w:tc>
        <w:tc>
          <w:tcPr>
            <w:tcW w:w="900" w:type="dxa"/>
            <w:vAlign w:val="bottom"/>
            <w:gridSpan w:val="3"/>
          </w:tcPr>
          <w:p>
            <w:pPr>
              <w:jc w:val="right"/>
              <w:ind w:right="428"/>
              <w:spacing w:after="0" w:line="135" w:lineRule="exact"/>
              <w:rPr>
                <w:sz w:val="20"/>
                <w:szCs w:val="20"/>
                <w:color w:val="auto"/>
              </w:rPr>
            </w:pPr>
            <w:r>
              <w:rPr>
                <w:rFonts w:ascii="Arial" w:cs="Arial" w:eastAsia="Arial" w:hAnsi="Arial"/>
                <w:sz w:val="13"/>
                <w:szCs w:val="13"/>
                <w:b w:val="1"/>
                <w:bCs w:val="1"/>
                <w:color w:val="auto"/>
              </w:rPr>
              <w:t>Par /</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2540" w:type="dxa"/>
            <w:vAlign w:val="bottom"/>
            <w:gridSpan w:val="2"/>
          </w:tcPr>
          <w:p>
            <w:pPr>
              <w:ind w:left="320"/>
              <w:spacing w:after="0"/>
              <w:rPr>
                <w:sz w:val="20"/>
                <w:szCs w:val="20"/>
                <w:color w:val="auto"/>
              </w:rPr>
            </w:pPr>
            <w:r>
              <w:rPr>
                <w:rFonts w:ascii="Arial" w:cs="Arial" w:eastAsia="Arial" w:hAnsi="Arial"/>
                <w:sz w:val="13"/>
                <w:szCs w:val="13"/>
                <w:b w:val="1"/>
                <w:bCs w:val="1"/>
                <w:color w:val="auto"/>
              </w:rPr>
              <w:t>Maturity</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00" w:type="dxa"/>
            <w:vAlign w:val="bottom"/>
            <w:gridSpan w:val="3"/>
          </w:tcPr>
          <w:p>
            <w:pPr>
              <w:jc w:val="right"/>
              <w:ind w:right="388"/>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128"/>
        </w:trPr>
        <w:tc>
          <w:tcPr>
            <w:tcW w:w="42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Total Investments in Non-Controlled, Non-Affiliated Portfolio Companies</w:t>
            </w:r>
          </w:p>
        </w:tc>
        <w:tc>
          <w:tcPr>
            <w:tcW w:w="2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557,185,402</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550,999,281</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Equivalents—4.5%</w:t>
            </w:r>
          </w:p>
        </w:tc>
        <w:tc>
          <w:tcPr>
            <w:tcW w:w="2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BlackRock Liquidity Funds, Temp Cash and Temp Fund, Institutional Shares</w:t>
            </w:r>
          </w:p>
        </w:tc>
        <w:tc>
          <w:tcPr>
            <w:tcW w:w="2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16,222,651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16,222,651</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544,620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567,751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2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16,767,271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16,790,402</w:t>
            </w:r>
          </w:p>
        </w:tc>
        <w:tc>
          <w:tcPr>
            <w:tcW w:w="0" w:type="dxa"/>
            <w:vAlign w:val="bottom"/>
          </w:tcPr>
          <w:p>
            <w:pPr>
              <w:spacing w:after="0"/>
              <w:rPr>
                <w:sz w:val="1"/>
                <w:szCs w:val="1"/>
                <w:color w:val="auto"/>
              </w:rPr>
            </w:pPr>
          </w:p>
        </w:tc>
      </w:tr>
      <w:tr>
        <w:trPr>
          <w:trHeight w:val="142"/>
        </w:trPr>
        <w:tc>
          <w:tcPr>
            <w:tcW w:w="428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Equivalents—154.4%</w:t>
            </w:r>
          </w:p>
        </w:tc>
        <w:tc>
          <w:tcPr>
            <w:tcW w:w="2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573,952,673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567,789,683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Assets—(54.4)%</w:t>
            </w:r>
          </w:p>
        </w:tc>
        <w:tc>
          <w:tcPr>
            <w:tcW w:w="2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1"/>
              </w:rPr>
              <w:t>(200,151,050)</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2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367,638,633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43"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8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8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right="8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44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30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60" w:type="dxa"/>
            <w:vAlign w:val="bottom"/>
            <w:vMerge w:val="continue"/>
          </w:tcPr>
          <w:p>
            <w:pPr>
              <w:spacing w:after="0"/>
              <w:rPr>
                <w:sz w:val="13"/>
                <w:szCs w:val="13"/>
                <w:color w:val="auto"/>
              </w:rPr>
            </w:pPr>
          </w:p>
        </w:tc>
        <w:tc>
          <w:tcPr>
            <w:tcW w:w="1460" w:type="dxa"/>
            <w:vAlign w:val="bottom"/>
          </w:tcPr>
          <w:p>
            <w:pPr>
              <w:jc w:val="right"/>
              <w:ind w:right="77"/>
              <w:spacing w:after="0"/>
              <w:rPr>
                <w:sz w:val="20"/>
                <w:szCs w:val="20"/>
                <w:color w:val="auto"/>
              </w:rPr>
            </w:pPr>
            <w:r>
              <w:rPr>
                <w:rFonts w:ascii="Arial" w:cs="Arial" w:eastAsia="Arial" w:hAnsi="Arial"/>
                <w:sz w:val="13"/>
                <w:szCs w:val="13"/>
                <w:b w:val="1"/>
                <w:bCs w:val="1"/>
                <w:color w:val="auto"/>
              </w:rPr>
              <w:t>Maturity</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5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Companies—104.2% </w:t>
            </w:r>
            <w:r>
              <w:rPr>
                <w:rFonts w:ascii="Arial" w:cs="Arial" w:eastAsia="Arial" w:hAnsi="Arial"/>
                <w:sz w:val="10"/>
                <w:szCs w:val="10"/>
                <w:b w:val="1"/>
                <w:bCs w:val="1"/>
                <w:color w:val="auto"/>
              </w:rPr>
              <w:t>(3), (4)</w:t>
            </w:r>
          </w:p>
        </w:tc>
        <w:tc>
          <w:tcPr>
            <w:tcW w:w="18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Debt—89.1%</w:t>
            </w:r>
          </w:p>
        </w:tc>
        <w:tc>
          <w:tcPr>
            <w:tcW w:w="1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04/02/2018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11.97%</w:t>
            </w:r>
          </w:p>
        </w:tc>
        <w:tc>
          <w:tcPr>
            <w:tcW w:w="9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10,734,388</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10,555,953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10,895,404</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04/02/2018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1,165,725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17,486</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02/28/2019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7,136,577</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7,101,328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04/04/2022</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3,900,038</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3,881,182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3,880,538</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07/16/2018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2,990,287</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2,971,513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2,975,336</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12/21/2020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6,602,074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6,517,717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6,492,018</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10/12/2020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3,970,000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3,935,708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3,930,300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11/15/2018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5,310,750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5,189,661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4,514,138</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06/29/2020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4,280,585</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4,227,278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4,264,533</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09/17/2021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12,902,393</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12,820,758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12,805,625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Camin Cargo Control,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06/30/2021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2,493,750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2,469,351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2,468,812</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CareCentrix,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07/08/2021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4,878,103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4,870,850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07/02/2020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4,961,991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12/24/2019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4,432,500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4,381,480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4,210,875</w:t>
            </w:r>
          </w:p>
        </w:tc>
        <w:tc>
          <w:tcPr>
            <w:tcW w:w="0" w:type="dxa"/>
            <w:vAlign w:val="bottom"/>
          </w:tcPr>
          <w:p>
            <w:pPr>
              <w:spacing w:after="0"/>
              <w:rPr>
                <w:sz w:val="1"/>
                <w:szCs w:val="1"/>
                <w:color w:val="auto"/>
              </w:rPr>
            </w:pPr>
          </w:p>
        </w:tc>
      </w:tr>
      <w:tr>
        <w:trPr>
          <w:trHeight w:val="121"/>
        </w:trPr>
        <w:tc>
          <w:tcPr>
            <w:tcW w:w="3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4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01/08/2019</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L+600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4,925,000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4,887,389</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12/21/2020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11,861,946</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11,755,521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11,743,327</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02/07/2022</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1,990,000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1,971,403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1,988,348</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03/19/2018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2,976,683</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2,952,648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3,017,613</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12/09/2020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4,975,000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4,931,287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06/30/2020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4,901,367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09/10/2020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8,955,000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09/10/2020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07/01/2021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4,987,500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4,914,374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4,862,812</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12/23/2021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4,975,000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4,927,105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4,897,290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05/31/2019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3,900,641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3,910,350</w:t>
            </w:r>
          </w:p>
        </w:tc>
        <w:tc>
          <w:tcPr>
            <w:tcW w:w="0" w:type="dxa"/>
            <w:vAlign w:val="bottom"/>
          </w:tcPr>
          <w:p>
            <w:pPr>
              <w:spacing w:after="0"/>
              <w:rPr>
                <w:sz w:val="1"/>
                <w:szCs w:val="1"/>
                <w:color w:val="auto"/>
              </w:rPr>
            </w:pPr>
          </w:p>
        </w:tc>
      </w:tr>
      <w:tr>
        <w:trPr>
          <w:trHeight w:val="121"/>
        </w:trPr>
        <w:tc>
          <w:tcPr>
            <w:tcW w:w="366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4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05/23/2018</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6.75%</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1,091,582</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1,090,547</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1,088,177</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11/04/2020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6,877,500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6,827,661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6,739,950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06/28/2019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4,866,257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10/21/2020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1,194,000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1,178,322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1,194,000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12/13/2019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2,753,737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2,734,900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2,726,199</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08/05/2019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6,650,000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6,598,073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6,641,687</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ICC-Nexergy,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04/30/2020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4,987,500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4,941,329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11/04/2020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6,965,000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6,842,099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6,965,000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05/01/2019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10,094,315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10,001,190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9,084,884</w:t>
            </w:r>
          </w:p>
        </w:tc>
        <w:tc>
          <w:tcPr>
            <w:tcW w:w="0" w:type="dxa"/>
            <w:vAlign w:val="bottom"/>
          </w:tcPr>
          <w:p>
            <w:pPr>
              <w:spacing w:after="0"/>
              <w:rPr>
                <w:sz w:val="1"/>
                <w:szCs w:val="1"/>
                <w:color w:val="auto"/>
              </w:rPr>
            </w:pPr>
          </w:p>
        </w:tc>
      </w:tr>
      <w:tr>
        <w:trPr>
          <w:trHeight w:val="121"/>
        </w:trPr>
        <w:tc>
          <w:tcPr>
            <w:tcW w:w="36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4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03/28/2019</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5,366,227</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5,306,494</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5,366,227</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4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03/28/2019</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4,447,058</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06/30/2020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6,734,452</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6,800,000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07/30/2020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4,901,996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08/19/2019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5,965,222</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5,874,403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5,537,227</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07/17/2020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L+600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2,970,849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11/13/2020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1,965,012</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1,958,874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1,943,731</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11/30/2018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5,789,068</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5,735,375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5,736,619</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05/10/2021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2,208,750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2,197,809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2,197,706</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05/10/2021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283,588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283,575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04/18/2022</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1,995,000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1,985,364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07/31/2019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L+525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8,917,647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8,854,192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8,566,559</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06/04/2021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3,482,889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3,491,250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PlayPower,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06/23/2021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3,990,000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3,951,094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06/28/2019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11,482,697</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11,430,576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11,425,283</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11/01/2018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8,219,601</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8,131,135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7,109,955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05/20/2021</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7,470,287</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7,398,025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7,470,287</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05/20/2020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2,459,016</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12/17/2018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L+650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4,912,500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4,880,217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4,914,563</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Research Now Group, Inc.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03/18/2021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L+450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6,965,000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6,931,604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6,912,763</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06/18/2019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3,582,758</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3,557,217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3,575,247</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Ryan,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08/07/2020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4,443,750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4,378,244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4,382,648</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04/21/2017</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6,101,682</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5,946,657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5,491,514</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08/09/2021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714,200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711,056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714,200</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08/22/2018</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10,037,432</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10,017,760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9,937,058</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12/16/2020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6,218,750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6,171,308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6,164,336</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10/18/2019</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L+400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5,895,000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5,875,736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5,895,000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14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07/09/2021</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L+475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4,906,969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4,588,056</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14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11/02/2020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1,990,000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1,814,920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1,845,725</w:t>
            </w:r>
          </w:p>
        </w:tc>
        <w:tc>
          <w:tcPr>
            <w:tcW w:w="0" w:type="dxa"/>
            <w:vAlign w:val="bottom"/>
          </w:tcPr>
          <w:p>
            <w:pPr>
              <w:spacing w:after="0"/>
              <w:rPr>
                <w:sz w:val="1"/>
                <w:szCs w:val="1"/>
                <w:color w:val="auto"/>
              </w:rPr>
            </w:pPr>
          </w:p>
        </w:tc>
      </w:tr>
      <w:tr>
        <w:trPr>
          <w:trHeight w:val="121"/>
        </w:trPr>
        <w:tc>
          <w:tcPr>
            <w:tcW w:w="366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4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01/14/2019</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9.50%</w:t>
            </w:r>
          </w:p>
        </w:tc>
        <w:tc>
          <w:tcPr>
            <w:tcW w:w="9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430,126</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430,126</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430,126</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9"/>
              </w:rPr>
              <w:t>(PIK 1.00%)</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46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01/14/2019</w:t>
            </w:r>
          </w:p>
        </w:tc>
        <w:tc>
          <w:tcPr>
            <w:tcW w:w="18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Telecommunications</w:t>
            </w:r>
          </w:p>
        </w:tc>
        <w:tc>
          <w:tcPr>
            <w:tcW w:w="80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8.50%</w:t>
            </w:r>
          </w:p>
        </w:tc>
        <w:tc>
          <w:tcPr>
            <w:tcW w:w="90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L+750</w:t>
            </w:r>
          </w:p>
        </w:tc>
        <w:tc>
          <w:tcPr>
            <w:tcW w:w="74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599,702</w:t>
            </w:r>
          </w:p>
        </w:tc>
        <w:tc>
          <w:tcPr>
            <w:tcW w:w="90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548,736</w:t>
            </w:r>
          </w:p>
        </w:tc>
        <w:tc>
          <w:tcPr>
            <w:tcW w:w="9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r>
        <w:trPr>
          <w:trHeight w:val="160"/>
        </w:trPr>
        <w:tc>
          <w:tcPr>
            <w:tcW w:w="3660" w:type="dxa"/>
            <w:vAlign w:val="bottom"/>
          </w:tcPr>
          <w:p>
            <w:pPr>
              <w:spacing w:after="0"/>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1460" w:type="dxa"/>
            <w:vAlign w:val="bottom"/>
          </w:tcPr>
          <w:p>
            <w:pPr>
              <w:jc w:val="right"/>
              <w:ind w:right="17"/>
              <w:spacing w:after="0"/>
              <w:rPr>
                <w:sz w:val="20"/>
                <w:szCs w:val="20"/>
                <w:color w:val="auto"/>
              </w:rPr>
            </w:pPr>
            <w:r>
              <w:rPr>
                <w:rFonts w:ascii="Arial" w:cs="Arial" w:eastAsia="Arial" w:hAnsi="Arial"/>
                <w:sz w:val="13"/>
                <w:szCs w:val="13"/>
                <w:color w:val="auto"/>
              </w:rPr>
              <w:t>01/14/2019</w:t>
            </w:r>
          </w:p>
        </w:tc>
        <w:tc>
          <w:tcPr>
            <w:tcW w:w="182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151,090</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Above</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00" w:type="dxa"/>
            <w:vAlign w:val="bottom"/>
            <w:gridSpan w:val="2"/>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Industry</w:t>
            </w:r>
          </w:p>
        </w:tc>
        <w:tc>
          <w:tcPr>
            <w:tcW w:w="90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Coupon</w:t>
            </w: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44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02/07/2022</w:t>
            </w:r>
          </w:p>
        </w:tc>
        <w:tc>
          <w:tcPr>
            <w:tcW w:w="1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6.75</w:t>
            </w:r>
          </w:p>
        </w:tc>
        <w:tc>
          <w:tcPr>
            <w:tcW w:w="30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w w:val="86"/>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3,800,641</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3,729,952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0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08/13/2021</w:t>
            </w:r>
          </w:p>
        </w:tc>
        <w:tc>
          <w:tcPr>
            <w:tcW w:w="120" w:type="dxa"/>
            <w:vAlign w:val="bottom"/>
          </w:tcPr>
          <w:p>
            <w:pPr>
              <w:spacing w:after="0"/>
              <w:rPr>
                <w:sz w:val="10"/>
                <w:szCs w:val="10"/>
                <w:color w:val="auto"/>
              </w:rPr>
            </w:pPr>
          </w:p>
        </w:tc>
        <w:tc>
          <w:tcPr>
            <w:tcW w:w="17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6"/>
              </w:rPr>
              <w:t>Healthcare and</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10.00%</w:t>
            </w:r>
          </w:p>
        </w:tc>
        <w:tc>
          <w:tcPr>
            <w:tcW w:w="8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L+900</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3,121,094</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Pharmaceuticals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Vistage Worldwide,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08/19/2021</w:t>
            </w: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8"/>
              </w:rPr>
              <w:t>Media: Broadcasting and</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6.50%</w:t>
            </w:r>
          </w:p>
        </w:tc>
        <w:tc>
          <w:tcPr>
            <w:tcW w:w="8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4,950,477</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Subscription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08/30/2018</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Consumer Goods: Non-Durable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L+725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2,703,000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2,674,736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2,630,370</w:t>
            </w:r>
          </w:p>
        </w:tc>
        <w:tc>
          <w:tcPr>
            <w:tcW w:w="0" w:type="dxa"/>
            <w:vAlign w:val="bottom"/>
          </w:tcPr>
          <w:p>
            <w:pPr>
              <w:spacing w:after="0"/>
              <w:rPr>
                <w:sz w:val="1"/>
                <w:szCs w:val="1"/>
                <w:color w:val="auto"/>
              </w:rPr>
            </w:pPr>
          </w:p>
        </w:tc>
      </w:tr>
      <w:tr>
        <w:trPr>
          <w:trHeight w:val="121"/>
        </w:trPr>
        <w:tc>
          <w:tcPr>
            <w:tcW w:w="4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10/30/2020</w:t>
            </w: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Banking, Finance, Insurance</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6,490,688</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6,429,955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335,790,073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332,180,834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Debt—12.8%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919,155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893,130</w:t>
            </w: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Metals and Mining</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420" w:type="dxa"/>
            <w:vAlign w:val="bottom"/>
            <w:gridSpan w:val="4"/>
          </w:tcPr>
          <w:p>
            <w:pPr>
              <w:spacing w:after="0" w:line="135" w:lineRule="exact"/>
              <w:rPr>
                <w:sz w:val="20"/>
                <w:szCs w:val="20"/>
                <w:color w:val="auto"/>
              </w:rPr>
            </w:pPr>
            <w:r>
              <w:rPr>
                <w:rFonts w:ascii="Arial" w:cs="Arial" w:eastAsia="Arial" w:hAnsi="Arial"/>
                <w:sz w:val="13"/>
                <w:szCs w:val="13"/>
                <w:color w:val="auto"/>
                <w:w w:val="93"/>
              </w:rPr>
              <w:t>12/31/2020  Chemicals, Plastics and Rubber</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1,965,770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09/30/2020</w:t>
            </w: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5"/>
              </w:rPr>
              <w:t>Wholesale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9"/>
              </w:rPr>
              <w:t>11,000,000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10,423,463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10,670,000</w:t>
            </w: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3,938,373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4,040,000</w:t>
            </w: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07/07/2022</w:t>
            </w: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Consumer Services</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10.75%</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9"/>
              </w:rPr>
              <w:t>10,750,000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10,589,814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10,723,125</w:t>
            </w: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Business Services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9"/>
              </w:rPr>
              <w:t>11,000,000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10,902,202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10,780,000</w:t>
            </w:r>
          </w:p>
        </w:tc>
        <w:tc>
          <w:tcPr>
            <w:tcW w:w="0" w:type="dxa"/>
            <w:vAlign w:val="bottom"/>
          </w:tcPr>
          <w:p>
            <w:pPr>
              <w:spacing w:after="0"/>
              <w:rPr>
                <w:sz w:val="1"/>
                <w:szCs w:val="1"/>
                <w:color w:val="auto"/>
              </w:rPr>
            </w:pPr>
          </w:p>
        </w:tc>
      </w:tr>
      <w:tr>
        <w:trPr>
          <w:trHeight w:val="121"/>
        </w:trPr>
        <w:tc>
          <w:tcPr>
            <w:tcW w:w="4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0"/>
              </w:rPr>
              <w:t>Media: Diversified and</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9.00%</w:t>
            </w:r>
          </w:p>
        </w:tc>
        <w:tc>
          <w:tcPr>
            <w:tcW w:w="8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5,252,824</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5,194,116</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5,230,920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Production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Energy: Oil and Gas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2,697,607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2,615,625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47,630,500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47,902,800</w:t>
            </w: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Notes—1.5% </w:t>
            </w:r>
            <w:r>
              <w:rPr>
                <w:rFonts w:ascii="Arial" w:cs="Arial" w:eastAsia="Arial" w:hAnsi="Arial"/>
                <w:sz w:val="10"/>
                <w:szCs w:val="10"/>
                <w:b w:val="1"/>
                <w:bCs w:val="1"/>
                <w:color w:val="auto"/>
              </w:rPr>
              <w:t>(8)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09/14/2018</w:t>
            </w: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4,786,483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4,361,551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1,818,864</w:t>
            </w: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Affinion Investments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08/15/2018</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2,484,000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2,146,500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1,664,280</w:t>
            </w:r>
          </w:p>
        </w:tc>
        <w:tc>
          <w:tcPr>
            <w:tcW w:w="0" w:type="dxa"/>
            <w:vAlign w:val="bottom"/>
          </w:tcPr>
          <w:p>
            <w:pPr>
              <w:spacing w:after="0"/>
              <w:rPr>
                <w:sz w:val="1"/>
                <w:szCs w:val="1"/>
                <w:color w:val="auto"/>
              </w:rPr>
            </w:pPr>
          </w:p>
        </w:tc>
      </w:tr>
      <w:tr>
        <w:trPr>
          <w:trHeight w:val="121"/>
        </w:trPr>
        <w:tc>
          <w:tcPr>
            <w:tcW w:w="4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High Tech Industries</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13.00%</w:t>
            </w:r>
          </w:p>
        </w:tc>
        <w:tc>
          <w:tcPr>
            <w:tcW w:w="8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2,025,065</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1,999,885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1,992,841</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(PIK 1.75%)</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0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07/15/2019</w:t>
            </w:r>
          </w:p>
        </w:tc>
        <w:tc>
          <w:tcPr>
            <w:tcW w:w="120" w:type="dxa"/>
            <w:vAlign w:val="bottom"/>
          </w:tcPr>
          <w:p>
            <w:pPr>
              <w:spacing w:after="0"/>
              <w:rPr>
                <w:sz w:val="10"/>
                <w:szCs w:val="10"/>
                <w:color w:val="auto"/>
              </w:rPr>
            </w:pPr>
          </w:p>
        </w:tc>
        <w:tc>
          <w:tcPr>
            <w:tcW w:w="17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15.00%</w:t>
            </w:r>
          </w:p>
        </w:tc>
        <w:tc>
          <w:tcPr>
            <w:tcW w:w="8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7"/>
              <w:spacing w:after="0"/>
              <w:rPr>
                <w:sz w:val="20"/>
                <w:szCs w:val="20"/>
                <w:color w:val="auto"/>
              </w:rPr>
            </w:pPr>
            <w:r>
              <w:rPr>
                <w:rFonts w:ascii="Arial" w:cs="Arial" w:eastAsia="Arial" w:hAnsi="Arial"/>
                <w:sz w:val="13"/>
                <w:szCs w:val="13"/>
                <w:color w:val="auto"/>
                <w:w w:val="95"/>
              </w:rPr>
              <w:t>(PIK 15.00%)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8,634,195</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5,602,244</w:t>
            </w: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399,704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455,490</w:t>
            </w: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1,047,317</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691,115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1,069,987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1,146,605</w:t>
            </w: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Equity/Warrants—0.5%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118,817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674,296</w:t>
            </w: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554,715</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1,186,649</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291,226</w:t>
            </w: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50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Construction and Building</w:t>
            </w:r>
          </w:p>
        </w:tc>
        <w:tc>
          <w:tcPr>
            <w:tcW w:w="90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45,761</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52,466</w:t>
            </w:r>
          </w:p>
        </w:tc>
        <w:tc>
          <w:tcPr>
            <w:tcW w:w="0" w:type="dxa"/>
            <w:vAlign w:val="bottom"/>
          </w:tcPr>
          <w:p>
            <w:pPr>
              <w:spacing w:after="0"/>
              <w:rPr>
                <w:sz w:val="1"/>
                <w:szCs w:val="1"/>
                <w:color w:val="auto"/>
              </w:rPr>
            </w:pPr>
          </w:p>
        </w:tc>
      </w:tr>
      <w:tr>
        <w:trPr>
          <w:trHeight w:val="161"/>
        </w:trPr>
        <w:tc>
          <w:tcPr>
            <w:tcW w:w="4500" w:type="dxa"/>
            <w:vAlign w:val="bottom"/>
            <w:gridSpan w:val="2"/>
          </w:tcPr>
          <w:p>
            <w:pPr>
              <w:ind w:left="140"/>
              <w:spacing w:after="0"/>
              <w:rPr>
                <w:sz w:val="20"/>
                <w:szCs w:val="20"/>
                <w:color w:val="auto"/>
              </w:rPr>
            </w:pPr>
            <w:r>
              <w:rPr>
                <w:rFonts w:ascii="Arial" w:cs="Arial" w:eastAsia="Arial" w:hAnsi="Arial"/>
                <w:sz w:val="13"/>
                <w:szCs w:val="13"/>
                <w:color w:val="auto"/>
              </w:rPr>
              <w:t>(Interior Specialists, Inc.)</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237"/>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21"/>
        </w:trPr>
        <w:tc>
          <w:tcPr>
            <w:tcW w:w="450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11/27/2023</w:t>
            </w:r>
          </w:p>
        </w:tc>
        <w:tc>
          <w:tcPr>
            <w:tcW w:w="120" w:type="dxa"/>
            <w:vAlign w:val="bottom"/>
          </w:tcPr>
          <w:p>
            <w:pPr>
              <w:spacing w:after="0"/>
              <w:rPr>
                <w:sz w:val="10"/>
                <w:szCs w:val="10"/>
                <w:color w:val="auto"/>
              </w:rPr>
            </w:pPr>
          </w:p>
        </w:tc>
        <w:tc>
          <w:tcPr>
            <w:tcW w:w="17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Banking, Finance, Insurance</w:t>
            </w:r>
          </w:p>
        </w:tc>
        <w:tc>
          <w:tcPr>
            <w:tcW w:w="90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14,484</w:t>
            </w:r>
          </w:p>
        </w:tc>
        <w:tc>
          <w:tcPr>
            <w:tcW w:w="10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28,002</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190,609</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and Real Estate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149,617</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50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72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0"/>
              </w:rPr>
              <w:t>Media: Advertising, Printing</w:t>
            </w:r>
          </w:p>
        </w:tc>
        <w:tc>
          <w:tcPr>
            <w:tcW w:w="90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255,899</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and Publishing</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1,436,420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1,702,900</w:t>
            </w: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394,561,175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388,535,383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Investments in Controlled, Affiliated Portfolio Companies—0.7%</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Debt—0.7%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12/30/2016</w:t>
            </w: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8"/>
              </w:rPr>
              <w:t>Media: Broadcasting and</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4.33%</w:t>
            </w: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3,702,009</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2,777,132</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2,776,507</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Subscription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Investments—104.9%</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397,338,307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391,311,890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Equivalents—5.8%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00" w:type="dxa"/>
            <w:vAlign w:val="bottom"/>
            <w:gridSpan w:val="2"/>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21,428,514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Equivalents—110.7%</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418,766,821</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412,740,404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Assets—(10.7)%</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(39,849,955)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372,890,449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7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right="80" w:hanging="452"/>
        <w:spacing w:after="0" w:line="224"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0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3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2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Became a controlled affiliate during the quarter ended September 30, 2015.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60"/>
          </w:cols>
          <w:pgMar w:left="32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77"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4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10.</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On August 18, 2015, we completed the acquisition of MCG Capital Corporation, or MCG, pursuant to the Agreement and Plan of Merger, or the Merger Agreement, dated as of</w:t>
      </w:r>
    </w:p>
    <w:p>
      <w:pPr>
        <w:ind w:right="20"/>
        <w:spacing w:after="0" w:line="237" w:lineRule="auto"/>
        <w:rPr>
          <w:sz w:val="20"/>
          <w:szCs w:val="20"/>
          <w:color w:val="auto"/>
        </w:rPr>
      </w:pPr>
      <w:r>
        <w:rPr>
          <w:rFonts w:ascii="Arial" w:cs="Arial" w:eastAsia="Arial" w:hAnsi="Arial"/>
          <w:sz w:val="14"/>
          <w:szCs w:val="14"/>
          <w:color w:val="auto"/>
        </w:rPr>
        <w:t>April 28, 2015, by and among MCG, our Investment Adviser and the Company. As a result of the transactions contemplated by the Merger Agreement, MCG was ultimately merged with and into PFLT Funding II, LLC with PFLT Funding II, LLC as the surviving company.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preparation of our consolidated financial statements, or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80" w:hanging="327"/>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00" w:hanging="327"/>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4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typically do not incur any material level of federal income taxes. Although we are not subject to federal income taxes as a RIC, we may elect to retain a portion of our calendar year income, which may result in an excise tax. For both the three and nine months ended June 30, 2016, we did not accrue for excise taxes. For the three and nine months ended June 30, 2015, we accrued estimated excise taxes of $0.1 million and $0.3 million, respectively.</w:t>
      </w:r>
    </w:p>
    <w:p>
      <w:pPr>
        <w:spacing w:after="0" w:line="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jc w:val="both"/>
        <w:ind w:right="6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9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69"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2016, the Investment Adviser earned base management fees of $1.3 million and $3.6 million, respectively, from us. For the three and nine months ended June 30, 2015, the Investment Adviser earned base management fees of $0.9 million and $2.6 million, respectively, from us.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2016, the Investment Adviser earned an incentive fee on net investment income as calculated under the Investment Management Agreement of $0.5 million and $1.3 million, respectively, from us. For the three and nine months ended June 30, 2015, the Investment Adviser earned an incentive fee on net investment income as calculated under the Investment Management Agreement of $0.5 million and $2.3 million, respectively, from us.</w:t>
      </w:r>
    </w:p>
    <w:p>
      <w:pPr>
        <w:spacing w:after="0" w:line="81" w:lineRule="exact"/>
        <w:rPr>
          <w:sz w:val="20"/>
          <w:szCs w:val="20"/>
          <w:color w:val="auto"/>
        </w:rPr>
      </w:pPr>
    </w:p>
    <w:p>
      <w:pPr>
        <w:ind w:right="140" w:firstLine="562"/>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 periods ended June 30, 2016, the Investment Adviser did not earn an incentive fee on capital gains, as calculated under the Investment Management Agreement. For the three and nine months ended June 30, 2015, the Investment Adviser earned an incentive fee on capital gains of approximately zero and $(0.4) million, respectively, as calculated under the Investment Management Agreement (as described above).</w:t>
      </w:r>
    </w:p>
    <w:p>
      <w:pPr>
        <w:spacing w:after="0" w:line="77"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 periods ended June 30, 2016, the Investment Adviser did not accrue an incentive fee on our unrealized and realized capital gains as calculated under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For the three and nine months ended June 30, 2015, the Investment Adviser accrued an incentive fee on our unrealized and realized capital gains as calculated under GAAP of $0.1 million and $(0.2) million, respectively.</w:t>
      </w:r>
    </w:p>
    <w:p>
      <w:pPr>
        <w:spacing w:after="0" w:line="66"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nine months ended June 30, 2016, the Investment Adviser was reimbursed approximately $0.1 million and $0.6 million, respectively, from us, including expenses the Investment Adviser incurred on behalf of the Administrator, for services described above. For the three and nine months ended June 30, 2015, the Investment Adviser was reimbursed approximately $0.1 million and $0.5 million, respectively, from us, including expenses the Investment Adviser incurred on behalf of the Administrator, for services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2016 totaled $101.2 million and $257.7 million, respectively. For the same periods in the prior year, purchases of investments, including PIK interest, totaled $75.6 million and $161.3 million, respectively. Sales and repayments of investments for the three and nine months ended June 30, 2016 totaled $40.3 million and $97.1 million, respectively. For the same periods in the prior year, sales and repayments of investments totaled $53.2 million and $146.2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2016</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2"/>
              </w:rPr>
              <w:t>Fair Value</w:t>
            </w: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494,173,038</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489,065,748</w:t>
            </w:r>
          </w:p>
        </w:tc>
        <w:tc>
          <w:tcPr>
            <w:tcW w:w="3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338,567,205</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53,717,099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51,681,639</w:t>
            </w:r>
          </w:p>
        </w:tc>
        <w:tc>
          <w:tcPr>
            <w:tcW w:w="2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47,630,500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3,197,440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2,927,580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8,634,195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6,097,825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7,324,314</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2,506,407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2,849,505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557,185,402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550,999,281</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397,338,307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391,311,890</w:t>
            </w:r>
          </w:p>
        </w:tc>
        <w:tc>
          <w:tcPr>
            <w:tcW w:w="0" w:type="dxa"/>
            <w:vAlign w:val="bottom"/>
          </w:tcPr>
          <w:p>
            <w:pPr>
              <w:spacing w:after="0"/>
              <w:rPr>
                <w:sz w:val="1"/>
                <w:szCs w:val="1"/>
                <w:color w:val="auto"/>
              </w:rPr>
            </w:pPr>
          </w:p>
        </w:tc>
      </w:tr>
      <w:tr>
        <w:trPr>
          <w:trHeight w:val="163"/>
        </w:trPr>
        <w:tc>
          <w:tcPr>
            <w:tcW w:w="34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16,767,271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16,790,402</w:t>
            </w:r>
          </w:p>
        </w:tc>
        <w:tc>
          <w:tcPr>
            <w:tcW w:w="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5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573,952,673</w:t>
            </w:r>
          </w:p>
        </w:tc>
        <w:tc>
          <w:tcPr>
            <w:tcW w:w="4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567,789,683</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418,766,821</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412,740,404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215"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50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7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760" w:type="dxa"/>
            <w:vAlign w:val="bottom"/>
            <w:vMerge w:val="continue"/>
            <w:shd w:val="clear" w:color="auto" w:fill="CCEEFF"/>
          </w:tcPr>
          <w:p>
            <w:pPr>
              <w:spacing w:after="0"/>
              <w:rPr>
                <w:sz w:val="12"/>
                <w:szCs w:val="12"/>
                <w:color w:val="auto"/>
              </w:rPr>
            </w:pPr>
          </w:p>
        </w:tc>
        <w:tc>
          <w:tcPr>
            <w:tcW w:w="16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w:t>
            </w:r>
          </w:p>
        </w:tc>
        <w:tc>
          <w:tcPr>
            <w:tcW w:w="38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Construction and Building</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Wholesale</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Banking, Finance, Insurance &amp; Real Estate</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Utilities: Water</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76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760" w:type="dxa"/>
            <w:vAlign w:val="bottom"/>
          </w:tcPr>
          <w:p>
            <w:pPr>
              <w:spacing w:after="0"/>
              <w:rPr>
                <w:sz w:val="13"/>
                <w:szCs w:val="13"/>
                <w:color w:val="auto"/>
              </w:rPr>
            </w:pPr>
          </w:p>
        </w:tc>
        <w:tc>
          <w:tcPr>
            <w:tcW w:w="16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100%</w:t>
            </w:r>
          </w:p>
        </w:tc>
        <w:tc>
          <w:tcPr>
            <w:tcW w:w="380" w:type="dxa"/>
            <w:vAlign w:val="bottom"/>
          </w:tcPr>
          <w:p>
            <w:pPr>
              <w:spacing w:after="0"/>
              <w:rPr>
                <w:sz w:val="13"/>
                <w:szCs w:val="13"/>
                <w:color w:val="auto"/>
              </w:rPr>
            </w:pPr>
          </w:p>
        </w:tc>
        <w:tc>
          <w:tcPr>
            <w:tcW w:w="1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color w:val="auto"/>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5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8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6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2016, our ability to observe valuation inputs resulted in one reclassification of an asset from Level 2 to 1. During the nine months ended June 30, 2015, there was one reclassification from Level 2 to 3 and one reclassification from Level 3 to 2.</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Fair Value at</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6"/>
              </w:rPr>
              <w:t>June 30, 2016</w:t>
            </w:r>
          </w:p>
        </w:tc>
        <w:tc>
          <w:tcPr>
            <w:tcW w:w="186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282,188,125</w:t>
            </w:r>
          </w:p>
        </w:tc>
        <w:tc>
          <w:tcPr>
            <w:tcW w:w="5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20" w:type="dxa"/>
            <w:vAlign w:val="bottom"/>
          </w:tcPr>
          <w:p>
            <w:pPr>
              <w:spacing w:after="0"/>
              <w:rPr>
                <w:sz w:val="12"/>
                <w:szCs w:val="12"/>
                <w:color w:val="auto"/>
              </w:rPr>
            </w:pP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261,486,842</w:t>
            </w: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5.3% – 16.9% (9.2%)</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7,227,242</w:t>
            </w:r>
          </w:p>
        </w:tc>
        <w:tc>
          <w:tcPr>
            <w:tcW w:w="1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Enterprise Market Value</w:t>
            </w:r>
          </w:p>
        </w:tc>
        <w:tc>
          <w:tcPr>
            <w:tcW w:w="21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6.5x – 10.5x (7.6x)</w:t>
            </w:r>
          </w:p>
        </w:tc>
        <w:tc>
          <w:tcPr>
            <w:tcW w:w="0" w:type="dxa"/>
            <w:vAlign w:val="bottom"/>
          </w:tcPr>
          <w:p>
            <w:pPr>
              <w:spacing w:after="0"/>
              <w:rPr>
                <w:sz w:val="1"/>
                <w:szCs w:val="1"/>
                <w:color w:val="auto"/>
              </w:rPr>
            </w:pPr>
          </w:p>
        </w:tc>
      </w:tr>
      <w:tr>
        <w:trPr>
          <w:trHeight w:val="156"/>
        </w:trPr>
        <w:tc>
          <w:tcPr>
            <w:tcW w:w="42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550,902,209</w:t>
            </w:r>
          </w:p>
        </w:tc>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190,374,979</w:t>
            </w:r>
          </w:p>
        </w:tc>
        <w:tc>
          <w:tcPr>
            <w:tcW w:w="186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7"/>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 at</w:t>
            </w:r>
          </w:p>
        </w:tc>
        <w:tc>
          <w:tcPr>
            <w:tcW w:w="500" w:type="dxa"/>
            <w:vAlign w:val="bottom"/>
          </w:tcPr>
          <w:p>
            <w:pPr>
              <w:spacing w:after="0"/>
              <w:rPr>
                <w:sz w:val="14"/>
                <w:szCs w:val="14"/>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2015</w:t>
            </w:r>
          </w:p>
        </w:tc>
        <w:tc>
          <w:tcPr>
            <w:tcW w:w="5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259,566,475</w:t>
            </w: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4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128,895,910</w:t>
            </w:r>
          </w:p>
        </w:tc>
        <w:tc>
          <w:tcPr>
            <w:tcW w:w="500" w:type="dxa"/>
            <w:vAlign w:val="bottom"/>
          </w:tcPr>
          <w:p>
            <w:pPr>
              <w:spacing w:after="0"/>
              <w:rPr>
                <w:sz w:val="12"/>
                <w:szCs w:val="12"/>
                <w:color w:val="auto"/>
              </w:rPr>
            </w:pP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5.5% – 34.7% (10.6%)</w:t>
            </w:r>
          </w:p>
        </w:tc>
        <w:tc>
          <w:tcPr>
            <w:tcW w:w="0" w:type="dxa"/>
            <w:vAlign w:val="bottom"/>
          </w:tcPr>
          <w:p>
            <w:pPr>
              <w:spacing w:after="0"/>
              <w:rPr>
                <w:sz w:val="1"/>
                <w:szCs w:val="1"/>
                <w:color w:val="auto"/>
              </w:rPr>
            </w:pPr>
          </w:p>
        </w:tc>
      </w:tr>
      <w:tr>
        <w:trPr>
          <w:trHeight w:val="149"/>
        </w:trPr>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313,941</w:t>
            </w:r>
          </w:p>
        </w:tc>
        <w:tc>
          <w:tcPr>
            <w:tcW w:w="5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2"/>
              </w:rPr>
              <w:t>Market Comparable</w:t>
            </w:r>
          </w:p>
        </w:tc>
        <w:tc>
          <w:tcPr>
            <w:tcW w:w="212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3"/>
              </w:rPr>
              <w:t>Broker/Dealer bids or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2,344,955</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Enterprise Market Value</w:t>
            </w:r>
          </w:p>
        </w:tc>
        <w:tc>
          <w:tcPr>
            <w:tcW w:w="2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6.0x–10.5x (7.6x)</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2"/>
              </w:rPr>
              <w:t>Market Comparable</w:t>
            </w:r>
          </w:p>
        </w:tc>
        <w:tc>
          <w:tcPr>
            <w:tcW w:w="21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June 30, 2016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3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489,065,748</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489,065,748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51,681,639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51,681,639</w:t>
            </w: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2,927,580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2,927,580</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7,324,314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97,072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7,227,242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550,999,281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97,072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550,902,209</w:t>
            </w:r>
          </w:p>
        </w:tc>
        <w:tc>
          <w:tcPr>
            <w:tcW w:w="0" w:type="dxa"/>
            <w:vAlign w:val="bottom"/>
          </w:tcPr>
          <w:p>
            <w:pPr>
              <w:spacing w:after="0"/>
              <w:rPr>
                <w:sz w:val="1"/>
                <w:szCs w:val="1"/>
                <w:color w:val="auto"/>
              </w:rPr>
            </w:pPr>
          </w:p>
        </w:tc>
      </w:tr>
      <w:tr>
        <w:trPr>
          <w:trHeight w:val="163"/>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16,790,402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16,790,402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8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567,789,683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16,887,474</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550,902,209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190,374,979</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88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190,374,979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Fair Value Measurements at September 30, 2015</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49"/>
        </w:trPr>
        <w:tc>
          <w:tcPr>
            <w:tcW w:w="5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2,849,505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2,658,896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391,311,890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163"/>
        </w:trPr>
        <w:tc>
          <w:tcPr>
            <w:tcW w:w="514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88"/>
              </w:rPr>
              <w:t>21,428,514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412,740,404</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21,428,514</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190,609</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8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0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Nine Months Ended June 30, 2016</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56,163,940</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 (losses)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373,407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(2,443,779)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(2,070,372)</w:t>
            </w: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 appreciation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(1,497,426)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1,431,253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(66,173)</w:t>
            </w: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250,398,992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8,610,761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259,009,753</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(95,166,566)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(1,925,714)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(97,092,280)</w:t>
            </w: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489,065,748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61,836,461</w:t>
            </w:r>
          </w:p>
        </w:tc>
        <w:tc>
          <w:tcPr>
            <w:tcW w:w="28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550,902,209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investments in our Consolidated Statements of Operations attributable to our Level 3 assets still held at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0" w:type="dxa"/>
            <w:vAlign w:val="bottom"/>
            <w:gridSpan w:val="2"/>
          </w:tcPr>
          <w:p>
            <w:pPr>
              <w:ind w:left="160"/>
              <w:spacing w:after="0"/>
              <w:rPr>
                <w:sz w:val="20"/>
                <w:szCs w:val="20"/>
                <w:color w:val="auto"/>
              </w:rPr>
            </w:pPr>
            <w:r>
              <w:rPr>
                <w:rFonts w:ascii="Arial" w:cs="Arial" w:eastAsia="Arial" w:hAnsi="Arial"/>
                <w:sz w:val="14"/>
                <w:szCs w:val="14"/>
                <w:color w:val="auto"/>
              </w:rPr>
              <w:t>the reporting date.</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28"/>
              <w:spacing w:after="0"/>
              <w:rPr>
                <w:sz w:val="20"/>
                <w:szCs w:val="20"/>
                <w:color w:val="auto"/>
              </w:rPr>
            </w:pPr>
            <w:r>
              <w:rPr>
                <w:rFonts w:ascii="Arial" w:cs="Arial" w:eastAsia="Arial" w:hAnsi="Arial"/>
                <w:sz w:val="14"/>
                <w:szCs w:val="14"/>
                <w:color w:val="auto"/>
              </w:rPr>
              <w:t>(1,117,456)</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80"/>
              <w:spacing w:after="0"/>
              <w:rPr>
                <w:sz w:val="20"/>
                <w:szCs w:val="20"/>
                <w:color w:val="auto"/>
              </w:rPr>
            </w:pPr>
            <w:r>
              <w:rPr>
                <w:rFonts w:ascii="Arial" w:cs="Arial" w:eastAsia="Arial" w:hAnsi="Arial"/>
                <w:sz w:val="14"/>
                <w:szCs w:val="14"/>
                <w:color w:val="auto"/>
              </w:rPr>
              <w:t>(1,910,884)</w:t>
            </w:r>
          </w:p>
        </w:tc>
        <w:tc>
          <w:tcPr>
            <w:tcW w:w="280" w:type="dxa"/>
            <w:vAlign w:val="bottom"/>
            <w:gridSpan w:val="2"/>
          </w:tcPr>
          <w:p>
            <w:pPr>
              <w:jc w:val="right"/>
              <w:ind w:right="14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(3,028,340)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Nine Months Ended June 30, 2015</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w w:val="98"/>
              </w:rPr>
              <w:t>First Lien</w:t>
            </w:r>
          </w:p>
        </w:tc>
        <w:tc>
          <w:tcPr>
            <w:tcW w:w="10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subordinated debt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and equity investments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(97,291)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606,110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508,819</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(1,317,159)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(1,158,473)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(2,475,632)</w:t>
            </w: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142,839,788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16,658,283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159,498,071</w:t>
            </w:r>
          </w:p>
        </w:tc>
        <w:tc>
          <w:tcPr>
            <w:tcW w:w="0" w:type="dxa"/>
            <w:vAlign w:val="bottom"/>
          </w:tcPr>
          <w:p>
            <w:pPr>
              <w:spacing w:after="0"/>
              <w:rPr>
                <w:sz w:val="1"/>
                <w:szCs w:val="1"/>
                <w:color w:val="auto"/>
              </w:rPr>
            </w:pPr>
          </w:p>
        </w:tc>
      </w:tr>
      <w:tr>
        <w:trPr>
          <w:trHeight w:val="149"/>
        </w:trPr>
        <w:tc>
          <w:tcPr>
            <w:tcW w:w="6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(139,922,446)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(6,243,136)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(146,165,582)</w:t>
            </w:r>
          </w:p>
        </w:tc>
        <w:tc>
          <w:tcPr>
            <w:tcW w:w="0" w:type="dxa"/>
            <w:vAlign w:val="bottom"/>
          </w:tcPr>
          <w:p>
            <w:pPr>
              <w:spacing w:after="0"/>
              <w:rPr>
                <w:sz w:val="1"/>
                <w:szCs w:val="1"/>
                <w:color w:val="auto"/>
              </w:rPr>
            </w:pPr>
          </w:p>
        </w:tc>
      </w:tr>
      <w:tr>
        <w:trPr>
          <w:trHeight w:val="148"/>
        </w:trPr>
        <w:tc>
          <w:tcPr>
            <w:tcW w:w="6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3,225,324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3,225,324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304,068,247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53,795,338</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357,863,585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investments in our Consolidated Statement of Operations attributable to our Level 3 assets still held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0" w:type="dxa"/>
            <w:vAlign w:val="bottom"/>
            <w:gridSpan w:val="2"/>
          </w:tcPr>
          <w:p>
            <w:pPr>
              <w:ind w:left="160"/>
              <w:spacing w:after="0"/>
              <w:rPr>
                <w:sz w:val="20"/>
                <w:szCs w:val="20"/>
                <w:color w:val="auto"/>
              </w:rPr>
            </w:pPr>
            <w:r>
              <w:rPr>
                <w:rFonts w:ascii="Arial" w:cs="Arial" w:eastAsia="Arial" w:hAnsi="Arial"/>
                <w:sz w:val="14"/>
                <w:szCs w:val="14"/>
                <w:color w:val="auto"/>
              </w:rPr>
              <w:t>at the reporting date.</w:t>
            </w:r>
          </w:p>
        </w:tc>
        <w:tc>
          <w:tcPr>
            <w:tcW w:w="2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(1,682,404)</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(1,093,227)</w:t>
            </w:r>
          </w:p>
        </w:tc>
        <w:tc>
          <w:tcPr>
            <w:tcW w:w="340" w:type="dxa"/>
            <w:vAlign w:val="bottom"/>
          </w:tcPr>
          <w:p>
            <w:pPr>
              <w:spacing w:after="0"/>
              <w:rPr>
                <w:sz w:val="14"/>
                <w:szCs w:val="1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(2,775,631)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5560"/>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$29,600,000 and $146,400,000, respectively)</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146,949,000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(532,521)</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(233,750)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196,807,500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103,400,000</w:t>
            </w: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Repayments</w:t>
            </w: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(35,500,000)</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(110,100,000)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$190,907,500 and $139,700,000, respectively)</w:t>
            </w:r>
          </w:p>
        </w:tc>
        <w:tc>
          <w:tcPr>
            <w:tcW w:w="38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190,374,979</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140,015,250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As of June 30, 2016, we had outstanding non-U.S. dollar borrowings on our Credit Facility. Net change in fair value from foreign currency translating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04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Reset Date</w:t>
            </w:r>
          </w:p>
        </w:tc>
        <w:tc>
          <w:tcPr>
            <w:tcW w:w="5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Borrowing Cost</w:t>
            </w:r>
          </w:p>
        </w:tc>
        <w:tc>
          <w:tcPr>
            <w:tcW w:w="20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Canadian Dollars</w:t>
            </w:r>
          </w:p>
        </w:tc>
        <w:tc>
          <w:tcPr>
            <w:tcW w:w="10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C$  17,500,000</w:t>
            </w:r>
          </w:p>
        </w:tc>
        <w:tc>
          <w:tcPr>
            <w:tcW w:w="5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12,407,501</w:t>
            </w:r>
          </w:p>
        </w:tc>
        <w:tc>
          <w:tcPr>
            <w:tcW w:w="1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   13,545,420</w:t>
            </w:r>
          </w:p>
        </w:tc>
        <w:tc>
          <w:tcPr>
            <w:tcW w:w="1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July 1, 2016</w:t>
            </w:r>
          </w:p>
        </w:tc>
        <w:tc>
          <w:tcPr>
            <w:tcW w:w="5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1,137,919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and nine months ended June 30, 2016. For each of the three and nine months ended June 30, 2015, we incurred $0.2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2016, our Credit Facility had a net change in unrealized depreciation of $0.3 million and $0.5 million, respectively. For the three and nine months ended June 30, 2015, our Credit Facility had a net change in unrealized depreciation of zero and $0.2 million, respectively. As of June 30, 2016 and September 30,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Purchases of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 of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6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Affiliates</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Accrued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5"/>
              </w:rPr>
              <w:t>Gains (Losses)</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GMC Television Broadcasting Holdings, LLC</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2,776,507</w:t>
            </w:r>
          </w:p>
        </w:tc>
        <w:tc>
          <w:tcPr>
            <w:tcW w:w="1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(2,777,132)</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105,502</w:t>
            </w:r>
          </w:p>
        </w:tc>
        <w:tc>
          <w:tcPr>
            <w:tcW w:w="3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Affiliates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2,776,507</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(2,777,132)</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105,502</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55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5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13,419,342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4,726,777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17,602,397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11,289,466</w:t>
            </w:r>
          </w:p>
        </w:tc>
        <w:tc>
          <w:tcPr>
            <w:tcW w:w="80" w:type="dxa"/>
            <w:vAlign w:val="bottom"/>
            <w:shd w:val="clear" w:color="auto" w:fill="CCEEFF"/>
          </w:tcPr>
          <w:p>
            <w:pPr>
              <w:spacing w:after="0"/>
              <w:rPr>
                <w:sz w:val="12"/>
                <w:szCs w:val="12"/>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26,730,074</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26,730,074</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0.32</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2016 and September 30, 2015, cash and cash equivalents consisted of money market funds in the amounts of $16.8 million and $21.4 million at fair value,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604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6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13.95</w:t>
            </w:r>
          </w:p>
        </w:tc>
        <w:tc>
          <w:tcPr>
            <w:tcW w:w="4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0.72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(0.86)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800" w:type="dxa"/>
            <w:vAlign w:val="bottom"/>
          </w:tcPr>
          <w:p>
            <w:pPr>
              <w:spacing w:after="0"/>
              <w:rPr>
                <w:sz w:val="14"/>
                <w:szCs w:val="14"/>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13.75</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240" w:type="dxa"/>
            <w:vAlign w:val="bottom"/>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620" w:type="dxa"/>
            <w:vAlign w:val="bottom"/>
            <w:gridSpan w:val="2"/>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12.40</w:t>
            </w:r>
          </w:p>
        </w:tc>
        <w:tc>
          <w:tcPr>
            <w:tcW w:w="420" w:type="dxa"/>
            <w:vAlign w:val="bottom"/>
            <w:gridSpan w:val="2"/>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11.68%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26,730,074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2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4.18%</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6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367,638,633</w:t>
            </w:r>
          </w:p>
        </w:tc>
        <w:tc>
          <w:tcPr>
            <w:tcW w:w="4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213,451,790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112,950,484</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131,659,707</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52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6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2,931</w:t>
            </w:r>
          </w:p>
        </w:tc>
        <w:tc>
          <w:tcPr>
            <w:tcW w:w="4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26.66%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ind w:left="460" w:hanging="452"/>
        <w:spacing w:after="0" w:line="22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460" w:right="220" w:hanging="452"/>
        <w:spacing w:after="0" w:line="22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line="22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460" w:hanging="452"/>
        <w:spacing w:after="0" w:line="22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460" w:hanging="452"/>
        <w:spacing w:after="0" w:line="221"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460" w:right="340" w:hanging="452"/>
        <w:spacing w:after="0" w:line="271"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00"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Funding I’s multi-currency Credit Facility with affiliates of SunTrust Bank, or the Lenders, was $350 million as of June 30, 2016, subject to satisfaction of certain conditions and regulatory restrictions that the 1940 Act imposes on us as a BDC, has an interest rate spread above LIBOR of 200 basis points, a maturity date of August 2020 and a revolving period that ends in August 2018. As of June 30, 2016 and September 30, 2015, Funding I had $190.9 million and $29.6 million of outstanding borrowings under the Credit Facility, respectively. The Credit Facility had a weighted average interest rate of 2.50% and 2.20%, excluding undrawn commitment fees of 0.50% and 0.75%, as of June 30, 2016 and September 30, 2015, respectively. The annualized weighted average cost of debt for the nine months ended June 30, 2016 and 2015, inclusive of the fee on the undrawn commitment on the Credit Facility but excluding amendment costs, was 3.94% and 2.48%, respectively.</w:t>
      </w:r>
    </w:p>
    <w:p>
      <w:pPr>
        <w:spacing w:after="0" w:line="77"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2016, we were in compliance with the covenants relating to our Credit Facility.</w:t>
      </w:r>
    </w:p>
    <w:p>
      <w:pPr>
        <w:spacing w:after="0" w:line="6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June 30, 2016 and September 30, 2015, we had $10.3 million and $4.8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00"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Subsequent to quarter-end, we collected approximately five cents per share in a partial litigation settlement related to a former portfolio company of MCG. Additionally, subsequent to quarter-end we purchased approximately $64.4 million of new investments.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60"/>
          </w:cols>
          <w:pgMar w:left="32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Subsidiaries (collectively referred to as the “Company”), including the consolidated schedule of investments, as of June 30, 2016, the consolidated statements of operations for the three and nine months ended June 30, 2016 and 2015, and the consolidated statements of changes in net assets and cash flows for the nine months ended June 30, 2016 and 2015. These consolidated financial statements are the responsibility of the Company’s management.</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12, 2015,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9,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200" w:firstLine="562"/>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44"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 lien, high yield, mezzanine and distressed debt securities and, to a lesser extent, equity investments. We seek to create a diversified portfolio by generally targeting an investment size between $2 million and $15 million, on average, although we expect that this investment size will vary proportionately with the size of our capital base.</w:t>
      </w:r>
    </w:p>
    <w:p>
      <w:pPr>
        <w:spacing w:after="0" w:line="184"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On August 18,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As a result of the transactions contemplated by the Merger Agreement, we issued an aggregate of approximately 11.8 million shares of our common stock to former MCG stockholders, and our Investment Adviser made an aggregate cash payment of approximately $11.3 million to former MCG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212" w:lineRule="exact"/>
        <w:rPr>
          <w:sz w:val="20"/>
          <w:szCs w:val="20"/>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340" w:right="380" w:hanging="779"/>
        <w:spacing w:after="0" w:line="253" w:lineRule="auto"/>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340" w:right="60" w:hanging="779"/>
        <w:spacing w:after="0" w:line="233" w:lineRule="auto"/>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77"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June 30, 2016, our portfolio totaled $551.0 million and consisted of $489.1 million of senior secured debt, $51.7 million of second lien secured debt and $10.2 million of subordinated debt, preferred and common equity. Our debt portfolio consisted of 99% variable-rate investments (including 94% with a LIBOR or prime floor) and 1% fixed-rate investments. As of June 30, 2016, we had one company on non-accrual, representing 1.2% and 1.1% of our overall portfolio on a cost and fair value basis, respectively. Overall, the portfolio had net unrealized depreciation of $6.2 million as of June 30, 2016. Our overall portfolio consisted of 92 companies with an average investment size of $6.0 million, had a weighted average yield on debt investments of 8.0%, and was invested 89% in senior secured debt, 9% in second lien secured debt and 2% in subordinated debt, preferred and common equity.</w:t>
      </w:r>
    </w:p>
    <w:p>
      <w:pPr>
        <w:spacing w:after="0" w:line="69"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69"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60" w:lineRule="exact"/>
        <w:rPr>
          <w:sz w:val="20"/>
          <w:szCs w:val="20"/>
          <w:color w:val="auto"/>
        </w:rPr>
      </w:pPr>
    </w:p>
    <w:p>
      <w:pPr>
        <w:jc w:val="both"/>
        <w:ind w:right="160" w:firstLine="562"/>
        <w:spacing w:after="0" w:line="264" w:lineRule="auto"/>
        <w:rPr>
          <w:sz w:val="20"/>
          <w:szCs w:val="20"/>
          <w:color w:val="auto"/>
        </w:rPr>
      </w:pPr>
      <w:r>
        <w:rPr>
          <w:rFonts w:ascii="Arial" w:cs="Arial" w:eastAsia="Arial" w:hAnsi="Arial"/>
          <w:sz w:val="13"/>
          <w:szCs w:val="13"/>
          <w:color w:val="auto"/>
        </w:rPr>
        <w:t>For the three months ended June 30, 2015, we invested $75.6 million in 12 new and 12 existing portfolio companies with a weighted average yield on debt investments of 6.9%. Sales and repayments of investments for the three months ended June 30, 2015 totaled $53.2 million. For the nine months ended June 30, 2015, we invested $161.0 million in 26 new and 26 existing portfolio companies with a weighted average yield on debt investments of 7.4%. Sales and repayments of investments for the nine months ended June 30, 2015 totaled $146.2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880" w:right="120" w:hanging="319"/>
        <w:spacing w:after="0" w:line="253" w:lineRule="auto"/>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60" w:hanging="782"/>
        <w:spacing w:after="0" w:line="290"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96"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40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and nine months ended June 30, 2016. For each of the three and nine months ended June 30, 2015, we incurred $0.2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2016, our Credit Facility had a net change in unrealized depreciation of $0.3 million and $0.5 million, respectively. For each of the three and nine month periods ended June 30, 2015, our Credit Facility had a net change in unrealized (appreciation) depreciation of zero and $0.2 million, respectively. As of June 30, 2016 and September 30,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480" w:hanging="135"/>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480" w:hanging="135"/>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subject to tax as a RIC, to provide us with additional liquidity.</w:t>
      </w:r>
    </w:p>
    <w:p>
      <w:pPr>
        <w:spacing w:after="0" w:line="77"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nine months ended June 30,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100" w:firstLine="562"/>
        <w:spacing w:after="0" w:line="255" w:lineRule="auto"/>
        <w:rPr>
          <w:sz w:val="20"/>
          <w:szCs w:val="20"/>
          <w:color w:val="auto"/>
        </w:rPr>
      </w:pPr>
      <w:r>
        <w:rPr>
          <w:rFonts w:ascii="Arial" w:cs="Arial" w:eastAsia="Arial" w:hAnsi="Arial"/>
          <w:sz w:val="13"/>
          <w:szCs w:val="13"/>
          <w:color w:val="auto"/>
        </w:rPr>
        <w:t>Investment income for the three and nine months ended June 30, 2016 was $10.8 million and $30.9 million, respectively, and was attributable to $9.0 million and $26.0 million from senior secured loans and the remainder from second lien secured debt and subordinated debt. This compares to investment income for the three and nine months ended June 30, 2015, which was $7.1 million and $22.6 million, respectively, and was attributable to $5.4 million and $17.4 million from senior secured loans and the remainder from second lien secured debt and subordinated debt. The increase in investment income compared to the same periods over the prior year was primarily due to the growth of our portfolio.</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Expenses for the three and nine months ended June 30, 2016 totaled $4.0 million and $11.7 million, respectively. Base management fee for the same periods totaled $1.3 million and $3.6 million, incentive fee totaled $0.5 million and $1.3 million, Credit Facility expenses totaled $1.3 million and $4.2 million (including $0.9 million of amendment expenses) and general and administrative expenses totaled $0.9 million and $2.6 million, respectively. This compares to expenses for the three and nine months ended June 30, 2015, which totaled $3.0 million and $8.5 million, respectively. Base management fee for the same periods totaled $0.9 million and $2.6 million, incentive fee totaled $0.6 million (including zero on net realized gains and $0.1 million on net unrealized gains accrued but not payable) and $1.7 million (including $(0.4) million on net realized gains and $(0.2) million on net unrealized gains accrued but not payable), Credit Facility expenses totaled $1.0 million (including $0.2 million of Credit Facility amendment expenses) and $2.6 million (including $0.2 million of Credit Facility amendment expenses), general and administrative expenses totaled $0.4 million and $1.3 million and excise taxes were $0.1 million and $0.3 million, respectively. The increase in expenses compared with the same periods in the prior year was primarily due to Credit Facility amendment expenses and base management fee as a result from the growth of our portfolio.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Net investment income totaled $6.8 million and $19.2 million, or $0.26 and $0.72 per share, for the three and nine months ended June 30, 2016, respectively. Net investment income totaled $4.1 million and $14.0 million, or $0.28 and $0.94 per share, for the three and nine months ended June 30, 2015, respectively. The decrease in net investment income per share compared to the same periods in the prior year was primarily due to the issuance of new shares in connection with our acquisition of MCG in August 2015.</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2016 totaled $40.3 million and $97.1 million and net realized gains (losses) totaled $0.2 million and $(2.0) million, respectively. Sales and repayments of investments totaled $53.2 million and $146.2 million and realized gains totaled zero and $0.4 million for the three and nine months ended June 30, 2015, respectively. The change in realized gains (losses) compared with the same periods in the prior year was primarily due to the changes in market conditions of our investments and the values at which they were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and nine months ended June 30, 2016, we reported a net change in unrealized appreciation (depreciation) on investments of $6.1 million and $(0.1) million,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For the three and nine months ended June 30, 2015, we reported a net change in unrealized appreciation (depreciation) on investments of $0.7 million and $(3.4) million, respectively. As of</w:t>
      </w:r>
    </w:p>
    <w:p>
      <w:pPr>
        <w:spacing w:after="0"/>
        <w:rPr>
          <w:sz w:val="20"/>
          <w:szCs w:val="20"/>
          <w:color w:val="auto"/>
        </w:rPr>
      </w:pPr>
      <w:r>
        <w:rPr>
          <w:rFonts w:ascii="Arial" w:cs="Arial" w:eastAsia="Arial" w:hAnsi="Arial"/>
          <w:sz w:val="13"/>
          <w:szCs w:val="13"/>
          <w:color w:val="auto"/>
        </w:rPr>
        <w:t>June 30, 2016 and September 30, 2015, our net unrealized depreciation on investments totaled $6.2 million and $6.0 million, respectively. The net change in unrealized appreciation (depreciation)</w:t>
      </w:r>
    </w:p>
    <w:p>
      <w:pPr>
        <w:spacing w:after="0" w:line="221" w:lineRule="auto"/>
        <w:rPr>
          <w:sz w:val="20"/>
          <w:szCs w:val="20"/>
          <w:color w:val="auto"/>
        </w:rPr>
      </w:pPr>
      <w:r>
        <w:rPr>
          <w:rFonts w:ascii="Arial" w:cs="Arial" w:eastAsia="Arial" w:hAnsi="Arial"/>
          <w:sz w:val="14"/>
          <w:szCs w:val="14"/>
          <w:color w:val="auto"/>
        </w:rPr>
        <w:t>on our investments was driven primarily by changes in the capital market conditions, financial performance of certain portfolio companies, and the reversal of unrealized depreciation</w:t>
      </w:r>
    </w:p>
    <w:p>
      <w:pPr>
        <w:spacing w:after="0"/>
        <w:rPr>
          <w:sz w:val="20"/>
          <w:szCs w:val="20"/>
          <w:color w:val="auto"/>
        </w:rPr>
      </w:pPr>
      <w:r>
        <w:rPr>
          <w:rFonts w:ascii="Arial" w:cs="Arial" w:eastAsia="Arial" w:hAnsi="Arial"/>
          <w:sz w:val="14"/>
          <w:szCs w:val="14"/>
          <w:color w:val="auto"/>
        </w:rPr>
        <w:t>(appreciation) of investments sold.</w:t>
      </w:r>
    </w:p>
    <w:p>
      <w:pPr>
        <w:spacing w:after="0" w:line="84"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For the three and nine months ended June 30, 2016, our Credit Facility had a net change in unrealized depreciation of $0.3 million and $0.5 million, respectively. For the three and nine months ended June 30, 2015, our Credit Facility had a net change in unrealized depreciation of zero and $0.2 million, respectively. As of June 30, 2016 and September 30, 2015, net unrealized depreciation on our Credit Facility totaled $0.5 million and zero, respectively. The change in net unrealized depreciation compared to the same periods in the prior year was primarily due to changes in the capital markets.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Net change in net assets resulting from operations totaled $13.4 million and $17.6 million, or $0.50 and $0.66 per share, respectively, for the three and nine months ended June 30, 2016.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This compares to a net change in net assets resulting from operations which totaled $4.7 million and $11.3 million, or $0.32 and $0.76 per share, respectively, for the three and nine months ended</w:t>
      </w:r>
    </w:p>
    <w:p>
      <w:pPr>
        <w:spacing w:after="0"/>
        <w:rPr>
          <w:sz w:val="20"/>
          <w:szCs w:val="20"/>
          <w:color w:val="auto"/>
        </w:rPr>
      </w:pPr>
      <w:r>
        <w:rPr>
          <w:rFonts w:ascii="Arial" w:cs="Arial" w:eastAsia="Arial" w:hAnsi="Arial"/>
          <w:sz w:val="14"/>
          <w:szCs w:val="14"/>
          <w:color w:val="auto"/>
        </w:rPr>
        <w:t>June 30, 2015. We intend to continue to find attractive investment opportunities to grow net assets from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Funding I’s multi-currency Credit Facility with the Lenders was $350 million as of June 30, 2016, subject to satisfaction of certain conditions and regulatory restrictions that the 1940 Act imposes on us as a BDC, has an interest rate spread above LIBOR of 200 basis points, a maturity date of August 2020 and a revolving period that ends in August 2018. As of June 30, 2016 and September 30, 2015, Funding I had $190.9 million and $29.6 million of outstanding borrowings under the Credit Facility, respectively. The Credit Facility had a weighted average interest rate of 2.50% and 2.20%, excluding undrawn commitment fees of 0.50% and 0.75%, as of June 30, 2016 and September 30, 2015, respectively. The annualized weighted average cost of debt for the nine months ended June 30, 2016 and 2015, inclusive of the fee on the undrawn commitment on the Credit Facility but excluding amendment costs, was 3.94% and 2.48%, respectively. As of June 30, 2016 and September 30, 2015, we had $159.6 million and $260.4 million of unused borrowing capacity under our Credit Facility, respectively, subject to regulatory restrictions.</w:t>
      </w:r>
    </w:p>
    <w:p>
      <w:pPr>
        <w:spacing w:after="0" w:line="72"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2016, we were in compliance with the covenants relating to our Credit Facility.</w:t>
      </w:r>
    </w:p>
    <w:p>
      <w:pPr>
        <w:spacing w:after="0" w:line="7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60"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On June 30, 2016 and September 30, 2015, we had cash and cash equivalents at fair value of $16.8 million and $21.4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66" w:lineRule="exact"/>
        <w:rPr>
          <w:sz w:val="20"/>
          <w:szCs w:val="20"/>
          <w:color w:val="auto"/>
        </w:rPr>
      </w:pPr>
    </w:p>
    <w:p>
      <w:pPr>
        <w:ind w:right="480" w:firstLine="562"/>
        <w:spacing w:after="0" w:line="290" w:lineRule="auto"/>
        <w:rPr>
          <w:sz w:val="20"/>
          <w:szCs w:val="20"/>
          <w:color w:val="auto"/>
        </w:rPr>
      </w:pPr>
      <w:r>
        <w:rPr>
          <w:rFonts w:ascii="Arial" w:cs="Arial" w:eastAsia="Arial" w:hAnsi="Arial"/>
          <w:sz w:val="13"/>
          <w:szCs w:val="13"/>
          <w:color w:val="auto"/>
        </w:rPr>
        <w:t>Our operating activities provided cash of $16.4 million for the nine months ended June 30, 2015, and our financing activities used cash of $19.0 million for the same period. Our operating activities provided cash primarily from sales and repayments on our investments and our financing activities used cash primarily from net repayments under the Credit Facility.</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at cost as of June 30, 2016, including borrowings under our Credit Facility and other contractual obligations,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w w:val="95"/>
              </w:rPr>
              <w:t>Payments due by period (millions)</w:t>
            </w: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1-3 years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w:t>
            </w:r>
          </w:p>
        </w:tc>
        <w:tc>
          <w:tcPr>
            <w:tcW w:w="6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7.4</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w:t>
            </w:r>
          </w:p>
        </w:tc>
      </w:tr>
      <w:tr>
        <w:trPr>
          <w:trHeight w:val="27"/>
        </w:trPr>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0.1</w:t>
            </w:r>
          </w:p>
        </w:tc>
        <w:tc>
          <w:tcPr>
            <w:tcW w:w="4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198.3</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w:t>
            </w: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Subsequent to quarter-end, we collected approximately five cents per share in a partial litigation settlement related to a former portfolio company of MCG. Additionally, subsequent to quarter-end we purchased approximately $64.4 million of new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subject to be taxed as a RIC, to provide us with additional liquidity.</w:t>
      </w:r>
    </w:p>
    <w:p>
      <w:pPr>
        <w:spacing w:after="0" w:line="77"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During the three and nine months ended June 30, 2016, we declared distributions of $0.285 and $0.855 per share, respectively, for total distributions of $7.6 million and $22.9 million, respectively. For the same periods in the prior year, we declared distributions of $0.285 and $0.830 per share, respectively, for total distributions of $4.2 million and $12.3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on Form 1099-DIV after the end of each calendar year and in our periodic reports filed with the SEC.</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7"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We may distribute our common stock as a dividend from our investment company taxable income or net capital gains, and a stockholder could receive a portion of such dividend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 Net</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ind w:left="70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rPr>
              <w:t>537</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4,136</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0.16</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7,736</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11,335</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5"/>
                <w:szCs w:val="15"/>
                <w:color w:val="auto"/>
              </w:rPr>
            </w:pPr>
          </w:p>
        </w:tc>
      </w:tr>
    </w:tbl>
    <w:p>
      <w:pPr>
        <w:spacing w:after="0" w:line="5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2016 that have materially affected, or are reasonably likely to materially affect, our internal control over financial reporting.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680" w:right="12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13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814-00891),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680" w:right="200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47"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298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233680</wp:posOffset>
            </wp:positionV>
            <wp:extent cx="685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0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PENNANTPARK FLOATING RATE CAPITAL LTD.</w:t>
            </w:r>
          </w:p>
        </w:tc>
      </w:tr>
      <w:tr>
        <w:trPr>
          <w:trHeight w:val="350"/>
        </w:trPr>
        <w:tc>
          <w:tcPr>
            <w:tcW w:w="3400" w:type="dxa"/>
            <w:vAlign w:val="bottom"/>
          </w:tcPr>
          <w:p>
            <w:pPr>
              <w:spacing w:after="0"/>
              <w:rPr>
                <w:sz w:val="20"/>
                <w:szCs w:val="20"/>
                <w:color w:val="auto"/>
              </w:rPr>
            </w:pPr>
            <w:r>
              <w:rPr>
                <w:rFonts w:ascii="Arial" w:cs="Arial" w:eastAsia="Arial" w:hAnsi="Arial"/>
                <w:sz w:val="14"/>
                <w:szCs w:val="14"/>
                <w:color w:val="auto"/>
              </w:rPr>
              <w:t>Date: August 9, 2016</w:t>
            </w:r>
          </w:p>
        </w:tc>
        <w:tc>
          <w:tcPr>
            <w:tcW w:w="2560" w:type="dxa"/>
            <w:vAlign w:val="bottom"/>
          </w:tcPr>
          <w:p>
            <w:pPr>
              <w:ind w:left="224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5"/>
              </w:rPr>
              <w:t>/s/ Arthur H. Penn</w:t>
            </w:r>
          </w:p>
        </w:tc>
      </w:tr>
      <w:tr>
        <w:trPr>
          <w:trHeight w:val="133"/>
        </w:trPr>
        <w:tc>
          <w:tcPr>
            <w:tcW w:w="3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48"/>
        </w:trPr>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 (Principal Executive</w:t>
            </w:r>
          </w:p>
        </w:tc>
      </w:tr>
      <w:tr>
        <w:trPr>
          <w:trHeight w:val="186"/>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6"/>
              </w:rPr>
              <w:t>Officer)</w:t>
            </w:r>
          </w:p>
        </w:tc>
      </w:tr>
      <w:tr>
        <w:trPr>
          <w:trHeight w:val="350"/>
        </w:trPr>
        <w:tc>
          <w:tcPr>
            <w:tcW w:w="3400" w:type="dxa"/>
            <w:vAlign w:val="bottom"/>
          </w:tcPr>
          <w:p>
            <w:pPr>
              <w:spacing w:after="0"/>
              <w:rPr>
                <w:sz w:val="20"/>
                <w:szCs w:val="20"/>
                <w:color w:val="auto"/>
              </w:rPr>
            </w:pPr>
            <w:r>
              <w:rPr>
                <w:rFonts w:ascii="Arial" w:cs="Arial" w:eastAsia="Arial" w:hAnsi="Arial"/>
                <w:sz w:val="14"/>
                <w:szCs w:val="14"/>
                <w:color w:val="auto"/>
              </w:rPr>
              <w:t>Date: August 9, 2016</w:t>
            </w:r>
          </w:p>
        </w:tc>
        <w:tc>
          <w:tcPr>
            <w:tcW w:w="2560" w:type="dxa"/>
            <w:vAlign w:val="bottom"/>
          </w:tcPr>
          <w:p>
            <w:pPr>
              <w:ind w:left="224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6"/>
              </w:rPr>
              <w:t>/s/ Aviv Efrat</w:t>
            </w:r>
          </w:p>
        </w:tc>
      </w:tr>
      <w:tr>
        <w:trPr>
          <w:trHeight w:val="133"/>
        </w:trPr>
        <w:tc>
          <w:tcPr>
            <w:tcW w:w="3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Aviv Efrat</w:t>
            </w:r>
          </w:p>
        </w:tc>
      </w:tr>
      <w:tr>
        <w:trPr>
          <w:trHeight w:val="186"/>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 (Principal Financial and Accounting Officer)</w:t>
            </w:r>
          </w:p>
        </w:tc>
      </w:tr>
      <w:tr>
        <w:trPr>
          <w:trHeight w:val="297"/>
        </w:trPr>
        <w:tc>
          <w:tcPr>
            <w:tcW w:w="3400" w:type="dxa"/>
            <w:vAlign w:val="bottom"/>
          </w:tcPr>
          <w:p>
            <w:pPr>
              <w:spacing w:after="0"/>
              <w:rPr>
                <w:sz w:val="24"/>
                <w:szCs w:val="24"/>
                <w:color w:val="auto"/>
              </w:rPr>
            </w:pPr>
          </w:p>
        </w:tc>
        <w:tc>
          <w:tcPr>
            <w:tcW w:w="2560" w:type="dxa"/>
            <w:vAlign w:val="bottom"/>
          </w:tcPr>
          <w:p>
            <w:pPr>
              <w:jc w:val="right"/>
              <w:ind w:right="188"/>
              <w:spacing w:after="0"/>
              <w:rPr>
                <w:sz w:val="20"/>
                <w:szCs w:val="20"/>
                <w:color w:val="auto"/>
              </w:rPr>
            </w:pPr>
            <w:r>
              <w:rPr>
                <w:rFonts w:ascii="Arial" w:cs="Arial" w:eastAsia="Arial" w:hAnsi="Arial"/>
                <w:sz w:val="14"/>
                <w:szCs w:val="14"/>
                <w:color w:val="auto"/>
              </w:rPr>
              <w:t>35</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9,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9,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right="16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2016,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August 9, 2016</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right="16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2016,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August 9,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2020-05-05T12:05:26Z</dcterms:created>
  <dcterms:modified xsi:type="dcterms:W3CDTF">2020-05-05T12:05:26Z</dcterms:modified>
</cp:coreProperties>
</file>