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483870</wp:posOffset>
            </wp:positionH>
            <wp:positionV relativeFrom="paragraph">
              <wp:posOffset>62865</wp:posOffset>
            </wp:positionV>
            <wp:extent cx="47561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56150" cy="7620"/>
                    </a:xfrm>
                    <a:prstGeom prst="rect">
                      <a:avLst/>
                    </a:prstGeom>
                    <a:noFill/>
                  </pic:spPr>
                </pic:pic>
              </a:graphicData>
            </a:graphic>
          </wp:anchor>
        </w:drawing>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483870</wp:posOffset>
            </wp:positionH>
            <wp:positionV relativeFrom="paragraph">
              <wp:posOffset>86995</wp:posOffset>
            </wp:positionV>
            <wp:extent cx="47561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56150" cy="7620"/>
                    </a:xfrm>
                    <a:prstGeom prst="rect">
                      <a:avLst/>
                    </a:prstGeom>
                    <a:noFill/>
                  </pic:spPr>
                </pic:pic>
              </a:graphicData>
            </a:graphic>
          </wp:anchor>
        </w:drawing>
      </w:r>
    </w:p>
    <w:p>
      <w:pPr>
        <w:spacing w:after="0" w:line="247"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1"/>
          <w:szCs w:val="11"/>
          <w:b w:val="1"/>
          <w:bCs w:val="1"/>
          <w:color w:val="auto"/>
        </w:rPr>
        <w:t>(Mark One)ps</w:t>
      </w:r>
    </w:p>
    <w:p>
      <w:pPr>
        <w:spacing w:after="0" w:line="17" w:lineRule="exact"/>
        <w:rPr>
          <w:sz w:val="24"/>
          <w:szCs w:val="24"/>
          <w:color w:val="auto"/>
        </w:rPr>
      </w:pPr>
    </w:p>
    <w:p>
      <w:pPr>
        <w:ind w:left="940" w:right="1120" w:hanging="178"/>
        <w:spacing w:after="0" w:line="262" w:lineRule="auto"/>
        <w:tabs>
          <w:tab w:leader="none" w:pos="9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0"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6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8" w:lineRule="exact"/>
        <w:rPr>
          <w:sz w:val="24"/>
          <w:szCs w:val="24"/>
          <w:color w:val="auto"/>
        </w:rPr>
      </w:pPr>
    </w:p>
    <w:p>
      <w:pPr>
        <w:ind w:left="940" w:right="1120" w:hanging="178"/>
        <w:spacing w:after="0" w:line="262" w:lineRule="auto"/>
        <w:tabs>
          <w:tab w:leader="none" w:pos="9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 w:lineRule="exact"/>
        <w:rPr>
          <w:sz w:val="24"/>
          <w:szCs w:val="24"/>
          <w:color w:val="auto"/>
        </w:rPr>
      </w:pPr>
    </w:p>
    <w:p>
      <w:pPr>
        <w:ind w:left="2860"/>
        <w:spacing w:after="0"/>
        <w:tabs>
          <w:tab w:leader="none" w:pos="62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483870</wp:posOffset>
            </wp:positionH>
            <wp:positionV relativeFrom="paragraph">
              <wp:posOffset>75565</wp:posOffset>
            </wp:positionV>
            <wp:extent cx="47561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56150" cy="762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PENNANTPARK FLOATING RATE CAPITAL LTD.</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23" w:lineRule="exact"/>
        <w:rPr>
          <w:sz w:val="24"/>
          <w:szCs w:val="24"/>
          <w:color w:val="auto"/>
        </w:rPr>
      </w:pPr>
    </w:p>
    <w:tbl>
      <w:tblPr>
        <w:tblLayout w:type="fixed"/>
        <w:tblInd w:w="1240" w:type="dxa"/>
        <w:tblCellMar>
          <w:top w:w="0" w:type="dxa"/>
          <w:left w:w="0" w:type="dxa"/>
          <w:bottom w:w="0" w:type="dxa"/>
          <w:right w:w="0" w:type="dxa"/>
        </w:tblCellMar>
      </w:tblPr>
      <w:tr>
        <w:trPr>
          <w:trHeight w:val="167"/>
        </w:trPr>
        <w:tc>
          <w:tcPr>
            <w:tcW w:w="3600" w:type="dxa"/>
            <w:vAlign w:val="bottom"/>
          </w:tcPr>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2440" w:type="dxa"/>
            <w:vAlign w:val="bottom"/>
          </w:tcPr>
          <w:p>
            <w:pPr>
              <w:jc w:val="center"/>
              <w:ind w:left="740"/>
              <w:spacing w:after="0"/>
              <w:rPr>
                <w:sz w:val="20"/>
                <w:szCs w:val="20"/>
                <w:color w:val="auto"/>
              </w:rPr>
            </w:pPr>
            <w:r>
              <w:rPr>
                <w:rFonts w:ascii="Times New Roman" w:cs="Times New Roman" w:eastAsia="Times New Roman" w:hAnsi="Times New Roman"/>
                <w:sz w:val="13"/>
                <w:szCs w:val="13"/>
                <w:b w:val="1"/>
                <w:bCs w:val="1"/>
                <w:color w:val="auto"/>
              </w:rPr>
              <w:t>27-3794690</w:t>
            </w:r>
          </w:p>
        </w:tc>
      </w:tr>
      <w:tr>
        <w:trPr>
          <w:trHeight w:val="142"/>
        </w:trPr>
        <w:tc>
          <w:tcPr>
            <w:tcW w:w="3600" w:type="dxa"/>
            <w:vAlign w:val="bottom"/>
          </w:tcPr>
          <w:p>
            <w:pPr>
              <w:jc w:val="center"/>
              <w:ind w:right="739"/>
              <w:spacing w:after="0"/>
              <w:rPr>
                <w:sz w:val="20"/>
                <w:szCs w:val="20"/>
                <w:color w:val="auto"/>
              </w:rPr>
            </w:pPr>
            <w:r>
              <w:rPr>
                <w:rFonts w:ascii="Times New Roman" w:cs="Times New Roman" w:eastAsia="Times New Roman" w:hAnsi="Times New Roman"/>
                <w:sz w:val="11"/>
                <w:szCs w:val="11"/>
                <w:b w:val="1"/>
                <w:bCs w:val="1"/>
                <w:color w:val="auto"/>
                <w:w w:val="98"/>
              </w:rPr>
              <w:t>(State or other jurisdiction of incorporation or organization)</w:t>
            </w:r>
          </w:p>
        </w:tc>
        <w:tc>
          <w:tcPr>
            <w:tcW w:w="2440" w:type="dxa"/>
            <w:vAlign w:val="bottom"/>
          </w:tcPr>
          <w:p>
            <w:pPr>
              <w:jc w:val="center"/>
              <w:ind w:left="720"/>
              <w:spacing w:after="0"/>
              <w:rPr>
                <w:sz w:val="20"/>
                <w:szCs w:val="20"/>
                <w:color w:val="auto"/>
              </w:rPr>
            </w:pPr>
            <w:r>
              <w:rPr>
                <w:rFonts w:ascii="Times New Roman" w:cs="Times New Roman" w:eastAsia="Times New Roman" w:hAnsi="Times New Roman"/>
                <w:sz w:val="11"/>
                <w:szCs w:val="11"/>
                <w:b w:val="1"/>
                <w:bCs w:val="1"/>
                <w:color w:val="auto"/>
                <w:w w:val="98"/>
              </w:rPr>
              <w:t>(I.R.S. Employer Identification No.)</w:t>
            </w:r>
          </w:p>
        </w:tc>
      </w:tr>
      <w:tr>
        <w:trPr>
          <w:trHeight w:val="399"/>
        </w:trPr>
        <w:tc>
          <w:tcPr>
            <w:tcW w:w="3600" w:type="dxa"/>
            <w:vAlign w:val="bottom"/>
          </w:tcPr>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1691 Michigan Avenue</w:t>
            </w:r>
          </w:p>
        </w:tc>
        <w:tc>
          <w:tcPr>
            <w:tcW w:w="2440" w:type="dxa"/>
            <w:vAlign w:val="bottom"/>
          </w:tcPr>
          <w:p>
            <w:pPr>
              <w:spacing w:after="0"/>
              <w:rPr>
                <w:sz w:val="24"/>
                <w:szCs w:val="24"/>
                <w:color w:val="auto"/>
              </w:rPr>
            </w:pPr>
          </w:p>
        </w:tc>
      </w:tr>
      <w:tr>
        <w:trPr>
          <w:trHeight w:val="191"/>
        </w:trPr>
        <w:tc>
          <w:tcPr>
            <w:tcW w:w="3600" w:type="dxa"/>
            <w:vAlign w:val="bottom"/>
          </w:tcPr>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Miami Beach, Florida</w:t>
            </w:r>
          </w:p>
        </w:tc>
        <w:tc>
          <w:tcPr>
            <w:tcW w:w="2440" w:type="dxa"/>
            <w:vAlign w:val="bottom"/>
          </w:tcPr>
          <w:p>
            <w:pPr>
              <w:jc w:val="center"/>
              <w:ind w:left="740"/>
              <w:spacing w:after="0"/>
              <w:rPr>
                <w:sz w:val="20"/>
                <w:szCs w:val="20"/>
                <w:color w:val="auto"/>
              </w:rPr>
            </w:pPr>
            <w:r>
              <w:rPr>
                <w:rFonts w:ascii="Times New Roman" w:cs="Times New Roman" w:eastAsia="Times New Roman" w:hAnsi="Times New Roman"/>
                <w:sz w:val="13"/>
                <w:szCs w:val="13"/>
                <w:b w:val="1"/>
                <w:bCs w:val="1"/>
                <w:color w:val="auto"/>
                <w:w w:val="98"/>
              </w:rPr>
              <w:t>33139</w:t>
            </w:r>
          </w:p>
        </w:tc>
      </w:tr>
      <w:tr>
        <w:trPr>
          <w:trHeight w:val="142"/>
        </w:trPr>
        <w:tc>
          <w:tcPr>
            <w:tcW w:w="3600" w:type="dxa"/>
            <w:vAlign w:val="bottom"/>
          </w:tcPr>
          <w:p>
            <w:pPr>
              <w:jc w:val="center"/>
              <w:ind w:right="739"/>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2440" w:type="dxa"/>
            <w:vAlign w:val="bottom"/>
          </w:tcPr>
          <w:p>
            <w:pPr>
              <w:jc w:val="center"/>
              <w:ind w:left="720"/>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bl>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(786) 297-9500</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483870</wp:posOffset>
            </wp:positionH>
            <wp:positionV relativeFrom="paragraph">
              <wp:posOffset>54610</wp:posOffset>
            </wp:positionV>
            <wp:extent cx="47561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6150" cy="7620"/>
                    </a:xfrm>
                    <a:prstGeom prst="rect">
                      <a:avLst/>
                    </a:prstGeom>
                    <a:noFill/>
                  </pic:spPr>
                </pic:pic>
              </a:graphicData>
            </a:graphic>
          </wp:anchor>
        </w:drawing>
      </w:r>
    </w:p>
    <w:p>
      <w:pPr>
        <w:spacing w:after="0" w:line="15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85" w:lineRule="exact"/>
        <w:rPr>
          <w:sz w:val="24"/>
          <w:szCs w:val="24"/>
          <w:color w:val="auto"/>
        </w:rPr>
      </w:pPr>
    </w:p>
    <w:tbl>
      <w:tblPr>
        <w:tblLayout w:type="fixed"/>
        <w:tblInd w:w="880" w:type="dxa"/>
        <w:tblCellMar>
          <w:top w:w="0" w:type="dxa"/>
          <w:left w:w="0" w:type="dxa"/>
          <w:bottom w:w="0" w:type="dxa"/>
          <w:right w:w="0" w:type="dxa"/>
        </w:tblCellMar>
      </w:tblPr>
      <w:tr>
        <w:trPr>
          <w:trHeight w:val="156"/>
        </w:trPr>
        <w:tc>
          <w:tcPr>
            <w:tcW w:w="268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9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2440" w:type="dxa"/>
            <w:vAlign w:val="bottom"/>
          </w:tcPr>
          <w:p>
            <w:pPr>
              <w:jc w:val="center"/>
              <w:ind w:left="412"/>
              <w:spacing w:after="0"/>
              <w:rPr>
                <w:sz w:val="20"/>
                <w:szCs w:val="20"/>
                <w:color w:val="auto"/>
              </w:rPr>
            </w:pPr>
            <w:r>
              <w:rPr>
                <w:rFonts w:ascii="Times New Roman" w:cs="Times New Roman" w:eastAsia="Times New Roman" w:hAnsi="Times New Roman"/>
                <w:sz w:val="13"/>
                <w:szCs w:val="13"/>
                <w:b w:val="1"/>
                <w:bCs w:val="1"/>
                <w:color w:val="auto"/>
              </w:rPr>
              <w:t>Name of Each Exchange on Which</w:t>
            </w:r>
          </w:p>
        </w:tc>
      </w:tr>
      <w:tr>
        <w:trPr>
          <w:trHeight w:val="157"/>
        </w:trPr>
        <w:tc>
          <w:tcPr>
            <w:tcW w:w="26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40" w:type="dxa"/>
            <w:vAlign w:val="bottom"/>
          </w:tcPr>
          <w:p>
            <w:pPr>
              <w:jc w:val="center"/>
              <w:ind w:left="412"/>
              <w:spacing w:after="0"/>
              <w:rPr>
                <w:sz w:val="20"/>
                <w:szCs w:val="20"/>
                <w:color w:val="auto"/>
              </w:rPr>
            </w:pPr>
            <w:r>
              <w:rPr>
                <w:rFonts w:ascii="Times New Roman" w:cs="Times New Roman" w:eastAsia="Times New Roman" w:hAnsi="Times New Roman"/>
                <w:sz w:val="13"/>
                <w:szCs w:val="13"/>
                <w:b w:val="1"/>
                <w:bCs w:val="1"/>
                <w:color w:val="auto"/>
              </w:rPr>
              <w:t>Registered</w:t>
            </w:r>
          </w:p>
        </w:tc>
      </w:tr>
      <w:tr>
        <w:trPr>
          <w:trHeight w:val="188"/>
        </w:trPr>
        <w:tc>
          <w:tcPr>
            <w:tcW w:w="2680" w:type="dxa"/>
            <w:vAlign w:val="bottom"/>
          </w:tcPr>
          <w:p>
            <w:pPr>
              <w:jc w:val="center"/>
              <w:ind w:right="334"/>
              <w:spacing w:after="0"/>
              <w:rPr>
                <w:sz w:val="20"/>
                <w:szCs w:val="20"/>
                <w:color w:val="auto"/>
              </w:rPr>
            </w:pPr>
            <w:r>
              <w:rPr>
                <w:rFonts w:ascii="Times New Roman" w:cs="Times New Roman" w:eastAsia="Times New Roman" w:hAnsi="Times New Roman"/>
                <w:sz w:val="13"/>
                <w:szCs w:val="13"/>
                <w:color w:val="auto"/>
              </w:rPr>
              <w:t>Common Stock, par value $0.001 per share</w:t>
            </w:r>
          </w:p>
        </w:tc>
        <w:tc>
          <w:tcPr>
            <w:tcW w:w="198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8"/>
              </w:rPr>
              <w:t>PFLT</w:t>
            </w:r>
          </w:p>
        </w:tc>
        <w:tc>
          <w:tcPr>
            <w:tcW w:w="2440" w:type="dxa"/>
            <w:vAlign w:val="bottom"/>
          </w:tcPr>
          <w:p>
            <w:pPr>
              <w:jc w:val="center"/>
              <w:ind w:left="432"/>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88" w:lineRule="exact"/>
        <w:rPr>
          <w:sz w:val="24"/>
          <w:szCs w:val="24"/>
          <w:color w:val="auto"/>
        </w:rPr>
      </w:pPr>
    </w:p>
    <w:p>
      <w:pPr>
        <w:ind w:left="760" w:right="780" w:firstLine="36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4" w:lineRule="exact"/>
        <w:rPr>
          <w:sz w:val="24"/>
          <w:szCs w:val="24"/>
          <w:color w:val="auto"/>
        </w:rPr>
      </w:pPr>
    </w:p>
    <w:p>
      <w:pPr>
        <w:jc w:val="both"/>
        <w:ind w:left="760" w:right="1200" w:firstLine="360"/>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4" w:lineRule="exact"/>
        <w:rPr>
          <w:sz w:val="24"/>
          <w:szCs w:val="24"/>
          <w:color w:val="auto"/>
        </w:rPr>
      </w:pPr>
    </w:p>
    <w:p>
      <w:pPr>
        <w:ind w:left="760" w:right="940" w:firstLine="360"/>
        <w:spacing w:after="0" w:line="26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760" w:type="dxa"/>
        <w:tblCellMar>
          <w:top w:w="0" w:type="dxa"/>
          <w:left w:w="0" w:type="dxa"/>
          <w:bottom w:w="0" w:type="dxa"/>
          <w:right w:w="0" w:type="dxa"/>
        </w:tblCellMar>
      </w:tblPr>
      <w:tr>
        <w:trPr>
          <w:trHeight w:val="223"/>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2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4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Accelerated filer</w:t>
            </w:r>
          </w:p>
        </w:tc>
        <w:tc>
          <w:tcPr>
            <w:tcW w:w="180" w:type="dxa"/>
            <w:vAlign w:val="bottom"/>
          </w:tcPr>
          <w:p>
            <w:pPr>
              <w:ind w:left="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6"/>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2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42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80" w:type="dxa"/>
            <w:vAlign w:val="bottom"/>
          </w:tcPr>
          <w:p>
            <w:pPr>
              <w:ind w:left="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6"/>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24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36" w:lineRule="exact"/>
        <w:rPr>
          <w:sz w:val="24"/>
          <w:szCs w:val="24"/>
          <w:color w:val="auto"/>
        </w:rPr>
      </w:pPr>
    </w:p>
    <w:p>
      <w:pPr>
        <w:ind w:left="760" w:right="1120" w:firstLine="36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 w:lineRule="exact"/>
        <w:rPr>
          <w:sz w:val="24"/>
          <w:szCs w:val="24"/>
          <w:color w:val="auto"/>
        </w:rPr>
      </w:pPr>
    </w:p>
    <w:p>
      <w:pPr>
        <w:ind w:left="11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9" w:lineRule="exact"/>
        <w:rPr>
          <w:sz w:val="24"/>
          <w:szCs w:val="24"/>
          <w:color w:val="auto"/>
        </w:rPr>
      </w:pPr>
    </w:p>
    <w:p>
      <w:pPr>
        <w:ind w:left="760" w:right="1400" w:firstLine="360"/>
        <w:spacing w:after="0" w:line="286" w:lineRule="auto"/>
        <w:rPr>
          <w:sz w:val="20"/>
          <w:szCs w:val="20"/>
          <w:color w:val="auto"/>
        </w:rPr>
      </w:pPr>
      <w:r>
        <w:rPr>
          <w:rFonts w:ascii="Times New Roman" w:cs="Times New Roman" w:eastAsia="Times New Roman" w:hAnsi="Times New Roman"/>
          <w:sz w:val="13"/>
          <w:szCs w:val="13"/>
          <w:color w:val="auto"/>
        </w:rPr>
        <w:t>The number of shares of the registrant’s common stock, $0.001 par value per share, outstanding as of August 11, 2025 was 99,217,896.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-267335</wp:posOffset>
            </wp:positionH>
            <wp:positionV relativeFrom="paragraph">
              <wp:posOffset>949960</wp:posOffset>
            </wp:positionV>
            <wp:extent cx="62604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60465" cy="4064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40005</wp:posOffset>
            </wp:positionV>
            <wp:extent cx="475615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6150" cy="152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10-Q FOR THE QUARTER ENDED JUNE 30, 2025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80" w:type="dxa"/>
            <w:vAlign w:val="bottom"/>
            <w:tcBorders>
              <w:bottom w:val="single" w:sz="8" w:color="0000EE"/>
            </w:tcBorders>
            <w:gridSpan w:val="10"/>
          </w:tcPr>
          <w:p>
            <w:pPr>
              <w:jc w:val="center"/>
              <w:spacing w:after="0"/>
              <w:rPr>
                <w:rFonts w:ascii="Times New Roman" w:cs="Times New Roman" w:eastAsia="Times New Roman" w:hAnsi="Times New Roman"/>
                <w:sz w:val="13"/>
                <w:szCs w:val="13"/>
                <w:b w:val="1"/>
                <w:bCs w:val="1"/>
                <w:color w:val="0000FF"/>
              </w:rPr>
            </w:pPr>
            <w:hyperlink w:anchor="page3">
              <w:r>
                <w:rPr>
                  <w:rFonts w:ascii="Times New Roman" w:cs="Times New Roman" w:eastAsia="Times New Roman" w:hAnsi="Times New Roman"/>
                  <w:sz w:val="13"/>
                  <w:szCs w:val="13"/>
                  <w:b w:val="1"/>
                  <w:bCs w:val="1"/>
                  <w:color w:val="0000FF"/>
                </w:rPr>
                <w:t>PART I. CONSOLIDATED FINANCIAL INFORMATION</w:t>
              </w:r>
            </w:hyperlink>
          </w:p>
        </w:tc>
        <w:tc>
          <w:tcPr>
            <w:tcW w:w="1120" w:type="dxa"/>
            <w:vAlign w:val="bottom"/>
            <w:gridSpan w:val="4"/>
          </w:tcPr>
          <w:p>
            <w:pPr>
              <w:spacing w:after="0"/>
              <w:rPr>
                <w:sz w:val="12"/>
                <w:szCs w:val="12"/>
                <w:color w:val="auto"/>
              </w:rPr>
            </w:pPr>
          </w:p>
        </w:tc>
        <w:tc>
          <w:tcPr>
            <w:tcW w:w="2360" w:type="dxa"/>
            <w:vAlign w:val="bottom"/>
          </w:tcPr>
          <w:p>
            <w:pPr>
              <w:spacing w:after="0"/>
              <w:rPr>
                <w:sz w:val="12"/>
                <w:szCs w:val="12"/>
                <w:color w:val="auto"/>
              </w:rPr>
            </w:pPr>
          </w:p>
        </w:tc>
      </w:tr>
      <w:tr>
        <w:trPr>
          <w:trHeight w:val="292"/>
        </w:trPr>
        <w:tc>
          <w:tcPr>
            <w:tcW w:w="580" w:type="dxa"/>
            <w:vAlign w:val="bottom"/>
          </w:tcPr>
          <w:p>
            <w:pPr>
              <w:spacing w:after="0"/>
              <w:rPr>
                <w:sz w:val="24"/>
                <w:szCs w:val="24"/>
                <w:color w:val="auto"/>
              </w:rPr>
            </w:pPr>
          </w:p>
        </w:tc>
        <w:tc>
          <w:tcPr>
            <w:tcW w:w="2400" w:type="dxa"/>
            <w:vAlign w:val="bottom"/>
            <w:tcBorders>
              <w:bottom w:val="single" w:sz="8" w:color="0000EE"/>
            </w:tcBorders>
            <w:gridSpan w:val="12"/>
          </w:tcPr>
          <w:p>
            <w:pPr>
              <w:spacing w:after="0"/>
              <w:rPr>
                <w:rFonts w:ascii="Times New Roman" w:cs="Times New Roman" w:eastAsia="Times New Roman" w:hAnsi="Times New Roman"/>
                <w:sz w:val="13"/>
                <w:szCs w:val="13"/>
                <w:b w:val="1"/>
                <w:bCs w:val="1"/>
                <w:color w:val="0000FF"/>
              </w:rPr>
            </w:pPr>
            <w:hyperlink w:anchor="page4">
              <w:r>
                <w:rPr>
                  <w:rFonts w:ascii="Times New Roman" w:cs="Times New Roman" w:eastAsia="Times New Roman" w:hAnsi="Times New Roman"/>
                  <w:sz w:val="13"/>
                  <w:szCs w:val="13"/>
                  <w:b w:val="1"/>
                  <w:bCs w:val="1"/>
                  <w:color w:val="0000FF"/>
                </w:rPr>
                <w:t>Item 1. Consolidated Financial Statements</w:t>
              </w:r>
            </w:hyperlink>
          </w:p>
        </w:tc>
        <w:tc>
          <w:tcPr>
            <w:tcW w:w="4480" w:type="dxa"/>
            <w:vAlign w:val="bottom"/>
            <w:gridSpan w:val="13"/>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4</w:t>
            </w:r>
          </w:p>
        </w:tc>
      </w:tr>
      <w:tr>
        <w:trPr>
          <w:trHeight w:val="2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40" w:type="dxa"/>
            <w:vAlign w:val="bottom"/>
            <w:gridSpan w:val="23"/>
          </w:tcPr>
          <w:p>
            <w:pPr>
              <w:spacing w:after="0"/>
              <w:rPr>
                <w:rFonts w:ascii="Times New Roman" w:cs="Times New Roman" w:eastAsia="Times New Roman" w:hAnsi="Times New Roman"/>
                <w:sz w:val="13"/>
                <w:szCs w:val="13"/>
                <w:color w:val="0000FF"/>
              </w:rPr>
            </w:pPr>
            <w:hyperlink w:anchor="page4">
              <w:r>
                <w:rPr>
                  <w:rFonts w:ascii="Times New Roman" w:cs="Times New Roman" w:eastAsia="Times New Roman" w:hAnsi="Times New Roman"/>
                  <w:sz w:val="13"/>
                  <w:szCs w:val="13"/>
                  <w:color w:val="0000FF"/>
                </w:rPr>
                <w:t>Consolidated Statements of Assets and Liabilities as of June 30, 2025 (unaudited) and September 30, 2024</w:t>
              </w:r>
            </w:hyperlink>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Borders>
              <w:bottom w:val="single" w:sz="8" w:color="0000EE"/>
            </w:tcBorders>
            <w:gridSpan w:val="22"/>
          </w:tcPr>
          <w:p>
            <w:pPr>
              <w:spacing w:after="0"/>
              <w:rPr>
                <w:rFonts w:ascii="Times New Roman" w:cs="Times New Roman" w:eastAsia="Times New Roman" w:hAnsi="Times New Roman"/>
                <w:sz w:val="13"/>
                <w:szCs w:val="13"/>
                <w:color w:val="0000FF"/>
              </w:rPr>
            </w:pPr>
            <w:hyperlink w:anchor="page5">
              <w:r>
                <w:rPr>
                  <w:rFonts w:ascii="Times New Roman" w:cs="Times New Roman" w:eastAsia="Times New Roman" w:hAnsi="Times New Roman"/>
                  <w:sz w:val="13"/>
                  <w:szCs w:val="13"/>
                  <w:color w:val="0000FF"/>
                </w:rPr>
                <w:t>Consolidated Statements of Operations for the three and nine months ended June 30, 2025 and 2024 (unaudited)</w:t>
              </w:r>
            </w:hyperlink>
          </w:p>
        </w:tc>
        <w:tc>
          <w:tcPr>
            <w:tcW w:w="620" w:type="dxa"/>
            <w:vAlign w:val="bottom"/>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5</w:t>
            </w:r>
          </w:p>
        </w:tc>
      </w:tr>
      <w:tr>
        <w:trPr>
          <w:trHeight w:val="2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40" w:type="dxa"/>
            <w:vAlign w:val="bottom"/>
            <w:tcBorders>
              <w:bottom w:val="single" w:sz="8" w:color="0000EE"/>
            </w:tcBorders>
            <w:gridSpan w:val="23"/>
          </w:tcPr>
          <w:p>
            <w:pPr>
              <w:spacing w:after="0"/>
              <w:rPr>
                <w:rFonts w:ascii="Times New Roman" w:cs="Times New Roman" w:eastAsia="Times New Roman" w:hAnsi="Times New Roman"/>
                <w:sz w:val="13"/>
                <w:szCs w:val="13"/>
                <w:color w:val="0000FF"/>
              </w:rPr>
            </w:pPr>
            <w:hyperlink w:anchor="page6">
              <w:r>
                <w:rPr>
                  <w:rFonts w:ascii="Times New Roman" w:cs="Times New Roman" w:eastAsia="Times New Roman" w:hAnsi="Times New Roman"/>
                  <w:sz w:val="13"/>
                  <w:szCs w:val="13"/>
                  <w:color w:val="0000FF"/>
                </w:rPr>
                <w:t>Consolidated Statements of Changes in Net Assets for the three and nine months ended June 30, 2025 and 2024 (unaudited)</w:t>
              </w:r>
            </w:hyperlink>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6</w:t>
            </w:r>
          </w:p>
        </w:tc>
      </w:tr>
      <w:tr>
        <w:trPr>
          <w:trHeight w:val="2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80" w:type="dxa"/>
            <w:vAlign w:val="bottom"/>
            <w:tcBorders>
              <w:bottom w:val="single" w:sz="8" w:color="0000EE"/>
            </w:tcBorders>
            <w:gridSpan w:val="20"/>
          </w:tcPr>
          <w:p>
            <w:pPr>
              <w:spacing w:after="0"/>
              <w:rPr>
                <w:rFonts w:ascii="Times New Roman" w:cs="Times New Roman" w:eastAsia="Times New Roman" w:hAnsi="Times New Roman"/>
                <w:sz w:val="13"/>
                <w:szCs w:val="13"/>
                <w:color w:val="0000FF"/>
              </w:rPr>
            </w:pPr>
            <w:hyperlink w:anchor="page7">
              <w:r>
                <w:rPr>
                  <w:rFonts w:ascii="Times New Roman" w:cs="Times New Roman" w:eastAsia="Times New Roman" w:hAnsi="Times New Roman"/>
                  <w:sz w:val="13"/>
                  <w:szCs w:val="13"/>
                  <w:color w:val="0000FF"/>
                </w:rPr>
                <w:t>Consolidated Statements of Cash Flows for the nine months ended June 30, 2025 and 2024 (unaudited)</w:t>
              </w:r>
            </w:hyperlink>
          </w:p>
        </w:tc>
        <w:tc>
          <w:tcPr>
            <w:tcW w:w="1060" w:type="dxa"/>
            <w:vAlign w:val="bottom"/>
            <w:gridSpan w:val="3"/>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7</w:t>
            </w:r>
          </w:p>
        </w:tc>
      </w:tr>
      <w:tr>
        <w:trPr>
          <w:trHeight w:val="2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tcBorders>
              <w:bottom w:val="single" w:sz="8" w:color="0000EE"/>
            </w:tcBorders>
            <w:gridSpan w:val="17"/>
          </w:tcPr>
          <w:p>
            <w:pPr>
              <w:spacing w:after="0"/>
              <w:rPr>
                <w:rFonts w:ascii="Times New Roman" w:cs="Times New Roman" w:eastAsia="Times New Roman" w:hAnsi="Times New Roman"/>
                <w:sz w:val="13"/>
                <w:szCs w:val="13"/>
                <w:color w:val="0000FF"/>
              </w:rPr>
            </w:pPr>
            <w:hyperlink w:anchor="page8">
              <w:r>
                <w:rPr>
                  <w:rFonts w:ascii="Times New Roman" w:cs="Times New Roman" w:eastAsia="Times New Roman" w:hAnsi="Times New Roman"/>
                  <w:sz w:val="13"/>
                  <w:szCs w:val="13"/>
                  <w:color w:val="0000FF"/>
                </w:rPr>
                <w:t>Consolidated Schedules of Investments as of June 30, 2025 (unaudited) and September 30, 2024</w:t>
              </w:r>
            </w:hyperlink>
          </w:p>
        </w:tc>
        <w:tc>
          <w:tcPr>
            <w:tcW w:w="1460" w:type="dxa"/>
            <w:vAlign w:val="bottom"/>
            <w:gridSpan w:val="6"/>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8</w:t>
            </w:r>
          </w:p>
        </w:tc>
      </w:tr>
      <w:tr>
        <w:trPr>
          <w:trHeight w:val="2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Borders>
              <w:bottom w:val="single" w:sz="8" w:color="0000EE"/>
            </w:tcBorders>
            <w:gridSpan w:val="12"/>
          </w:tcPr>
          <w:p>
            <w:pPr>
              <w:spacing w:after="0"/>
              <w:rPr>
                <w:rFonts w:ascii="Times New Roman" w:cs="Times New Roman" w:eastAsia="Times New Roman" w:hAnsi="Times New Roman"/>
                <w:sz w:val="13"/>
                <w:szCs w:val="13"/>
                <w:color w:val="0000FF"/>
              </w:rPr>
            </w:pPr>
            <w:hyperlink w:anchor="page27">
              <w:r>
                <w:rPr>
                  <w:rFonts w:ascii="Times New Roman" w:cs="Times New Roman" w:eastAsia="Times New Roman" w:hAnsi="Times New Roman"/>
                  <w:sz w:val="13"/>
                  <w:szCs w:val="13"/>
                  <w:color w:val="0000FF"/>
                </w:rPr>
                <w:t>Notes to Consolidated Financial Statements (unaudited)</w:t>
              </w:r>
            </w:hyperlink>
          </w:p>
        </w:tc>
        <w:tc>
          <w:tcPr>
            <w:tcW w:w="3600" w:type="dxa"/>
            <w:vAlign w:val="bottom"/>
            <w:gridSpan w:val="11"/>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27</w:t>
            </w:r>
          </w:p>
        </w:tc>
      </w:tr>
      <w:tr>
        <w:trPr>
          <w:trHeight w:val="316"/>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Borders>
              <w:bottom w:val="single" w:sz="8" w:color="0000EE"/>
            </w:tcBorders>
            <w:gridSpan w:val="15"/>
          </w:tcPr>
          <w:p>
            <w:pPr>
              <w:spacing w:after="0"/>
              <w:rPr>
                <w:rFonts w:ascii="Times New Roman" w:cs="Times New Roman" w:eastAsia="Times New Roman" w:hAnsi="Times New Roman"/>
                <w:sz w:val="13"/>
                <w:szCs w:val="13"/>
                <w:color w:val="0000FF"/>
              </w:rPr>
            </w:pPr>
            <w:hyperlink w:anchor="page50">
              <w:r>
                <w:rPr>
                  <w:rFonts w:ascii="Times New Roman" w:cs="Times New Roman" w:eastAsia="Times New Roman" w:hAnsi="Times New Roman"/>
                  <w:sz w:val="13"/>
                  <w:szCs w:val="13"/>
                  <w:color w:val="0000FF"/>
                </w:rPr>
                <w:t>Report of Independent Registered Public Accounting Firm (PCAOB ID 49)</w:t>
              </w:r>
            </w:hyperlink>
          </w:p>
        </w:tc>
        <w:tc>
          <w:tcPr>
            <w:tcW w:w="2560" w:type="dxa"/>
            <w:vAlign w:val="bottom"/>
            <w:gridSpan w:val="8"/>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50</w:t>
            </w:r>
          </w:p>
        </w:tc>
      </w:tr>
      <w:tr>
        <w:trPr>
          <w:trHeight w:val="292"/>
        </w:trPr>
        <w:tc>
          <w:tcPr>
            <w:tcW w:w="58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5440" w:type="dxa"/>
            <w:vAlign w:val="bottom"/>
            <w:tcBorders>
              <w:bottom w:val="single" w:sz="8" w:color="0000EE"/>
            </w:tcBorders>
            <w:gridSpan w:val="19"/>
          </w:tcPr>
          <w:p>
            <w:pPr>
              <w:spacing w:after="0"/>
              <w:rPr>
                <w:rFonts w:ascii="Times New Roman" w:cs="Times New Roman" w:eastAsia="Times New Roman" w:hAnsi="Times New Roman"/>
                <w:sz w:val="13"/>
                <w:szCs w:val="13"/>
                <w:b w:val="1"/>
                <w:bCs w:val="1"/>
                <w:color w:val="0000FF"/>
              </w:rPr>
            </w:pPr>
            <w:hyperlink w:anchor="page52">
              <w:r>
                <w:rPr>
                  <w:rFonts w:ascii="Times New Roman" w:cs="Times New Roman" w:eastAsia="Times New Roman" w:hAnsi="Times New Roman"/>
                  <w:sz w:val="13"/>
                  <w:szCs w:val="13"/>
                  <w:b w:val="1"/>
                  <w:bCs w:val="1"/>
                  <w:color w:val="0000FF"/>
                </w:rPr>
                <w:t>Item 2. Management’s Discussion and Analysis of Financial Condition and Results of Operations</w:t>
              </w:r>
            </w:hyperlink>
          </w:p>
        </w:tc>
        <w:tc>
          <w:tcPr>
            <w:tcW w:w="1420" w:type="dxa"/>
            <w:vAlign w:val="bottom"/>
            <w:gridSpan w:val="5"/>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52</w:t>
            </w:r>
          </w:p>
        </w:tc>
      </w:tr>
      <w:tr>
        <w:trPr>
          <w:trHeight w:val="292"/>
        </w:trPr>
        <w:tc>
          <w:tcPr>
            <w:tcW w:w="58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3860" w:type="dxa"/>
            <w:vAlign w:val="bottom"/>
            <w:tcBorders>
              <w:bottom w:val="single" w:sz="8" w:color="0000EE"/>
            </w:tcBorders>
            <w:gridSpan w:val="15"/>
          </w:tcPr>
          <w:p>
            <w:pPr>
              <w:spacing w:after="0"/>
              <w:rPr>
                <w:rFonts w:ascii="Times New Roman" w:cs="Times New Roman" w:eastAsia="Times New Roman" w:hAnsi="Times New Roman"/>
                <w:sz w:val="13"/>
                <w:szCs w:val="13"/>
                <w:b w:val="1"/>
                <w:bCs w:val="1"/>
                <w:color w:val="0000FF"/>
              </w:rPr>
            </w:pPr>
            <w:hyperlink w:anchor="page69">
              <w:r>
                <w:rPr>
                  <w:rFonts w:ascii="Times New Roman" w:cs="Times New Roman" w:eastAsia="Times New Roman" w:hAnsi="Times New Roman"/>
                  <w:sz w:val="13"/>
                  <w:szCs w:val="13"/>
                  <w:b w:val="1"/>
                  <w:bCs w:val="1"/>
                  <w:color w:val="0000FF"/>
                </w:rPr>
                <w:t>Item 3. Quantitative and Qualitative Disclosures About Market Risk</w:t>
              </w:r>
            </w:hyperlink>
          </w:p>
        </w:tc>
        <w:tc>
          <w:tcPr>
            <w:tcW w:w="3000" w:type="dxa"/>
            <w:vAlign w:val="bottom"/>
            <w:gridSpan w:val="9"/>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69</w:t>
            </w:r>
          </w:p>
        </w:tc>
      </w:tr>
      <w:tr>
        <w:trPr>
          <w:trHeight w:val="2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24"/>
          </w:tcPr>
          <w:p>
            <w:pPr>
              <w:spacing w:after="0"/>
              <w:rPr>
                <w:rFonts w:ascii="Times New Roman" w:cs="Times New Roman" w:eastAsia="Times New Roman" w:hAnsi="Times New Roman"/>
                <w:sz w:val="13"/>
                <w:szCs w:val="13"/>
                <w:b w:val="1"/>
                <w:bCs w:val="1"/>
                <w:color w:val="0000FF"/>
              </w:rPr>
            </w:pPr>
            <w:hyperlink w:anchor="page71">
              <w:r>
                <w:rPr>
                  <w:rFonts w:ascii="Times New Roman" w:cs="Times New Roman" w:eastAsia="Times New Roman" w:hAnsi="Times New Roman"/>
                  <w:sz w:val="13"/>
                  <w:szCs w:val="13"/>
                  <w:b w:val="1"/>
                  <w:bCs w:val="1"/>
                  <w:color w:val="0000FF"/>
                </w:rPr>
                <w:t>Item 4. Controls and Procedures</w:t>
              </w:r>
            </w:hyperlink>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71</w:t>
            </w:r>
          </w:p>
        </w:tc>
      </w:tr>
      <w:tr>
        <w:trPr>
          <w:trHeight w:val="2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60" w:type="dxa"/>
            <w:vAlign w:val="bottom"/>
            <w:tcBorders>
              <w:bottom w:val="single" w:sz="8" w:color="0000EE"/>
            </w:tcBorders>
            <w:gridSpan w:val="5"/>
          </w:tcPr>
          <w:p>
            <w:pPr>
              <w:jc w:val="center"/>
              <w:spacing w:after="0"/>
              <w:rPr>
                <w:rFonts w:ascii="Times New Roman" w:cs="Times New Roman" w:eastAsia="Times New Roman" w:hAnsi="Times New Roman"/>
                <w:sz w:val="13"/>
                <w:szCs w:val="13"/>
                <w:b w:val="1"/>
                <w:bCs w:val="1"/>
                <w:color w:val="0000FF"/>
              </w:rPr>
            </w:pPr>
            <w:hyperlink w:anchor="page71">
              <w:r>
                <w:rPr>
                  <w:rFonts w:ascii="Times New Roman" w:cs="Times New Roman" w:eastAsia="Times New Roman" w:hAnsi="Times New Roman"/>
                  <w:sz w:val="13"/>
                  <w:szCs w:val="13"/>
                  <w:b w:val="1"/>
                  <w:bCs w:val="1"/>
                  <w:color w:val="0000FF"/>
                </w:rPr>
                <w:t>PART II. OTHER INFORMATION</w:t>
              </w:r>
            </w:hyperlink>
          </w:p>
        </w:tc>
        <w:tc>
          <w:tcPr>
            <w:tcW w:w="1780" w:type="dxa"/>
            <w:vAlign w:val="bottom"/>
            <w:gridSpan w:val="7"/>
          </w:tcPr>
          <w:p>
            <w:pPr>
              <w:spacing w:after="0"/>
              <w:rPr>
                <w:sz w:val="24"/>
                <w:szCs w:val="24"/>
                <w:color w:val="auto"/>
              </w:rPr>
            </w:pPr>
          </w:p>
        </w:tc>
        <w:tc>
          <w:tcPr>
            <w:tcW w:w="2360" w:type="dxa"/>
            <w:vAlign w:val="bottom"/>
          </w:tcPr>
          <w:p>
            <w:pPr>
              <w:spacing w:after="0"/>
              <w:rPr>
                <w:sz w:val="24"/>
                <w:szCs w:val="24"/>
                <w:color w:val="auto"/>
              </w:rPr>
            </w:pPr>
          </w:p>
        </w:tc>
      </w:tr>
      <w:tr>
        <w:trPr>
          <w:trHeight w:val="292"/>
        </w:trPr>
        <w:tc>
          <w:tcPr>
            <w:tcW w:w="58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1460" w:type="dxa"/>
            <w:vAlign w:val="bottom"/>
            <w:tcBorders>
              <w:bottom w:val="single" w:sz="8" w:color="0000EE"/>
            </w:tcBorders>
            <w:gridSpan w:val="5"/>
          </w:tcPr>
          <w:p>
            <w:pPr>
              <w:spacing w:after="0"/>
              <w:rPr>
                <w:rFonts w:ascii="Times New Roman" w:cs="Times New Roman" w:eastAsia="Times New Roman" w:hAnsi="Times New Roman"/>
                <w:sz w:val="13"/>
                <w:szCs w:val="13"/>
                <w:b w:val="1"/>
                <w:bCs w:val="1"/>
                <w:color w:val="0000FF"/>
              </w:rPr>
            </w:pPr>
            <w:hyperlink w:anchor="page71">
              <w:r>
                <w:rPr>
                  <w:rFonts w:ascii="Times New Roman" w:cs="Times New Roman" w:eastAsia="Times New Roman" w:hAnsi="Times New Roman"/>
                  <w:sz w:val="13"/>
                  <w:szCs w:val="13"/>
                  <w:b w:val="1"/>
                  <w:bCs w:val="1"/>
                  <w:color w:val="0000FF"/>
                </w:rPr>
                <w:t>Item 1. Legal Proceedings</w:t>
              </w:r>
            </w:hyperlink>
          </w:p>
        </w:tc>
        <w:tc>
          <w:tcPr>
            <w:tcW w:w="5400" w:type="dxa"/>
            <w:vAlign w:val="bottom"/>
            <w:gridSpan w:val="19"/>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71</w:t>
            </w:r>
          </w:p>
        </w:tc>
      </w:tr>
      <w:tr>
        <w:trPr>
          <w:trHeight w:val="292"/>
        </w:trPr>
        <w:tc>
          <w:tcPr>
            <w:tcW w:w="58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1240" w:type="dxa"/>
            <w:vAlign w:val="bottom"/>
            <w:tcBorders>
              <w:bottom w:val="single" w:sz="8" w:color="0000EE"/>
            </w:tcBorders>
            <w:gridSpan w:val="4"/>
          </w:tcPr>
          <w:p>
            <w:pPr>
              <w:spacing w:after="0"/>
              <w:rPr>
                <w:rFonts w:ascii="Times New Roman" w:cs="Times New Roman" w:eastAsia="Times New Roman" w:hAnsi="Times New Roman"/>
                <w:sz w:val="13"/>
                <w:szCs w:val="13"/>
                <w:b w:val="1"/>
                <w:bCs w:val="1"/>
                <w:color w:val="0000FF"/>
                <w:w w:val="99"/>
              </w:rPr>
            </w:pPr>
            <w:hyperlink w:anchor="page71">
              <w:r>
                <w:rPr>
                  <w:rFonts w:ascii="Times New Roman" w:cs="Times New Roman" w:eastAsia="Times New Roman" w:hAnsi="Times New Roman"/>
                  <w:sz w:val="13"/>
                  <w:szCs w:val="13"/>
                  <w:b w:val="1"/>
                  <w:bCs w:val="1"/>
                  <w:color w:val="0000FF"/>
                  <w:w w:val="99"/>
                </w:rPr>
                <w:t>Item 1A. Risk Factors</w:t>
              </w:r>
            </w:hyperlink>
          </w:p>
        </w:tc>
        <w:tc>
          <w:tcPr>
            <w:tcW w:w="5620" w:type="dxa"/>
            <w:vAlign w:val="bottom"/>
            <w:gridSpan w:val="20"/>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71</w:t>
            </w:r>
          </w:p>
        </w:tc>
      </w:tr>
      <w:tr>
        <w:trPr>
          <w:trHeight w:val="2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24"/>
          </w:tcPr>
          <w:p>
            <w:pPr>
              <w:spacing w:after="0"/>
              <w:rPr>
                <w:rFonts w:ascii="Times New Roman" w:cs="Times New Roman" w:eastAsia="Times New Roman" w:hAnsi="Times New Roman"/>
                <w:sz w:val="13"/>
                <w:szCs w:val="13"/>
                <w:b w:val="1"/>
                <w:bCs w:val="1"/>
                <w:color w:val="0000FF"/>
              </w:rPr>
            </w:pPr>
            <w:hyperlink w:anchor="page72">
              <w:r>
                <w:rPr>
                  <w:rFonts w:ascii="Times New Roman" w:cs="Times New Roman" w:eastAsia="Times New Roman" w:hAnsi="Times New Roman"/>
                  <w:sz w:val="13"/>
                  <w:szCs w:val="13"/>
                  <w:b w:val="1"/>
                  <w:bCs w:val="1"/>
                  <w:color w:val="0000FF"/>
                </w:rPr>
                <w:t>Item 2. Unregistered Sales of Equity Securities and Use of Proceeds</w:t>
              </w:r>
            </w:hyperlink>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72</w:t>
            </w:r>
          </w:p>
        </w:tc>
      </w:tr>
      <w:tr>
        <w:trPr>
          <w:trHeight w:val="292"/>
        </w:trPr>
        <w:tc>
          <w:tcPr>
            <w:tcW w:w="580" w:type="dxa"/>
            <w:vAlign w:val="bottom"/>
          </w:tcPr>
          <w:p>
            <w:pPr>
              <w:spacing w:after="0"/>
              <w:rPr>
                <w:sz w:val="24"/>
                <w:szCs w:val="24"/>
                <w:color w:val="auto"/>
              </w:rPr>
            </w:pPr>
          </w:p>
        </w:tc>
        <w:tc>
          <w:tcPr>
            <w:tcW w:w="20" w:type="dxa"/>
            <w:vAlign w:val="bottom"/>
            <w:tcBorders>
              <w:top w:val="single" w:sz="8" w:color="0000EE"/>
              <w:bottom w:val="single" w:sz="8" w:color="0000EE"/>
            </w:tcBorders>
          </w:tcPr>
          <w:p>
            <w:pPr>
              <w:spacing w:after="0"/>
              <w:rPr>
                <w:sz w:val="24"/>
                <w:szCs w:val="24"/>
                <w:color w:val="auto"/>
              </w:rPr>
            </w:pPr>
          </w:p>
        </w:tc>
        <w:tc>
          <w:tcPr>
            <w:tcW w:w="22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3"/>
                <w:szCs w:val="13"/>
                <w:b w:val="1"/>
                <w:bCs w:val="1"/>
                <w:color w:val="0000FF"/>
              </w:rPr>
            </w:pPr>
            <w:hyperlink w:anchor="page72">
              <w:r>
                <w:rPr>
                  <w:rFonts w:ascii="Times New Roman" w:cs="Times New Roman" w:eastAsia="Times New Roman" w:hAnsi="Times New Roman"/>
                  <w:sz w:val="13"/>
                  <w:szCs w:val="13"/>
                  <w:b w:val="1"/>
                  <w:bCs w:val="1"/>
                  <w:color w:val="0000FF"/>
                </w:rPr>
                <w:t>Item 3. Defaults Upon Senior Securities</w:t>
              </w:r>
            </w:hyperlink>
          </w:p>
        </w:tc>
        <w:tc>
          <w:tcPr>
            <w:tcW w:w="1560" w:type="dxa"/>
            <w:vAlign w:val="bottom"/>
            <w:tcBorders>
              <w:top w:val="single" w:sz="8" w:color="0000EE"/>
            </w:tcBorders>
            <w:gridSpan w:val="5"/>
          </w:tcPr>
          <w:p>
            <w:pPr>
              <w:spacing w:after="0"/>
              <w:rPr>
                <w:sz w:val="24"/>
                <w:szCs w:val="24"/>
                <w:color w:val="auto"/>
              </w:rPr>
            </w:pPr>
          </w:p>
        </w:tc>
        <w:tc>
          <w:tcPr>
            <w:tcW w:w="3080" w:type="dxa"/>
            <w:vAlign w:val="bottom"/>
            <w:gridSpan w:val="10"/>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72</w:t>
            </w:r>
          </w:p>
        </w:tc>
      </w:tr>
      <w:tr>
        <w:trPr>
          <w:trHeight w:val="292"/>
        </w:trPr>
        <w:tc>
          <w:tcPr>
            <w:tcW w:w="58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1780" w:type="dxa"/>
            <w:vAlign w:val="bottom"/>
            <w:tcBorders>
              <w:bottom w:val="single" w:sz="8" w:color="0000EE"/>
            </w:tcBorders>
            <w:gridSpan w:val="7"/>
          </w:tcPr>
          <w:p>
            <w:pPr>
              <w:spacing w:after="0"/>
              <w:rPr>
                <w:rFonts w:ascii="Times New Roman" w:cs="Times New Roman" w:eastAsia="Times New Roman" w:hAnsi="Times New Roman"/>
                <w:sz w:val="13"/>
                <w:szCs w:val="13"/>
                <w:b w:val="1"/>
                <w:bCs w:val="1"/>
                <w:color w:val="0000FF"/>
              </w:rPr>
            </w:pPr>
            <w:hyperlink w:anchor="page72">
              <w:r>
                <w:rPr>
                  <w:rFonts w:ascii="Times New Roman" w:cs="Times New Roman" w:eastAsia="Times New Roman" w:hAnsi="Times New Roman"/>
                  <w:sz w:val="13"/>
                  <w:szCs w:val="13"/>
                  <w:b w:val="1"/>
                  <w:bCs w:val="1"/>
                  <w:color w:val="0000FF"/>
                </w:rPr>
                <w:t>Item 4. Mine Safety Disclosures</w:t>
              </w:r>
            </w:hyperlink>
          </w:p>
        </w:tc>
        <w:tc>
          <w:tcPr>
            <w:tcW w:w="5080" w:type="dxa"/>
            <w:vAlign w:val="bottom"/>
            <w:gridSpan w:val="17"/>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72</w:t>
            </w:r>
          </w:p>
        </w:tc>
      </w:tr>
      <w:tr>
        <w:trPr>
          <w:trHeight w:val="2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24"/>
          </w:tcPr>
          <w:p>
            <w:pPr>
              <w:spacing w:after="0"/>
              <w:rPr>
                <w:rFonts w:ascii="Times New Roman" w:cs="Times New Roman" w:eastAsia="Times New Roman" w:hAnsi="Times New Roman"/>
                <w:sz w:val="13"/>
                <w:szCs w:val="13"/>
                <w:b w:val="1"/>
                <w:bCs w:val="1"/>
                <w:color w:val="0000FF"/>
              </w:rPr>
            </w:pPr>
            <w:hyperlink w:anchor="page72">
              <w:r>
                <w:rPr>
                  <w:rFonts w:ascii="Times New Roman" w:cs="Times New Roman" w:eastAsia="Times New Roman" w:hAnsi="Times New Roman"/>
                  <w:sz w:val="13"/>
                  <w:szCs w:val="13"/>
                  <w:b w:val="1"/>
                  <w:bCs w:val="1"/>
                  <w:color w:val="0000FF"/>
                </w:rPr>
                <w:t>Item 5. Other Information</w:t>
              </w:r>
            </w:hyperlink>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72</w:t>
            </w:r>
          </w:p>
        </w:tc>
      </w:tr>
      <w:tr>
        <w:trPr>
          <w:trHeight w:val="292"/>
        </w:trPr>
        <w:tc>
          <w:tcPr>
            <w:tcW w:w="580" w:type="dxa"/>
            <w:vAlign w:val="bottom"/>
          </w:tcPr>
          <w:p>
            <w:pPr>
              <w:spacing w:after="0"/>
              <w:rPr>
                <w:sz w:val="24"/>
                <w:szCs w:val="24"/>
                <w:color w:val="auto"/>
              </w:rPr>
            </w:pPr>
          </w:p>
        </w:tc>
        <w:tc>
          <w:tcPr>
            <w:tcW w:w="20" w:type="dxa"/>
            <w:vAlign w:val="bottom"/>
            <w:tcBorders>
              <w:top w:val="single" w:sz="8" w:color="0000EE"/>
              <w:bottom w:val="single" w:sz="8" w:color="0000EE"/>
            </w:tcBorders>
          </w:tcPr>
          <w:p>
            <w:pPr>
              <w:spacing w:after="0"/>
              <w:rPr>
                <w:sz w:val="24"/>
                <w:szCs w:val="24"/>
                <w:color w:val="auto"/>
              </w:rPr>
            </w:pP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3"/>
                <w:szCs w:val="13"/>
                <w:b w:val="1"/>
                <w:bCs w:val="1"/>
                <w:color w:val="0000FF"/>
                <w:w w:val="99"/>
              </w:rPr>
            </w:pPr>
            <w:hyperlink w:anchor="page73">
              <w:r>
                <w:rPr>
                  <w:rFonts w:ascii="Times New Roman" w:cs="Times New Roman" w:eastAsia="Times New Roman" w:hAnsi="Times New Roman"/>
                  <w:sz w:val="13"/>
                  <w:szCs w:val="13"/>
                  <w:b w:val="1"/>
                  <w:bCs w:val="1"/>
                  <w:color w:val="0000FF"/>
                  <w:w w:val="99"/>
                </w:rPr>
                <w:t>Item 6. Exhibits</w:t>
              </w:r>
            </w:hyperlink>
          </w:p>
        </w:tc>
        <w:tc>
          <w:tcPr>
            <w:tcW w:w="580" w:type="dxa"/>
            <w:vAlign w:val="bottom"/>
            <w:tcBorders>
              <w:top w:val="single" w:sz="8" w:color="0000EE"/>
            </w:tcBorders>
            <w:gridSpan w:val="3"/>
          </w:tcPr>
          <w:p>
            <w:pPr>
              <w:spacing w:after="0"/>
              <w:rPr>
                <w:sz w:val="24"/>
                <w:szCs w:val="24"/>
                <w:color w:val="auto"/>
              </w:rPr>
            </w:pPr>
          </w:p>
        </w:tc>
        <w:tc>
          <w:tcPr>
            <w:tcW w:w="5380" w:type="dxa"/>
            <w:vAlign w:val="bottom"/>
            <w:gridSpan w:val="18"/>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73</w:t>
            </w:r>
          </w:p>
        </w:tc>
      </w:tr>
      <w:tr>
        <w:trPr>
          <w:trHeight w:val="29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0000EE"/>
            </w:tcBorders>
            <w:gridSpan w:val="2"/>
          </w:tcPr>
          <w:p>
            <w:pPr>
              <w:spacing w:after="0"/>
              <w:rPr>
                <w:rFonts w:ascii="Times New Roman" w:cs="Times New Roman" w:eastAsia="Times New Roman" w:hAnsi="Times New Roman"/>
                <w:sz w:val="13"/>
                <w:szCs w:val="13"/>
                <w:b w:val="1"/>
                <w:bCs w:val="1"/>
                <w:color w:val="0000FF"/>
                <w:w w:val="99"/>
              </w:rPr>
            </w:pPr>
            <w:hyperlink w:anchor="page74">
              <w:r>
                <w:rPr>
                  <w:rFonts w:ascii="Times New Roman" w:cs="Times New Roman" w:eastAsia="Times New Roman" w:hAnsi="Times New Roman"/>
                  <w:sz w:val="13"/>
                  <w:szCs w:val="13"/>
                  <w:b w:val="1"/>
                  <w:bCs w:val="1"/>
                  <w:color w:val="0000FF"/>
                  <w:w w:val="99"/>
                </w:rPr>
                <w:t>SIGNATURES</w:t>
              </w:r>
            </w:hyperlink>
          </w:p>
        </w:tc>
        <w:tc>
          <w:tcPr>
            <w:tcW w:w="6000" w:type="dxa"/>
            <w:vAlign w:val="bottom"/>
            <w:gridSpan w:val="22"/>
          </w:tcPr>
          <w:p>
            <w:pPr>
              <w:spacing w:after="0"/>
              <w:rPr>
                <w:sz w:val="24"/>
                <w:szCs w:val="24"/>
                <w:color w:val="auto"/>
              </w:rPr>
            </w:pPr>
          </w:p>
        </w:tc>
        <w:tc>
          <w:tcPr>
            <w:tcW w:w="2360" w:type="dxa"/>
            <w:vAlign w:val="bottom"/>
          </w:tcPr>
          <w:p>
            <w:pPr>
              <w:jc w:val="right"/>
              <w:ind w:right="534"/>
              <w:spacing w:after="0"/>
              <w:rPr>
                <w:sz w:val="20"/>
                <w:szCs w:val="20"/>
                <w:color w:val="auto"/>
              </w:rPr>
            </w:pPr>
            <w:r>
              <w:rPr>
                <w:rFonts w:ascii="Times New Roman" w:cs="Times New Roman" w:eastAsia="Times New Roman" w:hAnsi="Times New Roman"/>
                <w:sz w:val="13"/>
                <w:szCs w:val="13"/>
                <w:color w:val="auto"/>
              </w:rPr>
              <w:t>74</w:t>
            </w:r>
          </w:p>
        </w:tc>
      </w:tr>
      <w:tr>
        <w:trPr>
          <w:trHeight w:val="500"/>
        </w:trPr>
        <w:tc>
          <w:tcPr>
            <w:tcW w:w="5680" w:type="dxa"/>
            <w:vAlign w:val="bottom"/>
            <w:gridSpan w:val="19"/>
          </w:tcPr>
          <w:p>
            <w:pPr>
              <w:jc w:val="right"/>
              <w:ind w:right="740"/>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680"/>
        </w:trPr>
        <w:tc>
          <w:tcPr>
            <w:tcW w:w="5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3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62604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820"/>
          </w:cols>
          <w:pgMar w:left="1040" w:top="1264" w:right="1040"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PART I—CONSOLIDATED FINANCIAL INFORMATION</w:t>
      </w:r>
    </w:p>
    <w:p>
      <w:pPr>
        <w:spacing w:after="0" w:line="23" w:lineRule="exact"/>
        <w:rPr>
          <w:sz w:val="20"/>
          <w:szCs w:val="20"/>
          <w:color w:val="auto"/>
        </w:rPr>
      </w:pPr>
    </w:p>
    <w:p>
      <w:pPr>
        <w:ind w:left="60" w:right="100" w:firstLine="336"/>
        <w:spacing w:after="0" w:line="251" w:lineRule="auto"/>
        <w:rPr>
          <w:sz w:val="20"/>
          <w:szCs w:val="20"/>
          <w:color w:val="auto"/>
        </w:rPr>
      </w:pPr>
      <w:r>
        <w:rPr>
          <w:rFonts w:ascii="Times New Roman" w:cs="Times New Roman" w:eastAsia="Times New Roman" w:hAnsi="Times New Roman"/>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collectively our consolidated subsidiaries PFLT Investment Holdings II, LLC and PFLT Investment Holdings, LLC; “PSSL” refers to PennantPark Senior Secured Loan Fund I LLC, an unconsolidated joint venture; “PTSF” refers to PennantPark-TSO Senior Loan Fund, LP, an unconsolidated limited partnership; "2037 Securitization Issuer"" refers to PennantPark CLO 11, LLC, a consolidated Delaware limited liability company,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 a regulated investment company under the Code; “BDC” refers to a business development</w:t>
      </w:r>
    </w:p>
    <w:p>
      <w:pPr>
        <w:spacing w:after="0" w:line="7" w:lineRule="exact"/>
        <w:rPr>
          <w:sz w:val="20"/>
          <w:szCs w:val="20"/>
          <w:color w:val="auto"/>
        </w:rPr>
      </w:pPr>
    </w:p>
    <w:p>
      <w:pPr>
        <w:ind w:left="60" w:right="80"/>
        <w:spacing w:after="0" w:line="252" w:lineRule="auto"/>
        <w:rPr>
          <w:sz w:val="20"/>
          <w:szCs w:val="20"/>
          <w:color w:val="auto"/>
        </w:rPr>
      </w:pPr>
      <w:r>
        <w:rPr>
          <w:rFonts w:ascii="Times New Roman" w:cs="Times New Roman" w:eastAsia="Times New Roman" w:hAnsi="Times New Roman"/>
          <w:sz w:val="13"/>
          <w:szCs w:val="13"/>
          <w:color w:val="auto"/>
        </w:rPr>
        <w:t>company under the 1940 Act;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 -1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w:t>
      </w:r>
    </w:p>
    <w:p>
      <w:pPr>
        <w:spacing w:after="0" w:line="4" w:lineRule="exact"/>
        <w:rPr>
          <w:sz w:val="20"/>
          <w:szCs w:val="20"/>
          <w:color w:val="auto"/>
        </w:rPr>
      </w:pPr>
    </w:p>
    <w:p>
      <w:pPr>
        <w:ind w:left="60" w:right="140" w:firstLine="6"/>
        <w:spacing w:after="0" w:line="156" w:lineRule="exact"/>
        <w:tabs>
          <w:tab w:leader="none" w:pos="254"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borrowing of the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Notes due 2031 by the Securitization Issuers in connection with the Debt Securitization; and “Depositor” refers to PennantPark CLO I Depositor, LLC. 2036 Securitization Issuer refers to PennantPark CLO VIII, LLC; “2036-Debt Securitization” refers to the $350.6 million term debt securitization completed by the "2036 Securitization Issuers"; “2036 Asset-Backed Debt” refers to the issuance of the AAA(sf) Class A-1 Notes, AAA(sf) Class A-2 Notes, AA(sf) Class B Notes, A(sf) Class C Notes, BBB-(sf) Class D Notes, and the borrowing issuance of AAA(sf) Class A-1 floating rate loans. (the "Class A-1 Loans" with the 2036-Secured Notes.); “2036-R Securitization Issuers” refers to Securitization Issuer and PennantPark CLO I LLC; “2036-R Indenture” refers to that certain indenture, dated September 19, 2019, by and among the 2036-R Securitization Issuers and U.S. Bank Trust Company, National Association, as amended by the second supplemental indenture, dated June 25, 2024; “2036-R Asset-Backed Debt” refers to the issuance by the 2036-R Securitization Issuers of the following classes of notes pursuant the 2036-R Indenture (i) $203 million of A-1-R Notes, which bear interest at the three-month secured overnight financing rate (“SOFR”) plus 1.75%, (ii) $10.5 million of A-2-R Notes, which bear interest at three-month SOFR plus 1.90%, (iii) $12 million of Class B-R Notes, which bear interest at three-month SOFR plus 2.05%, (iv) $28 million of C-R Notes, which bear interest at three-month SOFR plus 2.75% and (v) $21 million of D-R Notes, which bear interest at three-month SOFR plus 4.30% (collectively, the “Secured Notes”), (B) the issuance by a 2036-R Securitization Issuer of $64 million of subordinated notes pursuant to the 2036-R Indenture (the “Subordinated Notes”), (C) the borrowing by the Securitization Issuer of $12.5 million of Class B-R Loans, which bear interest at three-month SOFR plus 2.05% (the “Class B-R Loans”); “2037 Debt Securitization” refers to the $474.6 million term debt securitization completed by 2037 Securitization Issuer; “2037 Credit Agreement” refers to that certain credit agreement, dated as of February 20, 2025 by and among 2037 Securitization Issuer, as borrower, the various financial institutions party thereto, as lenders, and Western Alliance Trust Company, National Association, as collateral agent and as loan agent; “2037 Indenture” refers to that certain indenture, dated as of February 20, 2025 by and between 2037 Securitization Issuer and Western Alliance Trust Company, National Association; “2037 Asset-Backed Debt” refers to (A) the issuance by 2037 Securitization Issuer of the following classes of notes pursuant to the 2037 Indenture: (i) $220.5 million of AAA(sf) Class A-1 Notes, which bear interest at three-month SOFR plus 1.49%, (ii) $19.0 million of AAA(sf) Class A-2 Notes, which bear interest at three-month SOFR plus 1.60%, (iii) $28.5 million of AA(sf) Class B Notes, which bear interest at three-month SOFR plus</w:t>
      </w:r>
    </w:p>
    <w:p>
      <w:pPr>
        <w:spacing w:after="0" w:line="11" w:lineRule="exact"/>
        <w:rPr>
          <w:rFonts w:ascii="Times New Roman" w:cs="Times New Roman" w:eastAsia="Times New Roman" w:hAnsi="Times New Roman"/>
          <w:sz w:val="13"/>
          <w:szCs w:val="13"/>
          <w:color w:val="auto"/>
        </w:rPr>
      </w:pPr>
    </w:p>
    <w:p>
      <w:pPr>
        <w:ind w:left="60" w:right="120"/>
        <w:spacing w:after="0" w:line="25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1.75%, (iv) $38.0 million of A(sf) Class C Notes, which bear interest at three-month SOFR plus 2.20%, (v) $28.5 million of BBB-(sf) Class D Notes (the “2037 Class D Notes”), which bear interest at three-month SOFR plus 3.60%, (collectively, the “2037 Secured Notes”), and (vi) $85.1 million of subordinated notes (“2037 Subordinated Notes” and, together with the 2037 Secured Notes, the “2037 Notes”) and (B) the borrowing by the Issuers of $10.0 million under AAA(sf) Class A-1L-A floating rate loans and $45.0 million under AAA(sf) Class A-1L-B floating rate loans (together, the “2037 Asset-Backed Loans”), which bear interest at three-month SOFR plus 1.49%. References to our portfolio, our investments, our multi-currency, senior secured revolving credit facility, as amended and restated, or the Credit Facility, and our business include investments we make through our subsidiaries.</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425450</wp:posOffset>
            </wp:positionV>
            <wp:extent cx="62604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64"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3"/>
          <w:szCs w:val="13"/>
          <w:b w:val="1"/>
          <w:bCs w:val="1"/>
          <w:color w:val="auto"/>
        </w:rPr>
        <w:t>Item 1. Consolidated Financial Statements</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56"/>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r>
      <w:tr>
        <w:trPr>
          <w:trHeight w:val="170"/>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4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Non-controlled, non-affiliated investments (amortized cost— $2,093,435 and $1,622,669, respectively)</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2,112,576</w:t>
            </w:r>
          </w:p>
        </w:tc>
        <w:tc>
          <w:tcPr>
            <w:tcW w:w="120" w:type="dxa"/>
            <w:vAlign w:val="bottom"/>
            <w:shd w:val="clear" w:color="auto" w:fill="CCECFF"/>
          </w:tcPr>
          <w:p>
            <w:pPr>
              <w:spacing w:after="0"/>
              <w:rPr>
                <w:sz w:val="13"/>
                <w:szCs w:val="13"/>
                <w:color w:val="auto"/>
              </w:rPr>
            </w:pPr>
          </w:p>
        </w:tc>
        <w:tc>
          <w:tcPr>
            <w:tcW w:w="1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1,632,269</w:t>
            </w:r>
          </w:p>
        </w:tc>
        <w:tc>
          <w:tcPr>
            <w:tcW w:w="100" w:type="dxa"/>
            <w:vAlign w:val="bottom"/>
            <w:shd w:val="clear" w:color="auto" w:fill="CCECFF"/>
          </w:tcPr>
          <w:p>
            <w:pPr>
              <w:spacing w:after="0"/>
              <w:rPr>
                <w:sz w:val="13"/>
                <w:szCs w:val="13"/>
                <w:color w:val="auto"/>
              </w:rPr>
            </w:pPr>
          </w:p>
        </w:tc>
      </w:tr>
      <w:tr>
        <w:trPr>
          <w:trHeight w:val="156"/>
        </w:trPr>
        <w:tc>
          <w:tcPr>
            <w:tcW w:w="6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Controlled, affiliated investments (amortized cost— $361,375 and $372,271, respectively)</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290,939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351,235</w:t>
            </w:r>
          </w:p>
        </w:tc>
        <w:tc>
          <w:tcPr>
            <w:tcW w:w="100" w:type="dxa"/>
            <w:vAlign w:val="bottom"/>
          </w:tcPr>
          <w:p>
            <w:pPr>
              <w:spacing w:after="0"/>
              <w:rPr>
                <w:sz w:val="13"/>
                <w:szCs w:val="13"/>
                <w:color w:val="auto"/>
              </w:rPr>
            </w:pPr>
          </w:p>
        </w:tc>
      </w:tr>
      <w:tr>
        <w:trPr>
          <w:trHeight w:val="156"/>
        </w:trPr>
        <w:tc>
          <w:tcPr>
            <w:tcW w:w="6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Total investments (amortized cost— $2,454,810 and $1,994,940, respectively)</w:t>
            </w: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2,403,515</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1,983,504</w:t>
            </w:r>
          </w:p>
        </w:tc>
        <w:tc>
          <w:tcPr>
            <w:tcW w:w="100" w:type="dxa"/>
            <w:vAlign w:val="bottom"/>
            <w:shd w:val="clear" w:color="auto" w:fill="CCECFF"/>
          </w:tcPr>
          <w:p>
            <w:pPr>
              <w:spacing w:after="0"/>
              <w:rPr>
                <w:sz w:val="13"/>
                <w:szCs w:val="13"/>
                <w:color w:val="auto"/>
              </w:rPr>
            </w:pP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(cost— $102,726 and $112,046, respectively)</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100" w:type="dxa"/>
            <w:vAlign w:val="bottom"/>
          </w:tcPr>
          <w:p>
            <w:pPr>
              <w:spacing w:after="0"/>
              <w:rPr>
                <w:sz w:val="13"/>
                <w:szCs w:val="13"/>
                <w:color w:val="auto"/>
              </w:rPr>
            </w:pPr>
          </w:p>
        </w:tc>
      </w:tr>
      <w:tr>
        <w:trPr>
          <w:trHeight w:val="156"/>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1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11,935</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12,167</w:t>
            </w: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receivable</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tcPr>
          <w:p>
            <w:pPr>
              <w:spacing w:after="0"/>
              <w:rPr>
                <w:sz w:val="13"/>
                <w:szCs w:val="13"/>
                <w:color w:val="auto"/>
              </w:rPr>
            </w:pPr>
          </w:p>
        </w:tc>
      </w:tr>
      <w:tr>
        <w:trPr>
          <w:trHeight w:val="156"/>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Due from affiliate</w:t>
            </w: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shd w:val="clear" w:color="auto" w:fill="CCECFF"/>
          </w:tcPr>
          <w:p>
            <w:pPr>
              <w:spacing w:after="0"/>
              <w:rPr>
                <w:sz w:val="13"/>
                <w:szCs w:val="13"/>
                <w:color w:val="auto"/>
              </w:rPr>
            </w:pP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13"/>
                <w:szCs w:val="13"/>
                <w:color w:val="auto"/>
              </w:rPr>
            </w:pPr>
          </w:p>
        </w:tc>
      </w:tr>
      <w:tr>
        <w:trPr>
          <w:trHeight w:val="156"/>
        </w:trPr>
        <w:tc>
          <w:tcPr>
            <w:tcW w:w="64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2,521,602</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2,108,845</w:t>
            </w:r>
          </w:p>
        </w:tc>
        <w:tc>
          <w:tcPr>
            <w:tcW w:w="100" w:type="dxa"/>
            <w:vAlign w:val="bottom"/>
            <w:shd w:val="clear" w:color="auto" w:fill="CCECFF"/>
          </w:tcPr>
          <w:p>
            <w:pPr>
              <w:spacing w:after="0"/>
              <w:rPr>
                <w:sz w:val="13"/>
                <w:szCs w:val="13"/>
                <w:color w:val="auto"/>
              </w:rPr>
            </w:pP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Credit Facility payable, at fair value (cost— $298,855 and $443,855, respectively)</w:t>
            </w: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298,865</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443,880</w:t>
            </w:r>
          </w:p>
        </w:tc>
        <w:tc>
          <w:tcPr>
            <w:tcW w:w="100" w:type="dxa"/>
            <w:vAlign w:val="bottom"/>
            <w:shd w:val="clear" w:color="auto" w:fill="CCECFF"/>
          </w:tcPr>
          <w:p>
            <w:pPr>
              <w:spacing w:after="0"/>
              <w:rPr>
                <w:sz w:val="13"/>
                <w:szCs w:val="13"/>
                <w:color w:val="auto"/>
              </w:rPr>
            </w:pP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2026 Notes payable, net (par—$185,000) (unamortized deferred financing costs of $585 and $1,168, respectively)</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183,832</w:t>
            </w:r>
          </w:p>
        </w:tc>
        <w:tc>
          <w:tcPr>
            <w:tcW w:w="100" w:type="dxa"/>
            <w:vAlign w:val="bottom"/>
          </w:tcPr>
          <w:p>
            <w:pPr>
              <w:spacing w:after="0"/>
              <w:rPr>
                <w:sz w:val="13"/>
                <w:szCs w:val="13"/>
                <w:color w:val="auto"/>
              </w:rPr>
            </w:pPr>
          </w:p>
        </w:tc>
      </w:tr>
      <w:tr>
        <w:trPr>
          <w:trHeight w:val="144"/>
        </w:trPr>
        <w:tc>
          <w:tcPr>
            <w:tcW w:w="640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2036 Asset-Backed Debt, net (par—$287,000) (unamortized deferred financing costs of $2,508 and $2,914,</w:t>
            </w: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8"/>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respectively)</w:t>
            </w:r>
          </w:p>
        </w:tc>
        <w:tc>
          <w:tcPr>
            <w:tcW w:w="1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284,492</w:t>
            </w: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284,086</w:t>
            </w:r>
          </w:p>
        </w:tc>
        <w:tc>
          <w:tcPr>
            <w:tcW w:w="100" w:type="dxa"/>
            <w:vAlign w:val="bottom"/>
            <w:shd w:val="clear" w:color="auto" w:fill="CCECFF"/>
          </w:tcPr>
          <w:p>
            <w:pPr>
              <w:spacing w:after="0"/>
              <w:rPr>
                <w:sz w:val="14"/>
                <w:szCs w:val="14"/>
                <w:color w:val="auto"/>
              </w:rPr>
            </w:pPr>
          </w:p>
        </w:tc>
      </w:tr>
      <w:tr>
        <w:trPr>
          <w:trHeight w:val="144"/>
        </w:trPr>
        <w:tc>
          <w:tcPr>
            <w:tcW w:w="64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2036-R Asset-Backed Debt, net (par— $266,000) (unamortized deferred financing costs of $667 and $765,</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respectively)</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265,235</w:t>
            </w:r>
          </w:p>
        </w:tc>
        <w:tc>
          <w:tcPr>
            <w:tcW w:w="100" w:type="dxa"/>
            <w:vAlign w:val="bottom"/>
          </w:tcPr>
          <w:p>
            <w:pPr>
              <w:spacing w:after="0"/>
              <w:rPr>
                <w:sz w:val="14"/>
                <w:szCs w:val="14"/>
                <w:color w:val="auto"/>
              </w:rPr>
            </w:pPr>
          </w:p>
        </w:tc>
      </w:tr>
      <w:tr>
        <w:trPr>
          <w:trHeight w:val="144"/>
        </w:trPr>
        <w:tc>
          <w:tcPr>
            <w:tcW w:w="640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2037 Asset-Backed Debt, net (par— $361,000 and $0) (unamortized deferred financing costs of $2,793 and $0,</w:t>
            </w: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8"/>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respectively)</w:t>
            </w:r>
          </w:p>
        </w:tc>
        <w:tc>
          <w:tcPr>
            <w:tcW w:w="1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358,207</w:t>
            </w: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0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20,363</w:t>
            </w:r>
          </w:p>
        </w:tc>
      </w:tr>
      <w:tr>
        <w:trPr>
          <w:trHeight w:val="156"/>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payable on debt</w:t>
            </w:r>
          </w:p>
        </w:tc>
        <w:tc>
          <w:tcPr>
            <w:tcW w:w="1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18,676</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14,645</w:t>
            </w: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payable</w:t>
            </w:r>
          </w:p>
        </w:tc>
        <w:tc>
          <w:tcPr>
            <w:tcW w:w="10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10,170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7,834</w:t>
            </w:r>
          </w:p>
        </w:tc>
        <w:tc>
          <w:tcPr>
            <w:tcW w:w="100" w:type="dxa"/>
            <w:vAlign w:val="bottom"/>
          </w:tcPr>
          <w:p>
            <w:pPr>
              <w:spacing w:after="0"/>
              <w:rPr>
                <w:sz w:val="13"/>
                <w:szCs w:val="13"/>
                <w:color w:val="auto"/>
              </w:rPr>
            </w:pPr>
          </w:p>
        </w:tc>
      </w:tr>
      <w:tr>
        <w:trPr>
          <w:trHeight w:val="156"/>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5,929</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4,588</w:t>
            </w:r>
          </w:p>
        </w:tc>
        <w:tc>
          <w:tcPr>
            <w:tcW w:w="100" w:type="dxa"/>
            <w:vAlign w:val="bottom"/>
            <w:shd w:val="clear" w:color="auto" w:fill="CCECFF"/>
          </w:tcPr>
          <w:p>
            <w:pPr>
              <w:spacing w:after="0"/>
              <w:rPr>
                <w:sz w:val="13"/>
                <w:szCs w:val="13"/>
                <w:color w:val="auto"/>
              </w:rPr>
            </w:pP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 payable</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3,189</w:t>
            </w:r>
          </w:p>
        </w:tc>
        <w:tc>
          <w:tcPr>
            <w:tcW w:w="100" w:type="dxa"/>
            <w:vAlign w:val="bottom"/>
          </w:tcPr>
          <w:p>
            <w:pPr>
              <w:spacing w:after="0"/>
              <w:rPr>
                <w:sz w:val="13"/>
                <w:szCs w:val="13"/>
                <w:color w:val="auto"/>
              </w:rPr>
            </w:pPr>
          </w:p>
        </w:tc>
      </w:tr>
      <w:tr>
        <w:trPr>
          <w:trHeight w:val="156"/>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1,667</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100" w:type="dxa"/>
            <w:vAlign w:val="bottom"/>
            <w:shd w:val="clear" w:color="auto" w:fill="CCECFF"/>
          </w:tcPr>
          <w:p>
            <w:pPr>
              <w:spacing w:after="0"/>
              <w:rPr>
                <w:sz w:val="13"/>
                <w:szCs w:val="13"/>
                <w:color w:val="auto"/>
              </w:rPr>
            </w:pP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liability</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100" w:type="dxa"/>
            <w:vAlign w:val="bottom"/>
          </w:tcPr>
          <w:p>
            <w:pPr>
              <w:spacing w:after="0"/>
              <w:rPr>
                <w:sz w:val="13"/>
                <w:szCs w:val="13"/>
                <w:color w:val="auto"/>
              </w:rPr>
            </w:pPr>
          </w:p>
        </w:tc>
      </w:tr>
      <w:tr>
        <w:trPr>
          <w:trHeight w:val="156"/>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Due to affiliate</w:t>
            </w: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4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1,434,089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1,231,551</w:t>
            </w:r>
          </w:p>
        </w:tc>
        <w:tc>
          <w:tcPr>
            <w:tcW w:w="100" w:type="dxa"/>
            <w:vAlign w:val="bottom"/>
          </w:tcPr>
          <w:p>
            <w:pPr>
              <w:spacing w:after="0"/>
              <w:rPr>
                <w:sz w:val="13"/>
                <w:szCs w:val="13"/>
                <w:color w:val="auto"/>
              </w:rPr>
            </w:pPr>
          </w:p>
        </w:tc>
      </w:tr>
      <w:tr>
        <w:trPr>
          <w:trHeight w:val="156"/>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Commitments and contingencies (See Note 11)</w:t>
            </w:r>
          </w:p>
        </w:tc>
        <w:tc>
          <w:tcPr>
            <w:tcW w:w="1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640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Common stock, 99,217,896 and 77,579,896 shares issued and outstanding, respectively</w:t>
            </w:r>
          </w:p>
        </w:tc>
        <w:tc>
          <w:tcPr>
            <w:tcW w:w="1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8"/>
        </w:trPr>
        <w:tc>
          <w:tcPr>
            <w:tcW w:w="64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Par value $0.001 per share and 200,000,000 shares authorized</w:t>
            </w:r>
          </w:p>
        </w:tc>
        <w:tc>
          <w:tcPr>
            <w:tcW w:w="1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CFF"/>
          </w:tcPr>
          <w:p>
            <w:pPr>
              <w:spacing w:after="0"/>
              <w:rPr>
                <w:sz w:val="14"/>
                <w:szCs w:val="14"/>
                <w:color w:val="auto"/>
              </w:rPr>
            </w:pPr>
          </w:p>
        </w:tc>
      </w:tr>
      <w:tr>
        <w:trPr>
          <w:trHeight w:val="156"/>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Paid-in capital in excess of par value</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1,221,478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976,744</w:t>
            </w:r>
          </w:p>
        </w:tc>
        <w:tc>
          <w:tcPr>
            <w:tcW w:w="100" w:type="dxa"/>
            <w:vAlign w:val="bottom"/>
          </w:tcPr>
          <w:p>
            <w:pPr>
              <w:spacing w:after="0"/>
              <w:rPr>
                <w:sz w:val="13"/>
                <w:szCs w:val="13"/>
                <w:color w:val="auto"/>
              </w:rPr>
            </w:pPr>
          </w:p>
        </w:tc>
      </w:tr>
      <w:tr>
        <w:trPr>
          <w:trHeight w:val="156"/>
        </w:trPr>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(134,064)</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(99,528)</w:t>
            </w:r>
          </w:p>
        </w:tc>
      </w:tr>
      <w:tr>
        <w:trPr>
          <w:trHeight w:val="156"/>
        </w:trPr>
        <w:tc>
          <w:tcPr>
            <w:tcW w:w="64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1,087,513</w:t>
            </w:r>
          </w:p>
        </w:tc>
        <w:tc>
          <w:tcPr>
            <w:tcW w:w="12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877,294</w:t>
            </w:r>
          </w:p>
        </w:tc>
        <w:tc>
          <w:tcPr>
            <w:tcW w:w="100" w:type="dxa"/>
            <w:vAlign w:val="bottom"/>
          </w:tcPr>
          <w:p>
            <w:pPr>
              <w:spacing w:after="0"/>
              <w:rPr>
                <w:sz w:val="13"/>
                <w:szCs w:val="13"/>
                <w:color w:val="auto"/>
              </w:rPr>
            </w:pPr>
          </w:p>
        </w:tc>
      </w:tr>
      <w:tr>
        <w:trPr>
          <w:trHeight w:val="176"/>
        </w:trPr>
        <w:tc>
          <w:tcPr>
            <w:tcW w:w="6400" w:type="dxa"/>
            <w:vAlign w:val="bottom"/>
            <w:shd w:val="clear" w:color="auto" w:fill="CCECFF"/>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2,521,602</w:t>
            </w:r>
          </w:p>
        </w:tc>
        <w:tc>
          <w:tcPr>
            <w:tcW w:w="120" w:type="dxa"/>
            <w:vAlign w:val="bottom"/>
            <w:shd w:val="clear" w:color="auto" w:fill="CCECFF"/>
          </w:tcPr>
          <w:p>
            <w:pPr>
              <w:spacing w:after="0"/>
              <w:rPr>
                <w:sz w:val="15"/>
                <w:szCs w:val="15"/>
                <w:color w:val="auto"/>
              </w:rPr>
            </w:pPr>
          </w:p>
        </w:tc>
        <w:tc>
          <w:tcPr>
            <w:tcW w:w="180" w:type="dxa"/>
            <w:vAlign w:val="bottom"/>
            <w:gridSpan w:val="2"/>
            <w:shd w:val="clear" w:color="auto" w:fill="CCECFF"/>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2,108,845</w:t>
            </w:r>
          </w:p>
        </w:tc>
        <w:tc>
          <w:tcPr>
            <w:tcW w:w="100" w:type="dxa"/>
            <w:vAlign w:val="bottom"/>
            <w:shd w:val="clear" w:color="auto" w:fill="CCECFF"/>
          </w:tcPr>
          <w:p>
            <w:pPr>
              <w:spacing w:after="0"/>
              <w:rPr>
                <w:sz w:val="15"/>
                <w:szCs w:val="15"/>
                <w:color w:val="auto"/>
              </w:rPr>
            </w:pPr>
          </w:p>
        </w:tc>
      </w:tr>
      <w:tr>
        <w:trPr>
          <w:trHeight w:val="20"/>
        </w:trPr>
        <w:tc>
          <w:tcPr>
            <w:tcW w:w="64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r>
        <w:trPr>
          <w:trHeight w:val="132"/>
        </w:trPr>
        <w:tc>
          <w:tcPr>
            <w:tcW w:w="640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10.96</w:t>
            </w:r>
          </w:p>
        </w:tc>
        <w:tc>
          <w:tcPr>
            <w:tcW w:w="120" w:type="dxa"/>
            <w:vAlign w:val="bottom"/>
          </w:tcPr>
          <w:p>
            <w:pPr>
              <w:spacing w:after="0"/>
              <w:rPr>
                <w:sz w:val="11"/>
                <w:szCs w:val="11"/>
                <w:color w:val="auto"/>
              </w:rPr>
            </w:pPr>
          </w:p>
        </w:tc>
        <w:tc>
          <w:tcPr>
            <w:tcW w:w="18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11.31</w:t>
            </w:r>
          </w:p>
        </w:tc>
        <w:tc>
          <w:tcPr>
            <w:tcW w:w="100" w:type="dxa"/>
            <w:vAlign w:val="bottom"/>
          </w:tcPr>
          <w:p>
            <w:pPr>
              <w:spacing w:after="0"/>
              <w:rPr>
                <w:sz w:val="11"/>
                <w:szCs w:val="1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12" w:right="1440"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20" w:type="dxa"/>
            <w:vAlign w:val="bottom"/>
          </w:tcPr>
          <w:p>
            <w:pPr>
              <w:spacing w:after="0"/>
              <w:rPr>
                <w:sz w:val="13"/>
                <w:szCs w:val="13"/>
                <w:color w:val="auto"/>
              </w:rPr>
            </w:pPr>
          </w:p>
        </w:tc>
        <w:tc>
          <w:tcPr>
            <w:tcW w:w="2080" w:type="dxa"/>
            <w:vAlign w:val="bottom"/>
            <w:gridSpan w:val="5"/>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c>
          <w:tcPr>
            <w:tcW w:w="0" w:type="dxa"/>
            <w:vAlign w:val="bottom"/>
          </w:tcPr>
          <w:p>
            <w:pPr>
              <w:spacing w:after="0"/>
              <w:rPr>
                <w:sz w:val="1"/>
                <w:szCs w:val="1"/>
                <w:color w:val="auto"/>
              </w:rPr>
            </w:pPr>
          </w:p>
        </w:tc>
      </w:tr>
      <w:tr>
        <w:trPr>
          <w:trHeight w:val="174"/>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00" w:type="dxa"/>
            <w:vAlign w:val="bottom"/>
          </w:tcPr>
          <w:p>
            <w:pPr>
              <w:spacing w:after="0"/>
              <w:rPr>
                <w:sz w:val="15"/>
                <w:szCs w:val="15"/>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From non-controlled, non-affiliated investments:</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50,856</w:t>
            </w:r>
          </w:p>
        </w:tc>
        <w:tc>
          <w:tcPr>
            <w:tcW w:w="16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34,456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147,533</w:t>
            </w:r>
          </w:p>
        </w:tc>
        <w:tc>
          <w:tcPr>
            <w:tcW w:w="16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88,693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Dividend</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income</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From controlled, affiliated investments:</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27,526</w:t>
            </w:r>
          </w:p>
        </w:tc>
        <w:tc>
          <w:tcPr>
            <w:tcW w:w="20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25,595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Dividend</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3,938</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60" w:type="dxa"/>
            <w:vAlign w:val="bottom"/>
            <w:tcBorders>
              <w:right w:val="single" w:sz="8" w:color="CCECFF"/>
            </w:tcBorders>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12,688</w:t>
            </w:r>
          </w:p>
        </w:tc>
        <w:tc>
          <w:tcPr>
            <w:tcW w:w="20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10,938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income</w:t>
            </w: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63,502</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48,505</w:t>
            </w: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192,449</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130,831</w:t>
            </w: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Interest and expenses on debt</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22,547</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16,293</w:t>
            </w:r>
          </w:p>
        </w:tc>
        <w:tc>
          <w:tcPr>
            <w:tcW w:w="120" w:type="dxa"/>
            <w:vAlign w:val="bottom"/>
            <w:shd w:val="clear" w:color="auto" w:fill="CCECFF"/>
          </w:tcPr>
          <w:p>
            <w:pPr>
              <w:spacing w:after="0"/>
              <w:rPr>
                <w:sz w:val="13"/>
                <w:szCs w:val="13"/>
                <w:color w:val="auto"/>
              </w:rPr>
            </w:pPr>
          </w:p>
        </w:tc>
        <w:tc>
          <w:tcPr>
            <w:tcW w:w="960" w:type="dxa"/>
            <w:vAlign w:val="bottom"/>
            <w:tcBorders>
              <w:right w:val="single" w:sz="8" w:color="CCECFF"/>
            </w:tcBorders>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67,437</w:t>
            </w:r>
          </w:p>
        </w:tc>
        <w:tc>
          <w:tcPr>
            <w:tcW w:w="20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39,923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Performance-based incentive fee</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19,146</w:t>
            </w:r>
          </w:p>
        </w:tc>
        <w:tc>
          <w:tcPr>
            <w:tcW w:w="20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14,937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Base management fee</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5,929</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3,908</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60" w:type="dxa"/>
            <w:vAlign w:val="bottom"/>
            <w:tcBorders>
              <w:right w:val="single" w:sz="8" w:color="CCECFF"/>
            </w:tcBorders>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16,797</w:t>
            </w:r>
          </w:p>
        </w:tc>
        <w:tc>
          <w:tcPr>
            <w:tcW w:w="20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10,283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Expenses before amendment costs and provision for taxes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35,822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27,008</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108,880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70,097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Provision for taxes on net investment income</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Credit Facility amendment costs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38,877</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27,295</w:t>
            </w: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112,827</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71,085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24,625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21,210</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79,622</w:t>
            </w:r>
          </w:p>
        </w:tc>
        <w:tc>
          <w:tcPr>
            <w:tcW w:w="20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59,746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 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00" w:type="dxa"/>
            <w:vAlign w:val="bottom"/>
            <w:shd w:val="clear" w:color="auto" w:fill="CCECFF"/>
          </w:tcPr>
          <w:p>
            <w:pPr>
              <w:spacing w:after="0"/>
              <w:rPr>
                <w:sz w:val="13"/>
                <w:szCs w:val="13"/>
                <w:color w:val="auto"/>
              </w:rPr>
            </w:pPr>
          </w:p>
        </w:tc>
        <w:tc>
          <w:tcPr>
            <w:tcW w:w="960" w:type="dxa"/>
            <w:vAlign w:val="bottom"/>
            <w:tcBorders>
              <w:right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(14,842)</w:t>
            </w: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(353)</w:t>
            </w:r>
          </w:p>
        </w:tc>
        <w:tc>
          <w:tcPr>
            <w:tcW w:w="120" w:type="dxa"/>
            <w:vAlign w:val="bottom"/>
            <w:shd w:val="clear" w:color="auto" w:fill="CCECFF"/>
          </w:tcPr>
          <w:p>
            <w:pPr>
              <w:spacing w:after="0"/>
              <w:rPr>
                <w:sz w:val="13"/>
                <w:szCs w:val="13"/>
                <w:color w:val="auto"/>
              </w:rPr>
            </w:pPr>
          </w:p>
        </w:tc>
        <w:tc>
          <w:tcPr>
            <w:tcW w:w="960" w:type="dxa"/>
            <w:vAlign w:val="bottom"/>
            <w:tcBorders>
              <w:right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(14,456)</w:t>
            </w: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22,811</w:t>
            </w:r>
          </w:p>
        </w:tc>
        <w:tc>
          <w:tcPr>
            <w:tcW w:w="20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Provision for taxes on realized gain (loss) on investments</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3"/>
                <w:szCs w:val="13"/>
                <w:color w:val="auto"/>
              </w:rPr>
            </w:pPr>
          </w:p>
        </w:tc>
        <w:tc>
          <w:tcPr>
            <w:tcW w:w="960" w:type="dxa"/>
            <w:vAlign w:val="bottom"/>
            <w:tcBorders>
              <w:right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(82)</w:t>
            </w:r>
          </w:p>
        </w:tc>
        <w:tc>
          <w:tcPr>
            <w:tcW w:w="20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Net realized gain (loss) on investments</w:t>
            </w:r>
          </w:p>
        </w:tc>
        <w:tc>
          <w:tcPr>
            <w:tcW w:w="1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(14,830)</w:t>
            </w:r>
          </w:p>
        </w:tc>
        <w:tc>
          <w:tcPr>
            <w:tcW w:w="2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(353)</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(1,064)</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9,546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100" w:type="dxa"/>
            <w:vAlign w:val="bottom"/>
            <w:shd w:val="clear" w:color="auto" w:fill="CCECFF"/>
          </w:tcPr>
          <w:p>
            <w:pPr>
              <w:spacing w:after="0"/>
              <w:rPr>
                <w:sz w:val="13"/>
                <w:szCs w:val="13"/>
                <w:color w:val="auto"/>
              </w:rPr>
            </w:pPr>
          </w:p>
        </w:tc>
        <w:tc>
          <w:tcPr>
            <w:tcW w:w="960" w:type="dxa"/>
            <w:vAlign w:val="bottom"/>
            <w:tcBorders>
              <w:right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(6,351)</w:t>
            </w: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(2,889)</w:t>
            </w:r>
          </w:p>
        </w:tc>
        <w:tc>
          <w:tcPr>
            <w:tcW w:w="120" w:type="dxa"/>
            <w:vAlign w:val="bottom"/>
            <w:shd w:val="clear" w:color="auto" w:fill="CCECFF"/>
          </w:tcPr>
          <w:p>
            <w:pPr>
              <w:spacing w:after="0"/>
              <w:rPr>
                <w:sz w:val="13"/>
                <w:szCs w:val="13"/>
                <w:color w:val="auto"/>
              </w:rPr>
            </w:pPr>
          </w:p>
        </w:tc>
        <w:tc>
          <w:tcPr>
            <w:tcW w:w="960" w:type="dxa"/>
            <w:vAlign w:val="bottom"/>
            <w:tcBorders>
              <w:right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(49,401)</w:t>
            </w: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2,519</w:t>
            </w: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for taxes on unrealized appreciation (depreciation) on investments</w:t>
            </w:r>
          </w:p>
        </w:tc>
        <w:tc>
          <w:tcPr>
            <w:tcW w:w="1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(303)</w:t>
            </w:r>
          </w:p>
        </w:tc>
        <w:tc>
          <w:tcPr>
            <w:tcW w:w="2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Debt appreciation (depreciation)</w:t>
            </w:r>
          </w:p>
        </w:tc>
        <w:tc>
          <w:tcPr>
            <w:tcW w:w="100" w:type="dxa"/>
            <w:vAlign w:val="bottom"/>
            <w:shd w:val="clear" w:color="auto" w:fill="CCECFF"/>
          </w:tcPr>
          <w:p>
            <w:pPr>
              <w:spacing w:after="0"/>
              <w:rPr>
                <w:sz w:val="13"/>
                <w:szCs w:val="13"/>
                <w:color w:val="auto"/>
              </w:rPr>
            </w:pPr>
          </w:p>
        </w:tc>
        <w:tc>
          <w:tcPr>
            <w:tcW w:w="960" w:type="dxa"/>
            <w:vAlign w:val="bottom"/>
            <w:tcBorders>
              <w:right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(76)</w:t>
            </w: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 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(3,937)</w:t>
            </w: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(39,043)</w:t>
            </w: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10,185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from investments and debt</w:t>
            </w:r>
          </w:p>
        </w:tc>
        <w:tc>
          <w:tcPr>
            <w:tcW w:w="100" w:type="dxa"/>
            <w:vAlign w:val="bottom"/>
            <w:shd w:val="clear" w:color="auto" w:fill="CCECFF"/>
          </w:tcPr>
          <w:p>
            <w:pPr>
              <w:spacing w:after="0"/>
              <w:rPr>
                <w:sz w:val="13"/>
                <w:szCs w:val="13"/>
                <w:color w:val="auto"/>
              </w:rPr>
            </w:pPr>
          </w:p>
        </w:tc>
        <w:tc>
          <w:tcPr>
            <w:tcW w:w="960" w:type="dxa"/>
            <w:vAlign w:val="bottom"/>
            <w:tcBorders>
              <w:right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(5,327)</w:t>
            </w: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(4,290)</w:t>
            </w:r>
          </w:p>
        </w:tc>
        <w:tc>
          <w:tcPr>
            <w:tcW w:w="120" w:type="dxa"/>
            <w:vAlign w:val="bottom"/>
            <w:shd w:val="clear" w:color="auto" w:fill="CCECFF"/>
          </w:tcPr>
          <w:p>
            <w:pPr>
              <w:spacing w:after="0"/>
              <w:rPr>
                <w:sz w:val="13"/>
                <w:szCs w:val="13"/>
                <w:color w:val="auto"/>
              </w:rPr>
            </w:pPr>
          </w:p>
        </w:tc>
        <w:tc>
          <w:tcPr>
            <w:tcW w:w="960" w:type="dxa"/>
            <w:vAlign w:val="bottom"/>
            <w:tcBorders>
              <w:right w:val="single" w:sz="8" w:color="CCECFF"/>
            </w:tcBorders>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(30,770)</w:t>
            </w:r>
          </w:p>
        </w:tc>
        <w:tc>
          <w:tcPr>
            <w:tcW w:w="20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10,753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19,298</w:t>
            </w:r>
          </w:p>
        </w:tc>
        <w:tc>
          <w:tcPr>
            <w:tcW w:w="16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16,920</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48,852</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70,499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4520" w:type="dxa"/>
            <w:vAlign w:val="bottom"/>
            <w:shd w:val="clear" w:color="auto" w:fill="CCEC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 per common</w:t>
            </w:r>
          </w:p>
        </w:tc>
        <w:tc>
          <w:tcPr>
            <w:tcW w:w="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0.19</w:t>
            </w:r>
          </w:p>
        </w:tc>
        <w:tc>
          <w:tcPr>
            <w:tcW w:w="160" w:type="dxa"/>
            <w:vAlign w:val="bottom"/>
            <w:tcBorders>
              <w:right w:val="single" w:sz="8" w:color="CCECFF"/>
            </w:tcBorders>
            <w:shd w:val="clear" w:color="auto" w:fill="CCECFF"/>
          </w:tcPr>
          <w:p>
            <w:pPr>
              <w:spacing w:after="0"/>
              <w:rPr>
                <w:sz w:val="10"/>
                <w:szCs w:val="10"/>
                <w:color w:val="auto"/>
              </w:rPr>
            </w:pPr>
          </w:p>
        </w:tc>
        <w:tc>
          <w:tcPr>
            <w:tcW w:w="200" w:type="dxa"/>
            <w:vAlign w:val="bottom"/>
            <w:vMerge w:val="restart"/>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0.25</w:t>
            </w:r>
          </w:p>
        </w:tc>
        <w:tc>
          <w:tcPr>
            <w:tcW w:w="120" w:type="dxa"/>
            <w:vAlign w:val="bottom"/>
            <w:vMerge w:val="restart"/>
            <w:shd w:val="clear" w:color="auto" w:fill="CCEC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CFF"/>
            </w:tcBorders>
            <w:gridSpan w:val="2"/>
            <w:vMerge w:val="restart"/>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0.54</w:t>
            </w:r>
          </w:p>
        </w:tc>
        <w:tc>
          <w:tcPr>
            <w:tcW w:w="200" w:type="dxa"/>
            <w:vAlign w:val="bottom"/>
            <w:vMerge w:val="restart"/>
            <w:shd w:val="clear" w:color="auto" w:fill="CCEC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520" w:type="dxa"/>
            <w:vAlign w:val="bottom"/>
            <w:shd w:val="clear" w:color="auto" w:fill="CCEC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share (See Note 7)</w:t>
            </w:r>
          </w:p>
        </w:tc>
        <w:tc>
          <w:tcPr>
            <w:tcW w:w="100" w:type="dxa"/>
            <w:vAlign w:val="bottom"/>
            <w:vMerge w:val="continue"/>
            <w:shd w:val="clear" w:color="auto" w:fill="CCECFF"/>
          </w:tcPr>
          <w:p>
            <w:pPr>
              <w:spacing w:after="0"/>
              <w:rPr>
                <w:sz w:val="13"/>
                <w:szCs w:val="13"/>
                <w:color w:val="auto"/>
              </w:rPr>
            </w:pPr>
          </w:p>
        </w:tc>
        <w:tc>
          <w:tcPr>
            <w:tcW w:w="800" w:type="dxa"/>
            <w:vAlign w:val="bottom"/>
            <w:vMerge w:val="continue"/>
            <w:shd w:val="clear" w:color="auto" w:fill="CCECFF"/>
          </w:tcPr>
          <w:p>
            <w:pPr>
              <w:spacing w:after="0"/>
              <w:rPr>
                <w:sz w:val="13"/>
                <w:szCs w:val="13"/>
                <w:color w:val="auto"/>
              </w:rPr>
            </w:pPr>
          </w:p>
        </w:tc>
        <w:tc>
          <w:tcPr>
            <w:tcW w:w="160" w:type="dxa"/>
            <w:vAlign w:val="bottom"/>
            <w:tcBorders>
              <w:right w:val="single" w:sz="8" w:color="CCECFF"/>
            </w:tcBorders>
            <w:shd w:val="clear" w:color="auto" w:fill="CCECFF"/>
          </w:tcPr>
          <w:p>
            <w:pPr>
              <w:spacing w:after="0"/>
              <w:rPr>
                <w:sz w:val="13"/>
                <w:szCs w:val="13"/>
                <w:color w:val="auto"/>
              </w:rPr>
            </w:pPr>
          </w:p>
        </w:tc>
        <w:tc>
          <w:tcPr>
            <w:tcW w:w="200" w:type="dxa"/>
            <w:vAlign w:val="bottom"/>
            <w:vMerge w:val="continue"/>
            <w:shd w:val="clear" w:color="auto" w:fill="CCECFF"/>
          </w:tcPr>
          <w:p>
            <w:pPr>
              <w:spacing w:after="0"/>
              <w:rPr>
                <w:sz w:val="13"/>
                <w:szCs w:val="13"/>
                <w:color w:val="auto"/>
              </w:rPr>
            </w:pPr>
          </w:p>
        </w:tc>
        <w:tc>
          <w:tcPr>
            <w:tcW w:w="880" w:type="dxa"/>
            <w:vAlign w:val="bottom"/>
            <w:gridSpan w:val="2"/>
            <w:vMerge w:val="continue"/>
            <w:shd w:val="clear" w:color="auto" w:fill="CCECFF"/>
          </w:tcPr>
          <w:p>
            <w:pPr>
              <w:spacing w:after="0"/>
              <w:rPr>
                <w:sz w:val="13"/>
                <w:szCs w:val="13"/>
                <w:color w:val="auto"/>
              </w:rPr>
            </w:pPr>
          </w:p>
        </w:tc>
        <w:tc>
          <w:tcPr>
            <w:tcW w:w="120" w:type="dxa"/>
            <w:vAlign w:val="bottom"/>
            <w:vMerge w:val="continue"/>
            <w:shd w:val="clear" w:color="auto" w:fill="CCECFF"/>
          </w:tcPr>
          <w:p>
            <w:pPr>
              <w:spacing w:after="0"/>
              <w:rPr>
                <w:sz w:val="13"/>
                <w:szCs w:val="13"/>
                <w:color w:val="auto"/>
              </w:rPr>
            </w:pPr>
          </w:p>
        </w:tc>
        <w:tc>
          <w:tcPr>
            <w:tcW w:w="960" w:type="dxa"/>
            <w:vAlign w:val="bottom"/>
            <w:tcBorders>
              <w:right w:val="single" w:sz="8" w:color="CCECFF"/>
            </w:tcBorders>
            <w:gridSpan w:val="2"/>
            <w:vMerge w:val="continue"/>
            <w:shd w:val="clear" w:color="auto" w:fill="CCECFF"/>
          </w:tcPr>
          <w:p>
            <w:pPr>
              <w:spacing w:after="0"/>
              <w:rPr>
                <w:sz w:val="13"/>
                <w:szCs w:val="13"/>
                <w:color w:val="auto"/>
              </w:rPr>
            </w:pPr>
          </w:p>
        </w:tc>
        <w:tc>
          <w:tcPr>
            <w:tcW w:w="200" w:type="dxa"/>
            <w:vAlign w:val="bottom"/>
            <w:vMerge w:val="continue"/>
            <w:shd w:val="clear" w:color="auto" w:fill="CCECFF"/>
          </w:tcPr>
          <w:p>
            <w:pPr>
              <w:spacing w:after="0"/>
              <w:rPr>
                <w:sz w:val="13"/>
                <w:szCs w:val="13"/>
                <w:color w:val="auto"/>
              </w:rPr>
            </w:pPr>
          </w:p>
        </w:tc>
        <w:tc>
          <w:tcPr>
            <w:tcW w:w="920" w:type="dxa"/>
            <w:vAlign w:val="bottom"/>
            <w:gridSpan w:val="2"/>
            <w:vMerge w:val="continue"/>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45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Net investment income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0.25</w:t>
            </w:r>
          </w:p>
        </w:tc>
        <w:tc>
          <w:tcPr>
            <w:tcW w:w="16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0.31</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0.88</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12" w:right="1440"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issue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20" w:type="dxa"/>
            <w:vAlign w:val="bottom"/>
          </w:tcPr>
          <w:p>
            <w:pPr>
              <w:spacing w:after="0"/>
              <w:rPr>
                <w:sz w:val="13"/>
                <w:szCs w:val="13"/>
                <w:color w:val="auto"/>
              </w:rPr>
            </w:pPr>
          </w:p>
        </w:tc>
        <w:tc>
          <w:tcPr>
            <w:tcW w:w="208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from operations:</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24,625</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21,210</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79,622</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59,746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00" w:type="dxa"/>
            <w:vAlign w:val="bottom"/>
            <w:shd w:val="clear" w:color="auto" w:fill="CCECFF"/>
          </w:tcPr>
          <w:p>
            <w:pPr>
              <w:spacing w:after="0"/>
              <w:rPr>
                <w:sz w:val="13"/>
                <w:szCs w:val="13"/>
                <w:color w:val="auto"/>
              </w:rPr>
            </w:pPr>
          </w:p>
        </w:tc>
        <w:tc>
          <w:tcPr>
            <w:tcW w:w="9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(14,842)</w:t>
            </w: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(353)</w:t>
            </w: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8,355</w:t>
            </w: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(3,953)</w:t>
            </w:r>
          </w:p>
        </w:tc>
        <w:tc>
          <w:tcPr>
            <w:tcW w:w="1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(39,855)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20" w:type="dxa"/>
            <w:vAlign w:val="bottom"/>
            <w:shd w:val="clear" w:color="auto" w:fill="CCECFF"/>
          </w:tcPr>
          <w:p>
            <w:pPr>
              <w:ind w:left="140"/>
              <w:spacing w:after="0" w:line="144" w:lineRule="exact"/>
              <w:rPr>
                <w:sz w:val="20"/>
                <w:szCs w:val="20"/>
                <w:color w:val="auto"/>
              </w:rPr>
            </w:pPr>
            <w:r>
              <w:rPr>
                <w:rFonts w:ascii="Times New Roman" w:cs="Times New Roman" w:eastAsia="Times New Roman" w:hAnsi="Times New Roman"/>
                <w:sz w:val="13"/>
                <w:szCs w:val="13"/>
                <w:color w:val="auto"/>
              </w:rPr>
              <w:t>Net change in provision for taxes on realized and unrealized appreciation</w:t>
            </w: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(depreciation) on investments</w:t>
            </w:r>
          </w:p>
        </w:tc>
        <w:tc>
          <w:tcPr>
            <w:tcW w:w="10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(291)</w:t>
            </w:r>
          </w:p>
        </w:tc>
        <w:tc>
          <w:tcPr>
            <w:tcW w:w="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10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10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00" w:type="dxa"/>
            <w:vAlign w:val="bottom"/>
            <w:shd w:val="clear" w:color="auto" w:fill="CCECFF"/>
          </w:tcPr>
          <w:p>
            <w:pPr>
              <w:spacing w:after="0"/>
              <w:rPr>
                <w:sz w:val="13"/>
                <w:szCs w:val="13"/>
                <w:color w:val="auto"/>
              </w:rPr>
            </w:pPr>
          </w:p>
        </w:tc>
        <w:tc>
          <w:tcPr>
            <w:tcW w:w="9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19,298</w:t>
            </w: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16,920</w:t>
            </w:r>
          </w:p>
        </w:tc>
        <w:tc>
          <w:tcPr>
            <w:tcW w:w="120" w:type="dxa"/>
            <w:vAlign w:val="bottom"/>
            <w:shd w:val="clear" w:color="auto" w:fill="CCECFF"/>
          </w:tcPr>
          <w:p>
            <w:pPr>
              <w:spacing w:after="0"/>
              <w:rPr>
                <w:sz w:val="13"/>
                <w:szCs w:val="13"/>
                <w:color w:val="auto"/>
              </w:rPr>
            </w:pPr>
          </w:p>
        </w:tc>
        <w:tc>
          <w:tcPr>
            <w:tcW w:w="9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48,852</w:t>
            </w: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70,499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Distributions to stockholders: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100" w:type="dxa"/>
            <w:vAlign w:val="bottom"/>
            <w:shd w:val="clear" w:color="auto" w:fill="CCECFF"/>
          </w:tcPr>
          <w:p>
            <w:pPr>
              <w:spacing w:after="0"/>
              <w:rPr>
                <w:sz w:val="13"/>
                <w:szCs w:val="13"/>
                <w:color w:val="auto"/>
              </w:rPr>
            </w:pPr>
          </w:p>
        </w:tc>
        <w:tc>
          <w:tcPr>
            <w:tcW w:w="9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(30,510)</w:t>
            </w: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(21,009)</w:t>
            </w:r>
          </w:p>
        </w:tc>
        <w:tc>
          <w:tcPr>
            <w:tcW w:w="120" w:type="dxa"/>
            <w:vAlign w:val="bottom"/>
            <w:shd w:val="clear" w:color="auto" w:fill="CCECFF"/>
          </w:tcPr>
          <w:p>
            <w:pPr>
              <w:spacing w:after="0"/>
              <w:rPr>
                <w:sz w:val="13"/>
                <w:szCs w:val="13"/>
                <w:color w:val="auto"/>
              </w:rPr>
            </w:pPr>
          </w:p>
        </w:tc>
        <w:tc>
          <w:tcPr>
            <w:tcW w:w="9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(83,389)</w:t>
            </w: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(57,887)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distributions to stockholders</w:t>
            </w:r>
          </w:p>
        </w:tc>
        <w:tc>
          <w:tcPr>
            <w:tcW w:w="10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(30,510)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(21,009)</w:t>
            </w:r>
          </w:p>
        </w:tc>
        <w:tc>
          <w:tcPr>
            <w:tcW w:w="12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(83,389)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(57,887)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Capital transactions</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Public offering</w:t>
            </w: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31,669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100,104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245,479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151,075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Offering costs</w:t>
            </w:r>
          </w:p>
        </w:tc>
        <w:tc>
          <w:tcPr>
            <w:tcW w:w="100" w:type="dxa"/>
            <w:vAlign w:val="bottom"/>
            <w:shd w:val="clear" w:color="auto" w:fill="CCECFF"/>
          </w:tcPr>
          <w:p>
            <w:pPr>
              <w:spacing w:after="0"/>
              <w:rPr>
                <w:sz w:val="13"/>
                <w:szCs w:val="13"/>
                <w:color w:val="auto"/>
              </w:rPr>
            </w:pPr>
          </w:p>
        </w:tc>
        <w:tc>
          <w:tcPr>
            <w:tcW w:w="9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(75)</w:t>
            </w: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3"/>
                <w:szCs w:val="13"/>
                <w:color w:val="auto"/>
              </w:rPr>
            </w:pPr>
          </w:p>
        </w:tc>
        <w:tc>
          <w:tcPr>
            <w:tcW w:w="9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(723)</w:t>
            </w: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(566)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Net increase in net assets resulting from capital transactions</w:t>
            </w: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31,594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100,104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244,756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net assets</w:t>
            </w:r>
          </w:p>
        </w:tc>
        <w:tc>
          <w:tcPr>
            <w:tcW w:w="100" w:type="dxa"/>
            <w:vAlign w:val="bottom"/>
            <w:shd w:val="clear" w:color="auto" w:fill="CCECFF"/>
          </w:tcPr>
          <w:p>
            <w:pPr>
              <w:spacing w:after="0"/>
              <w:rPr>
                <w:sz w:val="13"/>
                <w:szCs w:val="13"/>
                <w:color w:val="auto"/>
              </w:rPr>
            </w:pPr>
          </w:p>
        </w:tc>
        <w:tc>
          <w:tcPr>
            <w:tcW w:w="9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20,382</w:t>
            </w: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96,015</w:t>
            </w: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210,219</w:t>
            </w: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163,121</w:t>
            </w: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Beginning of period</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1,067,131</w:t>
            </w: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720,711</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877,294</w:t>
            </w: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653,605</w:t>
            </w:r>
          </w:p>
        </w:tc>
        <w:tc>
          <w:tcPr>
            <w:tcW w:w="2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1,087,513</w:t>
            </w:r>
          </w:p>
        </w:tc>
        <w:tc>
          <w:tcPr>
            <w:tcW w:w="10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816,726</w:t>
            </w:r>
          </w:p>
        </w:tc>
        <w:tc>
          <w:tcPr>
            <w:tcW w:w="16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1,087,513</w:t>
            </w:r>
          </w:p>
        </w:tc>
        <w:tc>
          <w:tcPr>
            <w:tcW w:w="10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816,726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452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Capital share activity:</w:t>
            </w:r>
          </w:p>
        </w:tc>
        <w:tc>
          <w:tcPr>
            <w:tcW w:w="10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 issued from public offering</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2,800,000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8,770,000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21,638,000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13,263,436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12" w:right="1440"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r>
      <w:tr>
        <w:trPr>
          <w:trHeight w:val="170"/>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48,852</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70,499</w:t>
            </w:r>
          </w:p>
        </w:tc>
      </w:tr>
      <w:tr>
        <w:trPr>
          <w:trHeight w:val="144"/>
        </w:trPr>
        <w:tc>
          <w:tcPr>
            <w:tcW w:w="20" w:type="dxa"/>
            <w:vAlign w:val="bottom"/>
          </w:tcPr>
          <w:p>
            <w:pPr>
              <w:spacing w:after="0"/>
              <w:rPr>
                <w:sz w:val="12"/>
                <w:szCs w:val="12"/>
                <w:color w:val="auto"/>
              </w:rPr>
            </w:pPr>
          </w:p>
        </w:tc>
        <w:tc>
          <w:tcPr>
            <w:tcW w:w="6140" w:type="dxa"/>
            <w:vAlign w:val="bottom"/>
            <w:shd w:val="clear" w:color="auto" w:fill="CCECFF"/>
          </w:tcPr>
          <w:p>
            <w:pPr>
              <w:ind w:left="300"/>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 operations to net cash</w:t>
            </w:r>
          </w:p>
        </w:tc>
        <w:tc>
          <w:tcPr>
            <w:tcW w:w="2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14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3"/>
                <w:szCs w:val="13"/>
                <w:color w:val="auto"/>
              </w:rPr>
              <w:t>provided by (used in) operating activities:</w:t>
            </w: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26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39,855</w:t>
            </w: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(9,962)</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26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(15)</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6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(8,355)</w:t>
            </w: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(568)</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26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(8,499)</w:t>
            </w:r>
          </w:p>
        </w:tc>
        <w:tc>
          <w:tcPr>
            <w:tcW w:w="28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(3,523)</w:t>
            </w:r>
          </w:p>
        </w:tc>
      </w:tr>
      <w:tr>
        <w:trPr>
          <w:trHeight w:val="156"/>
        </w:trPr>
        <w:tc>
          <w:tcPr>
            <w:tcW w:w="20" w:type="dxa"/>
            <w:vAlign w:val="bottom"/>
          </w:tcPr>
          <w:p>
            <w:pPr>
              <w:spacing w:after="0"/>
              <w:rPr>
                <w:sz w:val="13"/>
                <w:szCs w:val="13"/>
                <w:color w:val="auto"/>
              </w:rPr>
            </w:pPr>
          </w:p>
        </w:tc>
        <w:tc>
          <w:tcPr>
            <w:tcW w:w="6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Purchases of investments</w:t>
            </w:r>
          </w:p>
        </w:tc>
        <w:tc>
          <w:tcPr>
            <w:tcW w:w="26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(1,108,335)</w:t>
            </w: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(961,776)</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Payment-in-kind interest</w:t>
            </w:r>
          </w:p>
        </w:tc>
        <w:tc>
          <w:tcPr>
            <w:tcW w:w="26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(4,135)</w:t>
            </w:r>
          </w:p>
        </w:tc>
        <w:tc>
          <w:tcPr>
            <w:tcW w:w="28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(2,218)</w:t>
            </w:r>
          </w:p>
        </w:tc>
      </w:tr>
      <w:tr>
        <w:trPr>
          <w:trHeight w:val="156"/>
        </w:trPr>
        <w:tc>
          <w:tcPr>
            <w:tcW w:w="20" w:type="dxa"/>
            <w:vAlign w:val="bottom"/>
          </w:tcPr>
          <w:p>
            <w:pPr>
              <w:spacing w:after="0"/>
              <w:rPr>
                <w:sz w:val="13"/>
                <w:szCs w:val="13"/>
                <w:color w:val="auto"/>
              </w:rPr>
            </w:pPr>
          </w:p>
        </w:tc>
        <w:tc>
          <w:tcPr>
            <w:tcW w:w="6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Proceeds from dispositions of investments</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669,456</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386,277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(Increase) decrease in:</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3"/>
                <w:szCs w:val="13"/>
                <w:color w:val="auto"/>
              </w:rPr>
              <w:t>Interest receivable</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(2,087)</w:t>
            </w:r>
          </w:p>
        </w:tc>
      </w:tr>
      <w:tr>
        <w:trPr>
          <w:trHeight w:val="156"/>
        </w:trPr>
        <w:tc>
          <w:tcPr>
            <w:tcW w:w="20" w:type="dxa"/>
            <w:vAlign w:val="bottom"/>
          </w:tcPr>
          <w:p>
            <w:pPr>
              <w:spacing w:after="0"/>
              <w:rPr>
                <w:sz w:val="13"/>
                <w:szCs w:val="13"/>
                <w:color w:val="auto"/>
              </w:rPr>
            </w:pPr>
          </w:p>
        </w:tc>
        <w:tc>
          <w:tcPr>
            <w:tcW w:w="61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Distribution receivable</w:t>
            </w:r>
          </w:p>
        </w:tc>
        <w:tc>
          <w:tcPr>
            <w:tcW w:w="26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(634)</w:t>
            </w: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(70)</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6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(1,792)</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Due from affiliate</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(65)</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Increase (decrease) in:</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26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(20,363)</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4,031</w:t>
            </w: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6,504</w:t>
            </w: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3"/>
                <w:szCs w:val="13"/>
                <w:color w:val="auto"/>
              </w:rPr>
              <w:t>Incentive fee payable</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2,207</w:t>
            </w: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Deferred tax liability</w:t>
            </w:r>
          </w:p>
        </w:tc>
        <w:tc>
          <w:tcPr>
            <w:tcW w:w="26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(822)</w:t>
            </w: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(230)</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3"/>
                <w:szCs w:val="13"/>
                <w:color w:val="auto"/>
              </w:rPr>
              <w:t>Due to affiliates</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(566)</w:t>
            </w:r>
          </w:p>
        </w:tc>
      </w:tr>
      <w:tr>
        <w:trPr>
          <w:trHeight w:val="156"/>
        </w:trPr>
        <w:tc>
          <w:tcPr>
            <w:tcW w:w="20" w:type="dxa"/>
            <w:vAlign w:val="bottom"/>
          </w:tcPr>
          <w:p>
            <w:pPr>
              <w:spacing w:after="0"/>
              <w:rPr>
                <w:sz w:val="13"/>
                <w:szCs w:val="13"/>
                <w:color w:val="auto"/>
              </w:rPr>
            </w:pPr>
          </w:p>
        </w:tc>
        <w:tc>
          <w:tcPr>
            <w:tcW w:w="61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Account payable and accrued expenses</w:t>
            </w:r>
          </w:p>
        </w:tc>
        <w:tc>
          <w:tcPr>
            <w:tcW w:w="26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(520)</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26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(386,052)</w:t>
            </w:r>
          </w:p>
        </w:tc>
        <w:tc>
          <w:tcPr>
            <w:tcW w:w="28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(509,641)</w:t>
            </w: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Proceeds from public offering</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245,479</w:t>
            </w: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151,075</w:t>
            </w: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Offering costs</w:t>
            </w:r>
          </w:p>
        </w:tc>
        <w:tc>
          <w:tcPr>
            <w:tcW w:w="26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(723)</w:t>
            </w: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(566)</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Issuance of 2036 Asset-Backed Debt</w:t>
            </w:r>
          </w:p>
        </w:tc>
        <w:tc>
          <w:tcPr>
            <w:tcW w:w="26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287,000</w:t>
            </w: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Issuance of 2037 Asset-Backed Debt</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361,000</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Capitalized borrowing costs</w:t>
            </w:r>
          </w:p>
        </w:tc>
        <w:tc>
          <w:tcPr>
            <w:tcW w:w="26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(2,971)</w:t>
            </w:r>
          </w:p>
        </w:tc>
        <w:tc>
          <w:tcPr>
            <w:tcW w:w="28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(3,241)</w:t>
            </w:r>
          </w:p>
        </w:tc>
      </w:tr>
      <w:tr>
        <w:trPr>
          <w:trHeight w:val="156"/>
        </w:trPr>
        <w:tc>
          <w:tcPr>
            <w:tcW w:w="20" w:type="dxa"/>
            <w:vAlign w:val="bottom"/>
          </w:tcPr>
          <w:p>
            <w:pPr>
              <w:spacing w:after="0"/>
              <w:rPr>
                <w:sz w:val="13"/>
                <w:szCs w:val="13"/>
                <w:color w:val="auto"/>
              </w:rPr>
            </w:pPr>
          </w:p>
        </w:tc>
        <w:tc>
          <w:tcPr>
            <w:tcW w:w="6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Distributions paid to stockholders</w:t>
            </w:r>
          </w:p>
        </w:tc>
        <w:tc>
          <w:tcPr>
            <w:tcW w:w="26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(81,053)</w:t>
            </w: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(56,528)</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Repayment of 2023 notes payable</w:t>
            </w:r>
          </w:p>
        </w:tc>
        <w:tc>
          <w:tcPr>
            <w:tcW w:w="26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(76,219)</w:t>
            </w:r>
          </w:p>
        </w:tc>
      </w:tr>
      <w:tr>
        <w:trPr>
          <w:trHeight w:val="156"/>
        </w:trPr>
        <w:tc>
          <w:tcPr>
            <w:tcW w:w="20" w:type="dxa"/>
            <w:vAlign w:val="bottom"/>
          </w:tcPr>
          <w:p>
            <w:pPr>
              <w:spacing w:after="0"/>
              <w:rPr>
                <w:sz w:val="13"/>
                <w:szCs w:val="13"/>
                <w:color w:val="auto"/>
              </w:rPr>
            </w:pPr>
          </w:p>
        </w:tc>
        <w:tc>
          <w:tcPr>
            <w:tcW w:w="6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Repayment of 2031 Asset-Backed Debt</w:t>
            </w:r>
          </w:p>
        </w:tc>
        <w:tc>
          <w:tcPr>
            <w:tcW w:w="26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(17,301)</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260,000</w:t>
            </w: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381,455</w:t>
            </w: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Repayments under Credit Facility</w:t>
            </w:r>
          </w:p>
        </w:tc>
        <w:tc>
          <w:tcPr>
            <w:tcW w:w="26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(405,000)</w:t>
            </w: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(172,000)</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376,732</w:t>
            </w:r>
          </w:p>
        </w:tc>
        <w:tc>
          <w:tcPr>
            <w:tcW w:w="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493,675</w:t>
            </w: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26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(9,320)</w:t>
            </w: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(15,966)</w:t>
            </w:r>
          </w:p>
        </w:tc>
      </w:tr>
      <w:tr>
        <w:trPr>
          <w:trHeight w:val="156"/>
        </w:trPr>
        <w:tc>
          <w:tcPr>
            <w:tcW w:w="20" w:type="dxa"/>
            <w:vAlign w:val="bottom"/>
          </w:tcPr>
          <w:p>
            <w:pPr>
              <w:spacing w:after="0"/>
              <w:rPr>
                <w:sz w:val="13"/>
                <w:szCs w:val="13"/>
                <w:color w:val="auto"/>
              </w:rPr>
            </w:pPr>
          </w:p>
        </w:tc>
        <w:tc>
          <w:tcPr>
            <w:tcW w:w="61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26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C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period</w:t>
            </w: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8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102,730</w:t>
            </w:r>
          </w:p>
        </w:tc>
        <w:tc>
          <w:tcPr>
            <w:tcW w:w="200" w:type="dxa"/>
            <w:vAlign w:val="bottom"/>
            <w:shd w:val="clear" w:color="auto" w:fill="CCECFF"/>
          </w:tcPr>
          <w:p>
            <w:pPr>
              <w:spacing w:after="0"/>
              <w:rPr>
                <w:sz w:val="17"/>
                <w:szCs w:val="17"/>
                <w:color w:val="auto"/>
              </w:rPr>
            </w:pP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84,590</w:t>
            </w:r>
          </w:p>
        </w:tc>
      </w:tr>
      <w:tr>
        <w:trPr>
          <w:trHeight w:val="132"/>
        </w:trPr>
        <w:tc>
          <w:tcPr>
            <w:tcW w:w="20" w:type="dxa"/>
            <w:vAlign w:val="bottom"/>
          </w:tcPr>
          <w:p>
            <w:pPr>
              <w:spacing w:after="0"/>
              <w:rPr>
                <w:sz w:val="11"/>
                <w:szCs w:val="11"/>
                <w:color w:val="auto"/>
              </w:rPr>
            </w:pPr>
          </w:p>
        </w:tc>
        <w:tc>
          <w:tcPr>
            <w:tcW w:w="6140" w:type="dxa"/>
            <w:vAlign w:val="bottom"/>
            <w:tcBorders>
              <w:top w:val="single" w:sz="8" w:color="CCECFF"/>
            </w:tcBorders>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0" w:type="dxa"/>
            <w:vAlign w:val="bottom"/>
            <w:tcBorders>
              <w:top w:val="single" w:sz="8" w:color="CCEC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CCECFF"/>
            </w:tcBorders>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61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3"/>
                <w:szCs w:val="13"/>
                <w:color w:val="auto"/>
              </w:rPr>
              <w:t>Interest paid</w:t>
            </w: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62,139</w:t>
            </w: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32,171</w:t>
            </w:r>
          </w:p>
        </w:tc>
      </w:tr>
      <w:tr>
        <w:trPr>
          <w:trHeight w:val="132"/>
        </w:trPr>
        <w:tc>
          <w:tcPr>
            <w:tcW w:w="20" w:type="dxa"/>
            <w:vAlign w:val="bottom"/>
          </w:tcPr>
          <w:p>
            <w:pPr>
              <w:spacing w:after="0"/>
              <w:rPr>
                <w:sz w:val="11"/>
                <w:szCs w:val="11"/>
                <w:color w:val="auto"/>
              </w:rPr>
            </w:pPr>
          </w:p>
        </w:tc>
        <w:tc>
          <w:tcPr>
            <w:tcW w:w="6140" w:type="dxa"/>
            <w:vAlign w:val="bottom"/>
            <w:tcBorders>
              <w:top w:val="single" w:sz="8" w:color="CCECFF"/>
            </w:tcBorders>
          </w:tcPr>
          <w:p>
            <w:pPr>
              <w:ind w:left="140"/>
              <w:spacing w:after="0" w:line="133" w:lineRule="exact"/>
              <w:rPr>
                <w:sz w:val="20"/>
                <w:szCs w:val="20"/>
                <w:color w:val="auto"/>
              </w:rPr>
            </w:pPr>
            <w:r>
              <w:rPr>
                <w:rFonts w:ascii="Times New Roman" w:cs="Times New Roman" w:eastAsia="Times New Roman" w:hAnsi="Times New Roman"/>
                <w:sz w:val="13"/>
                <w:szCs w:val="13"/>
                <w:color w:val="auto"/>
              </w:rPr>
              <w:t>Taxes paid</w:t>
            </w: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975</w:t>
            </w:r>
          </w:p>
        </w:tc>
        <w:tc>
          <w:tcPr>
            <w:tcW w:w="200" w:type="dxa"/>
            <w:vAlign w:val="bottom"/>
            <w:tcBorders>
              <w:top w:val="single" w:sz="8" w:color="CCEC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1,060</w:t>
            </w:r>
          </w:p>
        </w:tc>
        <w:tc>
          <w:tcPr>
            <w:tcW w:w="80" w:type="dxa"/>
            <w:vAlign w:val="bottom"/>
            <w:tcBorders>
              <w:top w:val="single" w:sz="8" w:color="CCECFF"/>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140" w:type="dxa"/>
            <w:vAlign w:val="bottom"/>
            <w:tcBorders>
              <w:bottom w:val="single" w:sz="8" w:color="CCECFF"/>
            </w:tcBorders>
            <w:shd w:val="clear" w:color="auto" w:fill="CCECFF"/>
          </w:tcPr>
          <w:p>
            <w:pPr>
              <w:ind w:left="140"/>
              <w:spacing w:after="0" w:line="133" w:lineRule="exact"/>
              <w:rPr>
                <w:sz w:val="20"/>
                <w:szCs w:val="20"/>
                <w:color w:val="auto"/>
              </w:rPr>
            </w:pPr>
            <w:r>
              <w:rPr>
                <w:rFonts w:ascii="Times New Roman" w:cs="Times New Roman" w:eastAsia="Times New Roman" w:hAnsi="Times New Roman"/>
                <w:sz w:val="13"/>
                <w:szCs w:val="13"/>
                <w:color w:val="auto"/>
              </w:rPr>
              <w:t>Non-cash exchanges and conversions</w:t>
            </w:r>
          </w:p>
        </w:tc>
        <w:tc>
          <w:tcPr>
            <w:tcW w:w="260" w:type="dxa"/>
            <w:vAlign w:val="bottom"/>
            <w:tcBorders>
              <w:top w:val="single" w:sz="8" w:color="auto"/>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16,585</w:t>
            </w:r>
          </w:p>
        </w:tc>
        <w:tc>
          <w:tcPr>
            <w:tcW w:w="20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5,067</w:t>
            </w:r>
          </w:p>
        </w:tc>
        <w:tc>
          <w:tcPr>
            <w:tcW w:w="80" w:type="dxa"/>
            <w:vAlign w:val="bottom"/>
            <w:tcBorders>
              <w:bottom w:val="single" w:sz="8" w:color="CCECFF"/>
            </w:tcBorders>
            <w:shd w:val="clear" w:color="auto" w:fill="CCECFF"/>
          </w:tcPr>
          <w:p>
            <w:pPr>
              <w:spacing w:after="0"/>
              <w:rPr>
                <w:sz w:val="14"/>
                <w:szCs w:val="14"/>
                <w:color w:val="auto"/>
              </w:rPr>
            </w:pPr>
          </w:p>
        </w:tc>
      </w:tr>
    </w:tbl>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12" w:right="1440"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2"/>
        </w:trPr>
        <w:tc>
          <w:tcPr>
            <w:tcW w:w="33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58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2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180" w:type="dxa"/>
            <w:vAlign w:val="bottom"/>
          </w:tcPr>
          <w:p>
            <w:pPr>
              <w:spacing w:after="0"/>
              <w:rPr>
                <w:sz w:val="10"/>
                <w:szCs w:val="10"/>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w w:val="96"/>
              </w:rPr>
              <w:t xml:space="preserve">Investments in Non-Controlled, Non-Affiliated Portfolio Companies - 194.3% </w:t>
            </w:r>
            <w:r>
              <w:rPr>
                <w:rFonts w:ascii="Times New Roman" w:cs="Times New Roman" w:eastAsia="Times New Roman" w:hAnsi="Times New Roman"/>
                <w:sz w:val="12"/>
                <w:szCs w:val="12"/>
                <w:color w:val="auto"/>
                <w:w w:val="96"/>
                <w:vertAlign w:val="superscript"/>
              </w:rPr>
              <w:t>(3), (4)</w:t>
            </w: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- 175.9%</w:t>
            </w: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A1 Garage Merger Sub, LLC</w:t>
            </w:r>
          </w:p>
        </w:tc>
        <w:tc>
          <w:tcPr>
            <w:tcW w:w="210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12/22/2028    Commercial Services &amp; Supplies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8.83%</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450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1,567</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1,550</w:t>
            </w:r>
          </w:p>
        </w:tc>
        <w:tc>
          <w:tcPr>
            <w:tcW w:w="2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1,567</w:t>
            </w:r>
          </w:p>
        </w:tc>
      </w:tr>
      <w:tr>
        <w:trPr>
          <w:trHeight w:val="120"/>
        </w:trPr>
        <w:tc>
          <w:tcPr>
            <w:tcW w:w="33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Unfunded Revolver </w:t>
            </w:r>
            <w:r>
              <w:rPr>
                <w:rFonts w:ascii="Times New Roman" w:cs="Times New Roman" w:eastAsia="Times New Roman" w:hAnsi="Times New Roman"/>
                <w:sz w:val="12"/>
                <w:szCs w:val="12"/>
                <w:color w:val="auto"/>
                <w:vertAlign w:val="superscript"/>
              </w:rPr>
              <w:t>(6), (8)</w:t>
            </w: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12/22/2028    Commercial Services &amp; Supplies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748</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Avenu Buyer, LLC</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10/02/2029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9.05%</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475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32,453</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32,131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32,129</w:t>
            </w:r>
          </w:p>
        </w:tc>
      </w:tr>
      <w:tr>
        <w:trPr>
          <w:trHeight w:val="120"/>
        </w:trPr>
        <w:tc>
          <w:tcPr>
            <w:tcW w:w="33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(8)</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04/21/2027</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10,872</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(54)</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Revolver </w:t>
            </w:r>
            <w:r>
              <w:rPr>
                <w:rFonts w:ascii="Times New Roman" w:cs="Times New Roman" w:eastAsia="Times New Roman" w:hAnsi="Times New Roman"/>
                <w:sz w:val="12"/>
                <w:szCs w:val="12"/>
                <w:color w:val="auto"/>
                <w:vertAlign w:val="superscript"/>
              </w:rPr>
              <w:t>(6), (8)</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10/02/2029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7,612</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(76)</w:t>
            </w:r>
          </w:p>
        </w:tc>
      </w:tr>
      <w:tr>
        <w:trPr>
          <w:trHeight w:val="120"/>
        </w:trPr>
        <w:tc>
          <w:tcPr>
            <w:tcW w:w="33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Falcon Buyer, LLC - Unfunded Revolver </w:t>
            </w:r>
            <w:r>
              <w:rPr>
                <w:rFonts w:ascii="Times New Roman" w:cs="Times New Roman" w:eastAsia="Times New Roman" w:hAnsi="Times New Roman"/>
                <w:sz w:val="12"/>
                <w:szCs w:val="12"/>
                <w:color w:val="auto"/>
                <w:vertAlign w:val="superscript"/>
              </w:rPr>
              <w:t>(6), (8)</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08/01/2029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3,096</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Ad.net Acquisition, LLC</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05/07/2026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10.56%</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626</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4,800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4,784</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4,800</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Ad.net Acquisition, LLC - Funded Revolver</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05/07/2026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10.56%</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626</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818</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818</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 Unfunded Revolver </w:t>
            </w:r>
            <w:r>
              <w:rPr>
                <w:rFonts w:ascii="Times New Roman" w:cs="Times New Roman" w:eastAsia="Times New Roman" w:hAnsi="Times New Roman"/>
                <w:sz w:val="12"/>
                <w:szCs w:val="12"/>
                <w:color w:val="auto"/>
                <w:vertAlign w:val="superscript"/>
              </w:rPr>
              <w:t>(6), (8)</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05/07/2026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426</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Aechelon Technology, Inc.</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08/16/2029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10.83%</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650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13,580</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13,468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13,580</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Aechelon Technology, Inc. - Unfunded Revolver </w:t>
            </w:r>
            <w:r>
              <w:rPr>
                <w:rFonts w:ascii="Times New Roman" w:cs="Times New Roman" w:eastAsia="Times New Roman" w:hAnsi="Times New Roman"/>
                <w:sz w:val="12"/>
                <w:szCs w:val="12"/>
                <w:color w:val="auto"/>
                <w:vertAlign w:val="superscript"/>
              </w:rPr>
              <w:t>(8)</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08/16/2029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4,719</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AFC Dell Holding Corp.</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04/09/2027</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19,778</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19,747</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19,679</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Dell Holding Corp. - Unfunded Term Loan </w:t>
            </w:r>
            <w:r>
              <w:rPr>
                <w:rFonts w:ascii="Times New Roman" w:cs="Times New Roman" w:eastAsia="Times New Roman" w:hAnsi="Times New Roman"/>
                <w:sz w:val="12"/>
                <w:szCs w:val="12"/>
                <w:color w:val="auto"/>
                <w:vertAlign w:val="superscript"/>
              </w:rPr>
              <w:t>(8)</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04/09/2027</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7,460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(37)</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06/10/2026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650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13,773</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13,722</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13,635</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06/30/2026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590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12,419</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12,330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12,419</w:t>
            </w:r>
          </w:p>
        </w:tc>
      </w:tr>
      <w:tr>
        <w:trPr>
          <w:trHeight w:val="120"/>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06/30/2026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590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2,013</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2,005</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2,013</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 Funded Revolver </w:t>
            </w:r>
            <w:r>
              <w:rPr>
                <w:rFonts w:ascii="Times New Roman" w:cs="Times New Roman" w:eastAsia="Times New Roman" w:hAnsi="Times New Roman"/>
                <w:sz w:val="12"/>
                <w:szCs w:val="12"/>
                <w:color w:val="auto"/>
                <w:vertAlign w:val="superscript"/>
              </w:rPr>
              <w:t>(6)</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06/30/2026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590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1,230</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1,230</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1,230</w:t>
            </w:r>
          </w:p>
        </w:tc>
      </w:tr>
      <w:tr>
        <w:trPr>
          <w:trHeight w:val="120"/>
        </w:trPr>
        <w:tc>
          <w:tcPr>
            <w:tcW w:w="33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 Unfunded Revolver </w:t>
            </w:r>
            <w:r>
              <w:rPr>
                <w:rFonts w:ascii="Times New Roman" w:cs="Times New Roman" w:eastAsia="Times New Roman" w:hAnsi="Times New Roman"/>
                <w:sz w:val="12"/>
                <w:szCs w:val="12"/>
                <w:color w:val="auto"/>
                <w:vertAlign w:val="superscript"/>
              </w:rPr>
              <w:t>(8)</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06/30/2026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1,640</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Arcfield Acquisition Corp.</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10/28/2031</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9.28%</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19,442</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19,423</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19,345</w:t>
            </w:r>
          </w:p>
        </w:tc>
      </w:tr>
      <w:tr>
        <w:trPr>
          <w:trHeight w:val="120"/>
        </w:trPr>
        <w:tc>
          <w:tcPr>
            <w:tcW w:w="33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 Unfunded Revolver </w:t>
            </w:r>
            <w:r>
              <w:rPr>
                <w:rFonts w:ascii="Times New Roman" w:cs="Times New Roman" w:eastAsia="Times New Roman" w:hAnsi="Times New Roman"/>
                <w:sz w:val="12"/>
                <w:szCs w:val="12"/>
                <w:color w:val="auto"/>
                <w:vertAlign w:val="superscript"/>
              </w:rPr>
              <w:t>(6), (8)</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10/28/2031</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2,874</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Archer Lewis, LLC</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08/28/2029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29,036</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28,791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29,036</w:t>
            </w:r>
          </w:p>
        </w:tc>
      </w:tr>
      <w:tr>
        <w:trPr>
          <w:trHeight w:val="120"/>
        </w:trPr>
        <w:tc>
          <w:tcPr>
            <w:tcW w:w="33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B </w:t>
            </w:r>
            <w:r>
              <w:rPr>
                <w:rFonts w:ascii="Times New Roman" w:cs="Times New Roman" w:eastAsia="Times New Roman" w:hAnsi="Times New Roman"/>
                <w:sz w:val="12"/>
                <w:szCs w:val="12"/>
                <w:color w:val="auto"/>
                <w:vertAlign w:val="superscript"/>
              </w:rPr>
              <w:t>(8)</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08/28/2026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17,014</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170</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Revolver </w:t>
            </w:r>
            <w:r>
              <w:rPr>
                <w:rFonts w:ascii="Times New Roman" w:cs="Times New Roman" w:eastAsia="Times New Roman" w:hAnsi="Times New Roman"/>
                <w:sz w:val="12"/>
                <w:szCs w:val="12"/>
                <w:color w:val="auto"/>
                <w:vertAlign w:val="superscript"/>
              </w:rPr>
              <w:t>(8)</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08/28/2029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3,252</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ARGANO, LLC</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09/13/2029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10.07%</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50,937</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50,476</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50,479</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Term Loan </w:t>
            </w:r>
            <w:r>
              <w:rPr>
                <w:rFonts w:ascii="Times New Roman" w:cs="Times New Roman" w:eastAsia="Times New Roman" w:hAnsi="Times New Roman"/>
                <w:sz w:val="12"/>
                <w:szCs w:val="12"/>
                <w:color w:val="auto"/>
                <w:vertAlign w:val="superscript"/>
              </w:rPr>
              <w:t>(8)</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10/02/2026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7,449</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r>
      <w:tr>
        <w:trPr>
          <w:trHeight w:val="120"/>
        </w:trPr>
        <w:tc>
          <w:tcPr>
            <w:tcW w:w="33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Revolver </w:t>
            </w:r>
            <w:r>
              <w:rPr>
                <w:rFonts w:ascii="Times New Roman" w:cs="Times New Roman" w:eastAsia="Times New Roman" w:hAnsi="Times New Roman"/>
                <w:sz w:val="12"/>
                <w:szCs w:val="12"/>
                <w:color w:val="auto"/>
                <w:vertAlign w:val="superscript"/>
              </w:rPr>
              <w:t>(8)</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09/13/2029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1,421</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Azureon, LLC</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06/26/2029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16,896</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16,707</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16,508</w:t>
            </w:r>
          </w:p>
        </w:tc>
      </w:tr>
      <w:tr>
        <w:trPr>
          <w:trHeight w:val="120"/>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Azureon, LLC - Funded Revolver</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06/26/2029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1,032</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1,032</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1,008</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Azureon, LLC - Unfunded Revolver </w:t>
            </w:r>
            <w:r>
              <w:rPr>
                <w:rFonts w:ascii="Times New Roman" w:cs="Times New Roman" w:eastAsia="Times New Roman" w:hAnsi="Times New Roman"/>
                <w:sz w:val="12"/>
                <w:szCs w:val="12"/>
                <w:color w:val="auto"/>
                <w:vertAlign w:val="superscript"/>
              </w:rPr>
              <w:t>(8)</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06/26/2029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1,548</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(36)</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Beacon Behavioral Support Service, LLC</w:t>
            </w: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06/21/2029   Healthcare Providers and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37,022</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36,618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36,652</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Term Loan </w:t>
            </w:r>
            <w:r>
              <w:rPr>
                <w:rFonts w:ascii="Times New Roman" w:cs="Times New Roman" w:eastAsia="Times New Roman" w:hAnsi="Times New Roman"/>
                <w:sz w:val="12"/>
                <w:szCs w:val="12"/>
                <w:color w:val="auto"/>
                <w:vertAlign w:val="superscript"/>
              </w:rPr>
              <w:t>(8)</w:t>
            </w:r>
          </w:p>
        </w:tc>
        <w:tc>
          <w:tcPr>
            <w:tcW w:w="210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12/22/2025   Healthcare Providers and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7,749</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Beacon Behavioral Support Service, LLC. - Funded Revolver</w:t>
            </w: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06/21/2029   Healthcare Providers and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1,578</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1,578</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1,562</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Beacon Behavioral Support Service, LLC - Unfunded Revolver </w:t>
            </w:r>
            <w:r>
              <w:rPr>
                <w:rFonts w:ascii="Times New Roman" w:cs="Times New Roman" w:eastAsia="Times New Roman" w:hAnsi="Times New Roman"/>
                <w:sz w:val="12"/>
                <w:szCs w:val="12"/>
                <w:color w:val="auto"/>
                <w:vertAlign w:val="superscript"/>
              </w:rPr>
              <w:t>(8)</w:t>
            </w:r>
          </w:p>
        </w:tc>
        <w:tc>
          <w:tcPr>
            <w:tcW w:w="210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06/21/2029   Healthcare Providers and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526</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11/08/2029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675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63,956</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63,117</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63,157</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Best Practice Associates, LLC - Unfunded Revolver </w:t>
            </w:r>
            <w:r>
              <w:rPr>
                <w:rFonts w:ascii="Times New Roman" w:cs="Times New Roman" w:eastAsia="Times New Roman" w:hAnsi="Times New Roman"/>
                <w:sz w:val="12"/>
                <w:szCs w:val="12"/>
                <w:color w:val="auto"/>
                <w:vertAlign w:val="superscript"/>
              </w:rPr>
              <w:t>(8)</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11/08/2029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5,732</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(72)</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07/02/2029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19,655</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19,144</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19,212</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Big Top Holdings, LLC</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03/01/2030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29,447</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29,002</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29,447</w:t>
            </w:r>
          </w:p>
        </w:tc>
      </w:tr>
      <w:tr>
        <w:trPr>
          <w:trHeight w:val="120"/>
        </w:trPr>
        <w:tc>
          <w:tcPr>
            <w:tcW w:w="33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Big Top Holdings, LLC - Unfunded Revolver </w:t>
            </w:r>
            <w:r>
              <w:rPr>
                <w:rFonts w:ascii="Times New Roman" w:cs="Times New Roman" w:eastAsia="Times New Roman" w:hAnsi="Times New Roman"/>
                <w:sz w:val="12"/>
                <w:szCs w:val="12"/>
                <w:color w:val="auto"/>
                <w:vertAlign w:val="superscript"/>
              </w:rPr>
              <w:t>(8)</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02/28/2030</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4,479</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Inc. - Funded Revolver</w:t>
            </w:r>
          </w:p>
        </w:tc>
        <w:tc>
          <w:tcPr>
            <w:tcW w:w="2100" w:type="dxa"/>
            <w:vAlign w:val="bottom"/>
            <w:gridSpan w:val="2"/>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01/31/2028   Healthcare Equipment and Supplies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10.82%</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650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1,071</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1,071</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1,058</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09/17/2026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540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8,146</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8,107</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8,044</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Funded Revolver </w:t>
            </w:r>
            <w:r>
              <w:rPr>
                <w:rFonts w:ascii="Times New Roman" w:cs="Times New Roman" w:eastAsia="Times New Roman" w:hAnsi="Times New Roman"/>
                <w:sz w:val="12"/>
                <w:szCs w:val="12"/>
                <w:color w:val="auto"/>
                <w:vertAlign w:val="superscript"/>
              </w:rPr>
              <w:t>(6)</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09/17/2026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540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2,135</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2,135</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2,109</w:t>
            </w:r>
          </w:p>
        </w:tc>
      </w:tr>
      <w:tr>
        <w:trPr>
          <w:trHeight w:val="120"/>
        </w:trPr>
        <w:tc>
          <w:tcPr>
            <w:tcW w:w="33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 Unfunded Revolver </w:t>
            </w:r>
            <w:r>
              <w:rPr>
                <w:rFonts w:ascii="Times New Roman" w:cs="Times New Roman" w:eastAsia="Times New Roman" w:hAnsi="Times New Roman"/>
                <w:sz w:val="12"/>
                <w:szCs w:val="12"/>
                <w:color w:val="auto"/>
                <w:vertAlign w:val="superscript"/>
              </w:rPr>
              <w:t>(8)</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09/17/2026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1,747</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(22)</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BLC Holding Company, Inc.</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11/20/2030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450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19,915</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19,789</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19,915</w:t>
            </w:r>
          </w:p>
        </w:tc>
      </w:tr>
      <w:tr>
        <w:trPr>
          <w:trHeight w:val="120"/>
        </w:trPr>
        <w:tc>
          <w:tcPr>
            <w:tcW w:w="33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BLC Holding Company, Inc. - Unfunded Term Loan </w:t>
            </w:r>
            <w:r>
              <w:rPr>
                <w:rFonts w:ascii="Times New Roman" w:cs="Times New Roman" w:eastAsia="Times New Roman" w:hAnsi="Times New Roman"/>
                <w:sz w:val="12"/>
                <w:szCs w:val="12"/>
                <w:color w:val="auto"/>
                <w:vertAlign w:val="superscript"/>
              </w:rPr>
              <w:t>(8)</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11/20/2026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14,293</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BLC Holding Company, Inc. - Unfunded Revolver </w:t>
            </w:r>
            <w:r>
              <w:rPr>
                <w:rFonts w:ascii="Times New Roman" w:cs="Times New Roman" w:eastAsia="Times New Roman" w:hAnsi="Times New Roman"/>
                <w:sz w:val="12"/>
                <w:szCs w:val="12"/>
                <w:color w:val="auto"/>
                <w:vertAlign w:val="superscript"/>
              </w:rPr>
              <w:t>(8)</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11/20/2030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4,398</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Independent Power and Renewable</w:t>
            </w: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Boss Industries, LLC</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12/27/2030</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Electricity Producers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17,997</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17,877</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17,997</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Independent Power and Renewable</w:t>
            </w: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Boss Industries, LLC - Unfunded Revolver </w:t>
            </w:r>
            <w:r>
              <w:rPr>
                <w:rFonts w:ascii="Times New Roman" w:cs="Times New Roman" w:eastAsia="Times New Roman" w:hAnsi="Times New Roman"/>
                <w:sz w:val="12"/>
                <w:szCs w:val="12"/>
                <w:color w:val="auto"/>
                <w:vertAlign w:val="superscript"/>
              </w:rPr>
              <w:t>(8)</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12/27/2030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Electricity Producers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2,744</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07/25/2029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535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14,848</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14,192</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12,607</w:t>
            </w:r>
          </w:p>
        </w:tc>
      </w:tr>
      <w:tr>
        <w:trPr>
          <w:trHeight w:val="121"/>
        </w:trPr>
        <w:tc>
          <w:tcPr>
            <w:tcW w:w="33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3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11/16/2026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10.79%</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647</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48,772</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48,665</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48,772</w:t>
            </w:r>
          </w:p>
        </w:tc>
      </w:tr>
      <w:tr>
        <w:trPr>
          <w:trHeight w:val="121"/>
        </w:trPr>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33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By Light Professional IT Services, LLC - Funded Revolver </w:t>
            </w:r>
            <w:r>
              <w:rPr>
                <w:rFonts w:ascii="Times New Roman" w:cs="Times New Roman" w:eastAsia="Times New Roman" w:hAnsi="Times New Roman"/>
                <w:sz w:val="12"/>
                <w:szCs w:val="12"/>
                <w:color w:val="auto"/>
                <w:vertAlign w:val="superscript"/>
              </w:rPr>
              <w:t>(6)</w:t>
            </w:r>
          </w:p>
        </w:tc>
        <w:tc>
          <w:tcPr>
            <w:tcW w:w="5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11/16/2026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10.79%</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647</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1,000</w:t>
            </w:r>
          </w:p>
        </w:tc>
        <w:tc>
          <w:tcPr>
            <w:tcW w:w="1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1,000</w:t>
            </w:r>
          </w:p>
        </w:tc>
        <w:tc>
          <w:tcPr>
            <w:tcW w:w="26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r>
      <w:tr>
        <w:trPr>
          <w:trHeight w:val="120"/>
        </w:trPr>
        <w:tc>
          <w:tcPr>
            <w:tcW w:w="33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By Light Professional IT Services, LLC - Unfunded Revolver </w:t>
            </w:r>
            <w:r>
              <w:rPr>
                <w:rFonts w:ascii="Times New Roman" w:cs="Times New Roman" w:eastAsia="Times New Roman" w:hAnsi="Times New Roman"/>
                <w:sz w:val="12"/>
                <w:szCs w:val="12"/>
                <w:color w:val="auto"/>
                <w:vertAlign w:val="superscript"/>
              </w:rPr>
              <w:t>(6), (8)</w:t>
            </w:r>
          </w:p>
        </w:tc>
        <w:tc>
          <w:tcPr>
            <w:tcW w:w="5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11/16/2026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4,832</w:t>
            </w: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jc w:val="center"/>
        <w:ind w:right="2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408305</wp:posOffset>
            </wp:positionV>
            <wp:extent cx="62604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3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4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2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tcPr>
          <w:p>
            <w:pPr>
              <w:jc w:val="right"/>
              <w:ind w:right="5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Capital Construction, LLC</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10/22/2026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8,000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7,940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7,940</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Capital Construction, LLC - Unfunded Term Loan A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07/31/2025</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4,263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Capital Construction, LLC - Unfunded Term Loan B </w:t>
            </w:r>
            <w:r>
              <w:rPr>
                <w:rFonts w:ascii="Times New Roman" w:cs="Times New Roman" w:eastAsia="Times New Roman" w:hAnsi="Times New Roman"/>
                <w:sz w:val="12"/>
                <w:szCs w:val="12"/>
                <w:color w:val="auto"/>
                <w:vertAlign w:val="superscript"/>
              </w:rPr>
              <w:t>(8)</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12/30/2025</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14,459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Carisk Buyer, Inc.</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12/03/2029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7,415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7,338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7,415</w:t>
            </w: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(8)</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12/03/2029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7,868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Revolver </w:t>
            </w:r>
            <w:r>
              <w:rPr>
                <w:rFonts w:ascii="Times New Roman" w:cs="Times New Roman" w:eastAsia="Times New Roman" w:hAnsi="Times New Roman"/>
                <w:sz w:val="12"/>
                <w:szCs w:val="12"/>
                <w:color w:val="auto"/>
                <w:vertAlign w:val="superscript"/>
              </w:rPr>
              <w:t>(6), (8)</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12/03/2029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1,750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Carnegie Dartlet, LLC</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02/07/2030</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33,399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32,973</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33,065</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02/09/2026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12,430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Revolver </w:t>
            </w:r>
            <w:r>
              <w:rPr>
                <w:rFonts w:ascii="Times New Roman" w:cs="Times New Roman" w:eastAsia="Times New Roman" w:hAnsi="Times New Roman"/>
                <w:sz w:val="12"/>
                <w:szCs w:val="12"/>
                <w:color w:val="auto"/>
                <w:vertAlign w:val="superscript"/>
              </w:rPr>
              <w:t>(8)</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02/07/2030</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5,405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(54)</w:t>
            </w:r>
          </w:p>
        </w:tc>
      </w:tr>
      <w:tr>
        <w:trPr>
          <w:trHeight w:val="121"/>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Cartessa Aesthetics, LLC</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06/14/2028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10.32%</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12,845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12,729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12,845</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 Funded Revolver </w:t>
            </w:r>
            <w:r>
              <w:rPr>
                <w:rFonts w:ascii="Times New Roman" w:cs="Times New Roman" w:eastAsia="Times New Roman" w:hAnsi="Times New Roman"/>
                <w:sz w:val="12"/>
                <w:szCs w:val="12"/>
                <w:color w:val="auto"/>
                <w:vertAlign w:val="superscript"/>
              </w:rPr>
              <w:t>(6)</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06/14/2028</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10.32%</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600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511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511</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 Unfunded Revolver </w:t>
            </w:r>
            <w:r>
              <w:rPr>
                <w:rFonts w:ascii="Times New Roman" w:cs="Times New Roman" w:eastAsia="Times New Roman" w:hAnsi="Times New Roman"/>
                <w:sz w:val="12"/>
                <w:szCs w:val="12"/>
                <w:color w:val="auto"/>
                <w:vertAlign w:val="superscript"/>
              </w:rPr>
              <w:t>(6), (8)</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06/14/2028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927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Case Works, LLC</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10/01/2029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18,678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18,541</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18,248</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Case Works, LLC - Unfunded Term Loan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10/01/2025</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1,854</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(26)</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Case Works - Funded Revolver</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10/01/2029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3,081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3,081</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3,010</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Case Works - Unfunded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10/01/2029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1,027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CF512, Inc.</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08/20/2026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10.74%</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644</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5,699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5,679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5,642</w:t>
            </w:r>
          </w:p>
        </w:tc>
      </w:tr>
      <w:tr>
        <w:trPr>
          <w:trHeight w:val="121"/>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CF512, Inc. - Funded Revolver</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08/20/2026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627</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86</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w:t>
            </w: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CF512, Inc. - Unfunded Revolver </w:t>
            </w:r>
            <w:r>
              <w:rPr>
                <w:rFonts w:ascii="Times New Roman" w:cs="Times New Roman" w:eastAsia="Times New Roman" w:hAnsi="Times New Roman"/>
                <w:sz w:val="12"/>
                <w:szCs w:val="12"/>
                <w:color w:val="auto"/>
                <w:vertAlign w:val="superscript"/>
              </w:rPr>
              <w:t>(6), (8)</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08/20/2026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869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w:t>
            </w:r>
          </w:p>
        </w:tc>
      </w:tr>
      <w:tr>
        <w:trPr>
          <w:trHeight w:val="121"/>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CJX Borrower, LLC</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07/13/2027</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9.97%</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576</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4,601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4,548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4,601</w:t>
            </w: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CJX Borrower , LLC - Unfunded Term Loan </w:t>
            </w:r>
            <w:r>
              <w:rPr>
                <w:rFonts w:ascii="Times New Roman" w:cs="Times New Roman" w:eastAsia="Times New Roman" w:hAnsi="Times New Roman"/>
                <w:sz w:val="12"/>
                <w:szCs w:val="12"/>
                <w:color w:val="auto"/>
                <w:vertAlign w:val="superscript"/>
              </w:rPr>
              <w:t>(8)</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07/13/2027</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556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w:t>
            </w:r>
          </w:p>
        </w:tc>
      </w:tr>
      <w:tr>
        <w:trPr>
          <w:trHeight w:val="120"/>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CJX Borrower, LLC - Funded Revolver</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07/13/2027</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10.08%</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576</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543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543</w:t>
            </w: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CJX Borrower , LLC - Unfunded Revolver </w:t>
            </w:r>
            <w:r>
              <w:rPr>
                <w:rFonts w:ascii="Times New Roman" w:cs="Times New Roman" w:eastAsia="Times New Roman" w:hAnsi="Times New Roman"/>
                <w:sz w:val="12"/>
                <w:szCs w:val="12"/>
                <w:color w:val="auto"/>
                <w:vertAlign w:val="superscript"/>
              </w:rPr>
              <w:t>(8)</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07/13/2027</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691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Commercial Fire Protection Holdings, LLC</w:t>
            </w:r>
          </w:p>
        </w:tc>
        <w:tc>
          <w:tcPr>
            <w:tcW w:w="23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09/23/2030    Commercial Services &amp; Supplies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450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43,425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43,129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43,425</w:t>
            </w: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Commercial Fire Protection Holdings, LLC - Unfunded Term Loan </w:t>
            </w:r>
            <w:r>
              <w:rPr>
                <w:rFonts w:ascii="Times New Roman" w:cs="Times New Roman" w:eastAsia="Times New Roman" w:hAnsi="Times New Roman"/>
                <w:sz w:val="12"/>
                <w:szCs w:val="12"/>
                <w:color w:val="auto"/>
                <w:vertAlign w:val="superscript"/>
              </w:rPr>
              <w:t>(8)</w:t>
            </w:r>
          </w:p>
        </w:tc>
        <w:tc>
          <w:tcPr>
            <w:tcW w:w="236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09/23/2026    Commercial Services &amp; Supplies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13,370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Commercial Fire Protection Holdings, LLC - Unfunded Revolver </w:t>
            </w:r>
            <w:r>
              <w:rPr>
                <w:rFonts w:ascii="Times New Roman" w:cs="Times New Roman" w:eastAsia="Times New Roman" w:hAnsi="Times New Roman"/>
                <w:sz w:val="12"/>
                <w:szCs w:val="12"/>
                <w:color w:val="auto"/>
                <w:vertAlign w:val="superscript"/>
              </w:rPr>
              <w:t>(8)</w:t>
            </w:r>
          </w:p>
        </w:tc>
        <w:tc>
          <w:tcPr>
            <w:tcW w:w="23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09/23/2030    Commercial Services &amp; Supplies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5,014</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Compex Legal Services, Inc.</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02/07/2026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555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8,764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8,758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8,764</w:t>
            </w:r>
          </w:p>
        </w:tc>
      </w:tr>
      <w:tr>
        <w:trPr>
          <w:trHeight w:val="121"/>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Compex Legal Services, Inc. - Funded Revolver</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02/07/2026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9.78%</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555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843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843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843</w:t>
            </w: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 Unfunded Revolver </w:t>
            </w:r>
            <w:r>
              <w:rPr>
                <w:rFonts w:ascii="Times New Roman" w:cs="Times New Roman" w:eastAsia="Times New Roman" w:hAnsi="Times New Roman"/>
                <w:sz w:val="12"/>
                <w:szCs w:val="12"/>
                <w:color w:val="auto"/>
                <w:vertAlign w:val="superscript"/>
              </w:rPr>
              <w:t>(6), (8)</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02/07/2026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562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Confluent Health, LLC</w:t>
            </w:r>
          </w:p>
        </w:tc>
        <w:tc>
          <w:tcPr>
            <w:tcW w:w="23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11/30/2028   Healthcare Providers and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9.32%</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6,913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6,750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6,913</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Cornerstone Advisors of Arizona, LLC</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05/13/2032</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Consulting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475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12,833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12,769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12,769</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Cornerstone Advisors of Arizona, LLC - Unfunded Revolver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05/13/2032</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Consulting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1,705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Crane 1 Services, Inc.</w:t>
            </w:r>
          </w:p>
        </w:tc>
        <w:tc>
          <w:tcPr>
            <w:tcW w:w="236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08/16/2027    Commercial Services &amp; Supplies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9.69%</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536</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4,243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4,205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4,211</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 Unfunded Revolver </w:t>
            </w:r>
            <w:r>
              <w:rPr>
                <w:rFonts w:ascii="Times New Roman" w:cs="Times New Roman" w:eastAsia="Times New Roman" w:hAnsi="Times New Roman"/>
                <w:sz w:val="12"/>
                <w:szCs w:val="12"/>
                <w:color w:val="auto"/>
                <w:vertAlign w:val="superscript"/>
              </w:rPr>
              <w:t>(6), (8)</w:t>
            </w:r>
          </w:p>
        </w:tc>
        <w:tc>
          <w:tcPr>
            <w:tcW w:w="23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08/16/2027    Commercial Services &amp; Supplies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502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C5MI Holdco, LLC</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07/31/2029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600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28,783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28,416</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28,783</w:t>
            </w:r>
          </w:p>
        </w:tc>
      </w:tr>
      <w:tr>
        <w:trPr>
          <w:trHeight w:val="121"/>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C5MI Holdco, LLC. - Funded Revolver</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07/31/2029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10.32%</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2,122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2,122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2,122</w:t>
            </w: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Unfunded Revolver </w:t>
            </w:r>
            <w:r>
              <w:rPr>
                <w:rFonts w:ascii="Times New Roman" w:cs="Times New Roman" w:eastAsia="Times New Roman" w:hAnsi="Times New Roman"/>
                <w:sz w:val="12"/>
                <w:szCs w:val="12"/>
                <w:color w:val="auto"/>
                <w:vertAlign w:val="superscript"/>
              </w:rPr>
              <w:t>(8)</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07/31/2029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6,971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DRI Holding Inc.</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12/21/2028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9.67%</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535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6,076</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5,925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5,989</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Dr. Squatch, LLC</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08/31/2027</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535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16,743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16,621</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16,743</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Dr. Squatch, LLC - Unfunded Revolver </w:t>
            </w:r>
            <w:r>
              <w:rPr>
                <w:rFonts w:ascii="Times New Roman" w:cs="Times New Roman" w:eastAsia="Times New Roman" w:hAnsi="Times New Roman"/>
                <w:sz w:val="12"/>
                <w:szCs w:val="12"/>
                <w:color w:val="auto"/>
                <w:vertAlign w:val="superscript"/>
              </w:rPr>
              <w:t>(6), (8)</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08/31/2027</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3,353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11/03/2025</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9.58%</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5,228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5,222</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5,191</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DRS Holdings III, Inc. - Unfunded Revolver </w:t>
            </w:r>
            <w:r>
              <w:rPr>
                <w:rFonts w:ascii="Times New Roman" w:cs="Times New Roman" w:eastAsia="Times New Roman" w:hAnsi="Times New Roman"/>
                <w:sz w:val="12"/>
                <w:szCs w:val="12"/>
                <w:color w:val="auto"/>
                <w:vertAlign w:val="superscript"/>
              </w:rPr>
              <w:t>(6), (8)</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11/03/2025</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487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Duggal Acquisition, LLC</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09/30/2030</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Marketing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475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10,244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10,154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10,244</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Term Loan </w:t>
            </w:r>
            <w:r>
              <w:rPr>
                <w:rFonts w:ascii="Times New Roman" w:cs="Times New Roman" w:eastAsia="Times New Roman" w:hAnsi="Times New Roman"/>
                <w:sz w:val="12"/>
                <w:szCs w:val="12"/>
                <w:color w:val="auto"/>
                <w:vertAlign w:val="superscript"/>
              </w:rPr>
              <w:t>(8)</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09/30/2026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Marketing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4,470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Revolver </w:t>
            </w:r>
            <w:r>
              <w:rPr>
                <w:rFonts w:ascii="Times New Roman" w:cs="Times New Roman" w:eastAsia="Times New Roman" w:hAnsi="Times New Roman"/>
                <w:sz w:val="12"/>
                <w:szCs w:val="12"/>
                <w:color w:val="auto"/>
                <w:vertAlign w:val="superscript"/>
              </w:rPr>
              <w:t>(8)</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09/30/2030</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Marketing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5,605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Dynata, LLC - First-Out Term Loan</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07/17/2028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9.59%</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526</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1,842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1,734</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1,830</w:t>
            </w:r>
          </w:p>
        </w:tc>
      </w:tr>
      <w:tr>
        <w:trPr>
          <w:trHeight w:val="120"/>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Dynata, LLC - Last-Out Term Loan</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10/16/2028</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10.09%</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576</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11,428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11,428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10,052</w:t>
            </w:r>
          </w:p>
        </w:tc>
      </w:tr>
      <w:tr>
        <w:trPr>
          <w:trHeight w:val="121"/>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Emergency Care Partners, LLC</w:t>
            </w:r>
          </w:p>
        </w:tc>
        <w:tc>
          <w:tcPr>
            <w:tcW w:w="23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10/18/2027   Healthcare Providers and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13,667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13,590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13,667</w:t>
            </w:r>
          </w:p>
        </w:tc>
      </w:tr>
      <w:tr>
        <w:trPr>
          <w:trHeight w:val="120"/>
        </w:trPr>
        <w:tc>
          <w:tcPr>
            <w:tcW w:w="30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Emergency Care Partners, LLC - Unfunded Term Loan </w:t>
            </w:r>
            <w:r>
              <w:rPr>
                <w:rFonts w:ascii="Times New Roman" w:cs="Times New Roman" w:eastAsia="Times New Roman" w:hAnsi="Times New Roman"/>
                <w:sz w:val="12"/>
                <w:szCs w:val="12"/>
                <w:color w:val="auto"/>
                <w:vertAlign w:val="superscript"/>
              </w:rPr>
              <w:t>(8)</w:t>
            </w:r>
          </w:p>
        </w:tc>
        <w:tc>
          <w:tcPr>
            <w:tcW w:w="236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10/19/2026   Healthcare Providers and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6,172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Emergency Care Partners, LLC - Unfunded Revolver </w:t>
            </w:r>
            <w:r>
              <w:rPr>
                <w:rFonts w:ascii="Times New Roman" w:cs="Times New Roman" w:eastAsia="Times New Roman" w:hAnsi="Times New Roman"/>
                <w:sz w:val="12"/>
                <w:szCs w:val="12"/>
                <w:color w:val="auto"/>
                <w:vertAlign w:val="superscript"/>
              </w:rPr>
              <w:t>(8)</w:t>
            </w:r>
          </w:p>
        </w:tc>
        <w:tc>
          <w:tcPr>
            <w:tcW w:w="236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10/18/2027   Healthcare Providers and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1,810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EDS Buyer, LLC</w:t>
            </w:r>
          </w:p>
        </w:tc>
        <w:tc>
          <w:tcPr>
            <w:tcW w:w="84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01/10/2029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10,592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10,485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10,619</w:t>
            </w:r>
          </w:p>
        </w:tc>
      </w:tr>
      <w:tr>
        <w:trPr>
          <w:trHeight w:val="121"/>
        </w:trPr>
        <w:tc>
          <w:tcPr>
            <w:tcW w:w="304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0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EDS Buyer, LLC. - Unfunded Revolver </w:t>
            </w:r>
            <w:r>
              <w:rPr>
                <w:rFonts w:ascii="Times New Roman" w:cs="Times New Roman" w:eastAsia="Times New Roman" w:hAnsi="Times New Roman"/>
                <w:sz w:val="12"/>
                <w:szCs w:val="12"/>
                <w:color w:val="auto"/>
                <w:vertAlign w:val="superscript"/>
              </w:rPr>
              <w:t>(6), (8)</w:t>
            </w:r>
          </w:p>
        </w:tc>
        <w:tc>
          <w:tcPr>
            <w:tcW w:w="8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01/10/2029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2,298</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r>
      <w:tr>
        <w:trPr>
          <w:trHeight w:val="121"/>
        </w:trPr>
        <w:tc>
          <w:tcPr>
            <w:tcW w:w="3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4"/>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Efficient Collaborative Retail Marketing Company, LLC</w:t>
            </w:r>
          </w:p>
        </w:tc>
        <w:tc>
          <w:tcPr>
            <w:tcW w:w="236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09/30/2026   Media: Diversified and Production</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14.06%</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976</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8,323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8,345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6,659</w:t>
            </w:r>
          </w:p>
        </w:tc>
      </w:tr>
    </w:tbl>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3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72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tcPr>
          <w:p>
            <w:pPr>
              <w:jc w:val="right"/>
              <w:ind w:right="5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3.75%)</w:t>
            </w:r>
          </w:p>
        </w:tc>
        <w:tc>
          <w:tcPr>
            <w:tcW w:w="7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ETE Intermediate II,LLC</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05/29/2029</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9.58%</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1,660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1,650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1,660</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ETE Intermediate II, LLC - Funded Revolver</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05/25/2029</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9.58%</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166</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ETE Intermediate II, LLC - Unfunded Revolver </w:t>
            </w:r>
            <w:r>
              <w:rPr>
                <w:rFonts w:ascii="Times New Roman" w:cs="Times New Roman" w:eastAsia="Times New Roman" w:hAnsi="Times New Roman"/>
                <w:sz w:val="12"/>
                <w:szCs w:val="12"/>
                <w:color w:val="auto"/>
                <w:vertAlign w:val="superscript"/>
              </w:rPr>
              <w:t>(8)</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05/25/2029</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2,264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Education and</w:t>
            </w: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05/10/2030</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10.07%</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14,106</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13,908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14,106</w:t>
            </w: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Education and</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Intermediate, LLC - Unfunded Revolver </w:t>
            </w:r>
            <w:r>
              <w:rPr>
                <w:rFonts w:ascii="Times New Roman" w:cs="Times New Roman" w:eastAsia="Times New Roman" w:hAnsi="Times New Roman"/>
                <w:sz w:val="12"/>
                <w:szCs w:val="12"/>
                <w:color w:val="auto"/>
                <w:vertAlign w:val="superscript"/>
              </w:rPr>
              <w:t>(8)</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05/10/2030</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2,640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Exigo Intermediate II, LLC - Unfunded Revolver </w:t>
            </w:r>
            <w:r>
              <w:rPr>
                <w:rFonts w:ascii="Times New Roman" w:cs="Times New Roman" w:eastAsia="Times New Roman" w:hAnsi="Times New Roman"/>
                <w:sz w:val="12"/>
                <w:szCs w:val="12"/>
                <w:color w:val="auto"/>
                <w:vertAlign w:val="superscript"/>
              </w:rPr>
              <w:t>(8)</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03/15/2027</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689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Express Wash Intermediate, LLC</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04/10/2031</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10.46%</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35,111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34,941</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34,900</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Express Wash Intermediate, LLC - Unfunded Revolver </w:t>
            </w:r>
            <w:r>
              <w:rPr>
                <w:rFonts w:ascii="Times New Roman" w:cs="Times New Roman" w:eastAsia="Times New Roman" w:hAnsi="Times New Roman"/>
                <w:sz w:val="12"/>
                <w:szCs w:val="12"/>
                <w:color w:val="auto"/>
                <w:vertAlign w:val="superscript"/>
              </w:rPr>
              <w:t>(8)</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04/10/2031</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2,139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w:t>
            </w: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First Medical Associates, LLC</w:t>
            </w: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06/13/2031   Healthcare Providers and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10.07%</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7,500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7,425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7,425</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First Medical Associates, LLC - Unfunded Term Loan </w:t>
            </w:r>
            <w:r>
              <w:rPr>
                <w:rFonts w:ascii="Times New Roman" w:cs="Times New Roman" w:eastAsia="Times New Roman" w:hAnsi="Times New Roman"/>
                <w:sz w:val="12"/>
                <w:szCs w:val="12"/>
                <w:color w:val="auto"/>
                <w:vertAlign w:val="superscript"/>
              </w:rPr>
              <w:t>(8)</w:t>
            </w:r>
          </w:p>
        </w:tc>
        <w:tc>
          <w:tcPr>
            <w:tcW w:w="214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06/13/2027   Healthcare Providers and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5,000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First Medical Associates, LLC - Unfunded Revolver </w:t>
            </w:r>
            <w:r>
              <w:rPr>
                <w:rFonts w:ascii="Times New Roman" w:cs="Times New Roman" w:eastAsia="Times New Roman" w:hAnsi="Times New Roman"/>
                <w:sz w:val="12"/>
                <w:szCs w:val="12"/>
                <w:color w:val="auto"/>
                <w:vertAlign w:val="superscript"/>
              </w:rPr>
              <w:t>(6) (8)</w:t>
            </w: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06/13/2031   Healthcare Providers and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Five Star Buyer, Inc.</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02/23/2028</w:t>
            </w:r>
          </w:p>
        </w:tc>
        <w:tc>
          <w:tcPr>
            <w:tcW w:w="1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11.46%</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715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4,356</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4,309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4,268</w:t>
            </w: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1.00%)</w:t>
            </w: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Five Star Buyer, Inc. - Unfunded Revolver </w:t>
            </w:r>
            <w:r>
              <w:rPr>
                <w:rFonts w:ascii="Times New Roman" w:cs="Times New Roman" w:eastAsia="Times New Roman" w:hAnsi="Times New Roman"/>
                <w:sz w:val="12"/>
                <w:szCs w:val="12"/>
                <w:color w:val="auto"/>
                <w:vertAlign w:val="superscript"/>
              </w:rPr>
              <w:t>(8)</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02/23/2028</w:t>
            </w:r>
          </w:p>
        </w:tc>
        <w:tc>
          <w:tcPr>
            <w:tcW w:w="1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370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05/21/2029</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PIK 12.56%</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GGG MIDCO, LLC</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09/27/2030</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41,477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41,101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41,477</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Term Loan </w:t>
            </w:r>
            <w:r>
              <w:rPr>
                <w:rFonts w:ascii="Times New Roman" w:cs="Times New Roman" w:eastAsia="Times New Roman" w:hAnsi="Times New Roman"/>
                <w:sz w:val="12"/>
                <w:szCs w:val="12"/>
                <w:color w:val="auto"/>
                <w:vertAlign w:val="superscript"/>
              </w:rPr>
              <w:t>(8)</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09/27/2026</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11,128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Revolver </w:t>
            </w:r>
            <w:r>
              <w:rPr>
                <w:rFonts w:ascii="Times New Roman" w:cs="Times New Roman" w:eastAsia="Times New Roman" w:hAnsi="Times New Roman"/>
                <w:sz w:val="12"/>
                <w:szCs w:val="12"/>
                <w:color w:val="auto"/>
                <w:vertAlign w:val="superscript"/>
              </w:rPr>
              <w:t>(8)</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09/27/2030</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1,311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03/16/2026</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9.92%</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560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4,740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4,712</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4,550</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214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08/10/2027   Trading Companies &amp; Distributors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9.92%</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560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1,341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1,314</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Term Loan </w:t>
            </w:r>
            <w:r>
              <w:rPr>
                <w:rFonts w:ascii="Times New Roman" w:cs="Times New Roman" w:eastAsia="Times New Roman" w:hAnsi="Times New Roman"/>
                <w:sz w:val="12"/>
                <w:szCs w:val="12"/>
                <w:color w:val="auto"/>
                <w:vertAlign w:val="superscript"/>
              </w:rPr>
              <w:t>(8)</w:t>
            </w: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08/10/2027   Trading Companies &amp; Distributors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984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Revolver </w:t>
            </w:r>
            <w:r>
              <w:rPr>
                <w:rFonts w:ascii="Times New Roman" w:cs="Times New Roman" w:eastAsia="Times New Roman" w:hAnsi="Times New Roman"/>
                <w:sz w:val="12"/>
                <w:szCs w:val="12"/>
                <w:color w:val="auto"/>
                <w:vertAlign w:val="superscript"/>
              </w:rPr>
              <w:t>(6), (8)</w:t>
            </w:r>
          </w:p>
        </w:tc>
        <w:tc>
          <w:tcPr>
            <w:tcW w:w="214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08/10/2027   Trading Companies &amp; Distributors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865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(17)</w:t>
            </w: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12/31/2026</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560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3,916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3,887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3,897</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 Funded Revolver </w:t>
            </w:r>
            <w:r>
              <w:rPr>
                <w:rFonts w:ascii="Times New Roman" w:cs="Times New Roman" w:eastAsia="Times New Roman" w:hAnsi="Times New Roman"/>
                <w:sz w:val="12"/>
                <w:szCs w:val="12"/>
                <w:color w:val="auto"/>
                <w:vertAlign w:val="superscript"/>
              </w:rPr>
              <w:t>(6)</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12/31/2026</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9.93%</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560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750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750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746</w:t>
            </w: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Halo Buyer, Inc.</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08/07/2029</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Consumer products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10.33%</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600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10,626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10,527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10,307</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Halo Buyer, Inc. - Funded Revolver</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08/07/2029</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Consumer products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10.32%</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499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468</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Halo Buyer, Inc. - Unfunded Revolver </w:t>
            </w:r>
            <w:r>
              <w:rPr>
                <w:rFonts w:ascii="Times New Roman" w:cs="Times New Roman" w:eastAsia="Times New Roman" w:hAnsi="Times New Roman"/>
                <w:sz w:val="12"/>
                <w:szCs w:val="12"/>
                <w:color w:val="auto"/>
                <w:vertAlign w:val="superscript"/>
              </w:rPr>
              <w:t>(8)</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08/07/2029</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Consumer products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2,223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(136)</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Harris &amp; Co. LLC</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08/09/2030</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9.33%</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78,755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78,112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78,755</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B </w:t>
            </w:r>
            <w:r>
              <w:rPr>
                <w:rFonts w:ascii="Times New Roman" w:cs="Times New Roman" w:eastAsia="Times New Roman" w:hAnsi="Times New Roman"/>
                <w:sz w:val="12"/>
                <w:szCs w:val="12"/>
                <w:color w:val="auto"/>
                <w:vertAlign w:val="superscript"/>
              </w:rPr>
              <w:t>(8)</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02/09/2026</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22,533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Revolver </w:t>
            </w:r>
            <w:r>
              <w:rPr>
                <w:rFonts w:ascii="Times New Roman" w:cs="Times New Roman" w:eastAsia="Times New Roman" w:hAnsi="Times New Roman"/>
                <w:sz w:val="12"/>
                <w:szCs w:val="12"/>
                <w:color w:val="auto"/>
                <w:vertAlign w:val="superscript"/>
              </w:rPr>
              <w:t>(8)</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08/09/2030</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14,500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Education and</w:t>
            </w: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HEC Purchaser Corp.</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06/18/2029</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9.72%</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9,578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9,478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9,578</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Hills Distribution Inc.</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11/08/2029</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10.32%</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17,109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16,928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17,109</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(8)</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11/07/2025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1,514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05/11/2026</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10.16%</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590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10,098</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10,075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10,098</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HW Holdco, LLC - Unfunded Revolver </w:t>
            </w:r>
            <w:r>
              <w:rPr>
                <w:rFonts w:ascii="Times New Roman" w:cs="Times New Roman" w:eastAsia="Times New Roman" w:hAnsi="Times New Roman"/>
                <w:sz w:val="12"/>
                <w:szCs w:val="12"/>
                <w:color w:val="auto"/>
                <w:vertAlign w:val="superscript"/>
              </w:rPr>
              <w:t>(6), (8)</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05/11/2026</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1,452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w:t>
            </w:r>
            <w:r>
              <w:rPr>
                <w:rFonts w:ascii="Times New Roman" w:cs="Times New Roman" w:eastAsia="Times New Roman" w:hAnsi="Times New Roman"/>
                <w:sz w:val="12"/>
                <w:szCs w:val="12"/>
                <w:color w:val="auto"/>
                <w:vertAlign w:val="superscript"/>
              </w:rPr>
              <w:t>(6)</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09/22/2028</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9.28%</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4,465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4,419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4,432</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 Unfunded Revolver </w:t>
            </w:r>
            <w:r>
              <w:rPr>
                <w:rFonts w:ascii="Times New Roman" w:cs="Times New Roman" w:eastAsia="Times New Roman" w:hAnsi="Times New Roman"/>
                <w:sz w:val="12"/>
                <w:szCs w:val="12"/>
                <w:color w:val="auto"/>
                <w:vertAlign w:val="superscript"/>
              </w:rPr>
              <w:t>(6), (8)</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09/22/2028</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 Unfunded Revolver </w:t>
            </w:r>
            <w:r>
              <w:rPr>
                <w:rFonts w:ascii="Times New Roman" w:cs="Times New Roman" w:eastAsia="Times New Roman" w:hAnsi="Times New Roman"/>
                <w:sz w:val="12"/>
                <w:szCs w:val="12"/>
                <w:color w:val="auto"/>
                <w:vertAlign w:val="superscript"/>
              </w:rPr>
              <w:t>(8)</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11/16/2027</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1,193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Impact Advisors, LLC</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03/19/2032</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475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16,559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16,478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16,476</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Impact Advisors, LLC - Unfunded Term Loan </w:t>
            </w:r>
            <w:r>
              <w:rPr>
                <w:rFonts w:ascii="Times New Roman" w:cs="Times New Roman" w:eastAsia="Times New Roman" w:hAnsi="Times New Roman"/>
                <w:sz w:val="12"/>
                <w:szCs w:val="12"/>
                <w:color w:val="auto"/>
                <w:vertAlign w:val="superscript"/>
              </w:rPr>
              <w:t>(8)</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03/21/2027</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9,723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Impact Advisors, LLC - Unfunded Revolver </w:t>
            </w:r>
            <w:r>
              <w:rPr>
                <w:rFonts w:ascii="Times New Roman" w:cs="Times New Roman" w:eastAsia="Times New Roman" w:hAnsi="Times New Roman"/>
                <w:sz w:val="12"/>
                <w:szCs w:val="12"/>
                <w:color w:val="auto"/>
                <w:vertAlign w:val="superscript"/>
              </w:rPr>
              <w:t>(8)</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03/19/2032</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1,945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r>
      <w:tr>
        <w:trPr>
          <w:trHeight w:val="121"/>
        </w:trPr>
        <w:tc>
          <w:tcPr>
            <w:tcW w:w="3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214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12/28/2028    Commercial Services &amp; Supplies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14,893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14,802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14,832</w:t>
            </w: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CAD</w:t>
            </w: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 (CAD)</w:t>
            </w: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12/28/2028    Commercial Services &amp; Supplies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600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1,708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1,252</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w w:val="99"/>
              </w:rPr>
              <w:t xml:space="preserve">Infinity Home Services Holdco, Inc. - 3rd Amendment Unfunded Term Loan </w:t>
            </w:r>
            <w:r>
              <w:rPr>
                <w:rFonts w:ascii="Times New Roman" w:cs="Times New Roman" w:eastAsia="Times New Roman" w:hAnsi="Times New Roman"/>
                <w:sz w:val="12"/>
                <w:szCs w:val="12"/>
                <w:color w:val="auto"/>
                <w:w w:val="99"/>
                <w:vertAlign w:val="superscript"/>
              </w:rPr>
              <w:t>(8)</w:t>
            </w:r>
          </w:p>
        </w:tc>
        <w:tc>
          <w:tcPr>
            <w:tcW w:w="214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10/30/2026    Commercial Services &amp; Supplies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7,069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(35)</w:t>
            </w: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 - Funded Revolver</w:t>
            </w: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12/28/2028    Commercial Services &amp; Supplies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323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323</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323</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Infinity Home Services Holdco, Inc. - Unfunded Revolver </w:t>
            </w:r>
            <w:r>
              <w:rPr>
                <w:rFonts w:ascii="Times New Roman" w:cs="Times New Roman" w:eastAsia="Times New Roman" w:hAnsi="Times New Roman"/>
                <w:sz w:val="12"/>
                <w:szCs w:val="12"/>
                <w:color w:val="auto"/>
                <w:vertAlign w:val="superscript"/>
              </w:rPr>
              <w:t>(8)</w:t>
            </w:r>
          </w:p>
        </w:tc>
        <w:tc>
          <w:tcPr>
            <w:tcW w:w="214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12/28/2028    Commercial Services &amp; Supplies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969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Inovex Information Systems Incorporated</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12/17/2030</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7,960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7,904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7,960</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Inovex Information Systems Incorporated - Unfunded Term Loan </w:t>
            </w:r>
            <w:r>
              <w:rPr>
                <w:rFonts w:ascii="Times New Roman" w:cs="Times New Roman" w:eastAsia="Times New Roman" w:hAnsi="Times New Roman"/>
                <w:sz w:val="12"/>
                <w:szCs w:val="12"/>
                <w:color w:val="auto"/>
                <w:vertAlign w:val="superscript"/>
              </w:rPr>
              <w:t>(8)</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12/17/2026</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2,800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Inovex Information Systems Incorporated - Funded Revolver</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12/17/2030</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9.58%</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1,435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1,435</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Inovex Information Systems Incorporated - Unfunded Revolver </w:t>
            </w:r>
            <w:r>
              <w:rPr>
                <w:rFonts w:ascii="Times New Roman" w:cs="Times New Roman" w:eastAsia="Times New Roman" w:hAnsi="Times New Roman"/>
                <w:sz w:val="12"/>
                <w:szCs w:val="12"/>
                <w:color w:val="auto"/>
                <w:vertAlign w:val="superscript"/>
              </w:rPr>
              <w:t>(8)</w:t>
            </w:r>
          </w:p>
        </w:tc>
        <w:tc>
          <w:tcPr>
            <w:tcW w:w="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12/17/2030</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2,065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4"/>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Infolinks Media Buyco, LLC</w:t>
            </w: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11/02/2026</w:t>
            </w:r>
          </w:p>
        </w:tc>
        <w:tc>
          <w:tcPr>
            <w:tcW w:w="1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5,328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5,294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5,328</w:t>
            </w:r>
          </w:p>
        </w:tc>
      </w:tr>
    </w:tbl>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60" w:type="dxa"/>
            <w:vAlign w:val="bottom"/>
          </w:tcPr>
          <w:p>
            <w:pPr>
              <w:ind w:left="4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72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tcPr>
          <w:p>
            <w:pPr>
              <w:jc w:val="right"/>
              <w:ind w:right="5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01/15/2026</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11.94%</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761</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4,900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4,885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r>
      <w:tr>
        <w:trPr>
          <w:trHeight w:val="121"/>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Inventus Power, Inc. - Funded Revolver</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01/15/2026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761</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288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Inventus Power, Inc. - Unfunded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01/15/2026</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1,441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Keel Platform, LLC</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01/20/2031</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Metals and Mining</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475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10,759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10,629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10,651</w:t>
            </w:r>
          </w:p>
        </w:tc>
      </w:tr>
      <w:tr>
        <w:trPr>
          <w:trHeight w:val="120"/>
        </w:trPr>
        <w:tc>
          <w:tcPr>
            <w:tcW w:w="29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Keel Platform, LLC - Unfunded Term Loan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01/20/2031</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Metals and Mining</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2,402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w:t>
            </w:r>
          </w:p>
        </w:tc>
      </w:tr>
      <w:tr>
        <w:trPr>
          <w:trHeight w:val="121"/>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11/10/2027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13,971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13,839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13,272</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 - Funded Revolver</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11/10/2026</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10.47%</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1,717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1,717</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1,631</w:t>
            </w:r>
          </w:p>
        </w:tc>
      </w:tr>
      <w:tr>
        <w:trPr>
          <w:trHeight w:val="120"/>
        </w:trPr>
        <w:tc>
          <w:tcPr>
            <w:tcW w:w="29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Kinetic Purchaser, LLC - Unfunded Revolver </w:t>
            </w:r>
            <w:r>
              <w:rPr>
                <w:rFonts w:ascii="Times New Roman" w:cs="Times New Roman" w:eastAsia="Times New Roman" w:hAnsi="Times New Roman"/>
                <w:sz w:val="12"/>
                <w:szCs w:val="12"/>
                <w:color w:val="auto"/>
                <w:vertAlign w:val="superscript"/>
              </w:rPr>
              <w:t>(6), (8)</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11/10/2026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1,717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(86)</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02/18/2027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12.14%</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785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11,209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11,149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10,985</w:t>
            </w:r>
          </w:p>
        </w:tc>
      </w:tr>
      <w:tr>
        <w:trPr>
          <w:trHeight w:val="120"/>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5.10%)</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Lash OpCo, LLC - Funded Revolver </w:t>
            </w:r>
            <w:r>
              <w:rPr>
                <w:rFonts w:ascii="Times New Roman" w:cs="Times New Roman" w:eastAsia="Times New Roman" w:hAnsi="Times New Roman"/>
                <w:sz w:val="12"/>
                <w:szCs w:val="12"/>
                <w:color w:val="auto"/>
                <w:vertAlign w:val="superscript"/>
              </w:rPr>
              <w:t>(6)</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08/16/2026</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12.14%</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785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2,944</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2,944</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2,886</w:t>
            </w:r>
          </w:p>
        </w:tc>
      </w:tr>
      <w:tr>
        <w:trPr>
          <w:trHeight w:val="120"/>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5.10%)</w:t>
            </w: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(10)</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10/31/2025</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13,653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13,415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10,226</w:t>
            </w: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LAV Gear Holdings, Inc. - Incremental TL</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10/31/2025</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999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953</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1,249</w:t>
            </w:r>
          </w:p>
        </w:tc>
      </w:tr>
      <w:tr>
        <w:trPr>
          <w:trHeight w:val="120"/>
        </w:trPr>
        <w:tc>
          <w:tcPr>
            <w:tcW w:w="29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 Funded Revolver </w:t>
            </w:r>
            <w:r>
              <w:rPr>
                <w:rFonts w:ascii="Times New Roman" w:cs="Times New Roman" w:eastAsia="Times New Roman" w:hAnsi="Times New Roman"/>
                <w:sz w:val="12"/>
                <w:szCs w:val="12"/>
                <w:color w:val="auto"/>
                <w:vertAlign w:val="superscript"/>
              </w:rPr>
              <w:t>(6) (10)</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10/31/2025</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1,771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1,750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1,326</w:t>
            </w:r>
          </w:p>
        </w:tc>
      </w:tr>
      <w:tr>
        <w:trPr>
          <w:trHeight w:val="121"/>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Ledge Lounger, Inc.</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11/09/2026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765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3,674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3,666</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3,453</w:t>
            </w:r>
          </w:p>
        </w:tc>
      </w:tr>
      <w:tr>
        <w:trPr>
          <w:trHeight w:val="120"/>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1.00%)</w:t>
            </w:r>
          </w:p>
        </w:tc>
        <w:tc>
          <w:tcPr>
            <w:tcW w:w="7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Ledge Lounger, Inc. - Funded Revolver</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11/09/2026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765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662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662</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622</w:t>
            </w:r>
          </w:p>
        </w:tc>
      </w:tr>
      <w:tr>
        <w:trPr>
          <w:trHeight w:val="120"/>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1.00%)</w:t>
            </w:r>
          </w:p>
        </w:tc>
        <w:tc>
          <w:tcPr>
            <w:tcW w:w="7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1"/>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02/03/2027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475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27,975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27,867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27,975</w:t>
            </w:r>
          </w:p>
        </w:tc>
      </w:tr>
      <w:tr>
        <w:trPr>
          <w:trHeight w:val="120"/>
        </w:trPr>
        <w:tc>
          <w:tcPr>
            <w:tcW w:w="29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Lightspeed Buyer Inc. - Unfunded Revolver </w:t>
            </w:r>
            <w:r>
              <w:rPr>
                <w:rFonts w:ascii="Times New Roman" w:cs="Times New Roman" w:eastAsia="Times New Roman" w:hAnsi="Times New Roman"/>
                <w:sz w:val="12"/>
                <w:szCs w:val="12"/>
                <w:color w:val="auto"/>
                <w:vertAlign w:val="superscript"/>
              </w:rPr>
              <w:t>(6), (8)</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02/03/2027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2,499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02/01/2030</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9.03%</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475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3,656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3,620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3,656</w:t>
            </w:r>
          </w:p>
        </w:tc>
      </w:tr>
      <w:tr>
        <w:trPr>
          <w:trHeight w:val="120"/>
        </w:trPr>
        <w:tc>
          <w:tcPr>
            <w:tcW w:w="29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10/01/2025</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1,021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r>
      <w:tr>
        <w:trPr>
          <w:trHeight w:val="120"/>
        </w:trPr>
        <w:tc>
          <w:tcPr>
            <w:tcW w:w="29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Revolver </w:t>
            </w:r>
            <w:r>
              <w:rPr>
                <w:rFonts w:ascii="Times New Roman" w:cs="Times New Roman" w:eastAsia="Times New Roman" w:hAnsi="Times New Roman"/>
                <w:sz w:val="12"/>
                <w:szCs w:val="12"/>
                <w:color w:val="auto"/>
                <w:vertAlign w:val="superscript"/>
              </w:rPr>
              <w:t>(6), (8)</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02/01/2029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1,130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05/31/2028</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57,340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56,667</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57,053</w:t>
            </w:r>
          </w:p>
        </w:tc>
      </w:tr>
      <w:tr>
        <w:trPr>
          <w:trHeight w:val="120"/>
        </w:trPr>
        <w:tc>
          <w:tcPr>
            <w:tcW w:w="29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Term Loan </w:t>
            </w:r>
            <w:r>
              <w:rPr>
                <w:rFonts w:ascii="Times New Roman" w:cs="Times New Roman" w:eastAsia="Times New Roman" w:hAnsi="Times New Roman"/>
                <w:sz w:val="12"/>
                <w:szCs w:val="12"/>
                <w:color w:val="auto"/>
                <w:vertAlign w:val="superscript"/>
              </w:rPr>
              <w:t>(8)</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07/14/2025</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10,823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Loving Tan Intermediate II, Inc. - Funded Revolver</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05/31/2028</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1,780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1,780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1,771</w:t>
            </w:r>
          </w:p>
        </w:tc>
      </w:tr>
      <w:tr>
        <w:trPr>
          <w:trHeight w:val="120"/>
        </w:trPr>
        <w:tc>
          <w:tcPr>
            <w:tcW w:w="29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Revolver </w:t>
            </w:r>
            <w:r>
              <w:rPr>
                <w:rFonts w:ascii="Times New Roman" w:cs="Times New Roman" w:eastAsia="Times New Roman" w:hAnsi="Times New Roman"/>
                <w:sz w:val="12"/>
                <w:szCs w:val="12"/>
                <w:color w:val="auto"/>
                <w:vertAlign w:val="superscript"/>
              </w:rPr>
              <w:t>(8)</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05/31/2028</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3,559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07/02/2029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Specialty Retail</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8.55%</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425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6,211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6,211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6,203</w:t>
            </w:r>
          </w:p>
        </w:tc>
      </w:tr>
      <w:tr>
        <w:trPr>
          <w:trHeight w:val="120"/>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Lucky Bucks, LLC - First-out Term Loan</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10/02/2028</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11.96%</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765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257</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10/02/2029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11.96%</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765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525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439</w:t>
            </w:r>
          </w:p>
        </w:tc>
      </w:tr>
      <w:tr>
        <w:trPr>
          <w:trHeight w:val="121"/>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MAG DS Corp.</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04/01/2027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560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7,229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7,025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6,940</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Marketplace Events Acquisition, LLC</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12/19/2030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55,300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54,801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55,300</w:t>
            </w:r>
          </w:p>
        </w:tc>
      </w:tr>
      <w:tr>
        <w:trPr>
          <w:trHeight w:val="120"/>
        </w:trPr>
        <w:tc>
          <w:tcPr>
            <w:tcW w:w="29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Acquisition, LLC - Unfunded Term Loan </w:t>
            </w:r>
            <w:r>
              <w:rPr>
                <w:rFonts w:ascii="Times New Roman" w:cs="Times New Roman" w:eastAsia="Times New Roman" w:hAnsi="Times New Roman"/>
                <w:sz w:val="12"/>
                <w:szCs w:val="12"/>
                <w:color w:val="auto"/>
                <w:vertAlign w:val="superscript"/>
              </w:rPr>
              <w:t>(8)</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06/19/2026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9,754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w:t>
            </w: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Marketplace Events Acquisition, LLC - Funded Revolver</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12/19/2030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9.57%</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1,829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1,829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1,829</w:t>
            </w:r>
          </w:p>
        </w:tc>
      </w:tr>
      <w:tr>
        <w:trPr>
          <w:trHeight w:val="120"/>
        </w:trPr>
        <w:tc>
          <w:tcPr>
            <w:tcW w:w="29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Acquisition, LLC - Unfunded Revolver </w:t>
            </w:r>
            <w:r>
              <w:rPr>
                <w:rFonts w:ascii="Times New Roman" w:cs="Times New Roman" w:eastAsia="Times New Roman" w:hAnsi="Times New Roman"/>
                <w:sz w:val="12"/>
                <w:szCs w:val="12"/>
                <w:color w:val="auto"/>
                <w:vertAlign w:val="superscript"/>
              </w:rPr>
              <w:t>(8)</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12/19/2030</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4,267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MBS Holdings, Inc.</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04/16/2027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9.28%</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510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501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501</w:t>
            </w:r>
          </w:p>
        </w:tc>
      </w:tr>
      <w:tr>
        <w:trPr>
          <w:trHeight w:val="120"/>
        </w:trPr>
        <w:tc>
          <w:tcPr>
            <w:tcW w:w="29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MBS Holdings, Inc. - Unfunded Revolver </w:t>
            </w:r>
            <w:r>
              <w:rPr>
                <w:rFonts w:ascii="Times New Roman" w:cs="Times New Roman" w:eastAsia="Times New Roman" w:hAnsi="Times New Roman"/>
                <w:sz w:val="12"/>
                <w:szCs w:val="12"/>
                <w:color w:val="auto"/>
                <w:vertAlign w:val="superscript"/>
              </w:rPr>
              <w:t>(6), (8)</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04/16/2027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MDI Buyer, Inc.</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07/25/2028</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9.05%</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475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5,079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5,032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5,028</w:t>
            </w:r>
          </w:p>
        </w:tc>
      </w:tr>
      <w:tr>
        <w:trPr>
          <w:trHeight w:val="120"/>
        </w:trPr>
        <w:tc>
          <w:tcPr>
            <w:tcW w:w="29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MDI Buyer, Inc. - Unfunded Term Loan </w:t>
            </w:r>
            <w:r>
              <w:rPr>
                <w:rFonts w:ascii="Times New Roman" w:cs="Times New Roman" w:eastAsia="Times New Roman" w:hAnsi="Times New Roman"/>
                <w:sz w:val="12"/>
                <w:szCs w:val="12"/>
                <w:color w:val="auto"/>
                <w:vertAlign w:val="superscript"/>
              </w:rPr>
              <w:t>(8)</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07/25/2028</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4,416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MDI Buyer, Inc. - Funded Revolver</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07/25/2028</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400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1,186</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1,175</w:t>
            </w:r>
          </w:p>
        </w:tc>
      </w:tr>
      <w:tr>
        <w:trPr>
          <w:trHeight w:val="120"/>
        </w:trPr>
        <w:tc>
          <w:tcPr>
            <w:tcW w:w="29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MDI Buyer, Inc. - Unfunded Revolver </w:t>
            </w:r>
            <w:r>
              <w:rPr>
                <w:rFonts w:ascii="Times New Roman" w:cs="Times New Roman" w:eastAsia="Times New Roman" w:hAnsi="Times New Roman"/>
                <w:sz w:val="12"/>
                <w:szCs w:val="12"/>
                <w:color w:val="auto"/>
                <w:vertAlign w:val="superscript"/>
              </w:rPr>
              <w:t>(6), (8)</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07/25/2028</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691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r>
      <w:tr>
        <w:trPr>
          <w:trHeight w:val="121"/>
        </w:trPr>
        <w:tc>
          <w:tcPr>
            <w:tcW w:w="2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12/10/2027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9.95%</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565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1,943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1,927</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1,914</w:t>
            </w:r>
          </w:p>
        </w:tc>
      </w:tr>
      <w:tr>
        <w:trPr>
          <w:trHeight w:val="120"/>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Meadowlark Acquirer, LLC - Funded Revolver</w:t>
            </w:r>
          </w:p>
        </w:tc>
        <w:tc>
          <w:tcPr>
            <w:tcW w:w="96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12/10/2027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565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w:t>
            </w:r>
          </w:p>
        </w:tc>
      </w:tr>
      <w:tr>
        <w:trPr>
          <w:trHeight w:val="120"/>
        </w:trPr>
        <w:tc>
          <w:tcPr>
            <w:tcW w:w="29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 Unfunded Revolver </w:t>
            </w:r>
            <w:r>
              <w:rPr>
                <w:rFonts w:ascii="Times New Roman" w:cs="Times New Roman" w:eastAsia="Times New Roman" w:hAnsi="Times New Roman"/>
                <w:sz w:val="12"/>
                <w:szCs w:val="12"/>
                <w:color w:val="auto"/>
                <w:vertAlign w:val="superscript"/>
              </w:rPr>
              <w:t>(8)</w:t>
            </w:r>
          </w:p>
        </w:tc>
        <w:tc>
          <w:tcPr>
            <w:tcW w:w="9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12/10/2027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1,354</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(20)</w:t>
            </w:r>
          </w:p>
        </w:tc>
      </w:tr>
      <w:tr>
        <w:trPr>
          <w:trHeight w:val="121"/>
        </w:trPr>
        <w:tc>
          <w:tcPr>
            <w:tcW w:w="2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Medina Health, LLC</w:t>
            </w:r>
          </w:p>
        </w:tc>
        <w:tc>
          <w:tcPr>
            <w:tcW w:w="2440" w:type="dxa"/>
            <w:vAlign w:val="bottom"/>
            <w:gridSpan w:val="2"/>
          </w:tcPr>
          <w:p>
            <w:pPr>
              <w:ind w:left="460"/>
              <w:spacing w:after="0"/>
              <w:rPr>
                <w:sz w:val="20"/>
                <w:szCs w:val="20"/>
                <w:color w:val="auto"/>
              </w:rPr>
            </w:pPr>
            <w:r>
              <w:rPr>
                <w:rFonts w:ascii="Times New Roman" w:cs="Times New Roman" w:eastAsia="Times New Roman" w:hAnsi="Times New Roman"/>
                <w:sz w:val="10"/>
                <w:szCs w:val="10"/>
                <w:color w:val="auto"/>
              </w:rPr>
              <w:t>10/20/2028   Healthcare Providers and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10.57%</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17,480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17,266</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17,524</w:t>
            </w:r>
          </w:p>
        </w:tc>
      </w:tr>
      <w:tr>
        <w:trPr>
          <w:trHeight w:val="120"/>
        </w:trPr>
        <w:tc>
          <w:tcPr>
            <w:tcW w:w="29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Medina Health, LLC - Unfunded Revolver </w:t>
            </w:r>
            <w:r>
              <w:rPr>
                <w:rFonts w:ascii="Times New Roman" w:cs="Times New Roman" w:eastAsia="Times New Roman" w:hAnsi="Times New Roman"/>
                <w:sz w:val="12"/>
                <w:szCs w:val="12"/>
                <w:color w:val="auto"/>
                <w:vertAlign w:val="superscript"/>
              </w:rPr>
              <w:t>(8)</w:t>
            </w:r>
          </w:p>
        </w:tc>
        <w:tc>
          <w:tcPr>
            <w:tcW w:w="2440" w:type="dxa"/>
            <w:vAlign w:val="bottom"/>
            <w:gridSpan w:val="2"/>
            <w:shd w:val="clear" w:color="auto" w:fill="CCECFF"/>
          </w:tcPr>
          <w:p>
            <w:pPr>
              <w:ind w:left="460"/>
              <w:spacing w:after="0"/>
              <w:rPr>
                <w:sz w:val="20"/>
                <w:szCs w:val="20"/>
                <w:color w:val="auto"/>
              </w:rPr>
            </w:pPr>
            <w:r>
              <w:rPr>
                <w:rFonts w:ascii="Times New Roman" w:cs="Times New Roman" w:eastAsia="Times New Roman" w:hAnsi="Times New Roman"/>
                <w:sz w:val="10"/>
                <w:szCs w:val="10"/>
                <w:color w:val="auto"/>
              </w:rPr>
              <w:t>10/20/2028   Healthcare Providers and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5,187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w:t>
            </w:r>
          </w:p>
        </w:tc>
      </w:tr>
    </w:tbl>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9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80" w:type="dxa"/>
            <w:vAlign w:val="bottom"/>
          </w:tcPr>
          <w:p>
            <w:pPr>
              <w:ind w:left="5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72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tcPr>
          <w:p>
            <w:pPr>
              <w:jc w:val="right"/>
              <w:ind w:right="5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03/01/2030</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6,913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6,827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6,380</w:t>
            </w:r>
          </w:p>
        </w:tc>
      </w:tr>
      <w:tr>
        <w:trPr>
          <w:trHeight w:val="121"/>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Acquisitionco, Inc. - Funded Revolver</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03/01/2030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9.83%</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845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845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780</w:t>
            </w:r>
          </w:p>
        </w:tc>
      </w:tr>
      <w:tr>
        <w:trPr>
          <w:trHeight w:val="121"/>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Megawatt Acquisitionco, Inc. - Unfunded Revolver </w:t>
            </w:r>
            <w:r>
              <w:rPr>
                <w:rFonts w:ascii="Times New Roman" w:cs="Times New Roman" w:eastAsia="Times New Roman" w:hAnsi="Times New Roman"/>
                <w:sz w:val="12"/>
                <w:szCs w:val="12"/>
                <w:color w:val="auto"/>
                <w:vertAlign w:val="superscript"/>
              </w:rPr>
              <w:t>(8)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03/01/2030</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2,405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(185)</w:t>
            </w:r>
          </w:p>
        </w:tc>
      </w:tr>
      <w:tr>
        <w:trPr>
          <w:trHeight w:val="121"/>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MOREGroup Holdings, Inc.</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01/16/2030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9.57%</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31,600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31,225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31,600</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01/16/2026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11,056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w:t>
            </w:r>
          </w:p>
        </w:tc>
      </w:tr>
      <w:tr>
        <w:trPr>
          <w:trHeight w:val="120"/>
        </w:trPr>
        <w:tc>
          <w:tcPr>
            <w:tcW w:w="29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Revolver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01/16/2030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6,634</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10/01/2027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3,842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3,811</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3,842</w:t>
            </w:r>
          </w:p>
        </w:tc>
      </w:tr>
      <w:tr>
        <w:trPr>
          <w:trHeight w:val="120"/>
        </w:trPr>
        <w:tc>
          <w:tcPr>
            <w:tcW w:w="29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Term Loan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09/28/2027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340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 Unfunded Revolver </w:t>
            </w:r>
            <w:r>
              <w:rPr>
                <w:rFonts w:ascii="Times New Roman" w:cs="Times New Roman" w:eastAsia="Times New Roman" w:hAnsi="Times New Roman"/>
                <w:sz w:val="12"/>
                <w:szCs w:val="12"/>
                <w:color w:val="auto"/>
                <w:vertAlign w:val="superscript"/>
              </w:rPr>
              <w:t>(6), (8)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10/01/2027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947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9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NBH Group LLC - Unfunded Revolver </w:t>
            </w:r>
            <w:r>
              <w:rPr>
                <w:rFonts w:ascii="Times New Roman" w:cs="Times New Roman" w:eastAsia="Times New Roman" w:hAnsi="Times New Roman"/>
                <w:sz w:val="12"/>
                <w:szCs w:val="12"/>
                <w:color w:val="auto"/>
                <w:vertAlign w:val="superscript"/>
              </w:rPr>
              <w:t>(6), (8)</w:t>
            </w:r>
          </w:p>
        </w:tc>
        <w:tc>
          <w:tcPr>
            <w:tcW w:w="246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w w:val="99"/>
              </w:rPr>
              <w:t>08/19/2026   Healthcare Equipment and Supplies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1,677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NORA Acquisition, LLC</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08/31/2029   Healthcare Providers and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635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19,650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19,341</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19,503</w:t>
            </w:r>
          </w:p>
        </w:tc>
      </w:tr>
      <w:tr>
        <w:trPr>
          <w:trHeight w:val="120"/>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NORA Acquisition, LLC - Funded Revolver</w:t>
            </w:r>
          </w:p>
        </w:tc>
        <w:tc>
          <w:tcPr>
            <w:tcW w:w="246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08/31/2029   Healthcare Providers and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10.65%</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635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822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822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816</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 Unfunded Revolver </w:t>
            </w:r>
            <w:r>
              <w:rPr>
                <w:rFonts w:ascii="Times New Roman" w:cs="Times New Roman" w:eastAsia="Times New Roman" w:hAnsi="Times New Roman"/>
                <w:sz w:val="12"/>
                <w:szCs w:val="12"/>
                <w:color w:val="auto"/>
                <w:vertAlign w:val="superscript"/>
              </w:rPr>
              <w:t>(6), (8)</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08/31/2029   Healthcare Providers and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4,657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(35)</w:t>
            </w:r>
          </w:p>
        </w:tc>
      </w:tr>
      <w:tr>
        <w:trPr>
          <w:trHeight w:val="121"/>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12/31/2029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23,543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23,368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23,308</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w:t>
            </w:r>
            <w:r>
              <w:rPr>
                <w:rFonts w:ascii="Times New Roman" w:cs="Times New Roman" w:eastAsia="Times New Roman" w:hAnsi="Times New Roman"/>
                <w:sz w:val="12"/>
                <w:szCs w:val="12"/>
                <w:color w:val="auto"/>
                <w:vertAlign w:val="superscript"/>
              </w:rPr>
              <w:t>(8)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09/30/2026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12,802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(16)</w:t>
            </w: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Omnia Exterior Solutions, LLC - Funded Revolver</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12/31/2029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9.57%</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840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840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832</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Revolver </w:t>
            </w:r>
            <w:r>
              <w:rPr>
                <w:rFonts w:ascii="Times New Roman" w:cs="Times New Roman" w:eastAsia="Times New Roman" w:hAnsi="Times New Roman"/>
                <w:sz w:val="12"/>
                <w:szCs w:val="12"/>
                <w:color w:val="auto"/>
                <w:vertAlign w:val="superscript"/>
              </w:rPr>
              <w:t>(6), (8)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12/31/2029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3,360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(34)</w:t>
            </w:r>
          </w:p>
        </w:tc>
      </w:tr>
      <w:tr>
        <w:trPr>
          <w:trHeight w:val="121"/>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One Stop Mailing, LLC</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05/07/2027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10.69%</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636</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8,342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8,275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8,342</w:t>
            </w:r>
          </w:p>
        </w:tc>
      </w:tr>
      <w:tr>
        <w:trPr>
          <w:trHeight w:val="121"/>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w:t>
            </w:r>
            <w:r>
              <w:rPr>
                <w:rFonts w:ascii="Times New Roman" w:cs="Times New Roman" w:eastAsia="Times New Roman" w:hAnsi="Times New Roman"/>
                <w:sz w:val="12"/>
                <w:szCs w:val="12"/>
                <w:color w:val="auto"/>
                <w:vertAlign w:val="superscript"/>
              </w:rPr>
              <w:t>(6)</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09/03/2027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940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4,894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4,853</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4,405</w:t>
            </w:r>
          </w:p>
        </w:tc>
      </w:tr>
      <w:tr>
        <w:trPr>
          <w:trHeight w:val="120"/>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7.50%)</w:t>
            </w:r>
          </w:p>
        </w:tc>
        <w:tc>
          <w:tcPr>
            <w:tcW w:w="7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 Unfunded Revolver </w:t>
            </w:r>
            <w:r>
              <w:rPr>
                <w:rFonts w:ascii="Times New Roman" w:cs="Times New Roman" w:eastAsia="Times New Roman" w:hAnsi="Times New Roman"/>
                <w:sz w:val="12"/>
                <w:szCs w:val="12"/>
                <w:color w:val="auto"/>
                <w:vertAlign w:val="superscript"/>
              </w:rPr>
              <w:t>(6), (8)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09/03/2027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215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(22)</w:t>
            </w:r>
          </w:p>
        </w:tc>
      </w:tr>
      <w:tr>
        <w:trPr>
          <w:trHeight w:val="120"/>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12/17/2029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10.07%</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40,438</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40,044</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39,791</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OSP Embedded Purchaser, LLC - Unfunded Revolver </w:t>
            </w:r>
            <w:r>
              <w:rPr>
                <w:rFonts w:ascii="Times New Roman" w:cs="Times New Roman" w:eastAsia="Times New Roman" w:hAnsi="Times New Roman"/>
                <w:sz w:val="12"/>
                <w:szCs w:val="12"/>
                <w:color w:val="auto"/>
                <w:vertAlign w:val="superscript"/>
              </w:rPr>
              <w:t>(8)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12/17/2029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2,932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(47)</w:t>
            </w:r>
          </w:p>
        </w:tc>
      </w:tr>
      <w:tr>
        <w:trPr>
          <w:trHeight w:val="121"/>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11/30/2028</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12.71%</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843</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521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r>
      <w:tr>
        <w:trPr>
          <w:trHeight w:val="121"/>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05/30/2028</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10.96%</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668</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1,058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1,058</w:t>
            </w:r>
          </w:p>
        </w:tc>
      </w:tr>
      <w:tr>
        <w:trPr>
          <w:trHeight w:val="121"/>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Pacific Purchaser, LLC</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10/02/2028</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10.56%</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5,999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5,915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5,933</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Unfunded Revolver </w:t>
            </w:r>
            <w:r>
              <w:rPr>
                <w:rFonts w:ascii="Times New Roman" w:cs="Times New Roman" w:eastAsia="Times New Roman" w:hAnsi="Times New Roman"/>
                <w:sz w:val="12"/>
                <w:szCs w:val="12"/>
                <w:color w:val="auto"/>
                <w:vertAlign w:val="superscript"/>
              </w:rPr>
              <w:t>(8)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10/02/2028</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1,799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(20)</w:t>
            </w:r>
          </w:p>
        </w:tc>
      </w:tr>
      <w:tr>
        <w:trPr>
          <w:trHeight w:val="121"/>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09/03/2030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9.32%</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27,500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27,246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27,225</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PAR Excellence Holdings, Inc. - Unfunded Revolver </w:t>
            </w:r>
            <w:r>
              <w:rPr>
                <w:rFonts w:ascii="Times New Roman" w:cs="Times New Roman" w:eastAsia="Times New Roman" w:hAnsi="Times New Roman"/>
                <w:sz w:val="12"/>
                <w:szCs w:val="12"/>
                <w:color w:val="auto"/>
                <w:vertAlign w:val="superscript"/>
              </w:rPr>
              <w:t>(8)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09/03/2030</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4,692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(47)</w:t>
            </w:r>
          </w:p>
        </w:tc>
      </w:tr>
      <w:tr>
        <w:trPr>
          <w:trHeight w:val="121"/>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Midco, Inc.</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03/01/2030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9,089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8,985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9,135</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03/02/2026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2,249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w:t>
            </w: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Midco, Inc. - Funded Revolver</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03/01/2030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Revolver </w:t>
            </w:r>
            <w:r>
              <w:rPr>
                <w:rFonts w:ascii="Times New Roman" w:cs="Times New Roman" w:eastAsia="Times New Roman" w:hAnsi="Times New Roman"/>
                <w:sz w:val="12"/>
                <w:szCs w:val="12"/>
                <w:color w:val="auto"/>
                <w:vertAlign w:val="superscript"/>
              </w:rPr>
              <w:t>(8)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03/01/2030</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1,638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r>
      <w:tr>
        <w:trPr>
          <w:trHeight w:val="120"/>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Textiles, Apparel and Luxury</w:t>
            </w: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PL Acquisitionco, LLC</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11/09/2027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Goods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6,092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6,043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3,777</w:t>
            </w:r>
          </w:p>
        </w:tc>
      </w:tr>
      <w:tr>
        <w:trPr>
          <w:trHeight w:val="120"/>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7.00%)</w:t>
            </w: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1"/>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Textiles, Apparel and Luxury</w:t>
            </w: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Unfunded Revolver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11/09/2027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Goods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(435)</w:t>
            </w:r>
          </w:p>
        </w:tc>
      </w:tr>
      <w:tr>
        <w:trPr>
          <w:trHeight w:val="121"/>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PlayPower, Inc.</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08/28/2030</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32,167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31,972</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31,845</w:t>
            </w:r>
          </w:p>
        </w:tc>
      </w:tr>
      <w:tr>
        <w:trPr>
          <w:trHeight w:val="120"/>
        </w:trPr>
        <w:tc>
          <w:tcPr>
            <w:tcW w:w="29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PlayPower, Inc. - Unfunded Revolver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08/28/2030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3,981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(40)</w:t>
            </w:r>
          </w:p>
        </w:tc>
      </w:tr>
      <w:tr>
        <w:trPr>
          <w:trHeight w:val="121"/>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Project Granite Buyer,Inc.</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12/31/2030</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11,924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11,818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12,043</w:t>
            </w:r>
          </w:p>
        </w:tc>
      </w:tr>
      <w:tr>
        <w:trPr>
          <w:trHeight w:val="120"/>
        </w:trPr>
        <w:tc>
          <w:tcPr>
            <w:tcW w:w="29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Project Granite Buyer, Inc. - Unfunded Term Loan </w:t>
            </w:r>
            <w:r>
              <w:rPr>
                <w:rFonts w:ascii="Times New Roman" w:cs="Times New Roman" w:eastAsia="Times New Roman" w:hAnsi="Times New Roman"/>
                <w:sz w:val="12"/>
                <w:szCs w:val="12"/>
                <w:color w:val="auto"/>
                <w:vertAlign w:val="superscript"/>
              </w:rPr>
              <w:t>(8)</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12/31/2026</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1,708</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Project Granite Buyer,Inc. - Unfunded Revolver </w:t>
            </w:r>
            <w:r>
              <w:rPr>
                <w:rFonts w:ascii="Times New Roman" w:cs="Times New Roman" w:eastAsia="Times New Roman" w:hAnsi="Times New Roman"/>
                <w:sz w:val="12"/>
                <w:szCs w:val="12"/>
                <w:color w:val="auto"/>
                <w:vertAlign w:val="superscript"/>
              </w:rPr>
              <w:t>(8)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12/31/2030</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2,846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w:t>
            </w: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Pragmatic Institute, LLC</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03/28/2030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9.80%</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562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562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499</w:t>
            </w:r>
          </w:p>
        </w:tc>
      </w:tr>
      <w:tr>
        <w:trPr>
          <w:trHeight w:val="121"/>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Rancho Health MSO, Inc.</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w w:val="99"/>
              </w:rPr>
              <w:t>06/20/2029   Healthcare Equipment and Supplies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4,286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4,268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4,286</w:t>
            </w:r>
          </w:p>
        </w:tc>
      </w:tr>
      <w:tr>
        <w:trPr>
          <w:trHeight w:val="120"/>
        </w:trPr>
        <w:tc>
          <w:tcPr>
            <w:tcW w:w="29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(8)</w:t>
            </w:r>
          </w:p>
        </w:tc>
        <w:tc>
          <w:tcPr>
            <w:tcW w:w="246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w w:val="99"/>
              </w:rPr>
              <w:t>06/30/2026   Healthcare Equipment and Supplies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3,034</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w:t>
            </w:r>
          </w:p>
        </w:tc>
      </w:tr>
      <w:tr>
        <w:trPr>
          <w:trHeight w:val="121"/>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Funded Revolver </w:t>
            </w:r>
            <w:r>
              <w:rPr>
                <w:rFonts w:ascii="Times New Roman" w:cs="Times New Roman" w:eastAsia="Times New Roman" w:hAnsi="Times New Roman"/>
                <w:sz w:val="12"/>
                <w:szCs w:val="12"/>
                <w:color w:val="auto"/>
                <w:vertAlign w:val="superscript"/>
              </w:rPr>
              <w:t>(6)</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w w:val="99"/>
              </w:rPr>
              <w:t>06/20/2029   Healthcare Equipment and Supplies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1,540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1,540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1,540</w:t>
            </w:r>
          </w:p>
        </w:tc>
      </w:tr>
      <w:tr>
        <w:trPr>
          <w:trHeight w:val="120"/>
        </w:trPr>
        <w:tc>
          <w:tcPr>
            <w:tcW w:w="29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Revolver </w:t>
            </w:r>
            <w:r>
              <w:rPr>
                <w:rFonts w:ascii="Times New Roman" w:cs="Times New Roman" w:eastAsia="Times New Roman" w:hAnsi="Times New Roman"/>
                <w:sz w:val="12"/>
                <w:szCs w:val="12"/>
                <w:color w:val="auto"/>
                <w:vertAlign w:val="superscript"/>
              </w:rPr>
              <w:t>(6), (8)</w:t>
            </w:r>
          </w:p>
        </w:tc>
        <w:tc>
          <w:tcPr>
            <w:tcW w:w="246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w w:val="99"/>
              </w:rPr>
              <w:t>06/20/2029   Healthcare Equipment and Supplies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1,760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Recteq, LLC</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01/29/2026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10.72%</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640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1,436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1,433</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1,429</w:t>
            </w:r>
          </w:p>
        </w:tc>
      </w:tr>
      <w:tr>
        <w:trPr>
          <w:trHeight w:val="121"/>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Recteq, LLC - Funded Revolver</w:t>
            </w:r>
          </w:p>
        </w:tc>
        <w:tc>
          <w:tcPr>
            <w:tcW w:w="98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rPr>
              <w:t>01/29/2026</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10.46%</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360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358</w:t>
            </w:r>
          </w:p>
        </w:tc>
      </w:tr>
      <w:tr>
        <w:trPr>
          <w:trHeight w:val="120"/>
        </w:trPr>
        <w:tc>
          <w:tcPr>
            <w:tcW w:w="29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Recteq, LLC - Unfunded Revolver </w:t>
            </w:r>
            <w:r>
              <w:rPr>
                <w:rFonts w:ascii="Times New Roman" w:cs="Times New Roman" w:eastAsia="Times New Roman" w:hAnsi="Times New Roman"/>
                <w:sz w:val="12"/>
                <w:szCs w:val="12"/>
                <w:color w:val="auto"/>
                <w:vertAlign w:val="superscript"/>
              </w:rPr>
              <w:t>(6), (8)</w:t>
            </w:r>
          </w:p>
        </w:tc>
        <w:tc>
          <w:tcPr>
            <w:tcW w:w="98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01/29/2026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936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w:t>
            </w:r>
          </w:p>
        </w:tc>
      </w:tr>
      <w:tr>
        <w:trPr>
          <w:trHeight w:val="121"/>
        </w:trPr>
        <w:tc>
          <w:tcPr>
            <w:tcW w:w="290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9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Riverpoint Medical, LLC</w:t>
            </w:r>
          </w:p>
        </w:tc>
        <w:tc>
          <w:tcPr>
            <w:tcW w:w="246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0"/>
                <w:szCs w:val="10"/>
                <w:color w:val="auto"/>
                <w:w w:val="99"/>
              </w:rPr>
              <w:t>06/21/2027   Healthcare Equipment and Supplies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9,753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9,751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9,753</w:t>
            </w:r>
          </w:p>
        </w:tc>
      </w:tr>
    </w:tbl>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8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72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tcPr>
          <w:p>
            <w:pPr>
              <w:jc w:val="right"/>
              <w:ind w:right="5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33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 Unfunded Revolver </w:t>
            </w:r>
            <w:r>
              <w:rPr>
                <w:rFonts w:ascii="Times New Roman" w:cs="Times New Roman" w:eastAsia="Times New Roman" w:hAnsi="Times New Roman"/>
                <w:sz w:val="12"/>
                <w:szCs w:val="12"/>
                <w:color w:val="auto"/>
                <w:vertAlign w:val="superscript"/>
              </w:rPr>
              <w:t>(6), (8)</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06/21/2027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Equipment and Supplies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909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3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Ro Health,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01/17/2031</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16,476</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16,366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16,476</w:t>
            </w:r>
          </w:p>
        </w:tc>
        <w:tc>
          <w:tcPr>
            <w:tcW w:w="0" w:type="dxa"/>
            <w:vAlign w:val="bottom"/>
          </w:tcPr>
          <w:p>
            <w:pPr>
              <w:spacing w:after="0"/>
              <w:rPr>
                <w:sz w:val="1"/>
                <w:szCs w:val="1"/>
                <w:color w:val="auto"/>
              </w:rPr>
            </w:pPr>
          </w:p>
        </w:tc>
      </w:tr>
      <w:tr>
        <w:trPr>
          <w:trHeight w:val="120"/>
        </w:trPr>
        <w:tc>
          <w:tcPr>
            <w:tcW w:w="33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Ro Health, LLC - Unfunded Revolver </w:t>
            </w:r>
            <w:r>
              <w:rPr>
                <w:rFonts w:ascii="Times New Roman" w:cs="Times New Roman" w:eastAsia="Times New Roman" w:hAnsi="Times New Roman"/>
                <w:sz w:val="12"/>
                <w:szCs w:val="12"/>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01/17/2031</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7,765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3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RRA Corporate,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9.57%</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20,501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20,315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20,337</w:t>
            </w:r>
          </w:p>
        </w:tc>
        <w:tc>
          <w:tcPr>
            <w:tcW w:w="0" w:type="dxa"/>
            <w:vAlign w:val="bottom"/>
          </w:tcPr>
          <w:p>
            <w:pPr>
              <w:spacing w:after="0"/>
              <w:rPr>
                <w:sz w:val="1"/>
                <w:szCs w:val="1"/>
                <w:color w:val="auto"/>
              </w:rPr>
            </w:pPr>
          </w:p>
        </w:tc>
      </w:tr>
      <w:tr>
        <w:trPr>
          <w:trHeight w:val="120"/>
        </w:trPr>
        <w:tc>
          <w:tcPr>
            <w:tcW w:w="33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2 </w:t>
            </w:r>
            <w:r>
              <w:rPr>
                <w:rFonts w:ascii="Times New Roman" w:cs="Times New Roman" w:eastAsia="Times New Roman" w:hAnsi="Times New Roman"/>
                <w:sz w:val="12"/>
                <w:szCs w:val="12"/>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08/17/2026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15,312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w:t>
            </w:r>
          </w:p>
        </w:tc>
        <w:tc>
          <w:tcPr>
            <w:tcW w:w="0" w:type="dxa"/>
            <w:vAlign w:val="bottom"/>
          </w:tcPr>
          <w:p>
            <w:pPr>
              <w:spacing w:after="0"/>
              <w:rPr>
                <w:sz w:val="1"/>
                <w:szCs w:val="1"/>
                <w:color w:val="auto"/>
              </w:rPr>
            </w:pPr>
          </w:p>
        </w:tc>
      </w:tr>
      <w:tr>
        <w:trPr>
          <w:trHeight w:val="121"/>
        </w:trPr>
        <w:tc>
          <w:tcPr>
            <w:tcW w:w="33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RRA Corporate, LLC - Funded Revolver</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3,761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3,761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3,731</w:t>
            </w:r>
          </w:p>
        </w:tc>
        <w:tc>
          <w:tcPr>
            <w:tcW w:w="0" w:type="dxa"/>
            <w:vAlign w:val="bottom"/>
          </w:tcPr>
          <w:p>
            <w:pPr>
              <w:spacing w:after="0"/>
              <w:rPr>
                <w:sz w:val="1"/>
                <w:szCs w:val="1"/>
                <w:color w:val="auto"/>
              </w:rPr>
            </w:pPr>
          </w:p>
        </w:tc>
      </w:tr>
      <w:tr>
        <w:trPr>
          <w:trHeight w:val="120"/>
        </w:trPr>
        <w:tc>
          <w:tcPr>
            <w:tcW w:w="33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Revolver </w:t>
            </w:r>
            <w:r>
              <w:rPr>
                <w:rFonts w:ascii="Times New Roman" w:cs="Times New Roman" w:eastAsia="Times New Roman" w:hAnsi="Times New Roman"/>
                <w:sz w:val="12"/>
                <w:szCs w:val="12"/>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2,955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21"/>
        </w:trPr>
        <w:tc>
          <w:tcPr>
            <w:tcW w:w="33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05/03/2029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10.07%</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41,679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41,145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40,950</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RTIC Subsidiary Holdings, LLC - Funded Revolver</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05/03/2029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10.07%</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3,767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3,767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3,701</w:t>
            </w: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Subsidiary Holdings, LLC - Unfunded Revolver </w:t>
            </w:r>
            <w:r>
              <w:rPr>
                <w:rFonts w:ascii="Times New Roman" w:cs="Times New Roman" w:eastAsia="Times New Roman" w:hAnsi="Times New Roman"/>
                <w:sz w:val="12"/>
                <w:szCs w:val="12"/>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05/03/2029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5,650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(99)</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1,132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w:t>
            </w:r>
          </w:p>
        </w:tc>
        <w:tc>
          <w:tcPr>
            <w:tcW w:w="0" w:type="dxa"/>
            <w:vAlign w:val="bottom"/>
          </w:tcPr>
          <w:p>
            <w:pPr>
              <w:spacing w:after="0"/>
              <w:rPr>
                <w:sz w:val="1"/>
                <w:szCs w:val="1"/>
                <w:color w:val="auto"/>
              </w:rPr>
            </w:pPr>
          </w:p>
        </w:tc>
      </w:tr>
      <w:tr>
        <w:trPr>
          <w:trHeight w:val="96"/>
        </w:trPr>
        <w:tc>
          <w:tcPr>
            <w:tcW w:w="3320" w:type="dxa"/>
            <w:vAlign w:val="bottom"/>
            <w:shd w:val="clear" w:color="auto" w:fill="CCECFF"/>
          </w:tcPr>
          <w:p>
            <w:pPr>
              <w:spacing w:after="0" w:line="96" w:lineRule="exact"/>
              <w:rPr>
                <w:sz w:val="20"/>
                <w:szCs w:val="20"/>
                <w:color w:val="auto"/>
              </w:rPr>
            </w:pPr>
            <w:r>
              <w:rPr>
                <w:rFonts w:ascii="Times New Roman" w:cs="Times New Roman" w:eastAsia="Times New Roman" w:hAnsi="Times New Roman"/>
                <w:sz w:val="10"/>
                <w:szCs w:val="10"/>
                <w:color w:val="auto"/>
                <w:w w:val="98"/>
              </w:rPr>
              <w:t>Rural Sourcing Holdings, Inc. (HPA SPQ Merger Sub, Inc.) - Unfunded Term Loan</w:t>
            </w:r>
          </w:p>
        </w:tc>
        <w:tc>
          <w:tcPr>
            <w:tcW w:w="5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06/26/2026</w:t>
            </w:r>
          </w:p>
        </w:tc>
        <w:tc>
          <w:tcPr>
            <w:tcW w:w="14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vMerge w:val="restart"/>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vMerge w:val="restart"/>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1,146</w:t>
            </w:r>
          </w:p>
        </w:tc>
        <w:tc>
          <w:tcPr>
            <w:tcW w:w="60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vMerge w:val="restart"/>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88"/>
        </w:trPr>
        <w:tc>
          <w:tcPr>
            <w:tcW w:w="33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6"/>
                <w:szCs w:val="6"/>
                <w:color w:val="auto"/>
              </w:rPr>
              <w:t>(8)</w:t>
            </w:r>
          </w:p>
        </w:tc>
        <w:tc>
          <w:tcPr>
            <w:tcW w:w="560" w:type="dxa"/>
            <w:vAlign w:val="bottom"/>
            <w:tcBorders>
              <w:bottom w:val="single" w:sz="8" w:color="CCECFF"/>
            </w:tcBorders>
            <w:vMerge w:val="continue"/>
            <w:shd w:val="clear" w:color="auto" w:fill="CCECFF"/>
          </w:tcPr>
          <w:p>
            <w:pPr>
              <w:spacing w:after="0"/>
              <w:rPr>
                <w:sz w:val="7"/>
                <w:szCs w:val="7"/>
                <w:color w:val="auto"/>
              </w:rPr>
            </w:pPr>
          </w:p>
        </w:tc>
        <w:tc>
          <w:tcPr>
            <w:tcW w:w="1480" w:type="dxa"/>
            <w:vAlign w:val="bottom"/>
            <w:tcBorders>
              <w:bottom w:val="single" w:sz="8" w:color="CCECFF"/>
            </w:tcBorders>
            <w:vMerge w:val="continue"/>
            <w:shd w:val="clear" w:color="auto" w:fill="CCECFF"/>
          </w:tcPr>
          <w:p>
            <w:pPr>
              <w:spacing w:after="0"/>
              <w:rPr>
                <w:sz w:val="7"/>
                <w:szCs w:val="7"/>
                <w:color w:val="auto"/>
              </w:rPr>
            </w:pPr>
          </w:p>
        </w:tc>
        <w:tc>
          <w:tcPr>
            <w:tcW w:w="680" w:type="dxa"/>
            <w:vAlign w:val="bottom"/>
            <w:tcBorders>
              <w:bottom w:val="single" w:sz="8" w:color="CCECFF"/>
            </w:tcBorders>
            <w:vMerge w:val="continue"/>
            <w:shd w:val="clear" w:color="auto" w:fill="CCECFF"/>
          </w:tcPr>
          <w:p>
            <w:pPr>
              <w:spacing w:after="0"/>
              <w:rPr>
                <w:sz w:val="7"/>
                <w:szCs w:val="7"/>
                <w:color w:val="auto"/>
              </w:rPr>
            </w:pPr>
          </w:p>
        </w:tc>
        <w:tc>
          <w:tcPr>
            <w:tcW w:w="720" w:type="dxa"/>
            <w:vAlign w:val="bottom"/>
            <w:tcBorders>
              <w:bottom w:val="single" w:sz="8" w:color="CCECFF"/>
            </w:tcBorders>
            <w:vMerge w:val="continue"/>
            <w:shd w:val="clear" w:color="auto" w:fill="CCECFF"/>
          </w:tcPr>
          <w:p>
            <w:pPr>
              <w:spacing w:after="0"/>
              <w:rPr>
                <w:sz w:val="7"/>
                <w:szCs w:val="7"/>
                <w:color w:val="auto"/>
              </w:rPr>
            </w:pPr>
          </w:p>
        </w:tc>
        <w:tc>
          <w:tcPr>
            <w:tcW w:w="780" w:type="dxa"/>
            <w:vAlign w:val="bottom"/>
            <w:tcBorders>
              <w:bottom w:val="single" w:sz="8" w:color="CCECFF"/>
            </w:tcBorders>
            <w:vMerge w:val="continue"/>
            <w:shd w:val="clear" w:color="auto" w:fill="CCECFF"/>
          </w:tcPr>
          <w:p>
            <w:pPr>
              <w:spacing w:after="0"/>
              <w:rPr>
                <w:sz w:val="7"/>
                <w:szCs w:val="7"/>
                <w:color w:val="auto"/>
              </w:rPr>
            </w:pPr>
          </w:p>
        </w:tc>
        <w:tc>
          <w:tcPr>
            <w:tcW w:w="600" w:type="dxa"/>
            <w:vAlign w:val="bottom"/>
            <w:tcBorders>
              <w:bottom w:val="single" w:sz="8" w:color="CCECFF"/>
            </w:tcBorders>
            <w:vMerge w:val="continue"/>
            <w:shd w:val="clear" w:color="auto" w:fill="CCECFF"/>
          </w:tcPr>
          <w:p>
            <w:pPr>
              <w:spacing w:after="0"/>
              <w:rPr>
                <w:sz w:val="7"/>
                <w:szCs w:val="7"/>
                <w:color w:val="auto"/>
              </w:rPr>
            </w:pPr>
          </w:p>
        </w:tc>
        <w:tc>
          <w:tcPr>
            <w:tcW w:w="740" w:type="dxa"/>
            <w:vAlign w:val="bottom"/>
            <w:tcBorders>
              <w:bottom w:val="single" w:sz="8" w:color="CCECFF"/>
            </w:tcBorders>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Rural Sourcing Holdings, Inc. (HPA SPQ Merger Sub, Inc.) - Funded Revolver</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487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475</w:t>
            </w:r>
          </w:p>
        </w:tc>
        <w:tc>
          <w:tcPr>
            <w:tcW w:w="0" w:type="dxa"/>
            <w:vAlign w:val="bottom"/>
          </w:tcPr>
          <w:p>
            <w:pPr>
              <w:spacing w:after="0"/>
              <w:rPr>
                <w:sz w:val="1"/>
                <w:szCs w:val="1"/>
                <w:color w:val="auto"/>
              </w:rPr>
            </w:pPr>
          </w:p>
        </w:tc>
      </w:tr>
      <w:tr>
        <w:trPr>
          <w:trHeight w:val="96"/>
        </w:trPr>
        <w:tc>
          <w:tcPr>
            <w:tcW w:w="3320" w:type="dxa"/>
            <w:vAlign w:val="bottom"/>
            <w:shd w:val="clear" w:color="auto" w:fill="CCECFF"/>
          </w:tcPr>
          <w:p>
            <w:pPr>
              <w:spacing w:after="0" w:line="96" w:lineRule="exact"/>
              <w:rPr>
                <w:sz w:val="20"/>
                <w:szCs w:val="20"/>
                <w:color w:val="auto"/>
              </w:rPr>
            </w:pPr>
            <w:r>
              <w:rPr>
                <w:rFonts w:ascii="Times New Roman" w:cs="Times New Roman" w:eastAsia="Times New Roman" w:hAnsi="Times New Roman"/>
                <w:sz w:val="9"/>
                <w:szCs w:val="9"/>
                <w:color w:val="auto"/>
              </w:rPr>
              <w:t xml:space="preserve">Rural Sourcing Holdings, Inc. (HPA SPQ Merger Sub, Inc.) - Unfunded Revolver </w:t>
            </w:r>
            <w:r>
              <w:rPr>
                <w:rFonts w:ascii="Times New Roman" w:cs="Times New Roman" w:eastAsia="Times New Roman" w:hAnsi="Times New Roman"/>
                <w:sz w:val="11"/>
                <w:szCs w:val="11"/>
                <w:color w:val="auto"/>
                <w:vertAlign w:val="superscript"/>
              </w:rPr>
              <w:t>(6),</w:t>
            </w:r>
          </w:p>
        </w:tc>
        <w:tc>
          <w:tcPr>
            <w:tcW w:w="5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4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vMerge w:val="restart"/>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vMerge w:val="restart"/>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373</w:t>
            </w:r>
          </w:p>
        </w:tc>
        <w:tc>
          <w:tcPr>
            <w:tcW w:w="60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vMerge w:val="restart"/>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88"/>
        </w:trPr>
        <w:tc>
          <w:tcPr>
            <w:tcW w:w="33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6"/>
                <w:szCs w:val="6"/>
                <w:color w:val="auto"/>
              </w:rPr>
              <w:t>(8)</w:t>
            </w:r>
          </w:p>
        </w:tc>
        <w:tc>
          <w:tcPr>
            <w:tcW w:w="560" w:type="dxa"/>
            <w:vAlign w:val="bottom"/>
            <w:tcBorders>
              <w:bottom w:val="single" w:sz="8" w:color="CCECFF"/>
            </w:tcBorders>
            <w:vMerge w:val="continue"/>
            <w:shd w:val="clear" w:color="auto" w:fill="CCECFF"/>
          </w:tcPr>
          <w:p>
            <w:pPr>
              <w:spacing w:after="0"/>
              <w:rPr>
                <w:sz w:val="7"/>
                <w:szCs w:val="7"/>
                <w:color w:val="auto"/>
              </w:rPr>
            </w:pPr>
          </w:p>
        </w:tc>
        <w:tc>
          <w:tcPr>
            <w:tcW w:w="1480" w:type="dxa"/>
            <w:vAlign w:val="bottom"/>
            <w:tcBorders>
              <w:bottom w:val="single" w:sz="8" w:color="CCECFF"/>
            </w:tcBorders>
            <w:vMerge w:val="continue"/>
            <w:shd w:val="clear" w:color="auto" w:fill="CCECFF"/>
          </w:tcPr>
          <w:p>
            <w:pPr>
              <w:spacing w:after="0"/>
              <w:rPr>
                <w:sz w:val="7"/>
                <w:szCs w:val="7"/>
                <w:color w:val="auto"/>
              </w:rPr>
            </w:pPr>
          </w:p>
        </w:tc>
        <w:tc>
          <w:tcPr>
            <w:tcW w:w="680" w:type="dxa"/>
            <w:vAlign w:val="bottom"/>
            <w:tcBorders>
              <w:bottom w:val="single" w:sz="8" w:color="CCECFF"/>
            </w:tcBorders>
            <w:vMerge w:val="continue"/>
            <w:shd w:val="clear" w:color="auto" w:fill="CCECFF"/>
          </w:tcPr>
          <w:p>
            <w:pPr>
              <w:spacing w:after="0"/>
              <w:rPr>
                <w:sz w:val="7"/>
                <w:szCs w:val="7"/>
                <w:color w:val="auto"/>
              </w:rPr>
            </w:pPr>
          </w:p>
        </w:tc>
        <w:tc>
          <w:tcPr>
            <w:tcW w:w="720" w:type="dxa"/>
            <w:vAlign w:val="bottom"/>
            <w:tcBorders>
              <w:bottom w:val="single" w:sz="8" w:color="CCECFF"/>
            </w:tcBorders>
            <w:vMerge w:val="continue"/>
            <w:shd w:val="clear" w:color="auto" w:fill="CCECFF"/>
          </w:tcPr>
          <w:p>
            <w:pPr>
              <w:spacing w:after="0"/>
              <w:rPr>
                <w:sz w:val="7"/>
                <w:szCs w:val="7"/>
                <w:color w:val="auto"/>
              </w:rPr>
            </w:pPr>
          </w:p>
        </w:tc>
        <w:tc>
          <w:tcPr>
            <w:tcW w:w="780" w:type="dxa"/>
            <w:vAlign w:val="bottom"/>
            <w:tcBorders>
              <w:bottom w:val="single" w:sz="8" w:color="CCECFF"/>
            </w:tcBorders>
            <w:vMerge w:val="continue"/>
            <w:shd w:val="clear" w:color="auto" w:fill="CCECFF"/>
          </w:tcPr>
          <w:p>
            <w:pPr>
              <w:spacing w:after="0"/>
              <w:rPr>
                <w:sz w:val="7"/>
                <w:szCs w:val="7"/>
                <w:color w:val="auto"/>
              </w:rPr>
            </w:pPr>
          </w:p>
        </w:tc>
        <w:tc>
          <w:tcPr>
            <w:tcW w:w="600" w:type="dxa"/>
            <w:vAlign w:val="bottom"/>
            <w:tcBorders>
              <w:bottom w:val="single" w:sz="8" w:color="CCECFF"/>
            </w:tcBorders>
            <w:vMerge w:val="continue"/>
            <w:shd w:val="clear" w:color="auto" w:fill="CCECFF"/>
          </w:tcPr>
          <w:p>
            <w:pPr>
              <w:spacing w:after="0"/>
              <w:rPr>
                <w:sz w:val="7"/>
                <w:szCs w:val="7"/>
                <w:color w:val="auto"/>
              </w:rPr>
            </w:pPr>
          </w:p>
        </w:tc>
        <w:tc>
          <w:tcPr>
            <w:tcW w:w="740" w:type="dxa"/>
            <w:vAlign w:val="bottom"/>
            <w:tcBorders>
              <w:bottom w:val="single" w:sz="8" w:color="CCECFF"/>
            </w:tcBorders>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Sabel Systems Technology Solutions, LLC</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10/31/2030</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Government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10.07%</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26,716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26,480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26,716</w:t>
            </w: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Sabel Systems Technology Solutions, LLC - Unfunded Revolver </w:t>
            </w:r>
            <w:r>
              <w:rPr>
                <w:rFonts w:ascii="Times New Roman" w:cs="Times New Roman" w:eastAsia="Times New Roman" w:hAnsi="Times New Roman"/>
                <w:sz w:val="12"/>
                <w:szCs w:val="12"/>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10/31/2030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Government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3,634</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Safe Haven Defense US LLC</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05/23/2029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Building Products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9.57%</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13,453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13,280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13,453</w:t>
            </w: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US LLC - Unfunded Revolver </w:t>
            </w:r>
            <w:r>
              <w:rPr>
                <w:rFonts w:ascii="Times New Roman" w:cs="Times New Roman" w:eastAsia="Times New Roman" w:hAnsi="Times New Roman"/>
                <w:sz w:val="12"/>
                <w:szCs w:val="12"/>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05/23/2029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Building Products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2,920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Sales Benchmark Index LLC</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07/07/2026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620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2,512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2,507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2,512</w:t>
            </w: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Sales Benchmark Index LLC - Funded Revolver</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07/07/2026</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520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754</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754</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754</w:t>
            </w:r>
          </w:p>
        </w:tc>
        <w:tc>
          <w:tcPr>
            <w:tcW w:w="0" w:type="dxa"/>
            <w:vAlign w:val="bottom"/>
          </w:tcPr>
          <w:p>
            <w:pPr>
              <w:spacing w:after="0"/>
              <w:rPr>
                <w:sz w:val="1"/>
                <w:szCs w:val="1"/>
                <w:color w:val="auto"/>
              </w:rPr>
            </w:pPr>
          </w:p>
        </w:tc>
      </w:tr>
      <w:tr>
        <w:trPr>
          <w:trHeight w:val="120"/>
        </w:trPr>
        <w:tc>
          <w:tcPr>
            <w:tcW w:w="33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 Unfunded Revolver </w:t>
            </w:r>
            <w:r>
              <w:rPr>
                <w:rFonts w:ascii="Times New Roman" w:cs="Times New Roman" w:eastAsia="Times New Roman" w:hAnsi="Times New Roman"/>
                <w:sz w:val="12"/>
                <w:szCs w:val="12"/>
                <w:color w:val="auto"/>
                <w:vertAlign w:val="superscript"/>
              </w:rPr>
              <w:t>(6), (8)</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07/07/2026</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323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Sath Industries,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12/17/2029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9.82%</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11,323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11,223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11,323</w:t>
            </w:r>
          </w:p>
        </w:tc>
        <w:tc>
          <w:tcPr>
            <w:tcW w:w="0" w:type="dxa"/>
            <w:vAlign w:val="bottom"/>
          </w:tcPr>
          <w:p>
            <w:pPr>
              <w:spacing w:after="0"/>
              <w:rPr>
                <w:sz w:val="1"/>
                <w:szCs w:val="1"/>
                <w:color w:val="auto"/>
              </w:rPr>
            </w:pPr>
          </w:p>
        </w:tc>
      </w:tr>
      <w:tr>
        <w:trPr>
          <w:trHeight w:val="120"/>
        </w:trPr>
        <w:tc>
          <w:tcPr>
            <w:tcW w:w="33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Sath Industries, LLC - Unfunded Revolver </w:t>
            </w:r>
            <w:r>
              <w:rPr>
                <w:rFonts w:ascii="Times New Roman" w:cs="Times New Roman" w:eastAsia="Times New Roman" w:hAnsi="Times New Roman"/>
                <w:sz w:val="12"/>
                <w:szCs w:val="12"/>
                <w:color w:val="auto"/>
                <w:vertAlign w:val="superscript"/>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12/17/2029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2,466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3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07/21/2025</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12.93%</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860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15,765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15,763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14,977</w:t>
            </w:r>
          </w:p>
        </w:tc>
        <w:tc>
          <w:tcPr>
            <w:tcW w:w="0" w:type="dxa"/>
            <w:vAlign w:val="bottom"/>
          </w:tcPr>
          <w:p>
            <w:pPr>
              <w:spacing w:after="0"/>
              <w:rPr>
                <w:sz w:val="1"/>
                <w:szCs w:val="1"/>
                <w:color w:val="auto"/>
              </w:rPr>
            </w:pPr>
          </w:p>
        </w:tc>
      </w:tr>
      <w:tr>
        <w:trPr>
          <w:trHeight w:val="120"/>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5.85%)</w:t>
            </w: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 - Funded Revolver</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07/21/2025</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12.93%</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860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1,650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1,650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1,567</w:t>
            </w:r>
          </w:p>
        </w:tc>
        <w:tc>
          <w:tcPr>
            <w:tcW w:w="0" w:type="dxa"/>
            <w:vAlign w:val="bottom"/>
          </w:tcPr>
          <w:p>
            <w:pPr>
              <w:spacing w:after="0"/>
              <w:rPr>
                <w:sz w:val="1"/>
                <w:szCs w:val="1"/>
                <w:color w:val="auto"/>
              </w:rPr>
            </w:pPr>
          </w:p>
        </w:tc>
      </w:tr>
      <w:tr>
        <w:trPr>
          <w:trHeight w:val="120"/>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5.85%)</w:t>
            </w: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 Unfunded Revolver </w:t>
            </w:r>
            <w:r>
              <w:rPr>
                <w:rFonts w:ascii="Times New Roman" w:cs="Times New Roman" w:eastAsia="Times New Roman" w:hAnsi="Times New Roman"/>
                <w:sz w:val="12"/>
                <w:szCs w:val="12"/>
                <w:color w:val="auto"/>
                <w:vertAlign w:val="superscript"/>
              </w:rPr>
              <w:t>(6), (8)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07/21/2025</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401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Seacoast Service Partners, LLC</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9.32%</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10,623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10,539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10,251</w:t>
            </w: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Seacoast Service Partners, LLC - Unfunded Term Loan </w:t>
            </w:r>
            <w:r>
              <w:rPr>
                <w:rFonts w:ascii="Times New Roman" w:cs="Times New Roman" w:eastAsia="Times New Roman" w:hAnsi="Times New Roman"/>
                <w:sz w:val="12"/>
                <w:szCs w:val="12"/>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12/21/2026</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5,653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(148)</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Seacoast Service Partners, LLC - Funded Revolver</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9.32%</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500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616</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Seacoast Service Partners, LLC - Unfunded Revolver </w:t>
            </w:r>
            <w:r>
              <w:rPr>
                <w:rFonts w:ascii="Times New Roman" w:cs="Times New Roman" w:eastAsia="Times New Roman" w:hAnsi="Times New Roman"/>
                <w:sz w:val="12"/>
                <w:szCs w:val="12"/>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12/20/2029</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1,507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(53)</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06/13/2029</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10.47%</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1,887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1,868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1,778</w:t>
            </w:r>
          </w:p>
        </w:tc>
        <w:tc>
          <w:tcPr>
            <w:tcW w:w="0" w:type="dxa"/>
            <w:vAlign w:val="bottom"/>
          </w:tcPr>
          <w:p>
            <w:pPr>
              <w:spacing w:after="0"/>
              <w:rPr>
                <w:sz w:val="1"/>
                <w:szCs w:val="1"/>
                <w:color w:val="auto"/>
              </w:rPr>
            </w:pPr>
          </w:p>
        </w:tc>
      </w:tr>
      <w:tr>
        <w:trPr>
          <w:trHeight w:val="121"/>
        </w:trPr>
        <w:tc>
          <w:tcPr>
            <w:tcW w:w="33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11.47%</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715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20,197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19,948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20,197</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Sigma Defense Systems, LLC - Funded Revolver</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11.47%</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715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762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762</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762</w:t>
            </w: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 Unfunded Revolver </w:t>
            </w:r>
            <w:r>
              <w:rPr>
                <w:rFonts w:ascii="Times New Roman" w:cs="Times New Roman" w:eastAsia="Times New Roman" w:hAnsi="Times New Roman"/>
                <w:sz w:val="12"/>
                <w:szCs w:val="12"/>
                <w:color w:val="auto"/>
                <w:vertAlign w:val="superscript"/>
              </w:rPr>
              <w:t>(6), (8)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2,550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Smartronix, LLC</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02/06/2032</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450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5,985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5,928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5,985</w:t>
            </w:r>
          </w:p>
        </w:tc>
        <w:tc>
          <w:tcPr>
            <w:tcW w:w="0" w:type="dxa"/>
            <w:vAlign w:val="bottom"/>
          </w:tcPr>
          <w:p>
            <w:pPr>
              <w:spacing w:after="0"/>
              <w:rPr>
                <w:sz w:val="1"/>
                <w:szCs w:val="1"/>
                <w:color w:val="auto"/>
              </w:rPr>
            </w:pPr>
          </w:p>
        </w:tc>
      </w:tr>
      <w:tr>
        <w:trPr>
          <w:trHeight w:val="121"/>
        </w:trPr>
        <w:tc>
          <w:tcPr>
            <w:tcW w:w="33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Smile Brands Inc.</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10.43%</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2,523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2,523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2,160</w:t>
            </w:r>
          </w:p>
        </w:tc>
        <w:tc>
          <w:tcPr>
            <w:tcW w:w="0" w:type="dxa"/>
            <w:vAlign w:val="bottom"/>
          </w:tcPr>
          <w:p>
            <w:pPr>
              <w:spacing w:after="0"/>
              <w:rPr>
                <w:sz w:val="1"/>
                <w:szCs w:val="1"/>
                <w:color w:val="auto"/>
              </w:rPr>
            </w:pPr>
          </w:p>
        </w:tc>
      </w:tr>
      <w:tr>
        <w:trPr>
          <w:trHeight w:val="120"/>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1.50%)</w:t>
            </w: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Smile Brands Inc. - Funded Revolver</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10.43%</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782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782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670</w:t>
            </w:r>
          </w:p>
        </w:tc>
        <w:tc>
          <w:tcPr>
            <w:tcW w:w="0" w:type="dxa"/>
            <w:vAlign w:val="bottom"/>
          </w:tcPr>
          <w:p>
            <w:pPr>
              <w:spacing w:after="0"/>
              <w:rPr>
                <w:sz w:val="1"/>
                <w:szCs w:val="1"/>
                <w:color w:val="auto"/>
              </w:rPr>
            </w:pPr>
          </w:p>
        </w:tc>
      </w:tr>
      <w:tr>
        <w:trPr>
          <w:trHeight w:val="120"/>
        </w:trPr>
        <w:tc>
          <w:tcPr>
            <w:tcW w:w="33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Smile Brands Inc. - Unfunded Revolver </w:t>
            </w:r>
            <w:r>
              <w:rPr>
                <w:rFonts w:ascii="Times New Roman" w:cs="Times New Roman" w:eastAsia="Times New Roman" w:hAnsi="Times New Roman"/>
                <w:sz w:val="12"/>
                <w:szCs w:val="12"/>
                <w:color w:val="auto"/>
                <w:vertAlign w:val="superscript"/>
              </w:rPr>
              <w:t>(6), (8)</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796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(115)</w:t>
            </w: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Smile Brands Inc. LC - Unfunded Revolver </w:t>
            </w:r>
            <w:r>
              <w:rPr>
                <w:rFonts w:ascii="Times New Roman" w:cs="Times New Roman" w:eastAsia="Times New Roman" w:hAnsi="Times New Roman"/>
                <w:sz w:val="12"/>
                <w:szCs w:val="12"/>
                <w:color w:val="auto"/>
                <w:vertAlign w:val="superscript"/>
              </w:rPr>
              <w:t>(6), (8)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2,956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2,935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2,956</w:t>
            </w: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11/25/2026</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2,922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tcPr>
          <w:p>
            <w:pPr>
              <w:spacing w:after="0"/>
              <w:rPr>
                <w:sz w:val="20"/>
                <w:szCs w:val="20"/>
                <w:color w:val="auto"/>
              </w:rPr>
            </w:pPr>
            <w:r>
              <w:rPr>
                <w:rFonts w:ascii="Times New Roman" w:cs="Times New Roman" w:eastAsia="Times New Roman" w:hAnsi="Times New Roman"/>
                <w:sz w:val="10"/>
                <w:szCs w:val="10"/>
                <w:color w:val="auto"/>
              </w:rPr>
              <w:t>Spendmend Holdings LLC - Funded Revolver</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9.38%</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20"/>
        </w:trPr>
        <w:tc>
          <w:tcPr>
            <w:tcW w:w="33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Revolver </w:t>
            </w:r>
            <w:r>
              <w:rPr>
                <w:rFonts w:ascii="Times New Roman" w:cs="Times New Roman" w:eastAsia="Times New Roman" w:hAnsi="Times New Roman"/>
                <w:sz w:val="12"/>
                <w:szCs w:val="12"/>
                <w:color w:val="auto"/>
                <w:vertAlign w:val="superscript"/>
              </w:rPr>
              <w:t>(8)</w:t>
            </w:r>
          </w:p>
        </w:tc>
        <w:tc>
          <w:tcPr>
            <w:tcW w:w="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743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3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3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2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2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tcPr>
          <w:p>
            <w:pPr>
              <w:jc w:val="right"/>
              <w:ind w:right="5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3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SV-Aero Holdings, LLC - Term Loan</w:t>
            </w:r>
          </w:p>
        </w:tc>
        <w:tc>
          <w:tcPr>
            <w:tcW w:w="7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11/01/2030</w:t>
            </w:r>
          </w:p>
        </w:tc>
        <w:tc>
          <w:tcPr>
            <w:tcW w:w="1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15,373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15,308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15,373</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SV-Aero Holdings, LLC - Unfunded Term Loan </w:t>
            </w:r>
            <w:r>
              <w:rPr>
                <w:rFonts w:ascii="Times New Roman" w:cs="Times New Roman" w:eastAsia="Times New Roman" w:hAnsi="Times New Roman"/>
                <w:sz w:val="12"/>
                <w:szCs w:val="12"/>
                <w:color w:val="auto"/>
                <w:vertAlign w:val="superscript"/>
              </w:rPr>
              <w:t>(8)</w:t>
            </w:r>
          </w:p>
        </w:tc>
        <w:tc>
          <w:tcPr>
            <w:tcW w:w="7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11/02/2026</w:t>
            </w:r>
          </w:p>
        </w:tc>
        <w:tc>
          <w:tcPr>
            <w:tcW w:w="1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7,259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w:t>
            </w:r>
          </w:p>
        </w:tc>
      </w:tr>
      <w:tr>
        <w:trPr>
          <w:trHeight w:val="121"/>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 Research,</w:t>
            </w:r>
          </w:p>
        </w:tc>
        <w:tc>
          <w:tcPr>
            <w:tcW w:w="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LLC)</w:t>
            </w:r>
          </w:p>
        </w:tc>
        <w:tc>
          <w:tcPr>
            <w:tcW w:w="7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08/16/2027</w:t>
            </w:r>
          </w:p>
        </w:tc>
        <w:tc>
          <w:tcPr>
            <w:tcW w:w="1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8.92%</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475</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37,363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37,088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37,064</w:t>
            </w:r>
          </w:p>
        </w:tc>
      </w:tr>
      <w:tr>
        <w:trPr>
          <w:trHeight w:val="121"/>
        </w:trPr>
        <w:tc>
          <w:tcPr>
            <w:tcW w:w="322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System Planning and Analysis, Inc. - Funded Revolver</w:t>
            </w:r>
          </w:p>
        </w:tc>
        <w:tc>
          <w:tcPr>
            <w:tcW w:w="7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08/16/2027</w:t>
            </w:r>
          </w:p>
        </w:tc>
        <w:tc>
          <w:tcPr>
            <w:tcW w:w="1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9.01%</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475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3,098</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3,098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3,073</w:t>
            </w:r>
          </w:p>
        </w:tc>
      </w:tr>
      <w:tr>
        <w:trPr>
          <w:trHeight w:val="121"/>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 Research,</w:t>
            </w:r>
          </w:p>
        </w:tc>
        <w:tc>
          <w:tcPr>
            <w:tcW w:w="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LLC) - Unfunded Term Loan </w:t>
            </w:r>
            <w:r>
              <w:rPr>
                <w:rFonts w:ascii="Times New Roman" w:cs="Times New Roman" w:eastAsia="Times New Roman" w:hAnsi="Times New Roman"/>
                <w:sz w:val="12"/>
                <w:szCs w:val="12"/>
                <w:color w:val="auto"/>
                <w:vertAlign w:val="superscript"/>
              </w:rPr>
              <w:t>(8)</w:t>
            </w:r>
          </w:p>
        </w:tc>
        <w:tc>
          <w:tcPr>
            <w:tcW w:w="7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06/12/2027</w:t>
            </w:r>
          </w:p>
        </w:tc>
        <w:tc>
          <w:tcPr>
            <w:tcW w:w="1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6,335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Unfunded Revolver </w:t>
            </w:r>
            <w:r>
              <w:rPr>
                <w:rFonts w:ascii="Times New Roman" w:cs="Times New Roman" w:eastAsia="Times New Roman" w:hAnsi="Times New Roman"/>
                <w:sz w:val="12"/>
                <w:szCs w:val="12"/>
                <w:color w:val="auto"/>
                <w:vertAlign w:val="superscript"/>
              </w:rPr>
              <w:t>(8)</w:t>
            </w:r>
          </w:p>
        </w:tc>
        <w:tc>
          <w:tcPr>
            <w:tcW w:w="7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08/16/2027</w:t>
            </w:r>
          </w:p>
        </w:tc>
        <w:tc>
          <w:tcPr>
            <w:tcW w:w="1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5,266</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(42)</w:t>
            </w:r>
          </w:p>
        </w:tc>
      </w:tr>
      <w:tr>
        <w:trPr>
          <w:trHeight w:val="121"/>
        </w:trPr>
        <w:tc>
          <w:tcPr>
            <w:tcW w:w="3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7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01/23/2029</w:t>
            </w: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10.82%</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650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6,913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6,822</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6,913</w:t>
            </w:r>
          </w:p>
        </w:tc>
      </w:tr>
      <w:tr>
        <w:trPr>
          <w:trHeight w:val="121"/>
        </w:trPr>
        <w:tc>
          <w:tcPr>
            <w:tcW w:w="322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TCG 3.0 Jogger Acquisitionco, Inc. - Funded Revolver</w:t>
            </w:r>
          </w:p>
        </w:tc>
        <w:tc>
          <w:tcPr>
            <w:tcW w:w="7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01/23/2029</w:t>
            </w:r>
          </w:p>
        </w:tc>
        <w:tc>
          <w:tcPr>
            <w:tcW w:w="14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485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485</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TCG 3.0 Jogger Acquisitionco, Inc. - Unfunded Revolver </w:t>
            </w:r>
            <w:r>
              <w:rPr>
                <w:rFonts w:ascii="Times New Roman" w:cs="Times New Roman" w:eastAsia="Times New Roman" w:hAnsi="Times New Roman"/>
                <w:sz w:val="12"/>
                <w:szCs w:val="12"/>
                <w:color w:val="auto"/>
                <w:vertAlign w:val="superscript"/>
              </w:rPr>
              <w:t>(8)</w:t>
            </w:r>
          </w:p>
        </w:tc>
        <w:tc>
          <w:tcPr>
            <w:tcW w:w="7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01/23/2029</w:t>
            </w: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3"/>
              </w:rPr>
              <w:t>Media</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1,941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2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21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12/20/2027   Healthcare Providers and Services</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9.53%</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525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10,342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10,196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10,278</w:t>
            </w:r>
          </w:p>
        </w:tc>
      </w:tr>
      <w:tr>
        <w:trPr>
          <w:trHeight w:val="121"/>
        </w:trPr>
        <w:tc>
          <w:tcPr>
            <w:tcW w:w="3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The Bluebird Group LLC</w:t>
            </w:r>
          </w:p>
        </w:tc>
        <w:tc>
          <w:tcPr>
            <w:tcW w:w="7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07/28/2026</w:t>
            </w: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590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8,476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8,425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8,476</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 Unfunded Revolver </w:t>
            </w:r>
            <w:r>
              <w:rPr>
                <w:rFonts w:ascii="Times New Roman" w:cs="Times New Roman" w:eastAsia="Times New Roman" w:hAnsi="Times New Roman"/>
                <w:sz w:val="12"/>
                <w:szCs w:val="12"/>
                <w:color w:val="auto"/>
                <w:vertAlign w:val="superscript"/>
              </w:rPr>
              <w:t>(6), (8)</w:t>
            </w:r>
          </w:p>
        </w:tc>
        <w:tc>
          <w:tcPr>
            <w:tcW w:w="7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07/28/2026</w:t>
            </w:r>
          </w:p>
        </w:tc>
        <w:tc>
          <w:tcPr>
            <w:tcW w:w="14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862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3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w:t>
            </w:r>
            <w:r>
              <w:rPr>
                <w:rFonts w:ascii="Times New Roman" w:cs="Times New Roman" w:eastAsia="Times New Roman" w:hAnsi="Times New Roman"/>
                <w:sz w:val="12"/>
                <w:szCs w:val="12"/>
                <w:color w:val="auto"/>
                <w:vertAlign w:val="superscript"/>
              </w:rPr>
              <w:t>(6)</w:t>
            </w:r>
          </w:p>
        </w:tc>
        <w:tc>
          <w:tcPr>
            <w:tcW w:w="7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08/31/2028</w:t>
            </w: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9.42%</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8,912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8,850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8,894</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 Unfunded Term Loan </w:t>
            </w:r>
            <w:r>
              <w:rPr>
                <w:rFonts w:ascii="Times New Roman" w:cs="Times New Roman" w:eastAsia="Times New Roman" w:hAnsi="Times New Roman"/>
                <w:sz w:val="12"/>
                <w:szCs w:val="12"/>
                <w:color w:val="auto"/>
                <w:vertAlign w:val="superscript"/>
              </w:rPr>
              <w:t>(8)</w:t>
            </w:r>
          </w:p>
        </w:tc>
        <w:tc>
          <w:tcPr>
            <w:tcW w:w="7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11/04/2026</w:t>
            </w:r>
          </w:p>
        </w:tc>
        <w:tc>
          <w:tcPr>
            <w:tcW w:w="14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9,122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w:t>
            </w:r>
          </w:p>
        </w:tc>
      </w:tr>
      <w:tr>
        <w:trPr>
          <w:trHeight w:val="121"/>
        </w:trPr>
        <w:tc>
          <w:tcPr>
            <w:tcW w:w="3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The Vertex Companies, LLC - Funded Revolver</w:t>
            </w:r>
          </w:p>
        </w:tc>
        <w:tc>
          <w:tcPr>
            <w:tcW w:w="7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08/31/2028</w:t>
            </w: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9.42%</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510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729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728</w:t>
            </w:r>
          </w:p>
        </w:tc>
      </w:tr>
      <w:tr>
        <w:trPr>
          <w:trHeight w:val="120"/>
        </w:trPr>
        <w:tc>
          <w:tcPr>
            <w:tcW w:w="32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 Unfunded Revolver </w:t>
            </w:r>
            <w:r>
              <w:rPr>
                <w:rFonts w:ascii="Times New Roman" w:cs="Times New Roman" w:eastAsia="Times New Roman" w:hAnsi="Times New Roman"/>
                <w:sz w:val="12"/>
                <w:szCs w:val="12"/>
                <w:color w:val="auto"/>
                <w:vertAlign w:val="superscript"/>
              </w:rPr>
              <w:t>(6), (8)</w:t>
            </w:r>
          </w:p>
        </w:tc>
        <w:tc>
          <w:tcPr>
            <w:tcW w:w="7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08/31/2028</w:t>
            </w:r>
          </w:p>
        </w:tc>
        <w:tc>
          <w:tcPr>
            <w:tcW w:w="14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4,743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w:t>
            </w:r>
          </w:p>
        </w:tc>
      </w:tr>
      <w:tr>
        <w:trPr>
          <w:trHeight w:val="121"/>
        </w:trPr>
        <w:tc>
          <w:tcPr>
            <w:tcW w:w="3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TPC US Parent, LLC</w:t>
            </w:r>
          </w:p>
        </w:tc>
        <w:tc>
          <w:tcPr>
            <w:tcW w:w="7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11/24/2025</w:t>
            </w: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Food Products</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590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11,797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11,773</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11,785</w:t>
            </w:r>
          </w:p>
        </w:tc>
      </w:tr>
      <w:tr>
        <w:trPr>
          <w:trHeight w:val="121"/>
        </w:trPr>
        <w:tc>
          <w:tcPr>
            <w:tcW w:w="322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TransGo, LLC</w:t>
            </w:r>
          </w:p>
        </w:tc>
        <w:tc>
          <w:tcPr>
            <w:tcW w:w="7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12/29/2028</w:t>
            </w:r>
          </w:p>
        </w:tc>
        <w:tc>
          <w:tcPr>
            <w:tcW w:w="1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Components</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10.07%</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575</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10,734</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10,604</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10,788</w:t>
            </w:r>
          </w:p>
        </w:tc>
      </w:tr>
      <w:tr>
        <w:trPr>
          <w:trHeight w:val="120"/>
        </w:trPr>
        <w:tc>
          <w:tcPr>
            <w:tcW w:w="32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TransGo, LLC - Unfunded Revolver </w:t>
            </w:r>
            <w:r>
              <w:rPr>
                <w:rFonts w:ascii="Times New Roman" w:cs="Times New Roman" w:eastAsia="Times New Roman" w:hAnsi="Times New Roman"/>
                <w:sz w:val="12"/>
                <w:szCs w:val="12"/>
                <w:color w:val="auto"/>
                <w:vertAlign w:val="superscript"/>
              </w:rPr>
              <w:t>(6), (8)</w:t>
            </w:r>
          </w:p>
        </w:tc>
        <w:tc>
          <w:tcPr>
            <w:tcW w:w="7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12/29/2028</w:t>
            </w:r>
          </w:p>
        </w:tc>
        <w:tc>
          <w:tcPr>
            <w:tcW w:w="1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Auto Components</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4,440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w:t>
            </w:r>
          </w:p>
        </w:tc>
      </w:tr>
      <w:tr>
        <w:trPr>
          <w:trHeight w:val="121"/>
        </w:trPr>
        <w:tc>
          <w:tcPr>
            <w:tcW w:w="322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4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Tyto Athene, LLC</w:t>
            </w:r>
          </w:p>
        </w:tc>
        <w:tc>
          <w:tcPr>
            <w:tcW w:w="7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0"/>
                <w:szCs w:val="10"/>
                <w:color w:val="auto"/>
              </w:rPr>
              <w:t>04/03/2028</w:t>
            </w:r>
          </w:p>
        </w:tc>
        <w:tc>
          <w:tcPr>
            <w:tcW w:w="144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IT Services</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9.19%</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490</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11,875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11,786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11,590</w:t>
            </w:r>
          </w:p>
        </w:tc>
      </w:tr>
      <w:tr>
        <w:trPr>
          <w:trHeight w:val="121"/>
        </w:trPr>
        <w:tc>
          <w:tcPr>
            <w:tcW w:w="3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4"/>
        </w:trPr>
        <w:tc>
          <w:tcPr>
            <w:tcW w:w="3220" w:type="dxa"/>
            <w:vAlign w:val="bottom"/>
          </w:tcPr>
          <w:p>
            <w:pPr>
              <w:spacing w:after="0"/>
              <w:rPr>
                <w:sz w:val="20"/>
                <w:szCs w:val="20"/>
                <w:color w:val="auto"/>
              </w:rPr>
            </w:pPr>
            <w:r>
              <w:rPr>
                <w:rFonts w:ascii="Times New Roman" w:cs="Times New Roman" w:eastAsia="Times New Roman" w:hAnsi="Times New Roman"/>
                <w:sz w:val="10"/>
                <w:szCs w:val="10"/>
                <w:color w:val="auto"/>
              </w:rPr>
              <w:t>US Fertility Enterprises, LLC</w:t>
            </w:r>
          </w:p>
        </w:tc>
        <w:tc>
          <w:tcPr>
            <w:tcW w:w="216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10/11/2031   Healthcare Providers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8.78%</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450</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w:t>
            </w:r>
          </w:p>
        </w:tc>
      </w:tr>
    </w:tbl>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3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9"/>
              </w:rPr>
              <w:t>Spread Above</w:t>
            </w: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3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2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1"/>
        </w:trPr>
        <w:tc>
          <w:tcPr>
            <w:tcW w:w="30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1M SOFR+</w:t>
            </w: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2340" w:type="dxa"/>
            <w:vAlign w:val="bottom"/>
            <w:gridSpan w:val="2"/>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06/15/2027   Healthcare Providers and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3,579</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3,565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3,565</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Urology Management Holdings, Inc. - Unfunded Term Loan </w:t>
            </w:r>
            <w:r>
              <w:rPr>
                <w:rFonts w:ascii="Times New Roman" w:cs="Times New Roman" w:eastAsia="Times New Roman" w:hAnsi="Times New Roman"/>
                <w:sz w:val="12"/>
                <w:szCs w:val="12"/>
                <w:color w:val="auto"/>
                <w:vertAlign w:val="superscript"/>
              </w:rPr>
              <w:t>(8)</w:t>
            </w:r>
          </w:p>
        </w:tc>
        <w:tc>
          <w:tcPr>
            <w:tcW w:w="23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09/03/2026   Healthcare Providers and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2,400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w:t>
            </w:r>
          </w:p>
        </w:tc>
      </w:tr>
      <w:tr>
        <w:trPr>
          <w:trHeight w:val="121"/>
        </w:trPr>
        <w:tc>
          <w:tcPr>
            <w:tcW w:w="30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VRS Buyer, Inc.</w:t>
            </w:r>
          </w:p>
        </w:tc>
        <w:tc>
          <w:tcPr>
            <w:tcW w:w="8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11/22/2030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Road and Rail</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9.08%</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475</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8,000</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7,948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7,960</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VRS Buyer, Inc. - Unfunded Term Loan </w:t>
            </w:r>
            <w:r>
              <w:rPr>
                <w:rFonts w:ascii="Times New Roman" w:cs="Times New Roman" w:eastAsia="Times New Roman" w:hAnsi="Times New Roman"/>
                <w:sz w:val="12"/>
                <w:szCs w:val="12"/>
                <w:color w:val="auto"/>
                <w:vertAlign w:val="superscript"/>
              </w:rPr>
              <w:t>(8)</w:t>
            </w:r>
          </w:p>
        </w:tc>
        <w:tc>
          <w:tcPr>
            <w:tcW w:w="8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11/23/2026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Road and Rail</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7,644</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VRS Buyer, Inc. - Unfunded Revolver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11/22/2030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Road and Rail</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3,822</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(19)</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LLC - Term Loan </w:t>
            </w:r>
            <w:r>
              <w:rPr>
                <w:rFonts w:ascii="Times New Roman" w:cs="Times New Roman" w:eastAsia="Times New Roman" w:hAnsi="Times New Roman"/>
                <w:sz w:val="12"/>
                <w:szCs w:val="12"/>
                <w:color w:val="auto"/>
                <w:vertAlign w:val="superscript"/>
              </w:rPr>
              <w:t>(10)</w:t>
            </w:r>
          </w:p>
        </w:tc>
        <w:tc>
          <w:tcPr>
            <w:tcW w:w="8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03/01/2029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7,655</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6,547</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Unfunded Term Loan </w:t>
            </w:r>
            <w:r>
              <w:rPr>
                <w:rFonts w:ascii="Times New Roman" w:cs="Times New Roman" w:eastAsia="Times New Roman" w:hAnsi="Times New Roman"/>
                <w:sz w:val="12"/>
                <w:szCs w:val="12"/>
                <w:color w:val="auto"/>
                <w:vertAlign w:val="superscript"/>
              </w:rPr>
              <w:t>(8), (10)</w:t>
            </w:r>
          </w:p>
        </w:tc>
        <w:tc>
          <w:tcPr>
            <w:tcW w:w="8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03/01/2029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313</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(313)</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 Funded Junior Revolver </w:t>
            </w:r>
            <w:r>
              <w:rPr>
                <w:rFonts w:ascii="Times New Roman" w:cs="Times New Roman" w:eastAsia="Times New Roman" w:hAnsi="Times New Roman"/>
                <w:sz w:val="12"/>
                <w:szCs w:val="12"/>
                <w:color w:val="auto"/>
                <w:vertAlign w:val="superscript"/>
              </w:rPr>
              <w:t>(10)</w:t>
            </w:r>
          </w:p>
        </w:tc>
        <w:tc>
          <w:tcPr>
            <w:tcW w:w="8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03/01/2029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1,667</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167</w:t>
            </w:r>
          </w:p>
        </w:tc>
      </w:tr>
      <w:tr>
        <w:trPr>
          <w:trHeight w:val="121"/>
        </w:trPr>
        <w:tc>
          <w:tcPr>
            <w:tcW w:w="30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Watchtower Intermediate, LLC</w:t>
            </w:r>
          </w:p>
        </w:tc>
        <w:tc>
          <w:tcPr>
            <w:tcW w:w="8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12/03/2029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10.30%</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600</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11,076</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10,942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11,065</w:t>
            </w:r>
          </w:p>
        </w:tc>
      </w:tr>
      <w:tr>
        <w:trPr>
          <w:trHeight w:val="121"/>
        </w:trPr>
        <w:tc>
          <w:tcPr>
            <w:tcW w:w="3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Unfunded Revolver </w:t>
            </w:r>
            <w:r>
              <w:rPr>
                <w:rFonts w:ascii="Times New Roman" w:cs="Times New Roman" w:eastAsia="Times New Roman" w:hAnsi="Times New Roman"/>
                <w:sz w:val="12"/>
                <w:szCs w:val="12"/>
                <w:color w:val="auto"/>
                <w:vertAlign w:val="superscript"/>
              </w:rPr>
              <w:t>(8)</w:t>
            </w:r>
          </w:p>
        </w:tc>
        <w:tc>
          <w:tcPr>
            <w:tcW w:w="8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12/03/2029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6,300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w:t>
            </w:r>
          </w:p>
        </w:tc>
      </w:tr>
      <w:tr>
        <w:trPr>
          <w:trHeight w:val="121"/>
        </w:trPr>
        <w:tc>
          <w:tcPr>
            <w:tcW w:w="30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Wrench Group, LLC</w:t>
            </w:r>
          </w:p>
        </w:tc>
        <w:tc>
          <w:tcPr>
            <w:tcW w:w="8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10/30/2028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8.56%</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426</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3,456</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3,453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3,440</w:t>
            </w:r>
          </w:p>
        </w:tc>
      </w:tr>
      <w:tr>
        <w:trPr>
          <w:trHeight w:val="120"/>
        </w:trPr>
        <w:tc>
          <w:tcPr>
            <w:tcW w:w="3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color w:val="auto"/>
              </w:rPr>
              <w:t>Wash &amp; Wax Systems LLC</w:t>
            </w:r>
          </w:p>
        </w:tc>
        <w:tc>
          <w:tcPr>
            <w:tcW w:w="8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04/30/2028</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6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PIK 9.78%</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4,529</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4,610</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4,611</w:t>
            </w:r>
          </w:p>
        </w:tc>
      </w:tr>
      <w:tr>
        <w:trPr>
          <w:trHeight w:val="121"/>
        </w:trPr>
        <w:tc>
          <w:tcPr>
            <w:tcW w:w="30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Systems LLC -Funded Revolver</w:t>
            </w:r>
          </w:p>
        </w:tc>
        <w:tc>
          <w:tcPr>
            <w:tcW w:w="8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04/30/2028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6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PIK 9.78%</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550</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17</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Wash &amp; Wax Systems LLC -Unfunded Revolver </w:t>
            </w:r>
            <w:r>
              <w:rPr>
                <w:rFonts w:ascii="Times New Roman" w:cs="Times New Roman" w:eastAsia="Times New Roman" w:hAnsi="Times New Roman"/>
                <w:sz w:val="12"/>
                <w:szCs w:val="12"/>
                <w:color w:val="auto"/>
                <w:vertAlign w:val="superscript"/>
              </w:rPr>
              <w:t>(6) (8)</w:t>
            </w:r>
          </w:p>
        </w:tc>
        <w:tc>
          <w:tcPr>
            <w:tcW w:w="8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04/30/2028</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0"/>
                <w:szCs w:val="10"/>
                <w:color w:val="auto"/>
              </w:rPr>
            </w:pP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830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99"/>
              </w:rPr>
              <w:t>1,930,158</w:t>
            </w:r>
          </w:p>
        </w:tc>
        <w:tc>
          <w:tcPr>
            <w:tcW w:w="2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1,912,951</w:t>
            </w: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Subordinate Debt - 1.1%</w:t>
            </w:r>
          </w:p>
        </w:tc>
        <w:tc>
          <w:tcPr>
            <w:tcW w:w="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Holdings LLC</w:t>
            </w:r>
          </w:p>
        </w:tc>
        <w:tc>
          <w:tcPr>
            <w:tcW w:w="2340" w:type="dxa"/>
            <w:vAlign w:val="bottom"/>
            <w:gridSpan w:val="2"/>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06/21/2030   Healthcare Providers and Services</w:t>
            </w:r>
          </w:p>
        </w:tc>
        <w:tc>
          <w:tcPr>
            <w:tcW w:w="6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PIK 15%</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1,165</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1,154</w:t>
            </w: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color w:val="auto"/>
              </w:rPr>
              <w:t>Integrative Nutrition, LLC- Promissory Note #1</w:t>
            </w:r>
          </w:p>
        </w:tc>
        <w:tc>
          <w:tcPr>
            <w:tcW w:w="8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04/15/2030</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2,623</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2,258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2,243</w:t>
            </w: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Integrative Nutrition, LLC- Promissory Note #2</w:t>
            </w:r>
          </w:p>
        </w:tc>
        <w:tc>
          <w:tcPr>
            <w:tcW w:w="8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04/15/2033</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5,975</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2,763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2,763</w:t>
            </w: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color w:val="auto"/>
              </w:rPr>
              <w:t>ORL Holdco, Inc. - Convertible Notes</w:t>
            </w:r>
          </w:p>
        </w:tc>
        <w:tc>
          <w:tcPr>
            <w:tcW w:w="8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03/08/2028</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13</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 Unfunded Convertible Notes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03/08/2028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13</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color w:val="auto"/>
              </w:rPr>
              <w:t>OSP Embedded Aggregator, LP - Convertible Note</w:t>
            </w:r>
          </w:p>
        </w:tc>
        <w:tc>
          <w:tcPr>
            <w:tcW w:w="8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05/08/2030</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47</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471</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573</w:t>
            </w:r>
          </w:p>
        </w:tc>
      </w:tr>
      <w:tr>
        <w:trPr>
          <w:trHeight w:val="121"/>
        </w:trPr>
        <w:tc>
          <w:tcPr>
            <w:tcW w:w="30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LLC - Promissory Note</w:t>
            </w:r>
          </w:p>
        </w:tc>
        <w:tc>
          <w:tcPr>
            <w:tcW w:w="8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01/08/2026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12.93%</w:t>
            </w:r>
          </w:p>
        </w:tc>
        <w:tc>
          <w:tcPr>
            <w:tcW w:w="7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860</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66</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w:t>
            </w: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color w:val="auto"/>
              </w:rPr>
              <w:t>StoicLane, Inc. - Convertible Notes</w:t>
            </w:r>
          </w:p>
        </w:tc>
        <w:tc>
          <w:tcPr>
            <w:tcW w:w="8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08/16/2027</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2,288</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2,288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2,529</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StoicLane, Inc. - Unfunded Convertible Notes </w:t>
            </w:r>
            <w:r>
              <w:rPr>
                <w:rFonts w:ascii="Times New Roman" w:cs="Times New Roman" w:eastAsia="Times New Roman" w:hAnsi="Times New Roman"/>
                <w:sz w:val="12"/>
                <w:szCs w:val="12"/>
                <w:color w:val="auto"/>
                <w:vertAlign w:val="superscript"/>
              </w:rPr>
              <w:t>(8)</w:t>
            </w:r>
          </w:p>
        </w:tc>
        <w:tc>
          <w:tcPr>
            <w:tcW w:w="8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08/16/2027</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763</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w:t>
            </w: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color w:val="auto"/>
              </w:rPr>
              <w:t>Wash &amp; Wax Systems LLC - Holdco</w:t>
            </w:r>
          </w:p>
        </w:tc>
        <w:tc>
          <w:tcPr>
            <w:tcW w:w="8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07/30/2028</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3,021</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3,021</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3,021</w:t>
            </w: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12,032</w:t>
            </w:r>
          </w:p>
        </w:tc>
        <w:tc>
          <w:tcPr>
            <w:tcW w:w="2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12,506</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Preferred Equity - 1.7% </w:t>
            </w:r>
            <w:r>
              <w:rPr>
                <w:rFonts w:ascii="Times New Roman" w:cs="Times New Roman" w:eastAsia="Times New Roman" w:hAnsi="Times New Roman"/>
                <w:sz w:val="12"/>
                <w:szCs w:val="12"/>
                <w:color w:val="auto"/>
                <w:vertAlign w:val="superscript"/>
              </w:rPr>
              <w:t>(5)</w:t>
            </w:r>
          </w:p>
        </w:tc>
        <w:tc>
          <w:tcPr>
            <w:tcW w:w="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Accounting Platform Blocker, Inc</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1,075,900</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1,076</w:t>
            </w: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color w:val="auto"/>
              </w:rPr>
              <w:t>Ad.net Holdings, Inc.</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6,720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672</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816</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Equity (F-2)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825</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1,043</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Equity (G-2)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18</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Equity (H-2)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10</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Equity (I-2)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9</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Equity (J-2)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17</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(6), (7)</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2,018</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2,018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1,903</w:t>
            </w: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Holdings, LP</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Equipment and Supplies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1,313</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1,313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1,276</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1,437,500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3,071</w:t>
            </w: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Connatix Parent, LLC</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5,311</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228,900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223</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r>
      <w:tr>
        <w:trPr>
          <w:trHeight w:val="121"/>
        </w:trPr>
        <w:tc>
          <w:tcPr>
            <w:tcW w:w="30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Education and</w:t>
            </w: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LLC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876,386</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1,367</w:t>
            </w: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64</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116,588</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w:t>
            </w: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color w:val="auto"/>
              </w:rPr>
              <w:t>Imagine Topco, LP</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1,236,027</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1,236</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1,589</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47</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A-1 Preferred Equity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16</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31</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w:t>
            </w:r>
          </w:p>
        </w:tc>
      </w:tr>
      <w:tr>
        <w:trPr>
          <w:trHeight w:val="120"/>
        </w:trPr>
        <w:tc>
          <w:tcPr>
            <w:tcW w:w="3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color w:val="auto"/>
              </w:rPr>
              <w:t>Megawatt Acquisition Partners, LLC</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9,360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936</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597</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1,935</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1,935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2,147</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(6)</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1,327</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133</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w:t>
            </w:r>
          </w:p>
        </w:tc>
      </w:tr>
      <w:tr>
        <w:trPr>
          <w:trHeight w:val="121"/>
        </w:trPr>
        <w:tc>
          <w:tcPr>
            <w:tcW w:w="30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Textiles, Apparel and Luxury</w:t>
            </w: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Goods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122</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A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9</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18,450</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1,843</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D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19,584</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196</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w:t>
            </w: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SP L2 Holdings LLC</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135,240</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 L2 Holdings LLC - Unfunded </w:t>
            </w:r>
            <w:r>
              <w:rPr>
                <w:rFonts w:ascii="Times New Roman" w:cs="Times New Roman" w:eastAsia="Times New Roman" w:hAnsi="Times New Roman"/>
                <w:sz w:val="12"/>
                <w:szCs w:val="12"/>
                <w:color w:val="auto"/>
                <w:vertAlign w:val="superscript"/>
              </w:rPr>
              <w:t>(8)</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77,280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409</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563</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(6)</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37</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 Super Senior Preferred Equity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20.00%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320,711</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321</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596</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 Senior Preferred Equity </w:t>
            </w:r>
            <w:r>
              <w:rPr>
                <w:rFonts w:ascii="Times New Roman" w:cs="Times New Roman" w:eastAsia="Times New Roman" w:hAnsi="Times New Roman"/>
                <w:sz w:val="12"/>
                <w:szCs w:val="12"/>
                <w:color w:val="auto"/>
                <w:vertAlign w:val="superscript"/>
              </w:rPr>
              <w:t>(6)</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448,851</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449</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w:t>
            </w:r>
            <w:r>
              <w:rPr>
                <w:rFonts w:ascii="Times New Roman" w:cs="Times New Roman" w:eastAsia="Times New Roman" w:hAnsi="Times New Roman"/>
                <w:sz w:val="12"/>
                <w:szCs w:val="12"/>
                <w:color w:val="auto"/>
                <w:vertAlign w:val="superscript"/>
              </w:rPr>
              <w:t>(6)</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1,047,317</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17,488</w:t>
            </w:r>
          </w:p>
        </w:tc>
        <w:tc>
          <w:tcPr>
            <w:tcW w:w="2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18,801</w:t>
            </w:r>
          </w:p>
        </w:tc>
      </w:tr>
      <w:tr>
        <w:trPr>
          <w:trHeight w:val="120"/>
        </w:trPr>
        <w:tc>
          <w:tcPr>
            <w:tcW w:w="30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Common Equity/Warrants - 15.5% </w:t>
            </w:r>
            <w:r>
              <w:rPr>
                <w:rFonts w:ascii="Times New Roman" w:cs="Times New Roman" w:eastAsia="Times New Roman" w:hAnsi="Times New Roman"/>
                <w:sz w:val="12"/>
                <w:szCs w:val="12"/>
                <w:color w:val="auto"/>
                <w:vertAlign w:val="superscript"/>
              </w:rPr>
              <w:t>(5)</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(7)</w:t>
            </w:r>
          </w:p>
        </w:tc>
        <w:tc>
          <w:tcPr>
            <w:tcW w:w="82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647,943</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648</w:t>
            </w:r>
          </w:p>
        </w:tc>
        <w:tc>
          <w:tcPr>
            <w:tcW w:w="200" w:type="dxa"/>
            <w:vAlign w:val="bottom"/>
          </w:tcPr>
          <w:p>
            <w:pPr>
              <w:spacing w:after="0"/>
              <w:rPr>
                <w:sz w:val="10"/>
                <w:szCs w:val="10"/>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1,082</w:t>
            </w:r>
          </w:p>
        </w:tc>
      </w:tr>
      <w:tr>
        <w:trPr>
          <w:trHeight w:val="120"/>
        </w:trPr>
        <w:tc>
          <w:tcPr>
            <w:tcW w:w="30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Big Top Holdings, L.P.</w:t>
            </w:r>
          </w:p>
        </w:tc>
        <w:tc>
          <w:tcPr>
            <w:tcW w:w="82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3,000,500</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2,883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3,503</w:t>
            </w:r>
          </w:p>
        </w:tc>
      </w:tr>
      <w:tr>
        <w:trPr>
          <w:trHeight w:val="158"/>
        </w:trPr>
        <w:tc>
          <w:tcPr>
            <w:tcW w:w="30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(6)</w:t>
            </w:r>
          </w:p>
        </w:tc>
        <w:tc>
          <w:tcPr>
            <w:tcW w:w="8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7,467</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w:t>
            </w:r>
          </w:p>
        </w:tc>
        <w:tc>
          <w:tcPr>
            <w:tcW w:w="200" w:type="dxa"/>
            <w:vAlign w:val="bottom"/>
          </w:tcPr>
          <w:p>
            <w:pPr>
              <w:spacing w:after="0"/>
              <w:rPr>
                <w:sz w:val="13"/>
                <w:szCs w:val="13"/>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Spread Above</w:t>
            </w: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31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0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6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2"/>
                <w:szCs w:val="12"/>
                <w:b w:val="1"/>
                <w:bCs w:val="1"/>
                <w:color w:val="auto"/>
                <w:vertAlign w:val="superscript"/>
              </w:rPr>
              <w:t>(1)</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tcPr>
          <w:p>
            <w:pPr>
              <w:jc w:val="right"/>
              <w:ind w:right="5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Aechelon InvestCo,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29,917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2,992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9,633</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Aechelon InvestCo, LP - Unfunded </w:t>
            </w:r>
            <w:r>
              <w:rPr>
                <w:rFonts w:ascii="Times New Roman" w:cs="Times New Roman" w:eastAsia="Times New Roman" w:hAnsi="Times New Roman"/>
                <w:sz w:val="12"/>
                <w:szCs w:val="12"/>
                <w:color w:val="auto"/>
                <w:vertAlign w:val="superscript"/>
              </w:rPr>
              <w:t>(8)</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33,433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2,632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2,632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3,927</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(6), (7)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8,052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(6), (7), (8)</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1,948</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(158)</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Altamira Intermediate Company II, Inc. </w:t>
            </w:r>
            <w:r>
              <w:rPr>
                <w:rFonts w:ascii="Times New Roman" w:cs="Times New Roman" w:eastAsia="Times New Roman" w:hAnsi="Times New Roman"/>
                <w:sz w:val="12"/>
                <w:szCs w:val="12"/>
                <w:color w:val="auto"/>
                <w:vertAlign w:val="superscript"/>
              </w:rPr>
              <w:t>(6)</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1,437,500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1,474</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(6), (7)</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2,018</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4,678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5,000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3,517</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Azureon Holdings, LLC </w:t>
            </w:r>
            <w:r>
              <w:rPr>
                <w:rFonts w:ascii="Times New Roman" w:cs="Times New Roman" w:eastAsia="Times New Roman" w:hAnsi="Times New Roman"/>
                <w:sz w:val="12"/>
                <w:szCs w:val="12"/>
                <w:color w:val="auto"/>
                <w:vertAlign w:val="superscript"/>
              </w:rPr>
              <w:t>(7)</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1,130,707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w:t>
            </w: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BioDerm Holdings, LP</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Equipment and Supplies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1,313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Burgess Point Holdings,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By Light Investco LP </w:t>
            </w:r>
            <w:r>
              <w:rPr>
                <w:rFonts w:ascii="Times New Roman" w:cs="Times New Roman" w:eastAsia="Times New Roman" w:hAnsi="Times New Roman"/>
                <w:sz w:val="12"/>
                <w:szCs w:val="12"/>
                <w:color w:val="auto"/>
                <w:vertAlign w:val="superscript"/>
              </w:rPr>
              <w:t>(6), (7)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22,789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687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20,326</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Carisk Parent,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239,680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HoldCo, LLC </w:t>
            </w:r>
            <w:r>
              <w:rPr>
                <w:rFonts w:ascii="Times New Roman" w:cs="Times New Roman" w:eastAsia="Times New Roman" w:hAnsi="Times New Roman"/>
                <w:sz w:val="12"/>
                <w:szCs w:val="12"/>
                <w:color w:val="auto"/>
                <w:vertAlign w:val="superscript"/>
              </w:rPr>
              <w:t>(7)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2,719,600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2,646</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2,230</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Connatix Parent, LLC </w:t>
            </w:r>
            <w:r>
              <w:rPr>
                <w:rFonts w:ascii="Times New Roman" w:cs="Times New Roman" w:eastAsia="Times New Roman" w:hAnsi="Times New Roman"/>
                <w:sz w:val="12"/>
                <w:szCs w:val="12"/>
                <w:color w:val="auto"/>
                <w:vertAlign w:val="superscript"/>
              </w:rPr>
              <w:t>(6)</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182,141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1,025,476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973</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769</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Crane 1 Acquisition Parent Holdings, L.P. </w:t>
            </w:r>
            <w:r>
              <w:rPr>
                <w:rFonts w:ascii="Times New Roman" w:cs="Times New Roman" w:eastAsia="Times New Roman" w:hAnsi="Times New Roman"/>
                <w:sz w:val="12"/>
                <w:szCs w:val="12"/>
                <w:color w:val="auto"/>
                <w:vertAlign w:val="superscript"/>
              </w:rPr>
              <w:t>(6)</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w:t>
            </w:r>
            <w:r>
              <w:rPr>
                <w:rFonts w:ascii="Times New Roman" w:cs="Times New Roman" w:eastAsia="Times New Roman" w:hAnsi="Times New Roman"/>
                <w:sz w:val="12"/>
                <w:szCs w:val="12"/>
                <w:color w:val="auto"/>
                <w:vertAlign w:val="superscript"/>
              </w:rPr>
              <w:t>(7)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1,659,050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1,659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1,001</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(6), (7)</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804,615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763</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1,271</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 Unfunded </w:t>
            </w:r>
            <w:r>
              <w:rPr>
                <w:rFonts w:ascii="Times New Roman" w:cs="Times New Roman" w:eastAsia="Times New Roman" w:hAnsi="Times New Roman"/>
                <w:sz w:val="12"/>
                <w:szCs w:val="12"/>
                <w:color w:val="auto"/>
                <w:vertAlign w:val="superscript"/>
              </w:rPr>
              <w:t>(6), (7), (8)</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200,255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DUGGAL EQUITY,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Marketing Services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686</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686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697</w:t>
            </w:r>
          </w:p>
        </w:tc>
      </w:tr>
      <w:tr>
        <w:trPr>
          <w:trHeight w:val="121"/>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w:t>
            </w: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(6), (9)</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Estate</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226</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574</w:t>
            </w:r>
          </w:p>
        </w:tc>
      </w:tr>
      <w:tr>
        <w:trPr>
          <w:trHeight w:val="121"/>
        </w:trPr>
        <w:tc>
          <w:tcPr>
            <w:tcW w:w="31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0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EDS Topco,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1,125,000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1,818</w:t>
            </w: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Events TopCo, LP</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1,016,800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1,017</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1,168</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Exigo, LLC</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541,667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611</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(6), (7)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22,671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3,043</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 Unfunded </w:t>
            </w:r>
            <w:r>
              <w:rPr>
                <w:rFonts w:ascii="Times New Roman" w:cs="Times New Roman" w:eastAsia="Times New Roman" w:hAnsi="Times New Roman"/>
                <w:sz w:val="12"/>
                <w:szCs w:val="12"/>
                <w:color w:val="auto"/>
                <w:vertAlign w:val="superscript"/>
              </w:rPr>
              <w:t>(6), (7), (8)</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3,721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First Medical Holdings, LLC</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75,000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655,714</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656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174</w:t>
            </w: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Gauge ETE Blocker, LLC</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374,444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Gauge Lash Coinvest LLC </w:t>
            </w:r>
            <w:r>
              <w:rPr>
                <w:rFonts w:ascii="Times New Roman" w:cs="Times New Roman" w:eastAsia="Times New Roman" w:hAnsi="Times New Roman"/>
                <w:sz w:val="12"/>
                <w:szCs w:val="12"/>
                <w:color w:val="auto"/>
                <w:vertAlign w:val="superscript"/>
              </w:rPr>
              <w:t>(6)</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2,057,387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5,006</w:t>
            </w: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Gauge Loving Tan, LP</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2,914,701</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2,915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3,459</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Gauge Schlesinger Coinvest LLC </w:t>
            </w:r>
            <w:r>
              <w:rPr>
                <w:rFonts w:ascii="Times New Roman" w:cs="Times New Roman" w:eastAsia="Times New Roman" w:hAnsi="Times New Roman"/>
                <w:sz w:val="12"/>
                <w:szCs w:val="12"/>
                <w:color w:val="auto"/>
                <w:vertAlign w:val="superscript"/>
              </w:rPr>
              <w:t>(6)</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465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216</w:t>
            </w:r>
          </w:p>
        </w:tc>
      </w:tr>
      <w:tr>
        <w:trPr>
          <w:trHeight w:val="120"/>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Independent Power and Renewable</w:t>
            </w: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GCP Boss Holdco, LLC</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Electricity Producers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2,194,800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2,195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2,634</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GCOM InvestCo LP </w:t>
            </w:r>
            <w:r>
              <w:rPr>
                <w:rFonts w:ascii="Times New Roman" w:cs="Times New Roman" w:eastAsia="Times New Roman" w:hAnsi="Times New Roman"/>
                <w:sz w:val="12"/>
                <w:szCs w:val="12"/>
                <w:color w:val="auto"/>
                <w:vertAlign w:val="superscript"/>
              </w:rPr>
              <w:t>(6)</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19,184</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3,342</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4,663</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Topco, LLC </w:t>
            </w:r>
            <w:r>
              <w:rPr>
                <w:rFonts w:ascii="Times New Roman" w:cs="Times New Roman" w:eastAsia="Times New Roman" w:hAnsi="Times New Roman"/>
                <w:sz w:val="12"/>
                <w:szCs w:val="12"/>
                <w:color w:val="auto"/>
                <w:vertAlign w:val="superscript"/>
              </w:rPr>
              <w:t>(7)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2,759,800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2,760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2,874</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GMP Hills,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4,430,843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4,431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4,830</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(6), (7)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450,000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230</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HPA SPQ Aggregator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750,399</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750</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w:t>
            </w: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HV Watterson Holdings, LLC</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100,000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Icon Partners V C,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1,896,013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1,896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1,800</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 Unfunded </w:t>
            </w:r>
            <w:r>
              <w:rPr>
                <w:rFonts w:ascii="Times New Roman" w:cs="Times New Roman" w:eastAsia="Times New Roman" w:hAnsi="Times New Roman"/>
                <w:sz w:val="12"/>
                <w:szCs w:val="12"/>
                <w:color w:val="auto"/>
                <w:vertAlign w:val="superscript"/>
              </w:rPr>
              <w:t>(6), (8)</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603,987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(30)</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Topco,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1,236,027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IHS Parent Holdngs, L.P.</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1,218,045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1,693</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Ironclad Holdco, LLC (Applied Technical Services, LLC) </w:t>
            </w:r>
            <w:r>
              <w:rPr>
                <w:rFonts w:ascii="Times New Roman" w:cs="Times New Roman" w:eastAsia="Times New Roman" w:hAnsi="Times New Roman"/>
                <w:sz w:val="12"/>
                <w:szCs w:val="12"/>
                <w:color w:val="auto"/>
                <w:vertAlign w:val="superscript"/>
              </w:rPr>
              <w:t>(6)</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6,355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668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998</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Equipment and Supplies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116,032</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2,518</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1,734,775</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1,735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w:t>
            </w: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Kinetic Purchaser, LLC - Class AA</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153,339</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359</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(6), (7)</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Energy Equipment and Services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382,353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530</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Lightspeed Investment Holdco LLC </w:t>
            </w:r>
            <w:r>
              <w:rPr>
                <w:rFonts w:ascii="Times New Roman" w:cs="Times New Roman" w:eastAsia="Times New Roman" w:hAnsi="Times New Roman"/>
                <w:sz w:val="12"/>
                <w:szCs w:val="12"/>
                <w:color w:val="auto"/>
                <w:vertAlign w:val="superscript"/>
              </w:rPr>
              <w:t>(6)</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585,587</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586</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2,178</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1,638,043</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1,638</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2,539</w:t>
            </w: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Lucky Bucks, LLC</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73,870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2,062</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Marketplace Events Holdings,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40,990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4,099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4,492</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w:t>
            </w:r>
            <w:r>
              <w:rPr>
                <w:rFonts w:ascii="Times New Roman" w:cs="Times New Roman" w:eastAsia="Times New Roman" w:hAnsi="Times New Roman"/>
                <w:sz w:val="12"/>
                <w:szCs w:val="12"/>
                <w:color w:val="auto"/>
                <w:vertAlign w:val="superscript"/>
              </w:rPr>
              <w:t>(7)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46,974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w:t>
            </w:r>
            <w:r>
              <w:rPr>
                <w:rFonts w:ascii="Times New Roman" w:cs="Times New Roman" w:eastAsia="Times New Roman" w:hAnsi="Times New Roman"/>
                <w:sz w:val="12"/>
                <w:szCs w:val="12"/>
                <w:color w:val="auto"/>
                <w:vertAlign w:val="superscript"/>
              </w:rPr>
              <w:t>(7)</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30,926</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MDI Aggregator, LP</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11,078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1,122</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1,195</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(7)</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819,231</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r>
      <w:tr>
        <w:trPr>
          <w:trHeight w:val="121"/>
        </w:trPr>
        <w:tc>
          <w:tcPr>
            <w:tcW w:w="3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Megawatt Acquisition Partners, LLC - Common A Equity</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1,040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w:t>
            </w:r>
            <w:r>
              <w:rPr>
                <w:rFonts w:ascii="Times New Roman" w:cs="Times New Roman" w:eastAsia="Times New Roman" w:hAnsi="Times New Roman"/>
                <w:sz w:val="12"/>
                <w:szCs w:val="12"/>
                <w:color w:val="auto"/>
                <w:vertAlign w:val="superscript"/>
              </w:rPr>
              <w:t>(6)</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1,973,370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2,005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3,572</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(6), (7)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1,494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213</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New Insight Holdings, Inc.</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158,348</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2,771</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2,766</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2,672,646</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2,673</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3,587</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NFS - CFP Holdings LLC</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1,337,017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1,337</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1,510</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(7)</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2,544</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2,525</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1,213</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(7)</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223,602</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224</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241</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(6)</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1,935</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496</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OceanSound Discovery Equity, LP (Holdco Sands Intermediate, LLC) </w:t>
            </w:r>
            <w:r>
              <w:rPr>
                <w:rFonts w:ascii="Times New Roman" w:cs="Times New Roman" w:eastAsia="Times New Roman" w:hAnsi="Times New Roman"/>
                <w:sz w:val="12"/>
                <w:szCs w:val="12"/>
                <w:color w:val="auto"/>
                <w:vertAlign w:val="superscript"/>
              </w:rPr>
              <w:t>(6), (7)</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211,940</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2,119</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2,702</w:t>
            </w:r>
          </w:p>
        </w:tc>
      </w:tr>
      <w:tr>
        <w:trPr>
          <w:trHeight w:val="120"/>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OES Co-Invest, LP - Class A</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1,560</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1,574</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1,919</w:t>
            </w:r>
          </w:p>
        </w:tc>
      </w:tr>
      <w:tr>
        <w:trPr>
          <w:trHeight w:val="120"/>
        </w:trPr>
        <w:tc>
          <w:tcPr>
            <w:tcW w:w="31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OHCP V BC COI, L.P.</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1,166,407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1,166</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688</w:t>
            </w:r>
          </w:p>
        </w:tc>
      </w:tr>
      <w:tr>
        <w:trPr>
          <w:trHeight w:val="120"/>
        </w:trPr>
        <w:tc>
          <w:tcPr>
            <w:tcW w:w="31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OHCP V BC COI, L.P. - Unfunded </w:t>
            </w:r>
            <w:r>
              <w:rPr>
                <w:rFonts w:ascii="Times New Roman" w:cs="Times New Roman" w:eastAsia="Times New Roman" w:hAnsi="Times New Roman"/>
                <w:sz w:val="12"/>
                <w:szCs w:val="12"/>
                <w:color w:val="auto"/>
                <w:vertAlign w:val="superscript"/>
              </w:rPr>
              <w:t>(8)</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83,593</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(34)</w:t>
            </w:r>
          </w:p>
        </w:tc>
      </w:tr>
      <w:tr>
        <w:trPr>
          <w:trHeight w:val="120"/>
        </w:trPr>
        <w:tc>
          <w:tcPr>
            <w:tcW w:w="31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(6)</w:t>
            </w:r>
          </w:p>
        </w:tc>
        <w:tc>
          <w:tcPr>
            <w:tcW w:w="700" w:type="dxa"/>
            <w:vAlign w:val="bottom"/>
            <w:shd w:val="clear" w:color="auto" w:fill="CCECFF"/>
          </w:tcPr>
          <w:p>
            <w:pPr>
              <w:spacing w:after="0"/>
              <w:rPr>
                <w:sz w:val="10"/>
                <w:szCs w:val="10"/>
                <w:color w:val="auto"/>
              </w:rPr>
            </w:pP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1,327</w:t>
            </w:r>
          </w:p>
        </w:tc>
        <w:tc>
          <w:tcPr>
            <w:tcW w:w="6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160" w:type="dxa"/>
            <w:vAlign w:val="bottom"/>
          </w:tcPr>
          <w:p>
            <w:pPr>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70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1,728</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1,728</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2,101</w:t>
            </w:r>
          </w:p>
        </w:tc>
      </w:tr>
    </w:tbl>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3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0"/>
        </w:trPr>
        <w:tc>
          <w:tcPr>
            <w:tcW w:w="3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9"/>
              </w:rPr>
              <w:t>Spread Above</w:t>
            </w: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3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80" w:type="dxa"/>
            <w:vAlign w:val="bottom"/>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20" w:type="dxa"/>
            <w:vAlign w:val="bottom"/>
          </w:tcPr>
          <w:p>
            <w:pPr>
              <w:jc w:val="center"/>
              <w:ind w:right="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Par / Shares</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80,170</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642</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3,160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3,171</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3,901</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Parent, LP</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423,247</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423</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444</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LP </w:t>
            </w:r>
            <w:r>
              <w:rPr>
                <w:rFonts w:ascii="Times New Roman" w:cs="Times New Roman" w:eastAsia="Times New Roman" w:hAnsi="Times New Roman"/>
                <w:sz w:val="12"/>
                <w:szCs w:val="12"/>
                <w:color w:val="auto"/>
                <w:vertAlign w:val="superscript"/>
              </w:rPr>
              <w:t>(6), (9)</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11,167,847</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11,168</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8,397</w:t>
            </w:r>
          </w:p>
        </w:tc>
      </w:tr>
      <w:tr>
        <w:trPr>
          <w:trHeight w:val="121"/>
        </w:trPr>
        <w:tc>
          <w:tcPr>
            <w:tcW w:w="320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Textiles, Apparel and Luxury</w:t>
            </w: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Goods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1,735</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1,735</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Pragmatic Institute, LLC</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18</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Project Granite Holdings, LLC</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1,139</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1,139</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1,174</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Quad (U.S.) Co-Invest, L.P.</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235,194</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235</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w:t>
            </w: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(6), (7)</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700</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 Unfunded </w:t>
            </w:r>
            <w:r>
              <w:rPr>
                <w:rFonts w:ascii="Times New Roman" w:cs="Times New Roman" w:eastAsia="Times New Roman" w:hAnsi="Times New Roman"/>
                <w:sz w:val="12"/>
                <w:szCs w:val="12"/>
                <w:color w:val="auto"/>
                <w:vertAlign w:val="superscript"/>
              </w:rPr>
              <w:t>(6), (7) (8)</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955</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(6), (7)</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40</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RFMG Parent, LP (Rancho Health MSO, Inc.) </w:t>
            </w:r>
            <w:r>
              <w:rPr>
                <w:rFonts w:ascii="Times New Roman" w:cs="Times New Roman" w:eastAsia="Times New Roman" w:hAnsi="Times New Roman"/>
                <w:sz w:val="12"/>
                <w:szCs w:val="12"/>
                <w:color w:val="auto"/>
                <w:vertAlign w:val="superscript"/>
              </w:rPr>
              <w:t>(6)</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Equipment and Supplies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1,050,000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1,050</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1,383</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Ro Health Holdings, Inc.</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536,400</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536</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713</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MidCo, LLC </w:t>
            </w:r>
            <w:r>
              <w:rPr>
                <w:rFonts w:ascii="Times New Roman" w:cs="Times New Roman" w:eastAsia="Times New Roman" w:hAnsi="Times New Roman"/>
                <w:sz w:val="12"/>
                <w:szCs w:val="12"/>
                <w:color w:val="auto"/>
                <w:vertAlign w:val="superscript"/>
              </w:rPr>
              <w:t>(7)</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Building Products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641</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641</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640</w:t>
            </w: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SBI Holdings Investments LLC (Sales Benchmark Index LLC) </w:t>
            </w:r>
            <w:r>
              <w:rPr>
                <w:rFonts w:ascii="Times New Roman" w:cs="Times New Roman" w:eastAsia="Times New Roman" w:hAnsi="Times New Roman"/>
                <w:sz w:val="12"/>
                <w:szCs w:val="12"/>
                <w:color w:val="auto"/>
                <w:vertAlign w:val="superscript"/>
              </w:rPr>
              <w:t>(6)</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64,634</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646</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Sabel InvestCo, LP </w:t>
            </w:r>
            <w:r>
              <w:rPr>
                <w:rFonts w:ascii="Times New Roman" w:cs="Times New Roman" w:eastAsia="Times New Roman" w:hAnsi="Times New Roman"/>
                <w:sz w:val="12"/>
                <w:szCs w:val="12"/>
                <w:color w:val="auto"/>
                <w:vertAlign w:val="superscript"/>
              </w:rPr>
              <w:t>(7)</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Government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87,524</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2,271</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2,896</w:t>
            </w: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Sabel InvestCo, LP - Unfunded </w:t>
            </w:r>
            <w:r>
              <w:rPr>
                <w:rFonts w:ascii="Times New Roman" w:cs="Times New Roman" w:eastAsia="Times New Roman" w:hAnsi="Times New Roman"/>
                <w:sz w:val="12"/>
                <w:szCs w:val="12"/>
                <w:color w:val="auto"/>
                <w:vertAlign w:val="superscript"/>
              </w:rPr>
              <w:t>(7)</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2"/>
                <w:szCs w:val="12"/>
                <w:color w:val="auto"/>
                <w:vertAlign w:val="superscript"/>
              </w:rPr>
              <w:t>(8)</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Government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131,286</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Seaway Topco, LP</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296</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296</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Seacoast Service Partners, LLC - Equity Co-Invest</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429</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549</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462</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SP L2 Holdings, LLC (Ledge Lounger, Inc.)</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360,103</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360</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SSC Dominion Holdings, LLC - Class B (US Dominion, Inc.) </w:t>
            </w:r>
            <w:r>
              <w:rPr>
                <w:rFonts w:ascii="Times New Roman" w:cs="Times New Roman" w:eastAsia="Times New Roman" w:hAnsi="Times New Roman"/>
                <w:sz w:val="12"/>
                <w:szCs w:val="12"/>
                <w:color w:val="auto"/>
                <w:vertAlign w:val="superscript"/>
              </w:rPr>
              <w:t>(6)</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12</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1,453</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StellPen Holdings, LLC (CF512, Inc.) </w:t>
            </w:r>
            <w:r>
              <w:rPr>
                <w:rFonts w:ascii="Times New Roman" w:cs="Times New Roman" w:eastAsia="Times New Roman" w:hAnsi="Times New Roman"/>
                <w:sz w:val="12"/>
                <w:szCs w:val="12"/>
                <w:color w:val="auto"/>
                <w:vertAlign w:val="superscript"/>
              </w:rPr>
              <w:t>(6)</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161,538</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162</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w:t>
            </w: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61</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529</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1,487</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(6), (7)</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533,833</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502</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1,206</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TCG 3.0 Jogger Co-Invest, LP</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9,108</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1,760</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1,080</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(Infolinks Media Buyco, LLC) </w:t>
            </w:r>
            <w:r>
              <w:rPr>
                <w:rFonts w:ascii="Times New Roman" w:cs="Times New Roman" w:eastAsia="Times New Roman" w:hAnsi="Times New Roman"/>
                <w:sz w:val="12"/>
                <w:szCs w:val="12"/>
                <w:color w:val="auto"/>
                <w:vertAlign w:val="superscript"/>
              </w:rPr>
              <w:t>(7)</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223,137</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380</w:t>
            </w: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Tower Arch Infolinks Media, LP (Infolinks Media Buyco, LLC) </w:t>
            </w:r>
            <w:r>
              <w:rPr>
                <w:rFonts w:ascii="Times New Roman" w:cs="Times New Roman" w:eastAsia="Times New Roman" w:hAnsi="Times New Roman"/>
                <w:sz w:val="12"/>
                <w:szCs w:val="12"/>
                <w:color w:val="auto"/>
                <w:vertAlign w:val="superscript"/>
              </w:rPr>
              <w:t>(7) (8)</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142,469</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(6)</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409</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(6)</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37</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Tinicum Space Coast Co-Invest, LLC </w:t>
            </w:r>
            <w:r>
              <w:rPr>
                <w:rFonts w:ascii="Times New Roman" w:cs="Times New Roman" w:eastAsia="Times New Roman" w:hAnsi="Times New Roman"/>
                <w:sz w:val="12"/>
                <w:szCs w:val="12"/>
                <w:color w:val="auto"/>
                <w:vertAlign w:val="superscript"/>
              </w:rPr>
              <w:t>(7)</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466</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4,702</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5,186</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UniTek Global Services, Inc.(C)</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213,739</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(6), (7)</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400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Partners Co., L.P.</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694,444</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694</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1,229</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Walker Edison Holdco LLC</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36,458</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3,450</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Systems LLC - Class A common Equity</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1,973</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3,521</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3,619</w:t>
            </w:r>
          </w:p>
        </w:tc>
      </w:tr>
      <w:tr>
        <w:trPr>
          <w:trHeight w:val="121"/>
        </w:trPr>
        <w:tc>
          <w:tcPr>
            <w:tcW w:w="3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(7)</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12,419</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1,242</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1,204</w:t>
            </w: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208</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208</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245</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(7)</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3,754</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3,793</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4,433</w:t>
            </w: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(7) (8)</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246</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UniTek Global Services, Inc.(W)</w:t>
            </w:r>
          </w:p>
        </w:tc>
        <w:tc>
          <w:tcPr>
            <w:tcW w:w="68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23,889</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87,345</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914</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Common Equity/Warrants</w:t>
            </w: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133,757</w:t>
            </w: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168,318</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 Companies</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99"/>
              </w:rPr>
              <w:t>2,093,435</w:t>
            </w:r>
          </w:p>
        </w:tc>
        <w:tc>
          <w:tcPr>
            <w:tcW w:w="1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2,112,576</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Investments in Controlled, Affiliated Portfolio Companies - 26.8% </w:t>
            </w:r>
            <w:r>
              <w:rPr>
                <w:rFonts w:ascii="Times New Roman" w:cs="Times New Roman" w:eastAsia="Times New Roman" w:hAnsi="Times New Roman"/>
                <w:sz w:val="12"/>
                <w:szCs w:val="12"/>
                <w:color w:val="auto"/>
                <w:vertAlign w:val="superscript"/>
              </w:rPr>
              <w:t>(3), (4)</w:t>
            </w: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- 21.9%</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r>
      <w:tr>
        <w:trPr>
          <w:trHeight w:val="120"/>
        </w:trPr>
        <w:tc>
          <w:tcPr>
            <w:tcW w:w="3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3M SOFR+</w:t>
            </w: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(6), (9)</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05/07/2029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12.29%</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800</w:t>
            </w: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237,650</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237,650</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237,650</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237,650</w:t>
            </w:r>
          </w:p>
        </w:tc>
        <w:tc>
          <w:tcPr>
            <w:tcW w:w="1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237,650</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Equity Interests - 4.9%</w:t>
            </w: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0"/>
        </w:trPr>
        <w:tc>
          <w:tcPr>
            <w:tcW w:w="32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(6), (9)</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6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123,725</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123,725</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53,289</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Equity Interests</w:t>
            </w: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123,725</w:t>
            </w: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53,289</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361,375</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290,939</w:t>
            </w:r>
          </w:p>
        </w:tc>
      </w:tr>
      <w:tr>
        <w:trPr>
          <w:trHeight w:val="120"/>
        </w:trPr>
        <w:tc>
          <w:tcPr>
            <w:tcW w:w="320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Total Investments - 221.0%</w:t>
            </w:r>
            <w:r>
              <w:rPr>
                <w:rFonts w:ascii="Times New Roman" w:cs="Times New Roman" w:eastAsia="Times New Roman" w:hAnsi="Times New Roman"/>
                <w:sz w:val="12"/>
                <w:szCs w:val="12"/>
                <w:color w:val="auto"/>
                <w:vertAlign w:val="superscript"/>
              </w:rPr>
              <w:t>(11)</w:t>
            </w: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99"/>
              </w:rPr>
              <w:t>2,454,810</w:t>
            </w: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2,403,515</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- 9.4%</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4.19%</w:t>
            </w:r>
          </w:p>
        </w:tc>
        <w:tc>
          <w:tcPr>
            <w:tcW w:w="7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7,140</w:t>
            </w: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7,140</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Blackrock Liq Fedfund Gov CL Inst</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13,874</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13,874</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JPMorgan US Dollar Liquidity Inst</w:t>
            </w: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w:t>
            </w: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5,985</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5,985</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JPMorgan U.S. Government Money Market Fund class agency</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4.08%</w:t>
            </w: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3,220</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3,220</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Goldman Sachs Financial Square Government Fund</w:t>
            </w: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4.19%</w:t>
            </w: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8,965</w:t>
            </w:r>
          </w:p>
        </w:tc>
        <w:tc>
          <w:tcPr>
            <w:tcW w:w="180" w:type="dxa"/>
            <w:vAlign w:val="bottom"/>
          </w:tcPr>
          <w:p>
            <w:pPr>
              <w:spacing w:after="0"/>
              <w:rPr>
                <w:sz w:val="10"/>
                <w:szCs w:val="10"/>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8,965</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Non-Money Market Cash</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63,542</w:t>
            </w: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63,546</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102,726</w:t>
            </w: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102,730</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- 230.5%</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99"/>
              </w:rPr>
              <w:t>2,557,536</w:t>
            </w:r>
          </w:p>
        </w:tc>
        <w:tc>
          <w:tcPr>
            <w:tcW w:w="1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2,506,245</w:t>
            </w:r>
          </w:p>
        </w:tc>
      </w:tr>
      <w:tr>
        <w:trPr>
          <w:trHeight w:val="120"/>
        </w:trPr>
        <w:tc>
          <w:tcPr>
            <w:tcW w:w="3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(130.5)%</w:t>
            </w:r>
          </w:p>
        </w:tc>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(1,418,732)</w:t>
            </w:r>
          </w:p>
        </w:tc>
      </w:tr>
      <w:tr>
        <w:trPr>
          <w:trHeight w:val="120"/>
        </w:trPr>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Net Assets - 100%</w:t>
            </w:r>
          </w:p>
        </w:tc>
        <w:tc>
          <w:tcPr>
            <w:tcW w:w="68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1,087,513</w:t>
            </w:r>
          </w:p>
        </w:tc>
      </w:tr>
    </w:tbl>
    <w:p>
      <w:pPr>
        <w:ind w:left="60"/>
        <w:spacing w:after="0"/>
        <w:rPr>
          <w:sz w:val="20"/>
          <w:szCs w:val="20"/>
          <w:color w:val="auto"/>
        </w:rPr>
      </w:pPr>
      <w:r>
        <w:rPr>
          <w:rFonts w:ascii="Times New Roman" w:cs="Times New Roman" w:eastAsia="Times New Roman" w:hAnsi="Times New Roman"/>
          <w:sz w:val="16"/>
          <w:szCs w:val="16"/>
          <w:color w:val="auto"/>
        </w:rPr>
        <w:t>—————</w:t>
      </w:r>
    </w:p>
    <w:p>
      <w:pPr>
        <w:spacing w:after="0" w:line="6" w:lineRule="exact"/>
        <w:rPr>
          <w:sz w:val="20"/>
          <w:szCs w:val="20"/>
          <w:color w:val="auto"/>
        </w:rPr>
      </w:pPr>
    </w:p>
    <w:p>
      <w:pPr>
        <w:ind w:left="60" w:right="100"/>
        <w:spacing w:after="0" w:line="234"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payment-in-kind, or "PIK", interest and other fee rates, if any.</w:t>
      </w:r>
    </w:p>
    <w:p>
      <w:pPr>
        <w:ind w:left="60"/>
        <w:spacing w:after="0" w:line="208"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our accounting policy. The value of all securities was determined using significant unobservable inputs.</w:t>
      </w:r>
    </w:p>
    <w:p>
      <w:pPr>
        <w:ind w:left="60" w:right="180"/>
        <w:spacing w:after="0" w:line="216"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sz w:val="20"/>
          <w:szCs w:val="20"/>
          <w:color w:val="auto"/>
        </w:rPr>
      </w:pPr>
    </w:p>
    <w:p>
      <w:pPr>
        <w:ind w:left="60" w:right="400"/>
        <w:spacing w:after="0" w:line="219"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60"/>
        <w:spacing w:after="0"/>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1"/>
          <w:szCs w:val="11"/>
          <w:color w:val="auto"/>
        </w:rPr>
        <w:t>Non-income producing securities.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60" w:lineRule="exact"/>
        <w:rPr>
          <w:sz w:val="20"/>
          <w:szCs w:val="20"/>
          <w:color w:val="auto"/>
        </w:rPr>
      </w:pPr>
    </w:p>
    <w:p>
      <w:pPr>
        <w:ind w:left="60" w:right="280"/>
        <w:spacing w:after="0" w:line="224" w:lineRule="auto"/>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1"/>
          <w:szCs w:val="11"/>
          <w:color w:val="auto"/>
        </w:rPr>
        <w:t>The securities, or a portion thereof, are not 1) pledged as collateral under the Credit Facility and held through Funding I; or, 2) securing the 2036-R Asset-Backed Debt and held through PennantPark CLO I, Ltd; or 3) 2036 Asset-Backed Debt and held through PennantPark CLO VIII, Ltd. or 4) 2037 Asset-Backed Debt and held through PennantPark CLO 11, LLC.</w:t>
      </w:r>
    </w:p>
    <w:p>
      <w:pPr>
        <w:ind w:left="60"/>
        <w:spacing w:after="0" w:line="207" w:lineRule="auto"/>
        <w:rPr>
          <w:sz w:val="20"/>
          <w:szCs w:val="20"/>
          <w:color w:val="auto"/>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1"/>
          <w:szCs w:val="11"/>
          <w:color w:val="auto"/>
        </w:rPr>
        <w:t>Investment is held through our Taxable Subsidiary.</w:t>
      </w:r>
    </w:p>
    <w:p>
      <w:pPr>
        <w:ind w:left="60" w:right="160"/>
        <w:spacing w:after="0" w:line="216" w:lineRule="auto"/>
        <w:rPr>
          <w:sz w:val="20"/>
          <w:szCs w:val="20"/>
          <w:color w:val="auto"/>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 w:lineRule="exact"/>
        <w:rPr>
          <w:sz w:val="20"/>
          <w:szCs w:val="20"/>
          <w:color w:val="auto"/>
        </w:rPr>
      </w:pPr>
    </w:p>
    <w:p>
      <w:pPr>
        <w:ind w:left="60" w:right="320"/>
        <w:spacing w:after="0" w:line="233" w:lineRule="auto"/>
        <w:rPr>
          <w:sz w:val="20"/>
          <w:szCs w:val="20"/>
          <w:color w:val="auto"/>
        </w:rPr>
      </w:pPr>
      <w:r>
        <w:rPr>
          <w:rFonts w:ascii="Times New Roman" w:cs="Times New Roman" w:eastAsia="Times New Roman" w:hAnsi="Times New Roman"/>
          <w:sz w:val="20"/>
          <w:szCs w:val="20"/>
          <w:color w:val="auto"/>
          <w:vertAlign w:val="superscript"/>
        </w:rPr>
        <w:t>(9)</w:t>
      </w:r>
      <w:r>
        <w:rPr>
          <w:rFonts w:ascii="Times New Roman" w:cs="Times New Roman" w:eastAsia="Times New Roman" w:hAnsi="Times New Roman"/>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2025, qualifying assets represent 88% of our total assets and non-qualifying assets represent 12% of our total assets.</w:t>
      </w:r>
    </w:p>
    <w:p>
      <w:pPr>
        <w:ind w:left="60"/>
        <w:spacing w:after="0" w:line="207" w:lineRule="auto"/>
        <w:rPr>
          <w:sz w:val="20"/>
          <w:szCs w:val="20"/>
          <w:color w:val="auto"/>
        </w:rPr>
      </w:pPr>
      <w:r>
        <w:rPr>
          <w:rFonts w:ascii="Times New Roman" w:cs="Times New Roman" w:eastAsia="Times New Roman" w:hAnsi="Times New Roman"/>
          <w:sz w:val="21"/>
          <w:szCs w:val="21"/>
          <w:color w:val="auto"/>
          <w:vertAlign w:val="superscript"/>
        </w:rPr>
        <w:t>(10)</w:t>
      </w:r>
      <w:r>
        <w:rPr>
          <w:rFonts w:ascii="Times New Roman" w:cs="Times New Roman" w:eastAsia="Times New Roman" w:hAnsi="Times New Roman"/>
          <w:sz w:val="11"/>
          <w:szCs w:val="11"/>
          <w:color w:val="auto"/>
        </w:rPr>
        <w:t>Non-accrual security.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vertAlign w:val="superscript"/>
        </w:rPr>
        <w:t>(11)</w:t>
      </w:r>
      <w:r>
        <w:rPr>
          <w:rFonts w:ascii="Times New Roman" w:cs="Times New Roman" w:eastAsia="Times New Roman" w:hAnsi="Times New Roman"/>
          <w:sz w:val="11"/>
          <w:szCs w:val="11"/>
          <w:color w:val="auto"/>
        </w:rPr>
        <w:t>As of June 30, 2025, all investments are in U.S. companies.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2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2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4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9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0"/>
                <w:szCs w:val="10"/>
                <w:color w:val="auto"/>
              </w:rPr>
            </w:pP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40" w:type="dxa"/>
            <w:vAlign w:val="bottom"/>
          </w:tcPr>
          <w:p>
            <w:pPr>
              <w:spacing w:after="0"/>
              <w:rPr>
                <w:sz w:val="10"/>
                <w:szCs w:val="10"/>
                <w:color w:val="auto"/>
              </w:rPr>
            </w:pPr>
          </w:p>
        </w:tc>
        <w:tc>
          <w:tcPr>
            <w:tcW w:w="72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r>
      <w:tr>
        <w:trPr>
          <w:trHeight w:val="12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Investments in Non-Controlled, Non-Affiliated Portfolio</w:t>
            </w:r>
          </w:p>
        </w:tc>
        <w:tc>
          <w:tcPr>
            <w:tcW w:w="700" w:type="dxa"/>
            <w:vAlign w:val="bottom"/>
            <w:shd w:val="clear" w:color="auto" w:fill="CCECFF"/>
          </w:tcPr>
          <w:p>
            <w:pPr>
              <w:spacing w:after="0"/>
              <w:rPr>
                <w:sz w:val="10"/>
                <w:szCs w:val="10"/>
                <w:color w:val="auto"/>
              </w:rPr>
            </w:pPr>
          </w:p>
        </w:tc>
        <w:tc>
          <w:tcPr>
            <w:tcW w:w="16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Companies - 186.1% </w:t>
            </w:r>
            <w:r>
              <w:rPr>
                <w:rFonts w:ascii="Times New Roman" w:cs="Times New Roman" w:eastAsia="Times New Roman" w:hAnsi="Times New Roman"/>
                <w:sz w:val="12"/>
                <w:szCs w:val="12"/>
                <w:color w:val="auto"/>
                <w:vertAlign w:val="superscript"/>
              </w:rPr>
              <w:t>(3), (4)</w:t>
            </w:r>
          </w:p>
        </w:tc>
        <w:tc>
          <w:tcPr>
            <w:tcW w:w="700" w:type="dxa"/>
            <w:vAlign w:val="bottom"/>
            <w:shd w:val="clear" w:color="auto" w:fill="CCECFF"/>
          </w:tcPr>
          <w:p>
            <w:pPr>
              <w:spacing w:after="0"/>
              <w:rPr>
                <w:sz w:val="10"/>
                <w:szCs w:val="10"/>
                <w:color w:val="auto"/>
              </w:rPr>
            </w:pPr>
          </w:p>
        </w:tc>
        <w:tc>
          <w:tcPr>
            <w:tcW w:w="16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- 167.8%</w:t>
            </w:r>
          </w:p>
        </w:tc>
        <w:tc>
          <w:tcPr>
            <w:tcW w:w="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A1 Garage Merger Sub,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10.95%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SOFR+610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1,579</w:t>
            </w:r>
          </w:p>
        </w:tc>
        <w:tc>
          <w:tcPr>
            <w:tcW w:w="2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1,559</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1,579</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 Unfunded Term Loan </w:t>
            </w:r>
            <w:r>
              <w:rPr>
                <w:rFonts w:ascii="Times New Roman" w:cs="Times New Roman" w:eastAsia="Times New Roman" w:hAnsi="Times New Roman"/>
                <w:sz w:val="12"/>
                <w:szCs w:val="12"/>
                <w:color w:val="auto"/>
                <w:vertAlign w:val="superscript"/>
              </w:rPr>
              <w:t>(9)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453</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A1 Garage Merger Sub, LLC (Revolver) </w:t>
            </w:r>
            <w:r>
              <w:rPr>
                <w:rFonts w:ascii="Times New Roman" w:cs="Times New Roman" w:eastAsia="Times New Roman" w:hAnsi="Times New Roman"/>
                <w:sz w:val="12"/>
                <w:szCs w:val="12"/>
                <w:color w:val="auto"/>
                <w:vertAlign w:val="superscript"/>
              </w:rPr>
              <w:t>(7), (9)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748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ACP Avenu Buyer,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10.58%</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14,121</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13,905</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13,662</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 Unfunded Term Loan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04/02/2025</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5,621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(105)</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ACP Avenu Buyer, LLC - Funded Revolver</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9.85%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847</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847</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Avenu Buyer, LLC (Revolver) </w:t>
            </w:r>
            <w:r>
              <w:rPr>
                <w:rFonts w:ascii="Times New Roman" w:cs="Times New Roman" w:eastAsia="Times New Roman" w:hAnsi="Times New Roman"/>
                <w:sz w:val="12"/>
                <w:szCs w:val="12"/>
                <w:color w:val="auto"/>
                <w:vertAlign w:val="superscript"/>
              </w:rPr>
              <w:t>(7), (9)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2,960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(96)</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ACP Falcon Buyer, LLC (Revolver) </w:t>
            </w:r>
            <w:r>
              <w:rPr>
                <w:rFonts w:ascii="Times New Roman" w:cs="Times New Roman" w:eastAsia="Times New Roman" w:hAnsi="Times New Roman"/>
                <w:sz w:val="12"/>
                <w:szCs w:val="12"/>
                <w:color w:val="auto"/>
                <w:vertAlign w:val="superscript"/>
              </w:rPr>
              <w:t>(7), (9)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08/01/2029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3,096</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Ad.net Acquisition,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10.93%</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SOFR+626</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4,838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4,808</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Ad.net Acquisition, LLC - Funded Revolver</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10.93%</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SOFR+626</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498</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498</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 (9)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747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Aechelon Technology,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12.35%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14,000</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13,862</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13,719</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Aechelon Technology, Inc. - Unfunded Revolver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3,104</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(62)</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Aeronix,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9.85%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32,753</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32,332</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32,753</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Aeronix, Inc. - (Revolver)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6,099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AFC Dell Holding Corp.</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10.49%</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28,494</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28,420</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28,209</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Dell Holding Corp. - Unfunded Term Loan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7,460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(75)</w:t>
            </w:r>
          </w:p>
        </w:tc>
      </w:tr>
      <w:tr>
        <w:trPr>
          <w:trHeight w:val="121"/>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Amsive Holding Corporation (f/k/a Vision Purchaser</w:t>
            </w:r>
          </w:p>
        </w:tc>
        <w:tc>
          <w:tcPr>
            <w:tcW w:w="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Corporation)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06/10/2025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10.75%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13,813</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13,765</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13,675</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10.50%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SOFR+590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13,005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12,845</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13,005</w:t>
            </w:r>
          </w:p>
        </w:tc>
      </w:tr>
      <w:tr>
        <w:trPr>
          <w:trHeight w:val="121"/>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w w:val="99"/>
              </w:rPr>
              <w:t>Anteriad, LLC (f/k/a MeritDirect, LLC) - Incremental Term</w:t>
            </w:r>
          </w:p>
        </w:tc>
        <w:tc>
          <w:tcPr>
            <w:tcW w:w="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Loan</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10.50%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SOFR+590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2,098</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2,085</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2,097</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Anteriad, LLC (f/k/a MeritDirect, LLC) - (Revolver)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2,869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10.50%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SOFR+590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12,597</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12,486</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12,408</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w w:val="99"/>
              </w:rPr>
              <w:t xml:space="preserve">Applied Technical Services, LLC - Unfunded Term Loan </w:t>
            </w:r>
            <w:r>
              <w:rPr>
                <w:rFonts w:ascii="Times New Roman" w:cs="Times New Roman" w:eastAsia="Times New Roman" w:hAnsi="Times New Roman"/>
                <w:sz w:val="12"/>
                <w:szCs w:val="12"/>
                <w:color w:val="auto"/>
                <w:w w:val="99"/>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07/17/2025</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3,990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(20)</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Applied Technical Services, LLC (Revolver)</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12.75%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SOFR+475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1,441</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1,441</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1,420</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852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Arcfield Acquisition Corp. (Revolver)</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08/03/2029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11.56%</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SOFR+625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5,951</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5,869</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5,921</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(7),(9)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08/04/2028</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1,379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Archer Lewis,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10.83%</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21,700</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21,485</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21,266</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A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08/28/2025</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13,280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(133)</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Term Loan B </w:t>
            </w:r>
            <w:r>
              <w:rPr>
                <w:rFonts w:ascii="Times New Roman" w:cs="Times New Roman" w:eastAsia="Times New Roman" w:hAnsi="Times New Roman"/>
                <w:sz w:val="12"/>
                <w:szCs w:val="12"/>
                <w:color w:val="auto"/>
                <w:vertAlign w:val="superscript"/>
              </w:rPr>
              <w:t>(9)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21,267</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(213)</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Archer Lewis, LLC - Unfunded Revolver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3,252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(65)</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ARGANO,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09/13/2029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10.85%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35,768</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35,411</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35,409</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Term Loan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03/13/2025</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8,907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ARGANO, LLC – Unfunded Revolver </w:t>
            </w:r>
            <w:r>
              <w:rPr>
                <w:rFonts w:ascii="Times New Roman" w:cs="Times New Roman" w:eastAsia="Times New Roman" w:hAnsi="Times New Roman"/>
                <w:sz w:val="12"/>
                <w:szCs w:val="12"/>
                <w:color w:val="auto"/>
                <w:vertAlign w:val="superscript"/>
              </w:rPr>
              <w:t>(9)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09/13/2029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1,421</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Support Service,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06/21/2029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10.10%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25,067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24,725</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24,691</w:t>
            </w:r>
          </w:p>
        </w:tc>
      </w:tr>
      <w:tr>
        <w:trPr>
          <w:trHeight w:val="120"/>
        </w:trPr>
        <w:tc>
          <w:tcPr>
            <w:tcW w:w="2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(PIK 15.00%)</w:t>
            </w: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Support Service, LLC - Unfunded Term</w:t>
            </w:r>
          </w:p>
        </w:tc>
        <w:tc>
          <w:tcPr>
            <w:tcW w:w="700" w:type="dxa"/>
            <w:vAlign w:val="bottom"/>
            <w:shd w:val="clear" w:color="auto" w:fill="CCECFF"/>
          </w:tcPr>
          <w:p>
            <w:pPr>
              <w:spacing w:after="0"/>
              <w:rPr>
                <w:sz w:val="10"/>
                <w:szCs w:val="10"/>
                <w:color w:val="auto"/>
              </w:rPr>
            </w:pPr>
          </w:p>
        </w:tc>
        <w:tc>
          <w:tcPr>
            <w:tcW w:w="16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Loan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12/21/2025</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7,565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(38)</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Beacon Behavioral Support Service, LLC - Unfunded</w:t>
            </w:r>
          </w:p>
        </w:tc>
        <w:tc>
          <w:tcPr>
            <w:tcW w:w="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Revolver </w:t>
            </w:r>
            <w:r>
              <w:rPr>
                <w:rFonts w:ascii="Times New Roman" w:cs="Times New Roman" w:eastAsia="Times New Roman" w:hAnsi="Times New Roman"/>
                <w:sz w:val="12"/>
                <w:szCs w:val="12"/>
                <w:color w:val="auto"/>
                <w:vertAlign w:val="superscript"/>
              </w:rPr>
              <w:t>(9)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06/21/2029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2,434</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(37)</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07/01/2029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19,806</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19,212</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19,212</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Big Top Holdings,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02/28/2030</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11.10%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SOFR+625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30,873</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30,358</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30,873</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Big Top Holdings, LLC - (Revolver)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02/28/2030</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4,479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BioDerm, Inc. (Revolver)</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11.70%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589</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589</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582</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(7), (9)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10.90%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SOFR+640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8,206</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8,143</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8,064</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Blackhawk Industrial Distribution, Inc. - Unfunded Term</w:t>
            </w:r>
          </w:p>
        </w:tc>
        <w:tc>
          <w:tcPr>
            <w:tcW w:w="700" w:type="dxa"/>
            <w:vAlign w:val="bottom"/>
            <w:shd w:val="clear" w:color="auto" w:fill="CCECFF"/>
          </w:tcPr>
          <w:p>
            <w:pPr>
              <w:spacing w:after="0"/>
              <w:rPr>
                <w:sz w:val="10"/>
                <w:szCs w:val="10"/>
                <w:color w:val="auto"/>
              </w:rPr>
            </w:pPr>
          </w:p>
        </w:tc>
        <w:tc>
          <w:tcPr>
            <w:tcW w:w="16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Loan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1,893</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(14)</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11.04%</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SOFR+640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874</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874</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859</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Blackhawk Industrial Distribution, Inc.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3,009</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(51)</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10.60%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SOFR+600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6,462</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6,422</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6,332</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Broder Bros., Co.</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12/04/2025</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10.97%</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SOFR+611</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3,218</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3,218</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3,218</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07/25/2029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10.20%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SOFR+535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14,962</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14,219</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14,075</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05/16/2025</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12.18%</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SOFR+698</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46,992</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46,893</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46,992</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By Light Professional IT Services, LLC (Revolver) </w:t>
            </w:r>
            <w:r>
              <w:rPr>
                <w:rFonts w:ascii="Times New Roman" w:cs="Times New Roman" w:eastAsia="Times New Roman" w:hAnsi="Times New Roman"/>
                <w:sz w:val="12"/>
                <w:szCs w:val="12"/>
                <w:color w:val="auto"/>
                <w:vertAlign w:val="superscript"/>
              </w:rPr>
              <w:t>(7), (9)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05/16/2025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5,831</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Carisk Buyer,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5,473</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5,397</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5,390</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4,813</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(24)</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Carisk Buyer, Inc. (Revolver) </w:t>
            </w:r>
            <w:r>
              <w:rPr>
                <w:rFonts w:ascii="Times New Roman" w:cs="Times New Roman" w:eastAsia="Times New Roman" w:hAnsi="Times New Roman"/>
                <w:sz w:val="12"/>
                <w:szCs w:val="12"/>
                <w:color w:val="auto"/>
                <w:vertAlign w:val="superscript"/>
              </w:rPr>
              <w:t>(7), (9)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1,750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(26)</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Carnegie Dartlet,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02/07/2030</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29,850</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29,410</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29,402</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02/07/2026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16,214</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(81)</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Dartlet, LLC - (Revolver) </w:t>
            </w:r>
            <w:r>
              <w:rPr>
                <w:rFonts w:ascii="Times New Roman" w:cs="Times New Roman" w:eastAsia="Times New Roman" w:hAnsi="Times New Roman"/>
                <w:sz w:val="12"/>
                <w:szCs w:val="12"/>
                <w:color w:val="auto"/>
                <w:vertAlign w:val="superscript"/>
              </w:rPr>
              <w:t>(9)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02/07/2030</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5,405</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(81)</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Cartessa Aesthetics,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12,944</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12,802</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12,943</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SOFR+575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511</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511</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 (9)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927</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CF512,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08/20/2026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11.21%</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SOFR+619</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5,919</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5,888</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5,830</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CF512, Inc.(Revolver) </w:t>
            </w:r>
            <w:r>
              <w:rPr>
                <w:rFonts w:ascii="Times New Roman" w:cs="Times New Roman" w:eastAsia="Times New Roman" w:hAnsi="Times New Roman"/>
                <w:sz w:val="12"/>
                <w:szCs w:val="12"/>
                <w:color w:val="auto"/>
                <w:vertAlign w:val="superscript"/>
              </w:rPr>
              <w:t>(7), (9)</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08/20/2026</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(14)</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Compex Legal Services,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02/09/2026</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10.88%</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SOFR+555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8,833</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8,814</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8,833</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Compex Legal Services, Inc. (Revolver)</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02/07/2025</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10.80%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SOFR+555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703</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703</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703</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 (9)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02/07/2025</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703</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Confluent Health,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9.85%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SOFR+500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6,965</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6,771</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6,965</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Connatix Buyer, Inc. </w:t>
            </w:r>
            <w:r>
              <w:rPr>
                <w:rFonts w:ascii="Times New Roman" w:cs="Times New Roman" w:eastAsia="Times New Roman" w:hAnsi="Times New Roman"/>
                <w:sz w:val="12"/>
                <w:szCs w:val="12"/>
                <w:color w:val="auto"/>
                <w:vertAlign w:val="superscript"/>
              </w:rPr>
              <w:t>(7)</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10.53%</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SOFR+561</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3,775</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3,734</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3,775</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Connatix Buyer, Inc. - Funded Revolver</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10.58%</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SOFR+576</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281</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281</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281</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Connatix Buyer, Inc. </w:t>
            </w:r>
            <w:r>
              <w:rPr>
                <w:rFonts w:ascii="Times New Roman" w:cs="Times New Roman" w:eastAsia="Times New Roman" w:hAnsi="Times New Roman"/>
                <w:sz w:val="12"/>
                <w:szCs w:val="12"/>
                <w:color w:val="auto"/>
                <w:vertAlign w:val="superscript"/>
              </w:rPr>
              <w:t>(9)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953</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Crane 1 Services,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10.71%</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SOFR+586</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2,314</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2,284</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2,297</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 (9)</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0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502</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C5MI Holdco,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07/31/2030</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10.60%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SOFR+600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44,000</w:t>
            </w: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43,349</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43,120</w:t>
            </w:r>
          </w:p>
        </w:tc>
      </w:tr>
      <w:tr>
        <w:trPr>
          <w:trHeight w:val="124"/>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C5MI Holdco, LLC - Funded Revolver</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07/31/2030</w:t>
            </w:r>
          </w:p>
        </w:tc>
        <w:tc>
          <w:tcPr>
            <w:tcW w:w="1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10.60%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SOFR+600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606</w:t>
            </w:r>
          </w:p>
        </w:tc>
        <w:tc>
          <w:tcPr>
            <w:tcW w:w="240" w:type="dxa"/>
            <w:vAlign w:val="bottom"/>
          </w:tcPr>
          <w:p>
            <w:pPr>
              <w:spacing w:after="0"/>
              <w:rPr>
                <w:sz w:val="10"/>
                <w:szCs w:val="1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606</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r>
    </w:tbl>
    <w:p>
      <w:pPr>
        <w:jc w:val="center"/>
        <w:ind w:right="20"/>
        <w:spacing w:after="0" w:line="236" w:lineRule="auto"/>
        <w:rPr>
          <w:sz w:val="20"/>
          <w:szCs w:val="20"/>
          <w:color w:val="auto"/>
        </w:rPr>
      </w:pPr>
      <w:r>
        <w:rPr>
          <w:rFonts w:ascii="Times New Roman" w:cs="Times New Roman" w:eastAsia="Times New Roman" w:hAnsi="Times New Roman"/>
          <w:sz w:val="16"/>
          <w:szCs w:val="16"/>
          <w:color w:val="auto"/>
        </w:rPr>
        <w:t>SEE NOTES TO CONSOLIDATED FINANCIAL STATEMENTS</w:t>
      </w: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408305</wp:posOffset>
            </wp:positionV>
            <wp:extent cx="62604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2"/>
        </w:trPr>
        <w:tc>
          <w:tcPr>
            <w:tcW w:w="2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9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2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Unfunded Revolver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8,487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(170)</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DRI Holding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SOFR+535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6,123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5,943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5,908</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 Squatch,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08/31/2027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9.95%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SOFR+535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16,870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16,709</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16,870</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08/31/2027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3,353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11/03/2025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11.20%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SOFR+635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15,559</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15,501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15,435</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11/03/2025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1,426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Duggal Acquisition,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9.60%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15,321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15,168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15,168</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Term Loan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4,470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Duggal Acquisition, LLC - Unfunded Revolver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5,605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Dynata, LLC - First-Out Term Loan</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07/15/2028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10.38%</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SOFR+526</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1,856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1,853</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Dynata, LLC - Last-Out Term Loan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10/15/2028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10.88%</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SOFR+576</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11,514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11,514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10,601</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ECL Entertainment,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08/31/2030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8.85%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SOFR+400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6,209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6,147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6,223</w:t>
            </w:r>
          </w:p>
        </w:tc>
      </w:tr>
      <w:tr>
        <w:trPr>
          <w:trHeight w:val="121"/>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EDS Buyer,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01/10/2029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10,673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10,544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10,513</w:t>
            </w:r>
          </w:p>
        </w:tc>
      </w:tr>
      <w:tr>
        <w:trPr>
          <w:trHeight w:val="121"/>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EDS Buyer, LLC. (Revolver) </w:t>
            </w:r>
            <w:r>
              <w:rPr>
                <w:rFonts w:ascii="Times New Roman" w:cs="Times New Roman" w:eastAsia="Times New Roman" w:hAnsi="Times New Roman"/>
                <w:sz w:val="12"/>
                <w:szCs w:val="12"/>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01/10/2029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2,298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(34)</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Efficient Collaborative Retail Marketing Company,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06/15/2025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12.37%</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SOFR+776</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8,195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8,216</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6,310</w:t>
            </w:r>
          </w:p>
        </w:tc>
      </w:tr>
      <w:tr>
        <w:trPr>
          <w:trHeight w:val="120"/>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1.50%)</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Eisner Advisory Group,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02/23/2031</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9.25%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6,948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6,880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6,961</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ETE Intermediate II, LLC - Funded Revolver</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05/25/2029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11.10%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1,215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ETE Intermediate II, LLC - Unfunded Revolver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05/25/2029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1,215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Eval Home Health Solutions Intermediate,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05/10/2030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10.60%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14,492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14,275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14,347</w:t>
            </w:r>
          </w:p>
        </w:tc>
      </w:tr>
      <w:tr>
        <w:trPr>
          <w:trHeight w:val="12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w w:val="99"/>
              </w:rPr>
              <w:t>Eval Home Health Solutions Intermediate, LLC - UnFunded</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Revolver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05/10/2030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2,640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(26)</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03/15/2027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689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Fairbanks Morse Defense</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06/23/2028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9.74%</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995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996</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Five Star Buyer,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02/23/2028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12.21%</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4,437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4,372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4,437</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Five Star Buyer, Inc. (Revolver)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02/23/2028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741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05/19/2029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12.56%</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GGG MIDCO,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09/27/2030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9.64%</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19,243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19,051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19,050</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Term Loan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03/27/2026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30,986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MIDCO, LLC – Unfunded Revolver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09/27/2030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1,311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03/16/2026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11.43%</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4,985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4,927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4,736</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SOFR+560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1,351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1,341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1,337</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 Unfunded Term Loan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984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 (Revolver)</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SOFR+560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432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432</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428</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432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SOFR+560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3,993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3,949</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3,913</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10.45%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SOFR+560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680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666</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 (9)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Harris &amp; Co.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08/09/2030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9.85%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31,992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31,720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31,432</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A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02/09/2025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39,414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(345)</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Term Loan B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02/09/2026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50,296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(440)</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Harris &amp; Co. LLC - Unfunded Revolver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08/09/2030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7,401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(130)</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HEC Purchaser Corp.</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06/17/2029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9.75%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9,651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9,535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9,583</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Hills Distribution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11/07/2029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11.11%</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7,941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7,829</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7,862</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11/07/2025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10,812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05/10/2026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11.20%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SOFR+590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10,410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10,389</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10,410</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05/10/2026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1,452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09/22/2028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11.35%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SOFR+610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4,487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4,430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4,443</w:t>
            </w: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09/22/2027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722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1,193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10.96%</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SOFR+685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4,553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4,534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4,582</w:t>
            </w:r>
          </w:p>
        </w:tc>
      </w:tr>
      <w:tr>
        <w:trPr>
          <w:trHeight w:val="121"/>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CAD</w:t>
            </w: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 (CAD)</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1,672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1,237</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 - 1st Amendment</w:t>
            </w: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Unfunded Term Loan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11/17/2025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4,288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 (Revolver)</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13.75%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w:t>
            </w:r>
          </w:p>
        </w:tc>
      </w:tr>
      <w:tr>
        <w:trPr>
          <w:trHeight w:val="121"/>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 - Unfunded Term</w:t>
            </w: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Loan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1,098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Infolinks Media Buyco,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11/01/2026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10.10%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5,539</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5,483</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5,498</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01/31/2025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11.36%</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15,776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15,747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13,567</w:t>
            </w:r>
          </w:p>
        </w:tc>
      </w:tr>
      <w:tr>
        <w:trPr>
          <w:trHeight w:val="120"/>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6.00%)</w:t>
            </w: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ITI Holdings, Inc. (Revolver)</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03/03/2028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12.50%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(7), (9)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03/03/2028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12.46%</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SOFR+761</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4,938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4,893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r>
      <w:tr>
        <w:trPr>
          <w:trHeight w:val="121"/>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Inventus Power, Inc. - Unfunded Revolver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1,729</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(26)</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Keel Platform,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01/19/2031</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Metals and Mining</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10.09%</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11,544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11,388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11,486</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Keel Platform, LLC - Unfunded Term Loan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01/19/2031</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Metals and Mining</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2,402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13,971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13,802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13,970</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Kinetic Purchaser, LLC (Revolver) </w:t>
            </w:r>
            <w:r>
              <w:rPr>
                <w:rFonts w:ascii="Times New Roman" w:cs="Times New Roman" w:eastAsia="Times New Roman" w:hAnsi="Times New Roman"/>
                <w:sz w:val="12"/>
                <w:szCs w:val="12"/>
                <w:color w:val="auto"/>
                <w:vertAlign w:val="superscript"/>
              </w:rPr>
              <w:t>(7)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3,435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02/18/2027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12.94%</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SOFR+785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10,786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10,689</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10,678</w:t>
            </w:r>
          </w:p>
        </w:tc>
      </w:tr>
      <w:tr>
        <w:trPr>
          <w:trHeight w:val="120"/>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5.10%)</w:t>
            </w: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12.94%</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SOFR+785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2,833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2,833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r>
      <w:tr>
        <w:trPr>
          <w:trHeight w:val="120"/>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5.10%)</w:t>
            </w: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w:t>
            </w:r>
          </w:p>
        </w:tc>
      </w:tr>
      <w:tr>
        <w:trPr>
          <w:trHeight w:val="120"/>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5.10%)</w:t>
            </w: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LAV Gear Holdings,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11.64%</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SOFR+640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13,018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13,015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12,784</w:t>
            </w: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(Revolver) </w:t>
            </w:r>
            <w:r>
              <w:rPr>
                <w:rFonts w:ascii="Times New Roman" w:cs="Times New Roman" w:eastAsia="Times New Roman" w:hAnsi="Times New Roman"/>
                <w:sz w:val="12"/>
                <w:szCs w:val="12"/>
                <w:color w:val="auto"/>
                <w:vertAlign w:val="superscript"/>
              </w:rPr>
              <w:t>(7)</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11.64%</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SOFR+640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1,721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1,721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1,690</w:t>
            </w:r>
          </w:p>
        </w:tc>
      </w:tr>
      <w:tr>
        <w:trPr>
          <w:trHeight w:val="124"/>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Ledge Lounger,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12.25%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SOFR+765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3,674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3,661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3,491</w:t>
            </w:r>
          </w:p>
        </w:tc>
      </w:tr>
    </w:tbl>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9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2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Ledge Lounger, Inc. (Revolver)</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12.25%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SOFR+765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263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263</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9"/>
              </w:rPr>
              <w:t>(PIK 1.0%)</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395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02/03/2026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SOFR+535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22,309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22,150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22,309</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02/03/2026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2,499</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02/01/2030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10.31%</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2,809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2,809</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02/01/2030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1,892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LJ Avalon Holdings, LLC (Revolver) </w:t>
            </w:r>
            <w:r>
              <w:rPr>
                <w:rFonts w:ascii="Times New Roman" w:cs="Times New Roman" w:eastAsia="Times New Roman" w:hAnsi="Times New Roman"/>
                <w:sz w:val="12"/>
                <w:szCs w:val="12"/>
                <w:color w:val="auto"/>
                <w:vertAlign w:val="superscript"/>
              </w:rPr>
              <w:t>(7), (9)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01/31/2030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1,130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11.10%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45,055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44,374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44,379</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Term Loan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07/12/2025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23,464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(117)</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Loving Tan Intermediate II, Inc. (Revolver)</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11.60%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1,780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1,753</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Loving Tan Intermediate II, Inc. - Unfunded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3,559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(53)</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Specialty Retail</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9.85%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9,992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9,992</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10,067</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Lucky Bucks, LLC - First-out Term Loan</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12.77%</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SOFR+765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259</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259</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12.77%</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SOFR+765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518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MAG DS Corp.</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04/01/2027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SOFR+550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7,289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7,007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6,852</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MBS Holdings, Inc. - Funded Revolver</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SOFR+585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139</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139</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MBS Holdings, Inc. (Revolver) </w:t>
            </w:r>
            <w:r>
              <w:rPr>
                <w:rFonts w:ascii="Times New Roman" w:cs="Times New Roman" w:eastAsia="Times New Roman" w:hAnsi="Times New Roman"/>
                <w:sz w:val="12"/>
                <w:szCs w:val="12"/>
                <w:color w:val="auto"/>
                <w:vertAlign w:val="superscript"/>
              </w:rPr>
              <w:t>(7), (9)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1,019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MDI Buyer,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11.25%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2,021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1,988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2,002</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MDI Buyer, Inc. (Revolver)</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11.25%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531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526</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242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10.50%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SOFR+590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1,958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1,938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1,909</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1,693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(42)</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Medina Health,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17,820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17,554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17,820</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Medina Health, LLC (Revolver)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5,187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10.11%</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6,965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6,869</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6,575</w:t>
            </w:r>
          </w:p>
        </w:tc>
        <w:tc>
          <w:tcPr>
            <w:tcW w:w="0" w:type="dxa"/>
            <w:vAlign w:val="bottom"/>
          </w:tcPr>
          <w:p>
            <w:pPr>
              <w:spacing w:after="0"/>
              <w:rPr>
                <w:sz w:val="1"/>
                <w:szCs w:val="1"/>
                <w:color w:val="auto"/>
              </w:rPr>
            </w:pPr>
          </w:p>
        </w:tc>
      </w:tr>
      <w:tr>
        <w:trPr>
          <w:trHeight w:val="121"/>
        </w:trPr>
        <w:tc>
          <w:tcPr>
            <w:tcW w:w="24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Acquisitionco, Inc. - Funded Revolver</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10.11%</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358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337</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Megawatt Acquisitionco, Inc. -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2,893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(162)</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Michael Baker International,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9.60%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7,980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7,941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8,010</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03/31/2025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11.02%</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SOFR+590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3,101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3,092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3,101</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Mission Critical Electronics, Inc.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03/31/2025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MOREGroup Holdings,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01/16/2030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31,840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31,410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31,362</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01/16/2026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11,056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(55)</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MOREGroup Holdings, Inc. -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01/16/2030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6,634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(100)</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9.75%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SOFR+515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1,556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1,527</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1,556</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Municipal Emergency Services, Inc. - Term Loan B</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9.75%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777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777</w:t>
            </w:r>
          </w:p>
        </w:tc>
        <w:tc>
          <w:tcPr>
            <w:tcW w:w="0" w:type="dxa"/>
            <w:vAlign w:val="bottom"/>
          </w:tcPr>
          <w:p>
            <w:pPr>
              <w:spacing w:after="0"/>
              <w:rPr>
                <w:sz w:val="1"/>
                <w:szCs w:val="1"/>
                <w:color w:val="auto"/>
              </w:rPr>
            </w:pPr>
          </w:p>
        </w:tc>
      </w:tr>
      <w:tr>
        <w:trPr>
          <w:trHeight w:val="96"/>
        </w:trPr>
        <w:tc>
          <w:tcPr>
            <w:tcW w:w="2420" w:type="dxa"/>
            <w:vAlign w:val="bottom"/>
            <w:shd w:val="clear" w:color="auto" w:fill="CCECFF"/>
          </w:tcPr>
          <w:p>
            <w:pPr>
              <w:spacing w:after="0" w:line="96" w:lineRule="exact"/>
              <w:rPr>
                <w:sz w:val="20"/>
                <w:szCs w:val="20"/>
                <w:color w:val="auto"/>
              </w:rPr>
            </w:pPr>
            <w:r>
              <w:rPr>
                <w:rFonts w:ascii="Times New Roman" w:cs="Times New Roman" w:eastAsia="Times New Roman" w:hAnsi="Times New Roman"/>
                <w:sz w:val="10"/>
                <w:szCs w:val="10"/>
                <w:color w:val="auto"/>
                <w:w w:val="99"/>
              </w:rPr>
              <w:t>Municipal Emergency Services, Inc. - Unfunded Term Loan</w:t>
            </w:r>
          </w:p>
        </w:tc>
        <w:tc>
          <w:tcPr>
            <w:tcW w:w="6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09/28/2027</w:t>
            </w:r>
          </w:p>
        </w:tc>
        <w:tc>
          <w:tcPr>
            <w:tcW w:w="17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60" w:type="dxa"/>
            <w:vAlign w:val="bottom"/>
            <w:vMerge w:val="restart"/>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vMerge w:val="restart"/>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1,387</w:t>
            </w:r>
          </w:p>
        </w:tc>
        <w:tc>
          <w:tcPr>
            <w:tcW w:w="74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w:t>
            </w:r>
          </w:p>
        </w:tc>
        <w:tc>
          <w:tcPr>
            <w:tcW w:w="0" w:type="dxa"/>
            <w:vAlign w:val="bottom"/>
          </w:tcPr>
          <w:p>
            <w:pPr>
              <w:spacing w:after="0"/>
              <w:rPr>
                <w:sz w:val="1"/>
                <w:szCs w:val="1"/>
                <w:color w:val="auto"/>
              </w:rPr>
            </w:pPr>
          </w:p>
        </w:tc>
      </w:tr>
      <w:tr>
        <w:trPr>
          <w:trHeight w:val="88"/>
        </w:trPr>
        <w:tc>
          <w:tcPr>
            <w:tcW w:w="24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6"/>
                <w:szCs w:val="6"/>
                <w:color w:val="auto"/>
              </w:rPr>
              <w:t>(9)</w:t>
            </w:r>
          </w:p>
        </w:tc>
        <w:tc>
          <w:tcPr>
            <w:tcW w:w="660" w:type="dxa"/>
            <w:vAlign w:val="bottom"/>
            <w:tcBorders>
              <w:bottom w:val="single" w:sz="8" w:color="CCECFF"/>
            </w:tcBorders>
            <w:vMerge w:val="continue"/>
            <w:shd w:val="clear" w:color="auto" w:fill="CCECFF"/>
          </w:tcPr>
          <w:p>
            <w:pPr>
              <w:spacing w:after="0"/>
              <w:rPr>
                <w:sz w:val="7"/>
                <w:szCs w:val="7"/>
                <w:color w:val="auto"/>
              </w:rPr>
            </w:pPr>
          </w:p>
        </w:tc>
        <w:tc>
          <w:tcPr>
            <w:tcW w:w="1720" w:type="dxa"/>
            <w:vAlign w:val="bottom"/>
            <w:tcBorders>
              <w:bottom w:val="single" w:sz="8" w:color="CCECFF"/>
            </w:tcBorders>
            <w:vMerge w:val="continue"/>
            <w:shd w:val="clear" w:color="auto" w:fill="CCECFF"/>
          </w:tcPr>
          <w:p>
            <w:pPr>
              <w:spacing w:after="0"/>
              <w:rPr>
                <w:sz w:val="7"/>
                <w:szCs w:val="7"/>
                <w:color w:val="auto"/>
              </w:rPr>
            </w:pPr>
          </w:p>
        </w:tc>
        <w:tc>
          <w:tcPr>
            <w:tcW w:w="760" w:type="dxa"/>
            <w:vAlign w:val="bottom"/>
            <w:tcBorders>
              <w:bottom w:val="single" w:sz="8" w:color="CCECFF"/>
            </w:tcBorders>
            <w:vMerge w:val="continue"/>
            <w:shd w:val="clear" w:color="auto" w:fill="CCECFF"/>
          </w:tcPr>
          <w:p>
            <w:pPr>
              <w:spacing w:after="0"/>
              <w:rPr>
                <w:sz w:val="7"/>
                <w:szCs w:val="7"/>
                <w:color w:val="auto"/>
              </w:rPr>
            </w:pPr>
          </w:p>
        </w:tc>
        <w:tc>
          <w:tcPr>
            <w:tcW w:w="920" w:type="dxa"/>
            <w:vAlign w:val="bottom"/>
            <w:tcBorders>
              <w:bottom w:val="single" w:sz="8" w:color="CCECFF"/>
            </w:tcBorders>
            <w:vMerge w:val="continue"/>
            <w:shd w:val="clear" w:color="auto" w:fill="CCECFF"/>
          </w:tcPr>
          <w:p>
            <w:pPr>
              <w:spacing w:after="0"/>
              <w:rPr>
                <w:sz w:val="7"/>
                <w:szCs w:val="7"/>
                <w:color w:val="auto"/>
              </w:rPr>
            </w:pPr>
          </w:p>
        </w:tc>
        <w:tc>
          <w:tcPr>
            <w:tcW w:w="840" w:type="dxa"/>
            <w:vAlign w:val="bottom"/>
            <w:tcBorders>
              <w:bottom w:val="single" w:sz="8" w:color="CCECFF"/>
            </w:tcBorders>
            <w:vMerge w:val="continue"/>
            <w:shd w:val="clear" w:color="auto" w:fill="CCECFF"/>
          </w:tcPr>
          <w:p>
            <w:pPr>
              <w:spacing w:after="0"/>
              <w:rPr>
                <w:sz w:val="7"/>
                <w:szCs w:val="7"/>
                <w:color w:val="auto"/>
              </w:rPr>
            </w:pPr>
          </w:p>
        </w:tc>
        <w:tc>
          <w:tcPr>
            <w:tcW w:w="740" w:type="dxa"/>
            <w:vAlign w:val="bottom"/>
            <w:tcBorders>
              <w:bottom w:val="single" w:sz="8" w:color="CCECFF"/>
            </w:tcBorders>
            <w:vMerge w:val="continue"/>
            <w:shd w:val="clear" w:color="auto" w:fill="CCECFF"/>
          </w:tcPr>
          <w:p>
            <w:pPr>
              <w:spacing w:after="0"/>
              <w:rPr>
                <w:sz w:val="7"/>
                <w:szCs w:val="7"/>
                <w:color w:val="auto"/>
              </w:rPr>
            </w:pPr>
          </w:p>
        </w:tc>
        <w:tc>
          <w:tcPr>
            <w:tcW w:w="820" w:type="dxa"/>
            <w:vAlign w:val="bottom"/>
            <w:tcBorders>
              <w:bottom w:val="single" w:sz="8" w:color="CCECFF"/>
            </w:tcBorders>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w w:val="99"/>
              </w:rPr>
              <w:t>Municipal Emergency Services, Inc. - Unfunded Term Loan</w:t>
            </w: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vertAlign w:val="subscript"/>
              </w:rPr>
              <w:t>B</w:t>
            </w:r>
            <w:r>
              <w:rPr>
                <w:rFonts w:ascii="Times New Roman" w:cs="Times New Roman" w:eastAsia="Times New Roman" w:hAnsi="Times New Roman"/>
                <w:sz w:val="5"/>
                <w:szCs w:val="5"/>
                <w:color w:val="auto"/>
              </w:rPr>
              <w:t xml:space="preserve"> (9)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12/16/2024</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486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947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(7), (9)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08/19/2026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1,677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(50)</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NFS - CFP Holdings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09/13/2030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9.56%</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36,300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36,029</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36,028</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Term Loan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09/23/2026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13,370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NFS - CFP Holdings LLC - Unfunded Revolver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09/13/2030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5,014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NORA Acquisition,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08/31/2029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SOFR+635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19,800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19,449</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19,800</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NORA Acquisition, LLC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08/31/2029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5,479</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10.10%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28,744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28,498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28,313</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12,802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(80)</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12/30/2024</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8,001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(50)</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Omnia Exterior Solutions, LLC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4,200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(63)</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One Stop Mailing,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05/07/2027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Air Freight and Logistics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11.21%</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SOFR+636</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8,426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8,333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8,426</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ORL Acquisition,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09/03/2027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Consumer Finance</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14.00%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SOFR+940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4,718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4,666</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4,010</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7.50%)</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09/03/2027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Consumer Finance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215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(32)</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12/15/2029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SOFR+610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12,803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12,598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12,432</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OSP Embedded Purchaser, LLC (Revolver)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12/15/2029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2,932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(85)</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Outcomes Group Holdings,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04/02/2031</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9.10%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3,990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3,970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4,011</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13.75%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SOFR+843</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521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05/30/2028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12.00%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SOFR+668</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1,058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1,058</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Owl Acquisition,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02/04/2028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SOFR+535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3,893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3,812</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3,825</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Ox Two,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05/18/2026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11.12%</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SOFR+651</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22,540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22,385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22,540</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Ox Two, LLC (Revolver)</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05/18/2026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3,387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Pacific Purchaser,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11.51%</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4,963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4,878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4,953</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Unfunded Term Loan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3,598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Pacific Purchaser, LLC -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1,799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09/03/2030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9.77%</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17,500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17,327</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17,325</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PAR Excellence Holdings, Inc. - Unfunded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09/03/2030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4,692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Midco,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10.81%</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7,434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7,333</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7,434</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Unfunded Term Loan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3,974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Midco, Inc. - Revolver</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10.81%</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310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310</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PCS Midco, Inc. -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1,461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09/28/2025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10.17%</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SOFR+543</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7,415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7,401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7,346</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PL Acquisitionco,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11.99%</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5,798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5,735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4,638</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3.50%)</w:t>
            </w: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2,290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(458)</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PlayPower,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08/28/2030</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9.85%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SOFR+525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26,334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26,140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25,939</w:t>
            </w:r>
          </w:p>
        </w:tc>
        <w:tc>
          <w:tcPr>
            <w:tcW w:w="0" w:type="dxa"/>
            <w:vAlign w:val="bottom"/>
          </w:tcPr>
          <w:p>
            <w:pPr>
              <w:spacing w:after="0"/>
              <w:rPr>
                <w:sz w:val="1"/>
                <w:szCs w:val="1"/>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PlayPower, Inc. - Unfunded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08/28/2030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3,981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(60)</w:t>
            </w:r>
          </w:p>
        </w:tc>
        <w:tc>
          <w:tcPr>
            <w:tcW w:w="0" w:type="dxa"/>
            <w:vAlign w:val="bottom"/>
          </w:tcPr>
          <w:p>
            <w:pPr>
              <w:spacing w:after="0"/>
              <w:rPr>
                <w:sz w:val="1"/>
                <w:szCs w:val="1"/>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(Revolver), </w:t>
            </w:r>
            <w:r>
              <w:rPr>
                <w:rFonts w:ascii="Times New Roman" w:cs="Times New Roman" w:eastAsia="Times New Roman" w:hAnsi="Times New Roman"/>
                <w:sz w:val="12"/>
                <w:szCs w:val="12"/>
                <w:color w:val="auto"/>
                <w:vertAlign w:val="superscript"/>
              </w:rPr>
              <w:t>(5)</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07/06/2028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12.82%</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1,641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1,605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2"/>
        </w:trPr>
        <w:tc>
          <w:tcPr>
            <w:tcW w:w="24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9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2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(PIK 12.09%)</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1"/>
        </w:trPr>
        <w:tc>
          <w:tcPr>
            <w:tcW w:w="24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Quantic Electronics,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SOFR+635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6,579</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6,530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6,546</w:t>
            </w:r>
          </w:p>
        </w:tc>
      </w:tr>
      <w:tr>
        <w:trPr>
          <w:trHeight w:val="121"/>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Quantic Electronics, LLC - Funded revolver</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SOFR+635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w:t>
            </w:r>
          </w:p>
        </w:tc>
      </w:tr>
      <w:tr>
        <w:trPr>
          <w:trHeight w:val="121"/>
        </w:trPr>
        <w:tc>
          <w:tcPr>
            <w:tcW w:w="24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Quantic Electronics, LLC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335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 Unfunded Term Loan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3,000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10.93%</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SOFR+560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210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 (9)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315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Recteq,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01/29/2026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11.75%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SOFR+715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1,448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1,439</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1,433</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(7), (9)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01/29/2026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1,296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Riverpoint Medical,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06/20/2025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9.85%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9,829</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9,796</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9,841</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06/20/2025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10.10%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SOFR+535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06/20/2025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776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RRA Corporate,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9.60%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19,200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19,008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19,008</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1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02/15/2029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11,506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Term Loan 2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21,719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RRA Corporate, LLC - Funded Revolver</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9.60%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SOFR+500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1,410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1,409</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1,395</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RRA Corporate, LLC - Unfunded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5,306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(53)</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05/03/2029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41,995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41,372</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41,155</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Subsidiary Holdings, LLC - Unfunded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05/03/2029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9,417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(188)</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w w:val="99"/>
              </w:rPr>
              <w:t>Rural Sourcing Holdings, Inc. (HPA SPQ Merger Sub,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1,140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1,126</w:t>
            </w:r>
          </w:p>
        </w:tc>
      </w:tr>
      <w:tr>
        <w:trPr>
          <w:trHeight w:val="121"/>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w w:val="99"/>
              </w:rPr>
              <w:t>Rural Sourcing Holdings, Inc. (HPA SPQ Merger Sub, Inc.)</w:t>
            </w: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 Unfunded Term Loan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06/27/2026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1,146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w:t>
            </w:r>
          </w:p>
        </w:tc>
      </w:tr>
      <w:tr>
        <w:trPr>
          <w:trHeight w:val="12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w w:val="99"/>
              </w:rPr>
              <w:t>Rural Sourcing Holdings, Inc. (HPA SPQ Merger Sub, Inc.)</w:t>
            </w:r>
          </w:p>
        </w:tc>
        <w:tc>
          <w:tcPr>
            <w:tcW w:w="66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06/15/2029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860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Safe Haven Defense US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05/23/2029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9.85%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13,563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13,363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13,428</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US LLC - Unfunded Revolver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05/23/2029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2,920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(29)</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Sales Benchmark Index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01/03/2025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10.80%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SOFR+620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2,527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2,524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2,527</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01/03/2025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1,293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Sargent &amp; Greenleaf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11.45%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SOFR+760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3,272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3,266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3,272</w:t>
            </w:r>
          </w:p>
        </w:tc>
      </w:tr>
      <w:tr>
        <w:trPr>
          <w:trHeight w:val="120"/>
        </w:trPr>
        <w:tc>
          <w:tcPr>
            <w:tcW w:w="24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1.00%)</w:t>
            </w: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1"/>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Sargent &amp; Greenleaf Inc. (Revolver)</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11.45%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SOFR+660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1,078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1,078</w:t>
            </w:r>
          </w:p>
        </w:tc>
      </w:tr>
      <w:tr>
        <w:trPr>
          <w:trHeight w:val="120"/>
        </w:trPr>
        <w:tc>
          <w:tcPr>
            <w:tcW w:w="24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1.00%)</w:t>
            </w: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1"/>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13.20%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SOFR+835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15,224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15,191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14,844</w:t>
            </w:r>
          </w:p>
        </w:tc>
      </w:t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5.60%)</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13.20%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SOFR+835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1,578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1,578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1,539</w:t>
            </w:r>
          </w:p>
        </w:tc>
      </w:t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5.60%)</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Schlesinger Global, Inc.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07/14/2025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401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06/13/2029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1,901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1,879</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1,834</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11.50%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SOFR+690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20,708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20,447</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20,501</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 (9)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3,311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(33)</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12/02/2026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11.73%</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SOFR+640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4,065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4,054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4,106</w:t>
            </w:r>
          </w:p>
        </w:tc>
      </w:tr>
      <w:tr>
        <w:trPr>
          <w:trHeight w:val="121"/>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Simplicity Financial Marketing Group Holdings Inc. -</w:t>
            </w: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Unfunded Term Loan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02/09/2026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4,656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Simplicity Financial Marketing Group Holdings Inc. -</w:t>
            </w:r>
          </w:p>
        </w:tc>
        <w:tc>
          <w:tcPr>
            <w:tcW w:w="66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(Revolver)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12/02/2026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1,043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05/17/2028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9.46%</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SOFR+461</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596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594</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Smartronix,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SOFR+610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13,521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13,323</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13,521</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Smartronix, LLC -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1,791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Smile Brands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2,422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2,422</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2,143</w:t>
            </w:r>
          </w:p>
        </w:tc>
      </w:t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1.50%)</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Smile Brands Inc. (Revolver)</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SOFR+550</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866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866</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766</w:t>
            </w:r>
          </w:p>
        </w:tc>
      </w:tr>
      <w:tr>
        <w:trPr>
          <w:trHeight w:val="120"/>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(PIK 1.50%)</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Smile Brands Inc. (Revolver) </w:t>
            </w:r>
            <w:r>
              <w:rPr>
                <w:rFonts w:ascii="Times New Roman" w:cs="Times New Roman" w:eastAsia="Times New Roman" w:hAnsi="Times New Roman"/>
                <w:sz w:val="12"/>
                <w:szCs w:val="12"/>
                <w:color w:val="auto"/>
                <w:vertAlign w:val="superscript"/>
              </w:rPr>
              <w:t>(7), (9)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678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(78)</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Smile Brands Inc. LC (Revolver) </w:t>
            </w:r>
            <w:r>
              <w:rPr>
                <w:rFonts w:ascii="Times New Roman" w:cs="Times New Roman" w:eastAsia="Times New Roman" w:hAnsi="Times New Roman"/>
                <w:sz w:val="12"/>
                <w:szCs w:val="12"/>
                <w:color w:val="auto"/>
                <w:vertAlign w:val="superscript"/>
              </w:rPr>
              <w:t>(7), (9)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Solutionreach,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07/17/2025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12.40%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SOFR+715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4,657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4,637</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4,657</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12"/>
                <w:szCs w:val="12"/>
                <w:color w:val="auto"/>
                <w:vertAlign w:val="superscript"/>
              </w:rPr>
              <w:t>(7), (9)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07/17/2025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833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10.78%</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SOFR+565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2,253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2,232</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2,253</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03/03/2025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1,493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Spendmend Holdings LLC (Revolver)</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SOFR+565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357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357</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Spendmend Holdings LLC (Revolver) </w:t>
            </w:r>
            <w:r>
              <w:rPr>
                <w:rFonts w:ascii="Times New Roman" w:cs="Times New Roman" w:eastAsia="Times New Roman" w:hAnsi="Times New Roman"/>
                <w:sz w:val="12"/>
                <w:szCs w:val="12"/>
                <w:color w:val="auto"/>
                <w:vertAlign w:val="superscript"/>
              </w:rPr>
              <w:t>(9)</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9.31%</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SOFR+425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1,990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1,851</w:t>
            </w:r>
          </w:p>
        </w:tc>
      </w:tr>
      <w:tr>
        <w:trPr>
          <w:trHeight w:val="121"/>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System Planning and Analysis, Inc. (f/k/a Management</w:t>
            </w:r>
          </w:p>
        </w:tc>
        <w:tc>
          <w:tcPr>
            <w:tcW w:w="6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Consulting &amp; Research,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10.26%</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SOFR+500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20,461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20,238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20,421</w:t>
            </w:r>
          </w:p>
        </w:tc>
      </w:tr>
      <w:tr>
        <w:trPr>
          <w:trHeight w:val="12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System Planning and Analysis, Inc. (f/k/a Management</w:t>
            </w:r>
          </w:p>
        </w:tc>
        <w:tc>
          <w:tcPr>
            <w:tcW w:w="66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Consulting &amp; Research, LLC) (Revolver)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12,537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System Planning and Analysis, Inc. - Funded Revolver</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9.59%</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1,633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1,633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1,630</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System Planning and Analysis, Inc. - (Revolver)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6,732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w:t>
            </w:r>
          </w:p>
        </w:tc>
      </w:tr>
      <w:tr>
        <w:trPr>
          <w:trHeight w:val="121"/>
        </w:trPr>
        <w:tc>
          <w:tcPr>
            <w:tcW w:w="2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S101 Holdings,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11.48%</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SOFR+615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12,439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12,301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12,315</w:t>
            </w:r>
          </w:p>
        </w:tc>
      </w:tr>
      <w:tr>
        <w:trPr>
          <w:trHeight w:val="121"/>
        </w:trPr>
        <w:tc>
          <w:tcPr>
            <w:tcW w:w="24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S101 Holdings, Inc. - Unfunded Term Loan 2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12/15/2024</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9,036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01/26/2029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11.83%</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SOFR+650</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6,965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6,857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6,895</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TCG 3.0 Jogger Acquisitionco, Inc. - (Revolver)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01/26/2029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2,426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10.51%</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SOFR+526</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15,412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15,173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15,217</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Teneo Holdings, LLC - Initial Term Loans</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03/13/2031</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9.60%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SOFR+475</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6,965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6,895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6,987</w:t>
            </w:r>
          </w:p>
        </w:tc>
      </w:tr>
      <w:tr>
        <w:trPr>
          <w:trHeight w:val="124"/>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The Bluebird Group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07/28/2026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11.25%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SOFR+665</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2,566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2,538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2,566</w:t>
            </w:r>
          </w:p>
        </w:tc>
      </w:tr>
    </w:tbl>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60" w:type="dxa"/>
            <w:vAlign w:val="bottom"/>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Par /</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9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6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40" w:type="dxa"/>
            <w:vAlign w:val="bottom"/>
          </w:tcPr>
          <w:p>
            <w:pPr>
              <w:spacing w:after="0"/>
              <w:rPr>
                <w:sz w:val="10"/>
                <w:szCs w:val="10"/>
                <w:color w:val="auto"/>
              </w:rPr>
            </w:pPr>
          </w:p>
        </w:tc>
        <w:tc>
          <w:tcPr>
            <w:tcW w:w="72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(7), (9)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07/28/2026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862</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w:t>
            </w:r>
            <w:r>
              <w:rPr>
                <w:rFonts w:ascii="Times New Roman" w:cs="Times New Roman" w:eastAsia="Times New Roman" w:hAnsi="Times New Roman"/>
                <w:sz w:val="12"/>
                <w:szCs w:val="12"/>
                <w:color w:val="auto"/>
                <w:vertAlign w:val="superscript"/>
              </w:rPr>
              <w:t>(7)</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08/30/2027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SOFR+610</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3,377</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3,333</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3,356</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Vertex Companies, LLC (Revolver)</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08/30/2027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10.95%</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SOFR+610</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376</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376</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08/30/2027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535</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TPC US Parent,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10.98%</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SOFR+565</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11,888</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11,808</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11,888</w:t>
            </w: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TPCN Midco,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06/26/2029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10.35%</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8,878</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8,749</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8,665</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TPCN Midco, LLC - Unfunded Term Loan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06/26/2026</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13,113</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(184)</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TPCN Midco, LLC - Unfunded Revolver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06/26/2029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2,580</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(62)</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TransGo,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10.60%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12,034</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11,869</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12,034</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TransGo, LLC (Revolver) </w:t>
            </w:r>
            <w:r>
              <w:rPr>
                <w:rFonts w:ascii="Times New Roman" w:cs="Times New Roman" w:eastAsia="Times New Roman" w:hAnsi="Times New Roman"/>
                <w:sz w:val="12"/>
                <w:szCs w:val="12"/>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4,440</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06/16/2025</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11.33%</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SOFR+640</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2,508</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2,502</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2,508</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06/16/2025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2,628</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Tyto Athene,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04/01/2028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10.23%</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1M SOFR+490</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11,928</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11,826</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11,690</w:t>
            </w: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06/15/2027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10.52%</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SOFR+550</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1,200</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1,194</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1,188</w:t>
            </w:r>
          </w:p>
        </w:tc>
        <w:tc>
          <w:tcPr>
            <w:tcW w:w="0" w:type="dxa"/>
            <w:vAlign w:val="bottom"/>
          </w:tcPr>
          <w:p>
            <w:pPr>
              <w:spacing w:after="0"/>
              <w:rPr>
                <w:sz w:val="1"/>
                <w:szCs w:val="1"/>
                <w:color w:val="auto"/>
              </w:rPr>
            </w:pPr>
          </w:p>
        </w:tc>
      </w:tr>
      <w:tr>
        <w:trPr>
          <w:trHeight w:val="96"/>
        </w:trPr>
        <w:tc>
          <w:tcPr>
            <w:tcW w:w="2440" w:type="dxa"/>
            <w:vAlign w:val="bottom"/>
            <w:shd w:val="clear" w:color="auto" w:fill="CCECFF"/>
          </w:tcPr>
          <w:p>
            <w:pPr>
              <w:spacing w:after="0" w:line="96" w:lineRule="exact"/>
              <w:rPr>
                <w:sz w:val="20"/>
                <w:szCs w:val="20"/>
                <w:color w:val="auto"/>
              </w:rPr>
            </w:pPr>
            <w:r>
              <w:rPr>
                <w:rFonts w:ascii="Times New Roman" w:cs="Times New Roman" w:eastAsia="Times New Roman" w:hAnsi="Times New Roman"/>
                <w:sz w:val="10"/>
                <w:szCs w:val="10"/>
                <w:color w:val="auto"/>
                <w:w w:val="99"/>
              </w:rPr>
              <w:t>Urology Management Holdings, Inc. - Unfunded Term Loan</w:t>
            </w:r>
          </w:p>
        </w:tc>
        <w:tc>
          <w:tcPr>
            <w:tcW w:w="6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09/03/2026</w:t>
            </w:r>
          </w:p>
        </w:tc>
        <w:tc>
          <w:tcPr>
            <w:tcW w:w="17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60" w:type="dxa"/>
            <w:vAlign w:val="bottom"/>
            <w:vMerge w:val="restart"/>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vMerge w:val="restart"/>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4,800</w:t>
            </w:r>
          </w:p>
        </w:tc>
        <w:tc>
          <w:tcPr>
            <w:tcW w:w="58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8"/>
                <w:szCs w:val="8"/>
                <w:color w:val="auto"/>
              </w:rPr>
            </w:pPr>
          </w:p>
        </w:tc>
        <w:tc>
          <w:tcPr>
            <w:tcW w:w="720" w:type="dxa"/>
            <w:vAlign w:val="bottom"/>
            <w:vMerge w:val="restart"/>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88"/>
        </w:trPr>
        <w:tc>
          <w:tcPr>
            <w:tcW w:w="24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6"/>
                <w:szCs w:val="6"/>
                <w:color w:val="auto"/>
              </w:rPr>
              <w:t>(9)</w:t>
            </w:r>
          </w:p>
        </w:tc>
        <w:tc>
          <w:tcPr>
            <w:tcW w:w="640" w:type="dxa"/>
            <w:vAlign w:val="bottom"/>
            <w:tcBorders>
              <w:bottom w:val="single" w:sz="8" w:color="CCECFF"/>
            </w:tcBorders>
            <w:vMerge w:val="continue"/>
            <w:shd w:val="clear" w:color="auto" w:fill="CCECFF"/>
          </w:tcPr>
          <w:p>
            <w:pPr>
              <w:spacing w:after="0"/>
              <w:rPr>
                <w:sz w:val="7"/>
                <w:szCs w:val="7"/>
                <w:color w:val="auto"/>
              </w:rPr>
            </w:pPr>
          </w:p>
        </w:tc>
        <w:tc>
          <w:tcPr>
            <w:tcW w:w="1720" w:type="dxa"/>
            <w:vAlign w:val="bottom"/>
            <w:tcBorders>
              <w:bottom w:val="single" w:sz="8" w:color="CCECFF"/>
            </w:tcBorders>
            <w:vMerge w:val="continue"/>
            <w:shd w:val="clear" w:color="auto" w:fill="CCECFF"/>
          </w:tcPr>
          <w:p>
            <w:pPr>
              <w:spacing w:after="0"/>
              <w:rPr>
                <w:sz w:val="7"/>
                <w:szCs w:val="7"/>
                <w:color w:val="auto"/>
              </w:rPr>
            </w:pPr>
          </w:p>
        </w:tc>
        <w:tc>
          <w:tcPr>
            <w:tcW w:w="760" w:type="dxa"/>
            <w:vAlign w:val="bottom"/>
            <w:tcBorders>
              <w:bottom w:val="single" w:sz="8" w:color="CCECFF"/>
            </w:tcBorders>
            <w:vMerge w:val="continue"/>
            <w:shd w:val="clear" w:color="auto" w:fill="CCECFF"/>
          </w:tcPr>
          <w:p>
            <w:pPr>
              <w:spacing w:after="0"/>
              <w:rPr>
                <w:sz w:val="7"/>
                <w:szCs w:val="7"/>
                <w:color w:val="auto"/>
              </w:rPr>
            </w:pPr>
          </w:p>
        </w:tc>
        <w:tc>
          <w:tcPr>
            <w:tcW w:w="920" w:type="dxa"/>
            <w:vAlign w:val="bottom"/>
            <w:tcBorders>
              <w:bottom w:val="single" w:sz="8" w:color="CCECFF"/>
            </w:tcBorders>
            <w:vMerge w:val="continue"/>
            <w:shd w:val="clear" w:color="auto" w:fill="CCECFF"/>
          </w:tcPr>
          <w:p>
            <w:pPr>
              <w:spacing w:after="0"/>
              <w:rPr>
                <w:sz w:val="7"/>
                <w:szCs w:val="7"/>
                <w:color w:val="auto"/>
              </w:rPr>
            </w:pPr>
          </w:p>
        </w:tc>
        <w:tc>
          <w:tcPr>
            <w:tcW w:w="960" w:type="dxa"/>
            <w:vAlign w:val="bottom"/>
            <w:tcBorders>
              <w:bottom w:val="single" w:sz="8" w:color="CCECFF"/>
            </w:tcBorders>
            <w:vMerge w:val="continue"/>
            <w:shd w:val="clear" w:color="auto" w:fill="CCECFF"/>
          </w:tcPr>
          <w:p>
            <w:pPr>
              <w:spacing w:after="0"/>
              <w:rPr>
                <w:sz w:val="7"/>
                <w:szCs w:val="7"/>
                <w:color w:val="auto"/>
              </w:rPr>
            </w:pPr>
          </w:p>
        </w:tc>
        <w:tc>
          <w:tcPr>
            <w:tcW w:w="580" w:type="dxa"/>
            <w:vAlign w:val="bottom"/>
            <w:tcBorders>
              <w:bottom w:val="single" w:sz="8" w:color="CCECFF"/>
            </w:tcBorders>
            <w:vMerge w:val="continue"/>
            <w:shd w:val="clear" w:color="auto" w:fill="CCECFF"/>
          </w:tcPr>
          <w:p>
            <w:pPr>
              <w:spacing w:after="0"/>
              <w:rPr>
                <w:sz w:val="7"/>
                <w:szCs w:val="7"/>
                <w:color w:val="auto"/>
              </w:rPr>
            </w:pPr>
          </w:p>
        </w:tc>
        <w:tc>
          <w:tcPr>
            <w:tcW w:w="140" w:type="dxa"/>
            <w:vAlign w:val="bottom"/>
            <w:tcBorders>
              <w:bottom w:val="single" w:sz="8" w:color="CCECFF"/>
            </w:tcBorders>
            <w:shd w:val="clear" w:color="auto" w:fill="CCECFF"/>
          </w:tcPr>
          <w:p>
            <w:pPr>
              <w:spacing w:after="0"/>
              <w:rPr>
                <w:sz w:val="7"/>
                <w:szCs w:val="7"/>
                <w:color w:val="auto"/>
              </w:rPr>
            </w:pPr>
          </w:p>
        </w:tc>
        <w:tc>
          <w:tcPr>
            <w:tcW w:w="720" w:type="dxa"/>
            <w:vAlign w:val="bottom"/>
            <w:tcBorders>
              <w:bottom w:val="single" w:sz="8" w:color="CCECFF"/>
            </w:tcBorders>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LLC - Term Loan </w:t>
            </w:r>
            <w:r>
              <w:rPr>
                <w:rFonts w:ascii="Times New Roman" w:cs="Times New Roman" w:eastAsia="Times New Roman" w:hAnsi="Times New Roman"/>
                <w:sz w:val="12"/>
                <w:szCs w:val="12"/>
                <w:color w:val="auto"/>
                <w:vertAlign w:val="superscript"/>
              </w:rPr>
              <w:t>(11)</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Wholesale</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5,441</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5,026</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12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Walker Edison Furniture Company, LLC - Unfunded Term</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Loan </w:t>
            </w:r>
            <w:r>
              <w:rPr>
                <w:rFonts w:ascii="Times New Roman" w:cs="Times New Roman" w:eastAsia="Times New Roman" w:hAnsi="Times New Roman"/>
                <w:sz w:val="12"/>
                <w:szCs w:val="12"/>
                <w:color w:val="auto"/>
                <w:vertAlign w:val="superscript"/>
              </w:rPr>
              <w:t>(11)</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03/01/2029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Wholesale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83</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(76)</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Walker Edison Furniture Company, LLC - Funded Junior</w:t>
            </w: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Revolver </w:t>
            </w:r>
            <w:r>
              <w:rPr>
                <w:rFonts w:ascii="Times New Roman" w:cs="Times New Roman" w:eastAsia="Times New Roman" w:hAnsi="Times New Roman"/>
                <w:sz w:val="12"/>
                <w:szCs w:val="12"/>
                <w:color w:val="auto"/>
                <w:vertAlign w:val="superscript"/>
              </w:rPr>
              <w:t>(11)</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03/01/2029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Wholesale</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1,667</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21"/>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Watchtower Intermediate,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10.60%</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SOFR+600</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9,055</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8,929</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8,964</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 Unfunded Term Loan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12/01/2025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2,100</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21"/>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Intermediate, LLC (Revolver)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6,300</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(63)</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Wildcat Buyerco,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02/26/2027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10.60%</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SOFR+575</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12,592</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12,498</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12,592</w:t>
            </w:r>
          </w:p>
        </w:tc>
        <w:tc>
          <w:tcPr>
            <w:tcW w:w="0" w:type="dxa"/>
            <w:vAlign w:val="bottom"/>
          </w:tcPr>
          <w:p>
            <w:pPr>
              <w:spacing w:after="0"/>
              <w:rPr>
                <w:sz w:val="1"/>
                <w:szCs w:val="1"/>
                <w:color w:val="auto"/>
              </w:rPr>
            </w:pPr>
          </w:p>
        </w:tc>
      </w:tr>
      <w:tr>
        <w:trPr>
          <w:trHeight w:val="121"/>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 Unfunded Term Loan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02/26/2027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3,281</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12"/>
                <w:szCs w:val="12"/>
                <w:color w:val="auto"/>
                <w:vertAlign w:val="superscript"/>
              </w:rPr>
              <w:t>(7), (9)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02/26/2027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534</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Wrench Group,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10/30/2028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rPr>
              <w:t>8.87%</w:t>
            </w: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SOFR+426</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3,483</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3,475</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3,480</w:t>
            </w: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Zips Car Wash,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12.46%</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SOFR+740</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13,252</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13,227</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12,656</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9"/>
              </w:rPr>
              <w:t>(PIK 1.5%)</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1,488,717</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1,472,064</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Subordinate Debt - 0.3%</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Beacon Behavioral Holdings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06/21/2030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15.00%</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1,042</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1,027</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1,026</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(PIK 15.00%)</w:t>
            </w: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ORL Holdco, Inc. - Convertible Notes</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03/08/2028</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Finance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18.00%</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13</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 Unfunded Convertible Notes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03/08/2028</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Consumer Finance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13</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Schlesinger Global, LLC - Promissory Note</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01/08/2026</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12.31%</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SOFR+700</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66</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StoicLane, Inc. - Convertible Notes</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08/15/2027</w:t>
            </w: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12.00%</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1,526</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1,526</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1,526</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StoicLane, Inc. - Unfunded Convertible Notes </w:t>
            </w:r>
            <w:r>
              <w:rPr>
                <w:rFonts w:ascii="Times New Roman" w:cs="Times New Roman" w:eastAsia="Times New Roman" w:hAnsi="Times New Roman"/>
                <w:sz w:val="12"/>
                <w:szCs w:val="12"/>
                <w:color w:val="auto"/>
                <w:vertAlign w:val="superscript"/>
              </w:rPr>
              <w:t>(9)</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08/15/2027</w:t>
            </w: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1,526</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2,632</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2,693</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Preferred Equity - 2.1% </w:t>
            </w:r>
            <w:r>
              <w:rPr>
                <w:rFonts w:ascii="Times New Roman" w:cs="Times New Roman" w:eastAsia="Times New Roman" w:hAnsi="Times New Roman"/>
                <w:sz w:val="12"/>
                <w:szCs w:val="12"/>
                <w:color w:val="auto"/>
                <w:vertAlign w:val="superscript"/>
              </w:rPr>
              <w:t>(6)</w:t>
            </w: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Accounting Platform Blocker, Inc -. Preferred Equity</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1,075,900</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1,076</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1,076</w:t>
            </w: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Ad.net Holdings, Inc.</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6,720</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672</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852</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AFC Acquisitions, Inc. (Preferred) </w:t>
            </w:r>
            <w:r>
              <w:rPr>
                <w:rFonts w:ascii="Times New Roman" w:cs="Times New Roman" w:eastAsia="Times New Roman" w:hAnsi="Times New Roman"/>
                <w:sz w:val="12"/>
                <w:szCs w:val="12"/>
                <w:color w:val="auto"/>
                <w:vertAlign w:val="superscript"/>
              </w:rPr>
              <w:t>(8)</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854</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1,314</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1,400</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w w:val="97"/>
              </w:rPr>
              <w:t xml:space="preserve">Anteriad Holdings, LP (f/k/a MeritDirect Holdings, LP) </w:t>
            </w:r>
            <w:r>
              <w:rPr>
                <w:rFonts w:ascii="Times New Roman" w:cs="Times New Roman" w:eastAsia="Times New Roman" w:hAnsi="Times New Roman"/>
                <w:sz w:val="12"/>
                <w:szCs w:val="12"/>
                <w:color w:val="auto"/>
                <w:w w:val="97"/>
                <w:vertAlign w:val="superscript"/>
              </w:rPr>
              <w:t>(7), (8)</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2,018</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2,018</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2,298</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Cartessa Aesthetics, LLC (Preferred) </w:t>
            </w:r>
            <w:r>
              <w:rPr>
                <w:rFonts w:ascii="Times New Roman" w:cs="Times New Roman" w:eastAsia="Times New Roman" w:hAnsi="Times New Roman"/>
                <w:sz w:val="12"/>
                <w:szCs w:val="12"/>
                <w:color w:val="auto"/>
                <w:vertAlign w:val="superscript"/>
              </w:rPr>
              <w:t>(8)</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1,437,500</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1,438</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2,560</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Preferred Equity </w:t>
            </w:r>
            <w:r>
              <w:rPr>
                <w:rFonts w:ascii="Times New Roman" w:cs="Times New Roman" w:eastAsia="Times New Roman" w:hAnsi="Times New Roman"/>
                <w:sz w:val="12"/>
                <w:szCs w:val="12"/>
                <w:color w:val="auto"/>
                <w:vertAlign w:val="superscript"/>
              </w:rPr>
              <w:t>(8)</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228,900</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223</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EvAL Home Health Solutions, LLC - Preferred Equity </w:t>
            </w:r>
            <w:r>
              <w:rPr>
                <w:rFonts w:ascii="Times New Roman" w:cs="Times New Roman" w:eastAsia="Times New Roman" w:hAnsi="Times New Roman"/>
                <w:sz w:val="12"/>
                <w:szCs w:val="12"/>
                <w:color w:val="auto"/>
                <w:vertAlign w:val="superscript"/>
              </w:rPr>
              <w:t>(8)</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876,386</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1,455</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1,631</w:t>
            </w: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Gauge Schlesinger Coinvest LLC (Preferred Equity)</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64</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21"/>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Hancock Claims Consultants Investors, LLC (Preferred</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Equity) </w:t>
            </w:r>
            <w:r>
              <w:rPr>
                <w:rFonts w:ascii="Times New Roman" w:cs="Times New Roman" w:eastAsia="Times New Roman" w:hAnsi="Times New Roman"/>
                <w:sz w:val="12"/>
                <w:szCs w:val="12"/>
                <w:color w:val="auto"/>
                <w:vertAlign w:val="superscript"/>
              </w:rPr>
              <w:t>(8)</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116,588</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76</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Imagine Topco, LP</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rPr>
              <w:t>8.00%</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1,236,027</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1,236</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1,432</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(8)</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47</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(8)</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31</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4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 Partners, LLC - Preferred A Equity</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9,360</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936</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842</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1,935</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1,935</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2,621</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(7)</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Consumer Finance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1,327</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PL Acquisitionco, LLC (Preferred Equity)</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61</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61</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A Preferred Equity </w:t>
            </w:r>
            <w:r>
              <w:rPr>
                <w:rFonts w:ascii="Times New Roman" w:cs="Times New Roman" w:eastAsia="Times New Roman" w:hAnsi="Times New Roman"/>
                <w:sz w:val="12"/>
                <w:szCs w:val="12"/>
                <w:color w:val="auto"/>
                <w:vertAlign w:val="superscript"/>
              </w:rPr>
              <w:t>(8)</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9</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C Preferred Equity </w:t>
            </w:r>
            <w:r>
              <w:rPr>
                <w:rFonts w:ascii="Times New Roman" w:cs="Times New Roman" w:eastAsia="Times New Roman" w:hAnsi="Times New Roman"/>
                <w:sz w:val="12"/>
                <w:szCs w:val="12"/>
                <w:color w:val="auto"/>
                <w:vertAlign w:val="superscript"/>
              </w:rPr>
              <w:t>(8)</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18,450</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1,215</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1,976</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RTIC Parent Holdings, LLC - Class D Preferred Equity </w:t>
            </w:r>
            <w:r>
              <w:rPr>
                <w:rFonts w:ascii="Times New Roman" w:cs="Times New Roman" w:eastAsia="Times New Roman" w:hAnsi="Times New Roman"/>
                <w:sz w:val="12"/>
                <w:szCs w:val="12"/>
                <w:color w:val="auto"/>
                <w:vertAlign w:val="superscript"/>
              </w:rPr>
              <w:t>(8)</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19,584</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196</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(7)</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409</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409</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662</w:t>
            </w:r>
          </w:p>
        </w:tc>
        <w:tc>
          <w:tcPr>
            <w:tcW w:w="0" w:type="dxa"/>
            <w:vAlign w:val="bottom"/>
          </w:tcPr>
          <w:p>
            <w:pPr>
              <w:spacing w:after="0"/>
              <w:rPr>
                <w:sz w:val="1"/>
                <w:szCs w:val="1"/>
                <w:color w:val="auto"/>
              </w:rPr>
            </w:pPr>
          </w:p>
        </w:tc>
      </w:tr>
      <w:tr>
        <w:trPr>
          <w:trHeight w:val="96"/>
        </w:trPr>
        <w:tc>
          <w:tcPr>
            <w:tcW w:w="2440" w:type="dxa"/>
            <w:vAlign w:val="bottom"/>
            <w:shd w:val="clear" w:color="auto" w:fill="CCECFF"/>
          </w:tcPr>
          <w:p>
            <w:pPr>
              <w:spacing w:after="0" w:line="96" w:lineRule="exact"/>
              <w:rPr>
                <w:sz w:val="20"/>
                <w:szCs w:val="20"/>
                <w:color w:val="auto"/>
              </w:rPr>
            </w:pPr>
            <w:r>
              <w:rPr>
                <w:rFonts w:ascii="Times New Roman" w:cs="Times New Roman" w:eastAsia="Times New Roman" w:hAnsi="Times New Roman"/>
                <w:sz w:val="10"/>
                <w:szCs w:val="10"/>
                <w:color w:val="auto"/>
              </w:rPr>
              <w:t>TWD Parent Holdings, LLC (The Vertex Companies, LLC)</w:t>
            </w:r>
          </w:p>
        </w:tc>
        <w:tc>
          <w:tcPr>
            <w:tcW w:w="640" w:type="dxa"/>
            <w:vAlign w:val="bottom"/>
            <w:shd w:val="clear" w:color="auto" w:fill="CCECFF"/>
          </w:tcPr>
          <w:p>
            <w:pPr>
              <w:spacing w:after="0"/>
              <w:rPr>
                <w:sz w:val="8"/>
                <w:szCs w:val="8"/>
                <w:color w:val="auto"/>
              </w:rPr>
            </w:pPr>
          </w:p>
        </w:tc>
        <w:tc>
          <w:tcPr>
            <w:tcW w:w="17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760" w:type="dxa"/>
            <w:vAlign w:val="bottom"/>
            <w:vMerge w:val="restart"/>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vMerge w:val="restart"/>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37</w:t>
            </w:r>
          </w:p>
        </w:tc>
        <w:tc>
          <w:tcPr>
            <w:tcW w:w="580" w:type="dxa"/>
            <w:vAlign w:val="bottom"/>
            <w:vMerge w:val="restart"/>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w:t>
            </w:r>
          </w:p>
        </w:tc>
        <w:tc>
          <w:tcPr>
            <w:tcW w:w="140" w:type="dxa"/>
            <w:vAlign w:val="bottom"/>
            <w:shd w:val="clear" w:color="auto" w:fill="CCECFF"/>
          </w:tcPr>
          <w:p>
            <w:pPr>
              <w:spacing w:after="0"/>
              <w:rPr>
                <w:sz w:val="8"/>
                <w:szCs w:val="8"/>
                <w:color w:val="auto"/>
              </w:rPr>
            </w:pPr>
          </w:p>
        </w:tc>
        <w:tc>
          <w:tcPr>
            <w:tcW w:w="7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w:t>
            </w:r>
          </w:p>
        </w:tc>
        <w:tc>
          <w:tcPr>
            <w:tcW w:w="0" w:type="dxa"/>
            <w:vAlign w:val="bottom"/>
          </w:tcPr>
          <w:p>
            <w:pPr>
              <w:spacing w:after="0"/>
              <w:rPr>
                <w:sz w:val="1"/>
                <w:szCs w:val="1"/>
                <w:color w:val="auto"/>
              </w:rPr>
            </w:pPr>
          </w:p>
        </w:tc>
      </w:tr>
      <w:tr>
        <w:trPr>
          <w:trHeight w:val="88"/>
        </w:trPr>
        <w:tc>
          <w:tcPr>
            <w:tcW w:w="24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6"/>
                <w:szCs w:val="6"/>
                <w:color w:val="auto"/>
              </w:rPr>
              <w:t>(7)</w:t>
            </w:r>
          </w:p>
        </w:tc>
        <w:tc>
          <w:tcPr>
            <w:tcW w:w="640" w:type="dxa"/>
            <w:vAlign w:val="bottom"/>
            <w:tcBorders>
              <w:bottom w:val="single" w:sz="8" w:color="CCECFF"/>
            </w:tcBorders>
            <w:shd w:val="clear" w:color="auto" w:fill="CCECFF"/>
          </w:tcPr>
          <w:p>
            <w:pPr>
              <w:spacing w:after="0"/>
              <w:rPr>
                <w:sz w:val="7"/>
                <w:szCs w:val="7"/>
                <w:color w:val="auto"/>
              </w:rPr>
            </w:pPr>
          </w:p>
        </w:tc>
        <w:tc>
          <w:tcPr>
            <w:tcW w:w="1720" w:type="dxa"/>
            <w:vAlign w:val="bottom"/>
            <w:tcBorders>
              <w:bottom w:val="single" w:sz="8" w:color="CCECFF"/>
            </w:tcBorders>
            <w:vMerge w:val="continue"/>
            <w:shd w:val="clear" w:color="auto" w:fill="CCECFF"/>
          </w:tcPr>
          <w:p>
            <w:pPr>
              <w:spacing w:after="0"/>
              <w:rPr>
                <w:sz w:val="7"/>
                <w:szCs w:val="7"/>
                <w:color w:val="auto"/>
              </w:rPr>
            </w:pPr>
          </w:p>
        </w:tc>
        <w:tc>
          <w:tcPr>
            <w:tcW w:w="760" w:type="dxa"/>
            <w:vAlign w:val="bottom"/>
            <w:tcBorders>
              <w:bottom w:val="single" w:sz="8" w:color="CCECFF"/>
            </w:tcBorders>
            <w:vMerge w:val="continue"/>
            <w:shd w:val="clear" w:color="auto" w:fill="CCECFF"/>
          </w:tcPr>
          <w:p>
            <w:pPr>
              <w:spacing w:after="0"/>
              <w:rPr>
                <w:sz w:val="7"/>
                <w:szCs w:val="7"/>
                <w:color w:val="auto"/>
              </w:rPr>
            </w:pPr>
          </w:p>
        </w:tc>
        <w:tc>
          <w:tcPr>
            <w:tcW w:w="920" w:type="dxa"/>
            <w:vAlign w:val="bottom"/>
            <w:tcBorders>
              <w:bottom w:val="single" w:sz="8" w:color="CCECFF"/>
            </w:tcBorders>
            <w:vMerge w:val="continue"/>
            <w:shd w:val="clear" w:color="auto" w:fill="CCECFF"/>
          </w:tcPr>
          <w:p>
            <w:pPr>
              <w:spacing w:after="0"/>
              <w:rPr>
                <w:sz w:val="7"/>
                <w:szCs w:val="7"/>
                <w:color w:val="auto"/>
              </w:rPr>
            </w:pPr>
          </w:p>
        </w:tc>
        <w:tc>
          <w:tcPr>
            <w:tcW w:w="960" w:type="dxa"/>
            <w:vAlign w:val="bottom"/>
            <w:tcBorders>
              <w:bottom w:val="single" w:sz="8" w:color="CCECFF"/>
            </w:tcBorders>
            <w:vMerge w:val="continue"/>
            <w:shd w:val="clear" w:color="auto" w:fill="CCECFF"/>
          </w:tcPr>
          <w:p>
            <w:pPr>
              <w:spacing w:after="0"/>
              <w:rPr>
                <w:sz w:val="7"/>
                <w:szCs w:val="7"/>
                <w:color w:val="auto"/>
              </w:rPr>
            </w:pPr>
          </w:p>
        </w:tc>
        <w:tc>
          <w:tcPr>
            <w:tcW w:w="580" w:type="dxa"/>
            <w:vAlign w:val="bottom"/>
            <w:tcBorders>
              <w:bottom w:val="single" w:sz="8" w:color="CCECFF"/>
            </w:tcBorders>
            <w:vMerge w:val="continue"/>
            <w:shd w:val="clear" w:color="auto" w:fill="CCECFF"/>
          </w:tcPr>
          <w:p>
            <w:pPr>
              <w:spacing w:after="0"/>
              <w:rPr>
                <w:sz w:val="7"/>
                <w:szCs w:val="7"/>
                <w:color w:val="auto"/>
              </w:rPr>
            </w:pPr>
          </w:p>
        </w:tc>
        <w:tc>
          <w:tcPr>
            <w:tcW w:w="140" w:type="dxa"/>
            <w:vAlign w:val="bottom"/>
            <w:tcBorders>
              <w:bottom w:val="single" w:sz="8" w:color="CCECFF"/>
            </w:tcBorders>
            <w:shd w:val="clear" w:color="auto" w:fill="CCECFF"/>
          </w:tcPr>
          <w:p>
            <w:pPr>
              <w:spacing w:after="0"/>
              <w:rPr>
                <w:sz w:val="7"/>
                <w:szCs w:val="7"/>
                <w:color w:val="auto"/>
              </w:rPr>
            </w:pPr>
          </w:p>
        </w:tc>
        <w:tc>
          <w:tcPr>
            <w:tcW w:w="720" w:type="dxa"/>
            <w:vAlign w:val="bottom"/>
            <w:tcBorders>
              <w:bottom w:val="single" w:sz="8" w:color="CCECFF"/>
            </w:tcBorders>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UniTek Global Services, Inc. - Super Senior Preferred</w:t>
            </w: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Equity </w:t>
            </w:r>
            <w:r>
              <w:rPr>
                <w:rFonts w:ascii="Times New Roman" w:cs="Times New Roman" w:eastAsia="Times New Roman" w:hAnsi="Times New Roman"/>
                <w:sz w:val="12"/>
                <w:szCs w:val="12"/>
                <w:color w:val="auto"/>
                <w:vertAlign w:val="superscript"/>
              </w:rPr>
              <w:t>(7)</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20.00%</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343,861</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344</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209</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 Senior Preferred Equity </w:t>
            </w:r>
            <w:r>
              <w:rPr>
                <w:rFonts w:ascii="Times New Roman" w:cs="Times New Roman" w:eastAsia="Times New Roman" w:hAnsi="Times New Roman"/>
                <w:sz w:val="12"/>
                <w:szCs w:val="12"/>
                <w:color w:val="auto"/>
                <w:vertAlign w:val="superscript"/>
              </w:rPr>
              <w:t>(7)</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7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19.00%</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448,851</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449</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UniTek Global Services, Inc. </w:t>
            </w:r>
            <w:r>
              <w:rPr>
                <w:rFonts w:ascii="Times New Roman" w:cs="Times New Roman" w:eastAsia="Times New Roman" w:hAnsi="Times New Roman"/>
                <w:sz w:val="12"/>
                <w:szCs w:val="12"/>
                <w:color w:val="auto"/>
                <w:vertAlign w:val="superscript"/>
              </w:rPr>
              <w:t>(7)</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13.50%</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1,047,317</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670</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16,031</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18,305</w:t>
            </w:r>
          </w:p>
        </w:tc>
        <w:tc>
          <w:tcPr>
            <w:tcW w:w="0" w:type="dxa"/>
            <w:vAlign w:val="bottom"/>
          </w:tcPr>
          <w:p>
            <w:pPr>
              <w:spacing w:after="0"/>
              <w:rPr>
                <w:sz w:val="1"/>
                <w:szCs w:val="1"/>
                <w:color w:val="auto"/>
              </w:rPr>
            </w:pPr>
          </w:p>
        </w:tc>
      </w:tr>
      <w:tr>
        <w:trPr>
          <w:trHeight w:val="120"/>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Common Equity/Warrants - 15.9% </w:t>
            </w:r>
            <w:r>
              <w:rPr>
                <w:rFonts w:ascii="Times New Roman" w:cs="Times New Roman" w:eastAsia="Times New Roman" w:hAnsi="Times New Roman"/>
                <w:sz w:val="12"/>
                <w:szCs w:val="12"/>
                <w:color w:val="auto"/>
                <w:vertAlign w:val="superscript"/>
              </w:rPr>
              <w:t>(6)</w:t>
            </w:r>
          </w:p>
        </w:tc>
        <w:tc>
          <w:tcPr>
            <w:tcW w:w="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(8)</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647,943</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648</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818</w:t>
            </w: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ACP Big Top Holdings, L.P. - Common Equity</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3,000,500</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3,001</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3,614</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(7)</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7,467</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75</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20"/>
        </w:trPr>
        <w:tc>
          <w:tcPr>
            <w:tcW w:w="2440" w:type="dxa"/>
            <w:vAlign w:val="bottom"/>
          </w:tcPr>
          <w:p>
            <w:pPr>
              <w:spacing w:after="0"/>
              <w:rPr>
                <w:sz w:val="20"/>
                <w:szCs w:val="20"/>
                <w:color w:val="auto"/>
              </w:rPr>
            </w:pPr>
            <w:r>
              <w:rPr>
                <w:rFonts w:ascii="Times New Roman" w:cs="Times New Roman" w:eastAsia="Times New Roman" w:hAnsi="Times New Roman"/>
                <w:sz w:val="10"/>
                <w:szCs w:val="10"/>
                <w:color w:val="auto"/>
              </w:rPr>
              <w:t>Aechelon InvestCo, LP - Common Equity</w:t>
            </w:r>
          </w:p>
        </w:tc>
        <w:tc>
          <w:tcPr>
            <w:tcW w:w="6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31,675</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3,168</w:t>
            </w:r>
          </w:p>
        </w:tc>
        <w:tc>
          <w:tcPr>
            <w:tcW w:w="14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3,168</w:t>
            </w:r>
          </w:p>
        </w:tc>
        <w:tc>
          <w:tcPr>
            <w:tcW w:w="0" w:type="dxa"/>
            <w:vAlign w:val="bottom"/>
          </w:tcPr>
          <w:p>
            <w:pPr>
              <w:spacing w:after="0"/>
              <w:rPr>
                <w:sz w:val="1"/>
                <w:szCs w:val="1"/>
                <w:color w:val="auto"/>
              </w:rPr>
            </w:pPr>
          </w:p>
        </w:tc>
      </w:tr>
      <w:tr>
        <w:trPr>
          <w:trHeight w:val="120"/>
        </w:trPr>
        <w:tc>
          <w:tcPr>
            <w:tcW w:w="244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Aechelon InvestCo, LP - Unfunded </w:t>
            </w:r>
            <w:r>
              <w:rPr>
                <w:rFonts w:ascii="Times New Roman" w:cs="Times New Roman" w:eastAsia="Times New Roman" w:hAnsi="Times New Roman"/>
                <w:sz w:val="12"/>
                <w:szCs w:val="12"/>
                <w:color w:val="auto"/>
                <w:vertAlign w:val="superscript"/>
              </w:rPr>
              <w:t>(9)</w:t>
            </w:r>
          </w:p>
        </w:tc>
        <w:tc>
          <w:tcPr>
            <w:tcW w:w="640" w:type="dxa"/>
            <w:vAlign w:val="bottom"/>
            <w:shd w:val="clear" w:color="auto" w:fill="CCECFF"/>
          </w:tcPr>
          <w:p>
            <w:pPr>
              <w:spacing w:after="0"/>
              <w:rPr>
                <w:sz w:val="10"/>
                <w:szCs w:val="10"/>
                <w:color w:val="auto"/>
              </w:rPr>
            </w:pPr>
          </w:p>
        </w:tc>
        <w:tc>
          <w:tcPr>
            <w:tcW w:w="17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31,675</w:t>
            </w:r>
          </w:p>
        </w:tc>
        <w:tc>
          <w:tcPr>
            <w:tcW w:w="5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w w:val="88"/>
              </w:rPr>
              <w:t>Basis Point</w:t>
            </w: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840" w:type="dxa"/>
            <w:vAlign w:val="bottom"/>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300" w:type="dxa"/>
            <w:vAlign w:val="bottom"/>
          </w:tcPr>
          <w:p>
            <w:pPr>
              <w:spacing w:after="0"/>
              <w:rPr>
                <w:sz w:val="10"/>
                <w:szCs w:val="1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2"/>
        </w:trPr>
        <w:tc>
          <w:tcPr>
            <w:tcW w:w="24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00" w:type="dxa"/>
            <w:vAlign w:val="bottom"/>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840" w:type="dxa"/>
            <w:vAlign w:val="bottom"/>
          </w:tcPr>
          <w:p>
            <w:pPr>
              <w:jc w:val="center"/>
              <w:ind w:left="37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300" w:type="dxa"/>
            <w:vAlign w:val="bottom"/>
          </w:tcPr>
          <w:p>
            <w:pPr>
              <w:spacing w:after="0"/>
              <w:rPr>
                <w:sz w:val="10"/>
                <w:szCs w:val="10"/>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2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2,632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2,632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3,686</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805,164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 (9)</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194,836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Altamira Intermediate Company II, Inc. </w:t>
            </w:r>
            <w:r>
              <w:rPr>
                <w:rFonts w:ascii="Times New Roman" w:cs="Times New Roman" w:eastAsia="Times New Roman" w:hAnsi="Times New Roman"/>
                <w:sz w:val="12"/>
                <w:szCs w:val="12"/>
                <w:color w:val="auto"/>
                <w:vertAlign w:val="superscript"/>
              </w:rPr>
              <w:t>(7)</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1,437,500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1,736</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w w:val="97"/>
              </w:rPr>
              <w:t xml:space="preserve">Anteriad Holdings, LP (f/k/a MeritDirect Holdings, LP) </w:t>
            </w:r>
            <w:r>
              <w:rPr>
                <w:rFonts w:ascii="Times New Roman" w:cs="Times New Roman" w:eastAsia="Times New Roman" w:hAnsi="Times New Roman"/>
                <w:sz w:val="12"/>
                <w:szCs w:val="12"/>
                <w:color w:val="auto"/>
                <w:w w:val="97"/>
                <w:vertAlign w:val="superscript"/>
              </w:rPr>
              <w:t>(7), (8)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2,018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(8)</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4,678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3,837</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BioDerm Holdings, LP</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1,313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1,179</w:t>
            </w: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Burgess Point Holdings, LP</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By Light Investco LP </w:t>
            </w:r>
            <w:r>
              <w:rPr>
                <w:rFonts w:ascii="Times New Roman" w:cs="Times New Roman" w:eastAsia="Times New Roman" w:hAnsi="Times New Roman"/>
                <w:sz w:val="12"/>
                <w:szCs w:val="12"/>
                <w:color w:val="auto"/>
                <w:vertAlign w:val="superscript"/>
              </w:rPr>
              <w:t>(7), (8)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22,789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18,788</w:t>
            </w: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Carisk Parent, L.P.</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239,680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247</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Carnegie HoldCo, LLC - Common Equity </w:t>
            </w:r>
            <w:r>
              <w:rPr>
                <w:rFonts w:ascii="Times New Roman" w:cs="Times New Roman" w:eastAsia="Times New Roman" w:hAnsi="Times New Roman"/>
                <w:sz w:val="12"/>
                <w:szCs w:val="12"/>
                <w:color w:val="auto"/>
                <w:vertAlign w:val="superscript"/>
              </w:rPr>
              <w:t>(8)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2,719,600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2,638</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Connatix Parent, LLC </w:t>
            </w:r>
            <w:r>
              <w:rPr>
                <w:rFonts w:ascii="Times New Roman" w:cs="Times New Roman" w:eastAsia="Times New Roman" w:hAnsi="Times New Roman"/>
                <w:sz w:val="12"/>
                <w:szCs w:val="12"/>
                <w:color w:val="auto"/>
                <w:vertAlign w:val="superscript"/>
              </w:rPr>
              <w:t>(7)</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38,278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236</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Consello Pacific Aggregator, LLC </w:t>
            </w:r>
            <w:r>
              <w:rPr>
                <w:rFonts w:ascii="Times New Roman" w:cs="Times New Roman" w:eastAsia="Times New Roman" w:hAnsi="Times New Roman"/>
                <w:sz w:val="12"/>
                <w:szCs w:val="12"/>
                <w:color w:val="auto"/>
                <w:vertAlign w:val="superscript"/>
              </w:rPr>
              <w:t>(8)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1,025,476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921</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Crane 1 Acquisition Parent Holdings, L.P. </w:t>
            </w:r>
            <w:r>
              <w:rPr>
                <w:rFonts w:ascii="Times New Roman" w:cs="Times New Roman" w:eastAsia="Times New Roman" w:hAnsi="Times New Roman"/>
                <w:sz w:val="12"/>
                <w:szCs w:val="12"/>
                <w:color w:val="auto"/>
                <w:vertAlign w:val="superscript"/>
              </w:rPr>
              <w:t>(7)</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130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220</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C5MI Holdco, LLC. - Common Equity </w:t>
            </w:r>
            <w:r>
              <w:rPr>
                <w:rFonts w:ascii="Times New Roman" w:cs="Times New Roman" w:eastAsia="Times New Roman" w:hAnsi="Times New Roman"/>
                <w:sz w:val="12"/>
                <w:szCs w:val="12"/>
                <w:color w:val="auto"/>
                <w:vertAlign w:val="superscript"/>
              </w:rPr>
              <w:t>(8)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1,659,050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1,659</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1,654</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804,615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763</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 (9)</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200,255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DUGGAL EQUITY, LP – Common Equity</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686,400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686</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686</w:t>
            </w:r>
          </w:p>
        </w:tc>
      </w:tr>
      <w:tr>
        <w:trPr>
          <w:trHeight w:val="121"/>
        </w:trPr>
        <w:tc>
          <w:tcPr>
            <w:tcW w:w="2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Banking, Finance, Insurance &amp; Real</w:t>
            </w: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(7), (10)</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Estate</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639</w:t>
            </w:r>
          </w:p>
        </w:tc>
      </w:tr>
      <w:tr>
        <w:trPr>
          <w:trHeight w:val="121"/>
        </w:trPr>
        <w:tc>
          <w:tcPr>
            <w:tcW w:w="24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EDS Topco, LP</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1,125,000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1,256</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Exigo, LLC</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541,667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586</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 (8)</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21,665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727</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1,773</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 (8), (9)</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7,566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655,714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656</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Gauge ETE Blocker, LLC</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374,444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285</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Gauge Lash Coinvest LLC </w:t>
            </w:r>
            <w:r>
              <w:rPr>
                <w:rFonts w:ascii="Times New Roman" w:cs="Times New Roman" w:eastAsia="Times New Roman" w:hAnsi="Times New Roman"/>
                <w:sz w:val="12"/>
                <w:szCs w:val="12"/>
                <w:color w:val="auto"/>
                <w:vertAlign w:val="superscript"/>
              </w:rPr>
              <w:t>(7)</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1,840,021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1,393</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5,349</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Gauge Loving Tan, LP</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2,914,701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2,915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3,207</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Gauge Schlesinger Coinvest LLC </w:t>
            </w:r>
            <w:r>
              <w:rPr>
                <w:rFonts w:ascii="Times New Roman" w:cs="Times New Roman" w:eastAsia="Times New Roman" w:hAnsi="Times New Roman"/>
                <w:sz w:val="12"/>
                <w:szCs w:val="12"/>
                <w:color w:val="auto"/>
                <w:vertAlign w:val="superscript"/>
              </w:rPr>
              <w:t>(7)</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465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476</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268</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GCOM InvestCo LP</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19,184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3,342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4,555</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GGG Topco, LLC – Common Equity </w:t>
            </w:r>
            <w:r>
              <w:rPr>
                <w:rFonts w:ascii="Times New Roman" w:cs="Times New Roman" w:eastAsia="Times New Roman" w:hAnsi="Times New Roman"/>
                <w:sz w:val="12"/>
                <w:szCs w:val="12"/>
                <w:color w:val="auto"/>
                <w:vertAlign w:val="superscript"/>
              </w:rPr>
              <w:t>(8)</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2,759,800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2,760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2,760</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GMP Hills, L.P.</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4,430,843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4,431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4,342</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(7), (8)</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450,000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275</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HPA SPQ Aggregator LP</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750,399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842</w:t>
            </w: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HV Watterson Holdings, LLC</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100,000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Icon Partners V C, L.P.</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1,870,915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1,871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1,872</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 (9)</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629,085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IIN Group Holdings, LLC </w:t>
            </w:r>
            <w:r>
              <w:rPr>
                <w:rFonts w:ascii="Times New Roman" w:cs="Times New Roman" w:eastAsia="Times New Roman" w:hAnsi="Times New Roman"/>
                <w:sz w:val="12"/>
                <w:szCs w:val="12"/>
                <w:color w:val="auto"/>
                <w:vertAlign w:val="superscript"/>
              </w:rPr>
              <w:t>(8)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Topco, LP (Common)</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1,236,027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IHS Parent Holdngs, L.P.</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1,218,045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1,535</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w w:val="99"/>
              </w:rPr>
              <w:t xml:space="preserve">Ironclad Holdco, LLC (Applied Technical Services, LLC) </w:t>
            </w:r>
            <w:r>
              <w:rPr>
                <w:rFonts w:ascii="Times New Roman" w:cs="Times New Roman" w:eastAsia="Times New Roman" w:hAnsi="Times New Roman"/>
                <w:sz w:val="12"/>
                <w:szCs w:val="12"/>
                <w:color w:val="auto"/>
                <w:w w:val="99"/>
                <w:vertAlign w:val="superscript"/>
              </w:rPr>
              <w:t>(7)</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6,355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988</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116,032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1,745</w:t>
            </w: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1,734,775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1,735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1,985</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(7), (8)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Energy Equipment and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382,353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w:t>
            </w: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LEP Pequod Holdings, LP</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1,004</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Lightspeed Investment Holdco LLC </w:t>
            </w:r>
            <w:r>
              <w:rPr>
                <w:rFonts w:ascii="Times New Roman" w:cs="Times New Roman" w:eastAsia="Times New Roman" w:hAnsi="Times New Roman"/>
                <w:sz w:val="12"/>
                <w:szCs w:val="12"/>
                <w:color w:val="auto"/>
                <w:vertAlign w:val="superscript"/>
              </w:rPr>
              <w:t>(7)</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585,587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2,118</w:t>
            </w: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LP</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1,638,043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1,638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1,998</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Lucky Bucks, LLC</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73,870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2,062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904</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A Common Equity </w:t>
            </w:r>
            <w:r>
              <w:rPr>
                <w:rFonts w:ascii="Times New Roman" w:cs="Times New Roman" w:eastAsia="Times New Roman" w:hAnsi="Times New Roman"/>
                <w:sz w:val="12"/>
                <w:szCs w:val="12"/>
                <w:color w:val="auto"/>
                <w:vertAlign w:val="superscript"/>
              </w:rPr>
              <w:t>(8)</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46,974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Magnolia Topco LP - Class B Common Equity </w:t>
            </w:r>
            <w:r>
              <w:rPr>
                <w:rFonts w:ascii="Times New Roman" w:cs="Times New Roman" w:eastAsia="Times New Roman" w:hAnsi="Times New Roman"/>
                <w:sz w:val="12"/>
                <w:szCs w:val="12"/>
                <w:color w:val="auto"/>
                <w:vertAlign w:val="superscript"/>
              </w:rPr>
              <w:t>(8)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30,926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MDI Aggregator, LP</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10,761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819,231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1"/>
        </w:trPr>
        <w:tc>
          <w:tcPr>
            <w:tcW w:w="24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 Partners, LLC - Common A Equity</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1,040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Municipal Emergency Services, Inc. </w:t>
            </w:r>
            <w:r>
              <w:rPr>
                <w:rFonts w:ascii="Times New Roman" w:cs="Times New Roman" w:eastAsia="Times New Roman" w:hAnsi="Times New Roman"/>
                <w:sz w:val="12"/>
                <w:szCs w:val="12"/>
                <w:color w:val="auto"/>
                <w:vertAlign w:val="superscript"/>
              </w:rPr>
              <w:t>(7)</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1,973,370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2,005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3,157</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(7), (8)</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1,494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New Insight Holdings, Inc. - Common Equity</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158,348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2,771</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New Medina Health, LLC </w:t>
            </w:r>
            <w:r>
              <w:rPr>
                <w:rFonts w:ascii="Times New Roman" w:cs="Times New Roman" w:eastAsia="Times New Roman" w:hAnsi="Times New Roman"/>
                <w:sz w:val="12"/>
                <w:szCs w:val="12"/>
                <w:color w:val="auto"/>
                <w:vertAlign w:val="superscript"/>
              </w:rPr>
              <w:t>(8)</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2,672,646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2,673</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4,171</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NFS - CFP Holdings LLC</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1,337,017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1,337</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(8)</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2,544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2,525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2,256</w:t>
            </w: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223,602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241</w:t>
            </w:r>
          </w:p>
        </w:tc>
      </w:tr>
      <w:tr>
        <w:trPr>
          <w:trHeight w:val="120"/>
        </w:trPr>
        <w:tc>
          <w:tcPr>
            <w:tcW w:w="24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37,561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496</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OceanSound Discovery Equity, LP (Holdco Sands</w:t>
            </w:r>
          </w:p>
        </w:tc>
        <w:tc>
          <w:tcPr>
            <w:tcW w:w="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24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Intermediate, LLC) </w:t>
            </w:r>
            <w:r>
              <w:rPr>
                <w:rFonts w:ascii="Times New Roman" w:cs="Times New Roman" w:eastAsia="Times New Roman" w:hAnsi="Times New Roman"/>
                <w:sz w:val="12"/>
                <w:szCs w:val="12"/>
                <w:color w:val="auto"/>
                <w:vertAlign w:val="superscript"/>
              </w:rPr>
              <w:t>(7), (8)</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173,638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1,736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1,761</w:t>
            </w:r>
          </w:p>
        </w:tc>
      </w:tr>
      <w:tr>
        <w:trPr>
          <w:trHeight w:val="120"/>
        </w:trPr>
        <w:tc>
          <w:tcPr>
            <w:tcW w:w="24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OES Co-Invest, LP - Class A Common Equity</w:t>
            </w:r>
          </w:p>
        </w:tc>
        <w:tc>
          <w:tcPr>
            <w:tcW w:w="600" w:type="dxa"/>
            <w:vAlign w:val="bottom"/>
            <w:shd w:val="clear" w:color="auto" w:fill="CCECFF"/>
          </w:tcPr>
          <w:p>
            <w:pPr>
              <w:spacing w:after="0"/>
              <w:rPr>
                <w:sz w:val="10"/>
                <w:szCs w:val="10"/>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00" w:type="dxa"/>
            <w:vAlign w:val="bottom"/>
            <w:shd w:val="clear" w:color="auto" w:fill="CCECFF"/>
          </w:tcPr>
          <w:p>
            <w:pPr>
              <w:spacing w:after="0"/>
              <w:rPr>
                <w:sz w:val="10"/>
                <w:szCs w:val="10"/>
                <w:color w:val="auto"/>
              </w:rPr>
            </w:pPr>
          </w:p>
        </w:tc>
        <w:tc>
          <w:tcPr>
            <w:tcW w:w="8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1,560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1,574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1,739</w:t>
            </w:r>
          </w:p>
        </w:tc>
      </w:tr>
      <w:tr>
        <w:trPr>
          <w:trHeight w:val="124"/>
        </w:trPr>
        <w:tc>
          <w:tcPr>
            <w:tcW w:w="2460" w:type="dxa"/>
            <w:vAlign w:val="bottom"/>
          </w:tcPr>
          <w:p>
            <w:pPr>
              <w:spacing w:after="0"/>
              <w:rPr>
                <w:sz w:val="20"/>
                <w:szCs w:val="20"/>
                <w:color w:val="auto"/>
              </w:rPr>
            </w:pPr>
            <w:r>
              <w:rPr>
                <w:rFonts w:ascii="Times New Roman" w:cs="Times New Roman" w:eastAsia="Times New Roman" w:hAnsi="Times New Roman"/>
                <w:sz w:val="10"/>
                <w:szCs w:val="10"/>
                <w:color w:val="auto"/>
              </w:rPr>
              <w:t>OHCP V BC COI, L.P.</w:t>
            </w:r>
          </w:p>
        </w:tc>
        <w:tc>
          <w:tcPr>
            <w:tcW w:w="6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500" w:type="dxa"/>
            <w:vAlign w:val="bottom"/>
          </w:tcPr>
          <w:p>
            <w:pPr>
              <w:spacing w:after="0"/>
              <w:rPr>
                <w:sz w:val="10"/>
                <w:szCs w:val="1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1,158,239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738</w:t>
            </w:r>
          </w:p>
        </w:tc>
      </w:tr>
    </w:tbl>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220" w:type="dxa"/>
            <w:vAlign w:val="bottom"/>
          </w:tcPr>
          <w:p>
            <w:pPr>
              <w:spacing w:after="0"/>
              <w:rPr>
                <w:sz w:val="10"/>
                <w:szCs w:val="10"/>
                <w:color w:val="auto"/>
              </w:rPr>
            </w:pP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Par /</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00" w:type="dxa"/>
            <w:vAlign w:val="bottom"/>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220" w:type="dxa"/>
            <w:vAlign w:val="bottom"/>
          </w:tcPr>
          <w:p>
            <w:pPr>
              <w:spacing w:after="0"/>
              <w:rPr>
                <w:sz w:val="10"/>
                <w:szCs w:val="10"/>
                <w:color w:val="auto"/>
              </w:rPr>
            </w:pPr>
          </w:p>
        </w:tc>
        <w:tc>
          <w:tcPr>
            <w:tcW w:w="9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(9)</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91,761</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ORL Holdco, Inc</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Finance</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1,474</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1,727,679</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1,728</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Output Services Group, Inc.</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80,170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PAR Excellence Holdings, Inc. - Common Equity</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1,902,200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1,902</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PCS Parent, LP - Common Equity</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423,247</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PennantPark-TSO Senior Loan Fund, LP </w:t>
            </w:r>
            <w:r>
              <w:rPr>
                <w:rFonts w:ascii="Times New Roman" w:cs="Times New Roman" w:eastAsia="Times New Roman" w:hAnsi="Times New Roman"/>
                <w:sz w:val="12"/>
                <w:szCs w:val="12"/>
                <w:color w:val="auto"/>
                <w:vertAlign w:val="superscript"/>
              </w:rPr>
              <w:t>(7)(10)</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11,167,847</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11,168</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9,186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(8)</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1,735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Pragmatic Institute, LLC</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610,583</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611</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Quad (U.S.) Co-Invest, L.P.</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266,864</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700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 (9)</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955</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(7), (8)</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RFMG Parent, LP (Rancho Health MSO, Inc.) </w:t>
            </w:r>
            <w:r>
              <w:rPr>
                <w:rFonts w:ascii="Times New Roman" w:cs="Times New Roman" w:eastAsia="Times New Roman" w:hAnsi="Times New Roman"/>
                <w:sz w:val="12"/>
                <w:szCs w:val="12"/>
                <w:color w:val="auto"/>
                <w:vertAlign w:val="superscript"/>
              </w:rPr>
              <w:t>(7)</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1,050,000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Safe Haven Defense MidCo, LLC - Common Equity </w:t>
            </w:r>
            <w:r>
              <w:rPr>
                <w:rFonts w:ascii="Times New Roman" w:cs="Times New Roman" w:eastAsia="Times New Roman" w:hAnsi="Times New Roman"/>
                <w:sz w:val="12"/>
                <w:szCs w:val="12"/>
                <w:color w:val="auto"/>
                <w:vertAlign w:val="superscript"/>
              </w:rPr>
              <w:t>(8)</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596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596</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SBI Holdings Investments LLC (Sales Benchmark Index</w:t>
            </w: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LLC) </w:t>
            </w:r>
            <w:r>
              <w:rPr>
                <w:rFonts w:ascii="Times New Roman" w:cs="Times New Roman" w:eastAsia="Times New Roman" w:hAnsi="Times New Roman"/>
                <w:sz w:val="12"/>
                <w:szCs w:val="12"/>
                <w:color w:val="auto"/>
                <w:vertAlign w:val="superscript"/>
              </w:rPr>
              <w:t>(7)</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64,634</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Seaway Topco, LP</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296</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SP L2 Holdings, LLC (Ledge Lounger, Inc.)</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360,103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SSC Dominion Holdings, LLC - Class B (US Dominion,</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Inc.) </w:t>
            </w:r>
            <w:r>
              <w:rPr>
                <w:rFonts w:ascii="Times New Roman" w:cs="Times New Roman" w:eastAsia="Times New Roman" w:hAnsi="Times New Roman"/>
                <w:sz w:val="12"/>
                <w:szCs w:val="12"/>
                <w:color w:val="auto"/>
                <w:vertAlign w:val="superscript"/>
              </w:rPr>
              <w:t>(7)</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1,385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StellPen Holdings, LLC (CF512, Inc.) </w:t>
            </w:r>
            <w:r>
              <w:rPr>
                <w:rFonts w:ascii="Times New Roman" w:cs="Times New Roman" w:eastAsia="Times New Roman" w:hAnsi="Times New Roman"/>
                <w:sz w:val="12"/>
                <w:szCs w:val="12"/>
                <w:color w:val="auto"/>
                <w:vertAlign w:val="superscript"/>
              </w:rPr>
              <w:t>(7)</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161,538</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(8)</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61</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535</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(7), (8)</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533,833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TCG 3.0 Jogger Co-Invest, LP</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9,108</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1,760</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1,357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Tower Arch Infolinks Media, LP (Infolinks Media Buyco,</w:t>
            </w: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LLC) </w:t>
            </w:r>
            <w:r>
              <w:rPr>
                <w:rFonts w:ascii="Times New Roman" w:cs="Times New Roman" w:eastAsia="Times New Roman" w:hAnsi="Times New Roman"/>
                <w:sz w:val="12"/>
                <w:szCs w:val="12"/>
                <w:color w:val="auto"/>
                <w:vertAlign w:val="superscript"/>
              </w:rPr>
              <w:t>(8)</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221,296</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Tower Arch Infolinks Media, LP (Infolinks Media Buyco,</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19" w:lineRule="exact"/>
              <w:rPr>
                <w:sz w:val="20"/>
                <w:szCs w:val="20"/>
                <w:color w:val="auto"/>
              </w:rPr>
            </w:pPr>
            <w:r>
              <w:rPr>
                <w:rFonts w:ascii="Times New Roman" w:cs="Times New Roman" w:eastAsia="Times New Roman" w:hAnsi="Times New Roman"/>
                <w:sz w:val="13"/>
                <w:szCs w:val="13"/>
                <w:color w:val="auto"/>
                <w:vertAlign w:val="subscript"/>
              </w:rPr>
              <w:t>LLC)</w:t>
            </w:r>
            <w:r>
              <w:rPr>
                <w:rFonts w:ascii="Times New Roman" w:cs="Times New Roman" w:eastAsia="Times New Roman" w:hAnsi="Times New Roman"/>
                <w:sz w:val="5"/>
                <w:szCs w:val="5"/>
                <w:color w:val="auto"/>
              </w:rPr>
              <w:t xml:space="preserve"> (8), (9)</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144,310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(7)</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21,527</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TPCN Holdings, LLC - Common Equity </w:t>
            </w:r>
            <w:r>
              <w:rPr>
                <w:rFonts w:ascii="Times New Roman" w:cs="Times New Roman" w:eastAsia="Times New Roman" w:hAnsi="Times New Roman"/>
                <w:sz w:val="12"/>
                <w:szCs w:val="12"/>
                <w:color w:val="auto"/>
                <w:vertAlign w:val="superscript"/>
              </w:rPr>
              <w:t>(8)</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1,053,200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1,053</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42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color w:val="auto"/>
              </w:rPr>
              <w:t>TWD Parent Holdings, LLC (The Vertex Companies, LLC)</w:t>
            </w:r>
          </w:p>
        </w:tc>
        <w:tc>
          <w:tcPr>
            <w:tcW w:w="660" w:type="dxa"/>
            <w:vAlign w:val="bottom"/>
          </w:tcPr>
          <w:p>
            <w:pPr>
              <w:spacing w:after="0"/>
              <w:rPr>
                <w:sz w:val="8"/>
                <w:szCs w:val="8"/>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500" w:type="dxa"/>
            <w:vAlign w:val="bottom"/>
          </w:tcPr>
          <w:p>
            <w:pPr>
              <w:spacing w:after="0"/>
              <w:rPr>
                <w:sz w:val="8"/>
                <w:szCs w:val="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749</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420" w:type="dxa"/>
            <w:vAlign w:val="bottom"/>
            <w:gridSpan w:val="2"/>
          </w:tcPr>
          <w:p>
            <w:pPr>
              <w:spacing w:after="0"/>
              <w:rPr>
                <w:sz w:val="20"/>
                <w:szCs w:val="20"/>
                <w:color w:val="auto"/>
              </w:rPr>
            </w:pPr>
            <w:r>
              <w:rPr>
                <w:rFonts w:ascii="Times New Roman" w:cs="Times New Roman" w:eastAsia="Times New Roman" w:hAnsi="Times New Roman"/>
                <w:sz w:val="6"/>
                <w:szCs w:val="6"/>
                <w:color w:val="auto"/>
              </w:rPr>
              <w:t>(7)</w:t>
            </w:r>
          </w:p>
        </w:tc>
        <w:tc>
          <w:tcPr>
            <w:tcW w:w="660" w:type="dxa"/>
            <w:vAlign w:val="bottom"/>
          </w:tcPr>
          <w:p>
            <w:pPr>
              <w:spacing w:after="0"/>
              <w:rPr>
                <w:sz w:val="6"/>
                <w:szCs w:val="6"/>
                <w:color w:val="auto"/>
              </w:rPr>
            </w:pPr>
          </w:p>
        </w:tc>
        <w:tc>
          <w:tcPr>
            <w:tcW w:w="17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UniTek Global Services, Inc.(C)</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213,739</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(7), (8)</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400</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Partners Co., L.P.</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694,444</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694</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Walker Edison Holdco LLC</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36,458</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(8)</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12,419</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1,242</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(8)</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208</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(8)</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3,754</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3,793</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3,987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(8)</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2"/>
                <w:szCs w:val="12"/>
                <w:color w:val="auto"/>
                <w:vertAlign w:val="superscript"/>
              </w:rPr>
              <w:t>(9)</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246</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Wildcat Parent, LP (Wildcat Buyerco, Inc.) </w:t>
            </w:r>
            <w:r>
              <w:rPr>
                <w:rFonts w:ascii="Times New Roman" w:cs="Times New Roman" w:eastAsia="Times New Roman" w:hAnsi="Times New Roman"/>
                <w:sz w:val="12"/>
                <w:szCs w:val="12"/>
                <w:color w:val="auto"/>
                <w:vertAlign w:val="superscript"/>
              </w:rPr>
              <w:t>(7)</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2,240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UniTek Global Services, Inc.(W)</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23,889</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(8)</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87,345</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Common Equity/Warrants</w:t>
            </w: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115,289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139,207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Portfolio Companies</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1,622,669</w:t>
            </w:r>
          </w:p>
        </w:tc>
        <w:tc>
          <w:tcPr>
            <w:tcW w:w="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1,632,269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Investments in Controlled, Affiliated Portfolio Companies -</w:t>
            </w: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vertAlign w:val="subscript"/>
              </w:rPr>
              <w:t>40.0%</w:t>
            </w:r>
            <w:r>
              <w:rPr>
                <w:rFonts w:ascii="Times New Roman" w:cs="Times New Roman" w:eastAsia="Times New Roman" w:hAnsi="Times New Roman"/>
                <w:sz w:val="5"/>
                <w:szCs w:val="5"/>
                <w:color w:val="auto"/>
              </w:rPr>
              <w:t xml:space="preserve"> (3), (4)</w:t>
            </w: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- 31.3%</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Marketplace Events, LLC - Super Priority First Lien Term</w:t>
            </w: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Loan </w:t>
            </w:r>
            <w:r>
              <w:rPr>
                <w:rFonts w:ascii="Times New Roman" w:cs="Times New Roman" w:eastAsia="Times New Roman" w:hAnsi="Times New Roman"/>
                <w:sz w:val="12"/>
                <w:szCs w:val="12"/>
                <w:color w:val="auto"/>
                <w:vertAlign w:val="superscript"/>
              </w:rPr>
              <w:t>(7)</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09/30/2025</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5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7"/>
              </w:rPr>
              <w:t>10.26%</w:t>
            </w:r>
          </w:p>
        </w:tc>
        <w:tc>
          <w:tcPr>
            <w:tcW w:w="220" w:type="dxa"/>
            <w:vAlign w:val="bottom"/>
          </w:tcPr>
          <w:p>
            <w:pPr>
              <w:spacing w:after="0"/>
              <w:rPr>
                <w:sz w:val="10"/>
                <w:szCs w:val="10"/>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SOFR+540</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10,213</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10,213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 Super Priority First Lien </w:t>
            </w:r>
            <w:r>
              <w:rPr>
                <w:rFonts w:ascii="Times New Roman" w:cs="Times New Roman" w:eastAsia="Times New Roman" w:hAnsi="Times New Roman"/>
                <w:sz w:val="12"/>
                <w:szCs w:val="12"/>
                <w:color w:val="auto"/>
                <w:vertAlign w:val="superscript"/>
              </w:rPr>
              <w:t>(7)</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09/30/2025</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3,122</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Marketplace Events,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09/30/2026</w:t>
            </w: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5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7"/>
              </w:rPr>
              <w:t>10.26%</w:t>
            </w:r>
          </w:p>
        </w:tc>
        <w:tc>
          <w:tcPr>
            <w:tcW w:w="220" w:type="dxa"/>
            <w:vAlign w:val="bottom"/>
          </w:tcPr>
          <w:p>
            <w:pPr>
              <w:spacing w:after="0"/>
              <w:rPr>
                <w:sz w:val="10"/>
                <w:szCs w:val="10"/>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SOFR+540</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26,771</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22,558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(10)</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05/06/2029</w:t>
            </w: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7"/>
              </w:rPr>
              <w:t>13.28%</w:t>
            </w: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jc w:val="center"/>
              <w:ind w:right="72"/>
              <w:spacing w:after="0"/>
              <w:rPr>
                <w:sz w:val="20"/>
                <w:szCs w:val="20"/>
                <w:color w:val="auto"/>
              </w:rPr>
            </w:pPr>
            <w:r>
              <w:rPr>
                <w:rFonts w:ascii="Times New Roman" w:cs="Times New Roman" w:eastAsia="Times New Roman" w:hAnsi="Times New Roman"/>
                <w:sz w:val="10"/>
                <w:szCs w:val="10"/>
                <w:color w:val="auto"/>
                <w:w w:val="96"/>
              </w:rPr>
              <w:t>3M SOFR+800</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237,650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237,650</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237,650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270,421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274,634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Equity Interests - 8.7%</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New MPE Holdings, LLC - Common Equity </w:t>
            </w:r>
            <w:r>
              <w:rPr>
                <w:rFonts w:ascii="Times New Roman" w:cs="Times New Roman" w:eastAsia="Times New Roman" w:hAnsi="Times New Roman"/>
                <w:sz w:val="12"/>
                <w:szCs w:val="12"/>
                <w:color w:val="auto"/>
                <w:vertAlign w:val="superscript"/>
              </w:rPr>
              <w:t>(8)</w:t>
            </w:r>
          </w:p>
        </w:tc>
        <w:tc>
          <w:tcPr>
            <w:tcW w:w="660" w:type="dxa"/>
            <w:vAlign w:val="bottom"/>
          </w:tcPr>
          <w:p>
            <w:pPr>
              <w:spacing w:after="0"/>
              <w:rPr>
                <w:sz w:val="10"/>
                <w:szCs w:val="1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500" w:type="dxa"/>
            <w:vAlign w:val="bottom"/>
          </w:tcPr>
          <w:p>
            <w:pPr>
              <w:spacing w:after="0"/>
              <w:rPr>
                <w:sz w:val="10"/>
                <w:szCs w:val="1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349</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(10)</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101,850</w:t>
            </w: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101,850</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56,478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Equity Interests</w:t>
            </w: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101,850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76,601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372,271</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351,235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Total Investments - 226.1% </w:t>
            </w:r>
            <w:r>
              <w:rPr>
                <w:rFonts w:ascii="Times New Roman" w:cs="Times New Roman" w:eastAsia="Times New Roman" w:hAnsi="Times New Roman"/>
                <w:sz w:val="12"/>
                <w:szCs w:val="12"/>
                <w:color w:val="auto"/>
                <w:vertAlign w:val="superscript"/>
              </w:rPr>
              <w:t>(12)</w:t>
            </w: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1,994,940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1,983,504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- 12.8%</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BlackRock Federal FD Institutional 81</w:t>
            </w: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rPr>
              <w:t>5.03%</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Non-Money Market Cash</w:t>
            </w:r>
          </w:p>
        </w:tc>
        <w:tc>
          <w:tcPr>
            <w:tcW w:w="660" w:type="dxa"/>
            <w:vAlign w:val="bottom"/>
            <w:shd w:val="clear" w:color="auto" w:fill="CCECFF"/>
          </w:tcPr>
          <w:p>
            <w:pPr>
              <w:spacing w:after="0"/>
              <w:rPr>
                <w:sz w:val="10"/>
                <w:szCs w:val="10"/>
                <w:color w:val="auto"/>
              </w:rPr>
            </w:pPr>
          </w:p>
        </w:tc>
        <w:tc>
          <w:tcPr>
            <w:tcW w:w="17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89,835</w:t>
            </w:r>
          </w:p>
        </w:tc>
        <w:tc>
          <w:tcPr>
            <w:tcW w:w="16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89,839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6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112,046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00" w:type="dxa"/>
            <w:vAlign w:val="bottom"/>
            <w:shd w:val="clear" w:color="auto" w:fill="CCEC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- 238.9%</w:t>
            </w:r>
          </w:p>
        </w:tc>
        <w:tc>
          <w:tcPr>
            <w:tcW w:w="660" w:type="dxa"/>
            <w:vAlign w:val="bottom"/>
            <w:shd w:val="clear" w:color="auto" w:fill="CCECFF"/>
          </w:tcPr>
          <w:p>
            <w:pPr>
              <w:spacing w:after="0"/>
              <w:rPr>
                <w:sz w:val="12"/>
                <w:szCs w:val="12"/>
                <w:color w:val="auto"/>
              </w:rPr>
            </w:pPr>
          </w:p>
        </w:tc>
        <w:tc>
          <w:tcPr>
            <w:tcW w:w="17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2,106,986</w:t>
            </w:r>
          </w:p>
        </w:tc>
        <w:tc>
          <w:tcPr>
            <w:tcW w:w="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2,095,554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1760" w:type="dxa"/>
            <w:vAlign w:val="bottom"/>
            <w:tcBorders>
              <w:top w:val="single" w:sz="8" w:color="CCECFF"/>
            </w:tcBorders>
            <w:shd w:val="clear" w:color="auto" w:fill="CCECFF"/>
          </w:tcPr>
          <w:p>
            <w:pPr>
              <w:spacing w:after="0" w:line="20" w:lineRule="exact"/>
              <w:rPr>
                <w:sz w:val="1"/>
                <w:szCs w:val="1"/>
                <w:color w:val="auto"/>
              </w:rPr>
            </w:pPr>
          </w:p>
        </w:tc>
        <w:tc>
          <w:tcPr>
            <w:tcW w:w="50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920" w:type="dxa"/>
            <w:vAlign w:val="bottom"/>
            <w:tcBorders>
              <w:top w:val="single" w:sz="8" w:color="CCECFF"/>
            </w:tcBorders>
            <w:shd w:val="clear" w:color="auto" w:fill="CCECFF"/>
          </w:tcPr>
          <w:p>
            <w:pPr>
              <w:spacing w:after="0" w:line="20" w:lineRule="exact"/>
              <w:rPr>
                <w:sz w:val="1"/>
                <w:szCs w:val="1"/>
                <w:color w:val="auto"/>
              </w:rPr>
            </w:pPr>
          </w:p>
        </w:tc>
        <w:tc>
          <w:tcPr>
            <w:tcW w:w="8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2400" w:type="dxa"/>
            <w:vAlign w:val="bottom"/>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(138.9)%</w:t>
            </w:r>
          </w:p>
        </w:tc>
        <w:tc>
          <w:tcPr>
            <w:tcW w:w="6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(1,218,260)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tcBorders>
              <w:bottom w:val="single" w:sz="8" w:color="CCECFF"/>
            </w:tcBorders>
            <w:shd w:val="clear" w:color="auto" w:fill="CCEC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Net Assets - 100%</w:t>
            </w:r>
          </w:p>
        </w:tc>
        <w:tc>
          <w:tcPr>
            <w:tcW w:w="660" w:type="dxa"/>
            <w:vAlign w:val="bottom"/>
            <w:tcBorders>
              <w:bottom w:val="single" w:sz="8" w:color="CCECFF"/>
            </w:tcBorders>
            <w:shd w:val="clear" w:color="auto" w:fill="CCECFF"/>
          </w:tcPr>
          <w:p>
            <w:pPr>
              <w:spacing w:after="0"/>
              <w:rPr>
                <w:sz w:val="13"/>
                <w:szCs w:val="13"/>
                <w:color w:val="auto"/>
              </w:rPr>
            </w:pPr>
          </w:p>
        </w:tc>
        <w:tc>
          <w:tcPr>
            <w:tcW w:w="176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8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877,294</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0" w:right="100"/>
        <w:spacing w:after="0" w:line="253"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ind w:left="60"/>
        <w:spacing w:after="0" w:line="208"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our accounting policy (See Note 2). The value of all securities was determined using significant unobservable inputs (See Note 5).</w:t>
      </w:r>
    </w:p>
    <w:p>
      <w:pPr>
        <w:spacing w:after="0" w:line="1" w:lineRule="exact"/>
        <w:rPr>
          <w:sz w:val="20"/>
          <w:szCs w:val="20"/>
          <w:color w:val="auto"/>
        </w:rPr>
      </w:pPr>
    </w:p>
    <w:p>
      <w:pPr>
        <w:ind w:left="60" w:right="180"/>
        <w:spacing w:after="0" w:line="216"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sz w:val="20"/>
          <w:szCs w:val="20"/>
          <w:color w:val="auto"/>
        </w:rPr>
      </w:pPr>
    </w:p>
    <w:p>
      <w:pPr>
        <w:ind w:left="60" w:right="400"/>
        <w:spacing w:after="0" w:line="219"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1"/>
          <w:szCs w:val="11"/>
          <w:color w:val="auto"/>
        </w:rPr>
        <w:t>Partial non-accrual PIK Securities</w:t>
      </w:r>
    </w:p>
    <w:p>
      <w:pPr>
        <w:ind w:left="60"/>
        <w:spacing w:after="0" w:line="202" w:lineRule="auto"/>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1"/>
          <w:szCs w:val="11"/>
          <w:color w:val="auto"/>
        </w:rPr>
        <w:t>Non-income producing securities.</w:t>
      </w:r>
    </w:p>
    <w:p>
      <w:pPr>
        <w:spacing w:after="0" w:line="1" w:lineRule="exact"/>
        <w:rPr>
          <w:sz w:val="20"/>
          <w:szCs w:val="20"/>
          <w:color w:val="auto"/>
        </w:rPr>
      </w:pPr>
    </w:p>
    <w:p>
      <w:pPr>
        <w:ind w:left="60" w:right="140"/>
        <w:spacing w:after="0" w:line="216" w:lineRule="auto"/>
        <w:rPr>
          <w:sz w:val="20"/>
          <w:szCs w:val="20"/>
          <w:color w:val="auto"/>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1"/>
          <w:szCs w:val="11"/>
          <w:color w:val="auto"/>
        </w:rPr>
        <w:t>The securities, or a portion thereof, are 1) pledged as collateral under the Credit Facility and held through Funding I; or 2) securing the 2036-R Asset-Backed Debt and held through PennantPark CLO I, Ltd.; or 3) 2036 Asset-Backed Debt and held through PennantPark CLO VIII, Ltd.</w:t>
      </w:r>
    </w:p>
    <w:p>
      <w:pPr>
        <w:ind w:left="60"/>
        <w:spacing w:after="0" w:line="207" w:lineRule="auto"/>
        <w:rPr>
          <w:sz w:val="20"/>
          <w:szCs w:val="20"/>
          <w:color w:val="auto"/>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1"/>
          <w:szCs w:val="11"/>
          <w:color w:val="auto"/>
        </w:rPr>
        <w:t>Investment is held through our Taxable Subsidiary.</w:t>
      </w:r>
    </w:p>
    <w:p>
      <w:pPr>
        <w:spacing w:after="0" w:line="1" w:lineRule="exact"/>
        <w:rPr>
          <w:sz w:val="20"/>
          <w:szCs w:val="20"/>
          <w:color w:val="auto"/>
        </w:rPr>
      </w:pPr>
    </w:p>
    <w:p>
      <w:pPr>
        <w:ind w:left="60" w:right="160"/>
        <w:spacing w:after="0" w:line="216" w:lineRule="auto"/>
        <w:rPr>
          <w:sz w:val="20"/>
          <w:szCs w:val="20"/>
          <w:color w:val="auto"/>
        </w:rPr>
      </w:pP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 w:lineRule="exact"/>
        <w:rPr>
          <w:sz w:val="20"/>
          <w:szCs w:val="20"/>
          <w:color w:val="auto"/>
        </w:rPr>
      </w:pPr>
    </w:p>
    <w:p>
      <w:pPr>
        <w:ind w:left="60" w:right="260"/>
        <w:spacing w:after="0" w:line="233" w:lineRule="auto"/>
        <w:rPr>
          <w:sz w:val="20"/>
          <w:szCs w:val="20"/>
          <w:color w:val="auto"/>
        </w:rPr>
      </w:pPr>
      <w:r>
        <w:rPr>
          <w:rFonts w:ascii="Times New Roman" w:cs="Times New Roman" w:eastAsia="Times New Roman" w:hAnsi="Times New Roman"/>
          <w:sz w:val="20"/>
          <w:szCs w:val="20"/>
          <w:color w:val="auto"/>
          <w:vertAlign w:val="superscript"/>
        </w:rPr>
        <w:t>(10)</w:t>
      </w:r>
      <w:r>
        <w:rPr>
          <w:rFonts w:ascii="Times New Roman" w:cs="Times New Roman" w:eastAsia="Times New Roman" w:hAnsi="Times New Roman"/>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2024, qualifying assets represent 86% of our total assets and non-qualifying assets represent 14% of our total assets.</w:t>
      </w:r>
    </w:p>
    <w:p>
      <w:pPr>
        <w:ind w:left="60"/>
        <w:spacing w:after="0" w:line="214" w:lineRule="auto"/>
        <w:rPr>
          <w:sz w:val="20"/>
          <w:szCs w:val="20"/>
          <w:color w:val="auto"/>
        </w:rPr>
      </w:pPr>
      <w:r>
        <w:rPr>
          <w:rFonts w:ascii="Times New Roman" w:cs="Times New Roman" w:eastAsia="Times New Roman" w:hAnsi="Times New Roman"/>
          <w:sz w:val="19"/>
          <w:szCs w:val="19"/>
          <w:color w:val="auto"/>
          <w:vertAlign w:val="superscript"/>
        </w:rPr>
        <w:t>(11)</w:t>
      </w:r>
      <w:r>
        <w:rPr>
          <w:rFonts w:ascii="Times New Roman" w:cs="Times New Roman" w:eastAsia="Times New Roman" w:hAnsi="Times New Roman"/>
          <w:sz w:val="10"/>
          <w:szCs w:val="10"/>
          <w:color w:val="auto"/>
        </w:rPr>
        <w:t>Non-accrual security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vertAlign w:val="superscript"/>
        </w:rPr>
        <w:t>(12)</w:t>
      </w:r>
      <w:r>
        <w:rPr>
          <w:rFonts w:ascii="Times New Roman" w:cs="Times New Roman" w:eastAsia="Times New Roman" w:hAnsi="Times New Roman"/>
          <w:sz w:val="10"/>
          <w:szCs w:val="10"/>
          <w:color w:val="auto"/>
        </w:rPr>
        <w:t>All investments are in U.S. companies unless noted otherwise.</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416560</wp:posOffset>
            </wp:positionV>
            <wp:extent cx="62604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65" w:lineRule="exact"/>
        <w:rPr>
          <w:sz w:val="20"/>
          <w:szCs w:val="20"/>
          <w:color w:val="auto"/>
        </w:rPr>
      </w:pPr>
    </w:p>
    <w:p>
      <w:pPr>
        <w:ind w:left="60" w:right="120" w:firstLine="336"/>
        <w:spacing w:after="0" w:line="262" w:lineRule="auto"/>
        <w:rPr>
          <w:sz w:val="20"/>
          <w:szCs w:val="20"/>
          <w:color w:val="auto"/>
        </w:rPr>
      </w:pPr>
      <w:r>
        <w:rPr>
          <w:rFonts w:ascii="Times New Roman" w:cs="Times New Roman" w:eastAsia="Times New Roman" w:hAnsi="Times New Roman"/>
          <w:sz w:val="13"/>
          <w:szCs w:val="13"/>
          <w:color w:val="auto"/>
        </w:rPr>
        <w:t>PennantPark Floating Rate Capital Ltd. (the "Company", "we," "our" or "us") was organized as a Maryland corporation in October 2010. We are a closed-end, externally managed, non-diversified investment company that has elected to be treated as a BDC under the 1940 Act. On April 14, 2022, trading of the Company’s common stock commenced on the New York Stock Exchange after the Company voluntarily withdrew the principal listing of its common stock from the Nasdaq Stock Market LLC effective at market close on April 13, 2022.</w:t>
      </w:r>
    </w:p>
    <w:p>
      <w:pPr>
        <w:spacing w:after="0" w:line="127" w:lineRule="exact"/>
        <w:rPr>
          <w:sz w:val="20"/>
          <w:szCs w:val="20"/>
          <w:color w:val="auto"/>
        </w:rPr>
      </w:pPr>
    </w:p>
    <w:p>
      <w:pPr>
        <w:ind w:left="60" w:right="100" w:firstLine="336"/>
        <w:spacing w:after="0" w:line="256" w:lineRule="auto"/>
        <w:rPr>
          <w:sz w:val="20"/>
          <w:szCs w:val="20"/>
          <w:color w:val="auto"/>
        </w:rPr>
      </w:pPr>
      <w:r>
        <w:rPr>
          <w:rFonts w:ascii="Times New Roman" w:cs="Times New Roman" w:eastAsia="Times New Roman" w:hAnsi="Times New Roman"/>
          <w:sz w:val="13"/>
          <w:szCs w:val="13"/>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SOFR,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32" w:lineRule="exact"/>
        <w:rPr>
          <w:sz w:val="20"/>
          <w:szCs w:val="20"/>
          <w:color w:val="auto"/>
        </w:rPr>
      </w:pPr>
    </w:p>
    <w:p>
      <w:pPr>
        <w:ind w:left="60" w:right="80" w:firstLine="336"/>
        <w:spacing w:after="0" w:line="276"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w:t>
      </w:r>
    </w:p>
    <w:p>
      <w:pPr>
        <w:spacing w:after="0" w:line="138" w:lineRule="exact"/>
        <w:rPr>
          <w:sz w:val="20"/>
          <w:szCs w:val="20"/>
          <w:color w:val="auto"/>
        </w:rPr>
      </w:pPr>
    </w:p>
    <w:p>
      <w:pPr>
        <w:ind w:left="60" w:right="160"/>
        <w:spacing w:after="0" w:line="254" w:lineRule="auto"/>
        <w:rPr>
          <w:sz w:val="20"/>
          <w:szCs w:val="20"/>
          <w:color w:val="auto"/>
        </w:rPr>
      </w:pPr>
      <w:r>
        <w:rPr>
          <w:rFonts w:ascii="Times New Roman" w:cs="Times New Roman" w:eastAsia="Times New Roman" w:hAnsi="Times New Roman"/>
          <w:sz w:val="13"/>
          <w:szCs w:val="13"/>
          <w:color w:val="auto"/>
        </w:rPr>
        <w:t>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to investment advisory contracts, including but not limited to, Section 15, as if it were an investment adviser to the Company under Section 2(a)(20) of the 1940 Act.</w:t>
      </w:r>
    </w:p>
    <w:p>
      <w:pPr>
        <w:spacing w:after="0" w:line="149" w:lineRule="exact"/>
        <w:rPr>
          <w:sz w:val="20"/>
          <w:szCs w:val="20"/>
          <w:color w:val="auto"/>
        </w:rPr>
      </w:pPr>
    </w:p>
    <w:p>
      <w:pPr>
        <w:jc w:val="both"/>
        <w:ind w:left="60" w:right="420" w:firstLine="336"/>
        <w:spacing w:after="0" w:line="268" w:lineRule="auto"/>
        <w:rPr>
          <w:sz w:val="20"/>
          <w:szCs w:val="20"/>
          <w:color w:val="auto"/>
        </w:rPr>
      </w:pPr>
      <w:r>
        <w:rPr>
          <w:rFonts w:ascii="Times New Roman" w:cs="Times New Roman" w:eastAsia="Times New Roman" w:hAnsi="Times New Roman"/>
          <w:sz w:val="13"/>
          <w:szCs w:val="13"/>
          <w:color w:val="auto"/>
        </w:rPr>
        <w:t>We have entered into an investment management agreement, (the "Investment Management Agreement"), with PennantPark Investment Advisers LLC (the "Investment Adviser"), an external adviser that manages our day-to-day operations. We have also entered into an administration agreement, (the "Administration Agreement"), with PennantPark Investment Administration LLC (the "Administrator"), which provides the administrative services necessary for us to operate.</w:t>
      </w:r>
    </w:p>
    <w:p>
      <w:pPr>
        <w:spacing w:after="0" w:line="123" w:lineRule="exact"/>
        <w:rPr>
          <w:sz w:val="20"/>
          <w:szCs w:val="20"/>
          <w:color w:val="auto"/>
        </w:rPr>
      </w:pPr>
    </w:p>
    <w:p>
      <w:pPr>
        <w:ind w:left="60" w:right="100" w:firstLine="336"/>
        <w:spacing w:after="0" w:line="262" w:lineRule="auto"/>
        <w:rPr>
          <w:sz w:val="20"/>
          <w:szCs w:val="20"/>
          <w:color w:val="auto"/>
        </w:rPr>
      </w:pPr>
      <w:r>
        <w:rPr>
          <w:rFonts w:ascii="Times New Roman" w:cs="Times New Roman" w:eastAsia="Times New Roman" w:hAnsi="Times New Roman"/>
          <w:sz w:val="13"/>
          <w:szCs w:val="13"/>
          <w:color w:val="auto"/>
        </w:rPr>
        <w:t>Funding I, our wholly-owned subsidiary and a special purpose entity, was organized in Delaware as a limited liability company in May 2011. We formed Funding I in order to establish a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w:t>
      </w:r>
    </w:p>
    <w:p>
      <w:pPr>
        <w:spacing w:after="0" w:line="127" w:lineRule="exact"/>
        <w:rPr>
          <w:sz w:val="20"/>
          <w:szCs w:val="20"/>
          <w:color w:val="auto"/>
        </w:rPr>
      </w:pPr>
    </w:p>
    <w:p>
      <w:pPr>
        <w:ind w:left="60" w:right="280" w:firstLine="336"/>
        <w:spacing w:after="0" w:line="268" w:lineRule="auto"/>
        <w:rPr>
          <w:sz w:val="20"/>
          <w:szCs w:val="20"/>
          <w:color w:val="auto"/>
        </w:rPr>
      </w:pPr>
      <w:r>
        <w:rPr>
          <w:rFonts w:ascii="Times New Roman" w:cs="Times New Roman" w:eastAsia="Times New Roman" w:hAnsi="Times New Roman"/>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23" w:lineRule="exact"/>
        <w:rPr>
          <w:sz w:val="20"/>
          <w:szCs w:val="20"/>
          <w:color w:val="auto"/>
        </w:rPr>
      </w:pPr>
    </w:p>
    <w:p>
      <w:pPr>
        <w:ind w:left="60" w:right="80" w:firstLine="336"/>
        <w:spacing w:after="0" w:line="268" w:lineRule="auto"/>
        <w:rPr>
          <w:sz w:val="20"/>
          <w:szCs w:val="20"/>
          <w:color w:val="auto"/>
        </w:rPr>
      </w:pPr>
      <w:r>
        <w:rPr>
          <w:rFonts w:ascii="Times New Roman" w:cs="Times New Roman" w:eastAsia="Times New Roman" w:hAnsi="Times New Roman"/>
          <w:sz w:val="13"/>
          <w:szCs w:val="13"/>
          <w:color w:val="auto"/>
        </w:rPr>
        <w:t>In May 2017, we and a subsidiary of Kemper Corporation (NYSE: KMPR), Trinity Universal Insurance Company, ("Kemper"), formed PSSL, an unconsolidated joint venture. PSSL invests primarily in middle-market and other corporate debt securities consistent with our strategy. PSSL was formed as a Delaware limited liability company. See Note 4.</w:t>
      </w:r>
    </w:p>
    <w:p>
      <w:pPr>
        <w:spacing w:after="0" w:line="123" w:lineRule="exact"/>
        <w:rPr>
          <w:sz w:val="20"/>
          <w:szCs w:val="20"/>
          <w:color w:val="auto"/>
        </w:rPr>
      </w:pPr>
    </w:p>
    <w:p>
      <w:pPr>
        <w:ind w:left="60" w:right="180" w:firstLine="336"/>
        <w:spacing w:after="0" w:line="259" w:lineRule="auto"/>
        <w:rPr>
          <w:sz w:val="20"/>
          <w:szCs w:val="20"/>
          <w:color w:val="auto"/>
        </w:rPr>
      </w:pPr>
      <w:r>
        <w:rPr>
          <w:rFonts w:ascii="Times New Roman" w:cs="Times New Roman" w:eastAsia="Times New Roman" w:hAnsi="Times New Roman"/>
          <w:sz w:val="13"/>
          <w:szCs w:val="13"/>
          <w:color w:val="auto"/>
        </w:rPr>
        <w:t>In November 2017, we issued $138.6 million of our 2023 Notes. The principal on the 2023 Notes were payable in four annual installments as follows: 15% of the original principal amount on December 15, 2020, 15% of the original principal amount on December 15, 2021, 15% of the original principal amount on December 15, 2022 and 55% on December 15, 2023. On December 15, 2023, the remaining 2023 Notes were repaid in full. The 2023 Notes were general, unsecured obligations and ranked equal in right of payment with all of our existing and future senior unsecured indebtedness. The 2023 Notes were listed on the TASE. In connection with this offering, we dual listed our common stock on the TASE.</w:t>
      </w:r>
    </w:p>
    <w:p>
      <w:pPr>
        <w:spacing w:after="0" w:line="130" w:lineRule="exact"/>
        <w:rPr>
          <w:sz w:val="20"/>
          <w:szCs w:val="20"/>
          <w:color w:val="auto"/>
        </w:rPr>
      </w:pPr>
    </w:p>
    <w:p>
      <w:pPr>
        <w:jc w:val="both"/>
        <w:ind w:left="60" w:right="160" w:firstLine="336"/>
        <w:spacing w:after="0" w:line="268" w:lineRule="auto"/>
        <w:rPr>
          <w:sz w:val="20"/>
          <w:szCs w:val="20"/>
          <w:color w:val="auto"/>
        </w:rPr>
      </w:pPr>
      <w:r>
        <w:rPr>
          <w:rFonts w:ascii="Times New Roman" w:cs="Times New Roman" w:eastAsia="Times New Roman" w:hAnsi="Times New Roman"/>
          <w:sz w:val="13"/>
          <w:szCs w:val="13"/>
          <w:color w:val="auto"/>
        </w:rPr>
        <w:t>On February 7, 2024, the Company filed a notice with the Israel Securities Authority and the Tel Aviv Stock Exchange Ltd (the “TASE”) voluntarily requesting to delist the Company’s common stock from trading on the TASE. The last day of trading on the TASE was May 6, 2024 and the delisting of the Company’s common stock from the TASE took effect on May 8, 2024.</w:t>
      </w:r>
    </w:p>
    <w:p>
      <w:pPr>
        <w:spacing w:after="0" w:line="123" w:lineRule="exact"/>
        <w:rPr>
          <w:sz w:val="20"/>
          <w:szCs w:val="20"/>
          <w:color w:val="auto"/>
        </w:rPr>
      </w:pPr>
    </w:p>
    <w:p>
      <w:pPr>
        <w:ind w:left="60" w:right="100" w:firstLine="336"/>
        <w:spacing w:after="0" w:line="257" w:lineRule="auto"/>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132" w:lineRule="exact"/>
        <w:rPr>
          <w:sz w:val="20"/>
          <w:szCs w:val="20"/>
          <w:color w:val="auto"/>
        </w:rPr>
      </w:pPr>
    </w:p>
    <w:p>
      <w:pPr>
        <w:ind w:left="60" w:right="200" w:firstLine="264"/>
        <w:spacing w:after="0" w:line="268" w:lineRule="auto"/>
        <w:rPr>
          <w:sz w:val="20"/>
          <w:szCs w:val="20"/>
          <w:color w:val="auto"/>
        </w:rPr>
      </w:pPr>
      <w:r>
        <w:rPr>
          <w:rFonts w:ascii="Times New Roman" w:cs="Times New Roman" w:eastAsia="Times New Roman" w:hAnsi="Times New Roman"/>
          <w:sz w:val="13"/>
          <w:szCs w:val="13"/>
          <w:color w:val="auto"/>
        </w:rPr>
        <w:t>In July 2024, the 2031 Asset-Backed Debt was refinanced through a $351.0 million debt securitization in the form of a collateralized loan obligation, or the "2036-R Asset-Backed Debt". The Company retained $85.0 million of the debt securitization. The 2036-R Asset-Backed Debt is secured by a diversified portfolio of primarily middle market loans and participation interest in middle market loans. The 2036-R Asset-Backed Debt is schedule to mature in July 2036.</w:t>
      </w:r>
    </w:p>
    <w:p>
      <w:pPr>
        <w:spacing w:after="0" w:line="123" w:lineRule="exact"/>
        <w:rPr>
          <w:sz w:val="20"/>
          <w:szCs w:val="20"/>
          <w:color w:val="auto"/>
        </w:rPr>
      </w:pPr>
    </w:p>
    <w:p>
      <w:pPr>
        <w:ind w:left="60" w:right="160" w:firstLine="336"/>
        <w:spacing w:after="0" w:line="262" w:lineRule="auto"/>
        <w:rPr>
          <w:sz w:val="20"/>
          <w:szCs w:val="20"/>
          <w:color w:val="auto"/>
        </w:rPr>
      </w:pPr>
      <w:r>
        <w:rPr>
          <w:rFonts w:ascii="Times New Roman" w:cs="Times New Roman" w:eastAsia="Times New Roman" w:hAnsi="Times New Roman"/>
          <w:sz w:val="13"/>
          <w:szCs w:val="13"/>
          <w:color w:val="auto"/>
        </w:rPr>
        <w:t>On February 22, 2024, the 2036 Securitization Issuer completed the 2036 Debt Securitization. The 2036 Asset-Backed Debt is secured by a diversified portfolio of the 2036-Securitization Issuer consisting primarily of middle market loans and participation interests in middle market loans. The 2036 Asset-Backed Debt is scheduled to mature in April 2036. On the closing date of the 2036 Debt Securitization, in consideration of our transfer to the 2036 Securitization Issuer of the initial closing date loan portfolio, which included loans distributed to us by certain of our wholly-owned subsidiaries. See Note 10.</w:t>
      </w: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 February 2025, the 2037 Securitization Issuer completed a $474.6 million term debt securitization (the “2037 Debt Securitization”). The Company retained</w:t>
      </w:r>
    </w:p>
    <w:p>
      <w:pPr>
        <w:spacing w:after="0" w:line="21" w:lineRule="exact"/>
        <w:rPr>
          <w:sz w:val="20"/>
          <w:szCs w:val="20"/>
          <w:color w:val="auto"/>
        </w:rPr>
      </w:pPr>
    </w:p>
    <w:p>
      <w:pPr>
        <w:ind w:left="60" w:right="240"/>
        <w:spacing w:after="0" w:line="263" w:lineRule="auto"/>
        <w:rPr>
          <w:sz w:val="20"/>
          <w:szCs w:val="20"/>
          <w:color w:val="auto"/>
        </w:rPr>
      </w:pPr>
      <w:r>
        <w:rPr>
          <w:rFonts w:ascii="Times New Roman" w:cs="Times New Roman" w:eastAsia="Times New Roman" w:hAnsi="Times New Roman"/>
          <w:sz w:val="13"/>
          <w:szCs w:val="13"/>
          <w:color w:val="auto"/>
        </w:rPr>
        <w:t>$85.1 million of subordinated notes and $28.5 million of BBB-(sf) Class D Notes of the debt securitization issued by the 2037 Securitization Issuer. The 2037 Asset-Backed Debt</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is secured by a diversified portfolio of the 2037-Securitization Issuer consisting primarily of middle market loans and participation interests in middle market loans.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The 2037 Asset-Backed Debt is scheduled to mature on April 20, 2037. See Note 10.</w:t>
      </w:r>
    </w:p>
    <w:p>
      <w:pPr>
        <w:spacing w:after="0" w:line="113" w:lineRule="exact"/>
        <w:rPr>
          <w:sz w:val="20"/>
          <w:szCs w:val="20"/>
          <w:color w:val="auto"/>
        </w:rPr>
      </w:pPr>
    </w:p>
    <w:p>
      <w:pPr>
        <w:ind w:left="60" w:right="120" w:firstLine="330"/>
        <w:spacing w:after="0" w:line="255" w:lineRule="auto"/>
        <w:rPr>
          <w:sz w:val="20"/>
          <w:szCs w:val="20"/>
          <w:color w:val="auto"/>
        </w:rPr>
      </w:pPr>
      <w:r>
        <w:rPr>
          <w:rFonts w:ascii="Times New Roman" w:cs="Times New Roman" w:eastAsia="Times New Roman" w:hAnsi="Times New Roman"/>
          <w:sz w:val="13"/>
          <w:szCs w:val="13"/>
          <w:color w:val="auto"/>
        </w:rPr>
        <w:t>In March 2021 and October 2021, we issued $100.0 million and $85.0 million, respectively, in aggregate principal amount of our 2026 Notes at a public offering price per note of 99.4% and 101.5% respectively. Interest on the 2026 Notes is paid semi-annually on April 1 and October 1 of each year, at a rate of 4.25% per year, commencing October 1, 2021. The effective interest interest rate is 4.15%.The 2026 Notes mature on April 1, 2026 and may be redeemed in whole or in part at our option subject to a make- whole premium if redeemed more than three months prior to maturity. The 2026 Notes are general, unsecured obligations and rank equal in right of payment with all of our existing and future senior unsecured indebtedness. The 2026 Notes are effectively subordinated to our existing and future secured indebtedness to the extent of the value of the assets securing such indebtedness and are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98" w:lineRule="exact"/>
        <w:rPr>
          <w:sz w:val="20"/>
          <w:szCs w:val="20"/>
          <w:color w:val="auto"/>
        </w:rPr>
      </w:pPr>
    </w:p>
    <w:p>
      <w:pPr>
        <w:ind w:left="60" w:right="140" w:firstLine="330"/>
        <w:spacing w:after="0" w:line="259" w:lineRule="auto"/>
        <w:rPr>
          <w:sz w:val="20"/>
          <w:szCs w:val="20"/>
          <w:color w:val="auto"/>
        </w:rPr>
      </w:pPr>
      <w:r>
        <w:rPr>
          <w:rFonts w:ascii="Times New Roman" w:cs="Times New Roman" w:eastAsia="Times New Roman" w:hAnsi="Times New Roman"/>
          <w:sz w:val="13"/>
          <w:szCs w:val="13"/>
          <w:color w:val="auto"/>
        </w:rPr>
        <w:t>In April 2021, we formed PennantPark-TSO Senior Loan Fund LP ("PTSF"),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$ 0.4 million of realized gain upon the formation of PTSF. As of June 30, 2025, our capital commitment of $15.3 million is fully funded and we hold 23.08% of the total outstanding Class A Units of PTSF and a 4.99% voting interest in the general partner which manages PTSF. PTSF also invests primarily in middle-market and other corporate debt securities consistent with our strategy.</w:t>
      </w:r>
    </w:p>
    <w:p>
      <w:pPr>
        <w:spacing w:after="0" w:line="130" w:lineRule="exact"/>
        <w:rPr>
          <w:sz w:val="20"/>
          <w:szCs w:val="20"/>
          <w:color w:val="auto"/>
        </w:rPr>
      </w:pPr>
    </w:p>
    <w:p>
      <w:pPr>
        <w:ind w:left="60" w:right="180" w:firstLine="336"/>
        <w:spacing w:after="0" w:line="261" w:lineRule="auto"/>
        <w:rPr>
          <w:sz w:val="20"/>
          <w:szCs w:val="20"/>
          <w:color w:val="auto"/>
        </w:rPr>
      </w:pPr>
      <w:r>
        <w:rPr>
          <w:rFonts w:ascii="Times New Roman" w:cs="Times New Roman" w:eastAsia="Times New Roman" w:hAnsi="Times New Roman"/>
          <w:sz w:val="13"/>
          <w:szCs w:val="13"/>
          <w:color w:val="auto"/>
        </w:rPr>
        <w:t>On February 4, 2022, we formed PFLT Investment Holdings II, LLC, a Delaware limited liability company (“Holdings II”), as a wholly owned subsidiary. On December 31, 2022, we contributed 100% of our interests in PFLT Investment Holdings, LLC ( “Holdings”) to Holdings II. Effective as of January 1, 2024, Holdings</w:t>
      </w:r>
    </w:p>
    <w:p>
      <w:pPr>
        <w:spacing w:after="0" w:line="1" w:lineRule="exact"/>
        <w:rPr>
          <w:sz w:val="20"/>
          <w:szCs w:val="20"/>
          <w:color w:val="auto"/>
        </w:rPr>
      </w:pPr>
    </w:p>
    <w:p>
      <w:pPr>
        <w:ind w:left="60" w:right="160" w:firstLine="6"/>
        <w:spacing w:after="0" w:line="257" w:lineRule="auto"/>
        <w:tabs>
          <w:tab w:leader="none" w:pos="181"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elected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left="60" w:right="200" w:firstLine="336"/>
        <w:spacing w:after="0" w:line="286" w:lineRule="auto"/>
        <w:rPr>
          <w:sz w:val="20"/>
          <w:szCs w:val="20"/>
          <w:color w:val="auto"/>
        </w:rPr>
      </w:pPr>
      <w:r>
        <w:rPr>
          <w:rFonts w:ascii="Times New Roman" w:cs="Times New Roman" w:eastAsia="Times New Roman" w:hAnsi="Times New Roman"/>
          <w:sz w:val="13"/>
          <w:szCs w:val="13"/>
          <w:color w:val="auto"/>
        </w:rPr>
        <w:t>In July 2024, the Company established a $ 500.0 million at-the-market offering program (the "2024 ATM Program") and terminated the existing $250.0 million at-the- market offering program (the "2022 ATM Program" and, together "with the 2024 ATM Program, the "ATM Programs").</w:t>
      </w:r>
    </w:p>
    <w:p>
      <w:pPr>
        <w:spacing w:after="0" w:line="112" w:lineRule="exact"/>
        <w:rPr>
          <w:sz w:val="20"/>
          <w:szCs w:val="20"/>
          <w:color w:val="auto"/>
        </w:rPr>
      </w:pPr>
    </w:p>
    <w:p>
      <w:pPr>
        <w:ind w:left="60" w:right="100" w:firstLine="336"/>
        <w:spacing w:after="0" w:line="256" w:lineRule="auto"/>
        <w:rPr>
          <w:sz w:val="20"/>
          <w:szCs w:val="20"/>
          <w:color w:val="auto"/>
        </w:rPr>
      </w:pPr>
      <w:r>
        <w:rPr>
          <w:rFonts w:ascii="Times New Roman" w:cs="Times New Roman" w:eastAsia="Times New Roman" w:hAnsi="Times New Roman"/>
          <w:sz w:val="13"/>
          <w:szCs w:val="13"/>
          <w:color w:val="auto"/>
        </w:rPr>
        <w:t>During the three and nine months ended June 30, 2025 we issued 2,800,000 shares and 21,638,000 shares of our common stock through the 2024 ATM Program, respectively at an average price of $11.31 per share and $11.34 per share raising $31.6 million and $244.8 million of net proceeds after commissions to the Sales Agents and inclusive of proceeds from the Investment Adviser to ensure that all shares were sold at or above NAV, respectively. During the three and nine months ended June 30, 2024, we issued 8,770,000 shares and 13,263,436 shares of common stock through the 2022 ATM Program at an average price of $11.41 per share and</w:t>
      </w:r>
    </w:p>
    <w:p>
      <w:pPr>
        <w:ind w:left="60" w:right="120"/>
        <w:spacing w:after="0" w:line="253" w:lineRule="auto"/>
        <w:rPr>
          <w:sz w:val="20"/>
          <w:szCs w:val="20"/>
          <w:color w:val="auto"/>
        </w:rPr>
      </w:pPr>
      <w:r>
        <w:rPr>
          <w:rFonts w:ascii="Times New Roman" w:cs="Times New Roman" w:eastAsia="Times New Roman" w:hAnsi="Times New Roman"/>
          <w:sz w:val="13"/>
          <w:szCs w:val="13"/>
          <w:color w:val="auto"/>
        </w:rPr>
        <w:t>$11.39 per share, raising $100.1 million and $150.6 million of net proceeds after commissions to the Sales Agents and inclusive of proceeds from the Investment Adviser to ensure that all shares were sold at or above NAV, respectively. During the three and nine months ended June 30, 2025, in connection with the share issuance, we incurred $0.1 million and $0.3 million of deferred offering costs incurred related to establishing the 2024 ATM Program to additional paid in capital, respectively. During the three and nine months ended June 30, 2024, we incurred zero and $0.5 million of deferred offering costs related to establishing the 2022 ATM Program to additional paid in capital, respectively.</w:t>
      </w:r>
    </w:p>
    <w:p>
      <w:pPr>
        <w:spacing w:after="0" w:line="134" w:lineRule="exact"/>
        <w:rPr>
          <w:sz w:val="20"/>
          <w:szCs w:val="20"/>
          <w:color w:val="auto"/>
        </w:rPr>
      </w:pPr>
    </w:p>
    <w:p>
      <w:pPr>
        <w:jc w:val="both"/>
        <w:ind w:left="60" w:right="260" w:firstLine="336"/>
        <w:spacing w:after="0" w:line="268" w:lineRule="auto"/>
        <w:rPr>
          <w:sz w:val="20"/>
          <w:szCs w:val="20"/>
          <w:color w:val="auto"/>
        </w:rPr>
      </w:pPr>
      <w:r>
        <w:rPr>
          <w:rFonts w:ascii="Times New Roman" w:cs="Times New Roman" w:eastAsia="Times New Roman" w:hAnsi="Times New Roman"/>
          <w:sz w:val="13"/>
          <w:szCs w:val="13"/>
          <w:color w:val="auto"/>
        </w:rPr>
        <w:t>We are operated by a person who has claimed an exclusion from the definition of the term “commodity pool operator” under the Commodity Exchange Act of 1936, as amended (the "Commodity Exchange Act") . The Investment Advisor intends to continue to affirm the exclusion on an annual basis and therefore, does not expect to be subject to registration or regulation as a commodity pool operator under the Commodity Exchange Act.</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65" w:lineRule="exact"/>
        <w:rPr>
          <w:sz w:val="20"/>
          <w:szCs w:val="20"/>
          <w:color w:val="auto"/>
        </w:rPr>
      </w:pPr>
    </w:p>
    <w:p>
      <w:pPr>
        <w:ind w:left="60" w:right="120" w:firstLine="336"/>
        <w:spacing w:after="0" w:line="254"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creditworthiness of our portfolio companies,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("FASB’s"), Accounting Standards Codification, as amended ("ASC"), serve as a single source of accounting literature. Subsequent events are evaluated and disclosed as appropriate for events occurring through the date the Consolidated financial statements are issued.</w:t>
      </w:r>
    </w:p>
    <w:p>
      <w:pPr>
        <w:spacing w:after="0" w:line="137" w:lineRule="exact"/>
        <w:rPr>
          <w:sz w:val="20"/>
          <w:szCs w:val="20"/>
          <w:color w:val="auto"/>
        </w:rPr>
      </w:pPr>
    </w:p>
    <w:p>
      <w:pPr>
        <w:jc w:val="both"/>
        <w:ind w:left="60" w:right="160" w:firstLine="336"/>
        <w:spacing w:after="0" w:line="268" w:lineRule="auto"/>
        <w:rPr>
          <w:sz w:val="20"/>
          <w:szCs w:val="20"/>
          <w:color w:val="auto"/>
        </w:rPr>
      </w:pPr>
      <w:r>
        <w:rPr>
          <w:rFonts w:ascii="Times New Roman" w:cs="Times New Roman" w:eastAsia="Times New Roman" w:hAnsi="Times New Roman"/>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significant accounting policies consistently applied are as follows: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(a) Investment Valuations</w:t>
      </w:r>
    </w:p>
    <w:p>
      <w:pPr>
        <w:spacing w:after="0" w:line="167" w:lineRule="exact"/>
        <w:rPr>
          <w:sz w:val="20"/>
          <w:szCs w:val="20"/>
          <w:color w:val="auto"/>
        </w:rPr>
      </w:pPr>
    </w:p>
    <w:p>
      <w:pPr>
        <w:ind w:left="60" w:right="100" w:firstLine="336"/>
        <w:spacing w:after="0" w:line="253"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29" w:lineRule="exact"/>
        <w:rPr>
          <w:sz w:val="20"/>
          <w:szCs w:val="20"/>
          <w:color w:val="auto"/>
        </w:rPr>
      </w:pPr>
    </w:p>
    <w:p>
      <w:pPr>
        <w:ind w:left="60" w:right="320" w:firstLine="336"/>
        <w:spacing w:after="0" w:line="268"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3" w:lineRule="exact"/>
        <w:rPr>
          <w:sz w:val="20"/>
          <w:szCs w:val="20"/>
          <w:color w:val="auto"/>
        </w:rPr>
      </w:pPr>
    </w:p>
    <w:p>
      <w:pPr>
        <w:ind w:left="400" w:right="28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63" w:lineRule="exact"/>
        <w:rPr>
          <w:sz w:val="20"/>
          <w:szCs w:val="20"/>
          <w:color w:val="auto"/>
        </w:rPr>
      </w:pPr>
    </w:p>
    <w:p>
      <w:pPr>
        <w:jc w:val="both"/>
        <w:ind w:left="400" w:right="320"/>
        <w:spacing w:after="0" w:line="262"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7" w:lineRule="exact"/>
        <w:rPr>
          <w:sz w:val="20"/>
          <w:szCs w:val="20"/>
          <w:color w:val="auto"/>
        </w:rPr>
      </w:pPr>
    </w:p>
    <w:p>
      <w:pPr>
        <w:ind w:left="400" w:right="12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3" w:lineRule="exact"/>
        <w:rPr>
          <w:sz w:val="20"/>
          <w:szCs w:val="20"/>
          <w:color w:val="auto"/>
        </w:rPr>
      </w:pPr>
    </w:p>
    <w:p>
      <w:pPr>
        <w:ind w:left="400" w:right="36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2" w:lineRule="exact"/>
        <w:rPr>
          <w:sz w:val="20"/>
          <w:szCs w:val="20"/>
          <w:color w:val="auto"/>
        </w:rPr>
      </w:pPr>
    </w:p>
    <w:p>
      <w:pPr>
        <w:ind w:left="60" w:right="120" w:firstLine="336"/>
        <w:spacing w:after="0" w:line="259"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(b) Security Transactions, Revenue Recognition, and Realized/Unrealized Gains or Losses</w:t>
      </w:r>
    </w:p>
    <w:p>
      <w:pPr>
        <w:spacing w:after="0" w:line="167" w:lineRule="exact"/>
        <w:rPr>
          <w:sz w:val="20"/>
          <w:szCs w:val="20"/>
          <w:color w:val="auto"/>
        </w:rPr>
      </w:pPr>
    </w:p>
    <w:p>
      <w:pPr>
        <w:ind w:left="60" w:right="200" w:firstLine="336"/>
        <w:spacing w:after="0" w:line="259" w:lineRule="auto"/>
        <w:rPr>
          <w:sz w:val="20"/>
          <w:szCs w:val="20"/>
          <w:color w:val="auto"/>
        </w:rPr>
      </w:pPr>
      <w:r>
        <w:rPr>
          <w:rFonts w:ascii="Times New Roman" w:cs="Times New Roman" w:eastAsia="Times New Roman" w:hAnsi="Times New Roman"/>
          <w:sz w:val="13"/>
          <w:szCs w:val="13"/>
          <w:color w:val="auto"/>
        </w:rPr>
        <w:t>Security transactions are recorded on a trade- 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30" w:lineRule="exact"/>
        <w:rPr>
          <w:sz w:val="20"/>
          <w:szCs w:val="20"/>
          <w:color w:val="auto"/>
        </w:rPr>
      </w:pPr>
    </w:p>
    <w:p>
      <w:pPr>
        <w:ind w:left="60" w:right="140" w:firstLine="336"/>
        <w:spacing w:after="0" w:line="254"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 Litigation settlements are accounted for in accordance with the gain contingency provisions of ASC Subtopic 450-30, Gain Contingencies, or ASC 450-30.</w:t>
      </w:r>
    </w:p>
    <w:p>
      <w:pPr>
        <w:spacing w:after="0" w:line="134" w:lineRule="exact"/>
        <w:rPr>
          <w:sz w:val="20"/>
          <w:szCs w:val="20"/>
          <w:color w:val="auto"/>
        </w:rPr>
      </w:pPr>
    </w:p>
    <w:p>
      <w:pPr>
        <w:ind w:left="60" w:right="200" w:firstLine="336"/>
        <w:spacing w:after="0" w:line="257"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 -accrual loans are restored to accrual status when past due principal and interest is paid and, in management’s judgment, are likely to remain current. As of June 30, 2025, we had two portfolio companies on non-accrual status, representing 1.0% and 0.5% of our overall portfolio on a cost and fair value basis, respectively. As of September 30, 2024, we had two portfolio companies on non-accrual status, representing 0.4% and 0.2% of our overall portfolio on a cost and fair value basis, respectively.</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(c) Income Taxes</w:t>
      </w:r>
    </w:p>
    <w:p>
      <w:pPr>
        <w:spacing w:after="0" w:line="167" w:lineRule="exact"/>
        <w:rPr>
          <w:sz w:val="20"/>
          <w:szCs w:val="20"/>
          <w:color w:val="auto"/>
        </w:rPr>
      </w:pPr>
    </w:p>
    <w:p>
      <w:pPr>
        <w:ind w:left="60" w:right="100" w:firstLine="336"/>
        <w:spacing w:after="0" w:line="255" w:lineRule="auto"/>
        <w:rPr>
          <w:sz w:val="20"/>
          <w:szCs w:val="20"/>
          <w:color w:val="auto"/>
        </w:rPr>
      </w:pPr>
      <w:r>
        <w:rPr>
          <w:rFonts w:ascii="Times New Roman" w:cs="Times New Roman" w:eastAsia="Times New Roman" w:hAnsi="Times New Roman"/>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the three and nine months ended June 30, 2025, we recorded a provision for taxes on net investment income of $0.2 million and $0.7 million, respectively, pertaining to federal excise tax. For the three and nine months ended June 30, 2024, we recorded a provision for taxes on net investment income of $0.2 million and $0.9 million, respectively, pertaining to federal excise tax.</w:t>
      </w:r>
    </w:p>
    <w:p>
      <w:pPr>
        <w:spacing w:after="0" w:line="134" w:lineRule="exact"/>
        <w:rPr>
          <w:sz w:val="20"/>
          <w:szCs w:val="20"/>
          <w:color w:val="auto"/>
        </w:rPr>
      </w:pPr>
    </w:p>
    <w:p>
      <w:pPr>
        <w:ind w:left="60" w:right="120" w:firstLine="336"/>
        <w:spacing w:after="0" w:line="256" w:lineRule="auto"/>
        <w:rPr>
          <w:sz w:val="20"/>
          <w:szCs w:val="20"/>
          <w:color w:val="auto"/>
        </w:rPr>
      </w:pPr>
      <w:r>
        <w:rPr>
          <w:rFonts w:ascii="Times New Roman" w:cs="Times New Roman" w:eastAsia="Times New Roman" w:hAnsi="Times New Roman"/>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 -than-not”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ectPr>
          <w:pgSz w:w="11900" w:h="16840" w:orient="portrait"/>
          <w:cols w:equalWidth="0" w:num="1">
            <w:col w:w="9020"/>
          </w:cols>
          <w:pgMar w:left="1440" w:top="1132" w:right="1440" w:bottom="1440" w:gutter="0" w:footer="0" w:header="0"/>
        </w:sectPr>
      </w:pP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type w:val="continuous"/>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left="60" w:right="200" w:firstLine="336"/>
        <w:spacing w:after="0" w:line="261" w:lineRule="auto"/>
        <w:rPr>
          <w:sz w:val="20"/>
          <w:szCs w:val="20"/>
          <w:color w:val="auto"/>
        </w:rPr>
      </w:pPr>
      <w:r>
        <w:rPr>
          <w:rFonts w:ascii="Times New Roman" w:cs="Times New Roman" w:eastAsia="Times New Roman" w:hAnsi="Times New Roman"/>
          <w:sz w:val="13"/>
          <w:szCs w:val="13"/>
          <w:color w:val="auto"/>
        </w:rPr>
        <w:t>For the three and nine months ended June 30, 2025, the Company recorded a provision for taxes of $(0.3) million and $0.8 million on unrealized appreciation (depreciation) on investments by the Taxable Subsidiary. For the three and nine months ended June 30, 2024, the Company recorded a provision for taxes of zero and</w:t>
      </w:r>
    </w:p>
    <w:p>
      <w:pPr>
        <w:spacing w:after="0" w:line="1" w:lineRule="exact"/>
        <w:rPr>
          <w:sz w:val="20"/>
          <w:szCs w:val="20"/>
          <w:color w:val="auto"/>
        </w:rPr>
      </w:pPr>
    </w:p>
    <w:p>
      <w:pPr>
        <w:ind w:left="60" w:right="160"/>
        <w:spacing w:after="0" w:line="252" w:lineRule="auto"/>
        <w:rPr>
          <w:sz w:val="20"/>
          <w:szCs w:val="20"/>
          <w:color w:val="auto"/>
        </w:rPr>
      </w:pPr>
      <w:r>
        <w:rPr>
          <w:rFonts w:ascii="Times New Roman" w:cs="Times New Roman" w:eastAsia="Times New Roman" w:hAnsi="Times New Roman"/>
          <w:sz w:val="13"/>
          <w:szCs w:val="13"/>
          <w:color w:val="auto"/>
        </w:rPr>
        <w:t>$0.2 million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June 30, 2025, and September 30, 2024, $0.9 million and $1.7 million, respectively, was accrued as a deferred tax liability on the Consolidated Statements of Assets and Liabilities relating to unrealized gain on investments held by the Taxable Subsidiary. During the three and nine months ended June 30, 2025, the Company recorded a provision for taxes of less than $0.1 million and $(0.1) million relating to realized gain (loss) on investments held by the Taxable Subsidiary. During the three and nine months ended June 30, 2024, the Company did not record a provision for taxes relating to realized gain on investments held by the Taxable Subsidiary. During the three and nine months ended June 30, 2025, the Company paid $0.1 million in taxes on realized gains on the sale of investments held by the Taxable Subsidiary. During the three and nine months ended June 30, 2024, the Company paid zero in taxes on realized gains on the sale of investments held by the Taxable Subsidiary.</w:t>
      </w:r>
    </w:p>
    <w:p>
      <w:pPr>
        <w:spacing w:after="0" w:line="291" w:lineRule="exact"/>
        <w:rPr>
          <w:sz w:val="20"/>
          <w:szCs w:val="20"/>
          <w:color w:val="auto"/>
        </w:rPr>
      </w:pPr>
    </w:p>
    <w:p>
      <w:pPr>
        <w:ind w:left="60" w:right="180" w:firstLine="336"/>
        <w:spacing w:after="0" w:line="262"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27" w:lineRule="exact"/>
        <w:rPr>
          <w:sz w:val="20"/>
          <w:szCs w:val="20"/>
          <w:color w:val="auto"/>
        </w:rPr>
      </w:pPr>
    </w:p>
    <w:p>
      <w:pPr>
        <w:ind w:left="60" w:right="160" w:firstLine="336"/>
        <w:spacing w:after="0" w:line="262"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Statements of Assets and Liabilities to reflect their tax character. Temporary differences arise when certain items of income, expense, gain or loss are recognized at some time in the future.</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(d) Distributions and Capital Transactions</w:t>
      </w:r>
    </w:p>
    <w:p>
      <w:pPr>
        <w:spacing w:after="0" w:line="167" w:lineRule="exact"/>
        <w:rPr>
          <w:sz w:val="20"/>
          <w:szCs w:val="20"/>
          <w:color w:val="auto"/>
        </w:rPr>
      </w:pPr>
    </w:p>
    <w:p>
      <w:pPr>
        <w:ind w:left="60" w:right="140" w:firstLine="336"/>
        <w:spacing w:after="0" w:line="268" w:lineRule="auto"/>
        <w:rPr>
          <w:sz w:val="20"/>
          <w:szCs w:val="20"/>
          <w:color w:val="auto"/>
        </w:rPr>
      </w:pPr>
      <w:r>
        <w:rPr>
          <w:rFonts w:ascii="Times New Roman" w:cs="Times New Roman" w:eastAsia="Times New Roman" w:hAnsi="Times New Roman"/>
          <w:sz w:val="13"/>
          <w:szCs w:val="13"/>
          <w:color w:val="auto"/>
        </w:rPr>
        <w:t>Distributions to holders of our common stock are recorded on the ex-dividend date. The amount to be paid, if any, as a distribution is determined by the board of directors each quarter and is generally based upon the earnings estimated by management. Net realized capital gains, if any, may be distributed at least annually. The tax attributes for distributions will generally include ordinary income and capital gains but may also include certain tax-qualified dividends and/or a return of capital.</w:t>
      </w:r>
    </w:p>
    <w:p>
      <w:pPr>
        <w:spacing w:after="0" w:line="123" w:lineRule="exact"/>
        <w:rPr>
          <w:sz w:val="20"/>
          <w:szCs w:val="20"/>
          <w:color w:val="auto"/>
        </w:rPr>
      </w:pPr>
    </w:p>
    <w:p>
      <w:pPr>
        <w:ind w:left="60" w:right="260" w:firstLine="336"/>
        <w:spacing w:after="0" w:line="286" w:lineRule="auto"/>
        <w:rPr>
          <w:sz w:val="20"/>
          <w:szCs w:val="20"/>
          <w:color w:val="auto"/>
        </w:rPr>
      </w:pPr>
      <w:r>
        <w:rPr>
          <w:rFonts w:ascii="Times New Roman" w:cs="Times New Roman" w:eastAsia="Times New Roman" w:hAnsi="Times New Roman"/>
          <w:sz w:val="13"/>
          <w:szCs w:val="13"/>
          <w:color w:val="auto"/>
        </w:rPr>
        <w:t>Capital transactions through offerings of our common stock are recorded when issued and offering costs are charged as a reduction of capital upon issuance of our common stock.</w:t>
      </w:r>
    </w:p>
    <w:p>
      <w:pPr>
        <w:spacing w:after="0" w:line="112" w:lineRule="exact"/>
        <w:rPr>
          <w:sz w:val="20"/>
          <w:szCs w:val="20"/>
          <w:color w:val="auto"/>
        </w:rPr>
      </w:pPr>
    </w:p>
    <w:p>
      <w:pPr>
        <w:ind w:left="60" w:right="120" w:firstLine="336"/>
        <w:spacing w:after="0" w:line="254" w:lineRule="auto"/>
        <w:rPr>
          <w:sz w:val="20"/>
          <w:szCs w:val="20"/>
          <w:color w:val="auto"/>
        </w:rPr>
      </w:pPr>
      <w:r>
        <w:rPr>
          <w:rFonts w:ascii="Times New Roman" w:cs="Times New Roman" w:eastAsia="Times New Roman" w:hAnsi="Times New Roman"/>
          <w:sz w:val="13"/>
          <w:szCs w:val="13"/>
          <w:color w:val="auto"/>
        </w:rPr>
        <w:t>On July 17, 2024, we entered into equity distribution agreements (together, the "Equity Distribution Agreements") with Citizens JMP Securities, LLC, Raymond James &amp; Associates, Inc. and Truist Securities, Inc. as the sales agents (collectively the "Sales Agents" and each a "Sales Agent") in connection with the sale of our shares of common stock, with an aggregate offering price of up to $500 million under an at-the-market offering program (the "2024 ATM Program"). The Equity Distribution Agreements provide that we may offer and sell shares of our common stock from time to time through the Sales Agents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2024 ATM Program offerings, net of any commissions of the Sale Agents, will not be less than our then current NAV per share. Any such payments made by the Investment Adviser will not be subject to reimbursement by us. In connection with the entry into the Equity Distribution Agreements, the Company terminated the equity distribution agreements with each of Citizens JMP Securities LLC, Raymond James &amp; Associates, Inc. and Truist Securities, Inc. in connection with the 2022 ATM Program.</w:t>
      </w:r>
    </w:p>
    <w:p>
      <w:pPr>
        <w:spacing w:after="0" w:line="134" w:lineRule="exact"/>
        <w:rPr>
          <w:sz w:val="20"/>
          <w:szCs w:val="20"/>
          <w:color w:val="auto"/>
        </w:rPr>
      </w:pPr>
    </w:p>
    <w:p>
      <w:pPr>
        <w:ind w:left="60" w:right="100" w:firstLine="336"/>
        <w:spacing w:after="0" w:line="256" w:lineRule="auto"/>
        <w:rPr>
          <w:sz w:val="20"/>
          <w:szCs w:val="20"/>
          <w:color w:val="auto"/>
        </w:rPr>
      </w:pPr>
      <w:r>
        <w:rPr>
          <w:rFonts w:ascii="Times New Roman" w:cs="Times New Roman" w:eastAsia="Times New Roman" w:hAnsi="Times New Roman"/>
          <w:sz w:val="13"/>
          <w:szCs w:val="13"/>
          <w:color w:val="auto"/>
        </w:rPr>
        <w:t>During the three and nine months ended June 30, 2025 we issued 2,800,000 shares and 21,638,000 shares of our common stock through the 2024 ATM Program, respectively at an average price of $11.31 per share and $11.34 per share raising $31.6 million and $244.8 million of net proceeds after commissions to the Sales Agents and inclusive of proceeds from the Investment Adviser to ensure that all shares were sold at or above NAV, respectively. During the three and nine months ended June 30, 2024, we issued 8,770,000 shares and 13,263,436 shares of common stock through the 2022 ATM Program at an average price of $11.41 per share and</w:t>
      </w:r>
    </w:p>
    <w:p>
      <w:pPr>
        <w:ind w:left="60" w:right="120"/>
        <w:spacing w:after="0" w:line="253" w:lineRule="auto"/>
        <w:rPr>
          <w:sz w:val="20"/>
          <w:szCs w:val="20"/>
          <w:color w:val="auto"/>
        </w:rPr>
      </w:pPr>
      <w:r>
        <w:rPr>
          <w:rFonts w:ascii="Times New Roman" w:cs="Times New Roman" w:eastAsia="Times New Roman" w:hAnsi="Times New Roman"/>
          <w:sz w:val="13"/>
          <w:szCs w:val="13"/>
          <w:color w:val="auto"/>
        </w:rPr>
        <w:t>$11.39 per share, raising $100.1 million and $150.6 million of net proceeds after commissions to the Sales Agents and inclusive of proceeds from the Investment Adviser to ensure that all shares were sold at or above NAV, respectively. During the three and nine months ended June 30, 2025, in connection with the share issuance, we incurred $0.1 million and $0.3 million of deferred offering costs incurred related to establishing the 2024 ATM Program to additional paid in capital, respectively. During the three and nine months ended June 30, 2024, we incurred zero and $0.5 million of deferred offering costs related to establishing the 2022 ATM Program to additional paid in capital, respectively.</w:t>
      </w:r>
    </w:p>
    <w:p>
      <w:pPr>
        <w:spacing w:after="0" w:line="130" w:lineRule="exact"/>
        <w:rPr>
          <w:sz w:val="20"/>
          <w:szCs w:val="20"/>
          <w:color w:val="auto"/>
        </w:rPr>
      </w:pPr>
    </w:p>
    <w:p>
      <w:pPr>
        <w:ind w:left="440" w:hanging="182"/>
        <w:spacing w:after="0"/>
        <w:tabs>
          <w:tab w:leader="none" w:pos="440" w:val="left"/>
        </w:tabs>
        <w:numPr>
          <w:ilvl w:val="1"/>
          <w:numId w:val="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left="60" w:right="200" w:firstLine="336"/>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23" w:lineRule="exact"/>
        <w:rPr>
          <w:sz w:val="20"/>
          <w:szCs w:val="20"/>
          <w:color w:val="auto"/>
        </w:rPr>
      </w:pPr>
    </w:p>
    <w:p>
      <w:pPr>
        <w:ind w:left="60" w:right="420" w:firstLine="336"/>
        <w:spacing w:after="0" w:line="262"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(f) Consolidation</w:t>
      </w:r>
    </w:p>
    <w:p>
      <w:pPr>
        <w:spacing w:after="0" w:line="167" w:lineRule="exact"/>
        <w:rPr>
          <w:sz w:val="20"/>
          <w:szCs w:val="20"/>
          <w:color w:val="auto"/>
        </w:rPr>
      </w:pPr>
    </w:p>
    <w:p>
      <w:pPr>
        <w:ind w:left="60" w:right="120" w:firstLine="336"/>
        <w:spacing w:after="0" w:line="255" w:lineRule="auto"/>
        <w:rPr>
          <w:sz w:val="20"/>
          <w:szCs w:val="20"/>
          <w:color w:val="auto"/>
        </w:rPr>
      </w:pPr>
      <w:r>
        <w:rPr>
          <w:rFonts w:ascii="Times New Roman" w:cs="Times New Roman" w:eastAsia="Times New Roman" w:hAnsi="Times New Roman"/>
          <w:sz w:val="13"/>
          <w:szCs w:val="13"/>
          <w:color w:val="auto"/>
        </w:rPr>
        <w:t>As permitted under Regulation S -X and as explained by ASC paragraph 946-810-45-3, we will generally not consolidate our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Securitization Issuer, the 2036-Securitization Issuer, and 2037 Securitization Issuer in our Consolidated Financial Statements. We do not consolidate our non-controlling interest in PSSL or PTSF. See further description of our investment in PSSL in Note 4.</w:t>
      </w:r>
    </w:p>
    <w:p>
      <w:pPr>
        <w:sectPr>
          <w:pgSz w:w="11900" w:h="16840" w:orient="portrait"/>
          <w:cols w:equalWidth="0" w:num="1">
            <w:col w:w="9020"/>
          </w:cols>
          <w:pgMar w:left="1440" w:top="1132" w:right="1440" w:bottom="1440" w:gutter="0" w:footer="0" w:header="0"/>
        </w:sectPr>
      </w:pP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type w:val="continuous"/>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b w:val="1"/>
          <w:bCs w:val="1"/>
          <w:i w:val="1"/>
          <w:iCs w:val="1"/>
          <w:color w:val="auto"/>
        </w:rPr>
        <w:t>(g) Asset Transfers and Servicing</w:t>
      </w:r>
    </w:p>
    <w:p>
      <w:pPr>
        <w:spacing w:after="0" w:line="167" w:lineRule="exact"/>
        <w:rPr>
          <w:sz w:val="20"/>
          <w:szCs w:val="20"/>
          <w:color w:val="auto"/>
        </w:rPr>
      </w:pPr>
    </w:p>
    <w:p>
      <w:pPr>
        <w:ind w:left="60" w:right="80" w:firstLine="336"/>
        <w:spacing w:after="0" w:line="268" w:lineRule="auto"/>
        <w:rPr>
          <w:sz w:val="20"/>
          <w:szCs w:val="20"/>
          <w:color w:val="auto"/>
        </w:rPr>
      </w:pPr>
      <w:r>
        <w:rPr>
          <w:rFonts w:ascii="Times New Roman" w:cs="Times New Roman" w:eastAsia="Times New Roman" w:hAnsi="Times New Roman"/>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our creditors or any of our affiliates.</w:t>
      </w: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(h) Recent Accounting Pronouncements</w:t>
      </w:r>
    </w:p>
    <w:p>
      <w:pPr>
        <w:spacing w:after="0" w:line="167" w:lineRule="exact"/>
        <w:rPr>
          <w:sz w:val="20"/>
          <w:szCs w:val="20"/>
          <w:color w:val="auto"/>
        </w:rPr>
      </w:pPr>
    </w:p>
    <w:p>
      <w:pPr>
        <w:ind w:left="60" w:right="160" w:firstLine="330"/>
        <w:spacing w:after="0" w:line="257" w:lineRule="auto"/>
        <w:rPr>
          <w:sz w:val="20"/>
          <w:szCs w:val="20"/>
          <w:color w:val="auto"/>
        </w:rPr>
      </w:pPr>
      <w:r>
        <w:rPr>
          <w:rFonts w:ascii="Times New Roman" w:cs="Times New Roman" w:eastAsia="Times New Roman" w:hAnsi="Times New Roman"/>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utilized the optional expedients and exceptions provided by ASU 2020-04 during the three and nine months ended June 30, 2025, the effect of which was not material to the Consolidated Financial Statements and the notes thereto.</w:t>
      </w:r>
    </w:p>
    <w:p>
      <w:pPr>
        <w:spacing w:after="0" w:line="132" w:lineRule="exact"/>
        <w:rPr>
          <w:sz w:val="20"/>
          <w:szCs w:val="20"/>
          <w:color w:val="auto"/>
        </w:rPr>
      </w:pPr>
    </w:p>
    <w:p>
      <w:pPr>
        <w:ind w:left="60" w:right="120" w:firstLine="336"/>
        <w:spacing w:after="0" w:line="256" w:lineRule="auto"/>
        <w:rPr>
          <w:sz w:val="20"/>
          <w:szCs w:val="20"/>
          <w:color w:val="auto"/>
        </w:rPr>
      </w:pPr>
      <w:r>
        <w:rPr>
          <w:rFonts w:ascii="Times New Roman" w:cs="Times New Roman" w:eastAsia="Times New Roman" w:hAnsi="Times New Roman"/>
          <w:sz w:val="13"/>
          <w:szCs w:val="13"/>
          <w:color w:val="auto"/>
        </w:rPr>
        <w:t>In June 2022, the FASB issued Accounting Standards Update 2022- 03,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has adopted the new accounting standard, the effect of which was not material to the consolidated financial statements and the notes thereto.</w:t>
      </w:r>
    </w:p>
    <w:p>
      <w:pPr>
        <w:spacing w:after="0" w:line="132" w:lineRule="exact"/>
        <w:rPr>
          <w:sz w:val="20"/>
          <w:szCs w:val="20"/>
          <w:color w:val="auto"/>
        </w:rPr>
      </w:pPr>
    </w:p>
    <w:p>
      <w:pPr>
        <w:ind w:left="60" w:right="40" w:firstLine="336"/>
        <w:spacing w:after="0" w:line="255" w:lineRule="auto"/>
        <w:rPr>
          <w:sz w:val="20"/>
          <w:szCs w:val="20"/>
          <w:color w:val="auto"/>
        </w:rPr>
      </w:pPr>
      <w:r>
        <w:rPr>
          <w:rFonts w:ascii="Times New Roman" w:cs="Times New Roman" w:eastAsia="Times New Roman" w:hAnsi="Times New Roman"/>
          <w:sz w:val="13"/>
          <w:szCs w:val="13"/>
          <w:color w:val="auto"/>
        </w:rPr>
        <w:t>In November 2023, the Financial Accounting Standards Board (FASB) issued ASU 2023 -07, Segment Reporting (Topic 280), Improvements to Reportable Segment Disclosures to improve reportable segment disclosure requirements through enhanced disclosures about significant segment expenses. ASU 2023- 07 expands public entities' segment disclosure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 after December 15, 2023, and interim periods for our fiscal years beginning December 15, 2024, and should be applied on a retrospective basis to all periods presented, noting early adoption is permitted. The Company is currently evaluating the impact of this standard on its consolidated financial statements and related disclosures.</w:t>
      </w:r>
    </w:p>
    <w:p>
      <w:pPr>
        <w:spacing w:after="0" w:line="134" w:lineRule="exact"/>
        <w:rPr>
          <w:sz w:val="20"/>
          <w:szCs w:val="20"/>
          <w:color w:val="auto"/>
        </w:rPr>
      </w:pPr>
    </w:p>
    <w:p>
      <w:pPr>
        <w:ind w:left="60" w:right="140" w:firstLine="336"/>
        <w:spacing w:after="0" w:line="262"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consolidated financial statements and related disclosures.</w:t>
      </w:r>
    </w:p>
    <w:p>
      <w:pPr>
        <w:spacing w:after="0" w:line="125" w:lineRule="exact"/>
        <w:rPr>
          <w:sz w:val="20"/>
          <w:szCs w:val="20"/>
          <w:color w:val="auto"/>
        </w:rPr>
      </w:pPr>
    </w:p>
    <w:p>
      <w:pPr>
        <w:ind w:left="200" w:hanging="134"/>
        <w:spacing w:after="0"/>
        <w:tabs>
          <w:tab w:leader="none" w:pos="200"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AGREEMENTS AND RELATED PARTY TRANSACTIONS</w:t>
      </w:r>
    </w:p>
    <w:p>
      <w:pPr>
        <w:spacing w:after="0" w:line="160" w:lineRule="exact"/>
        <w:rPr>
          <w:rFonts w:ascii="Times New Roman" w:cs="Times New Roman" w:eastAsia="Times New Roman" w:hAnsi="Times New Roman"/>
          <w:sz w:val="13"/>
          <w:szCs w:val="13"/>
          <w:b w:val="1"/>
          <w:bCs w:val="1"/>
          <w:color w:val="auto"/>
        </w:rPr>
      </w:pPr>
    </w:p>
    <w:p>
      <w:pPr>
        <w:ind w:left="540" w:hanging="246"/>
        <w:spacing w:after="0"/>
        <w:tabs>
          <w:tab w:leader="none" w:pos="540" w:val="left"/>
        </w:tabs>
        <w:numPr>
          <w:ilvl w:val="1"/>
          <w:numId w:val="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67" w:lineRule="exact"/>
        <w:rPr>
          <w:sz w:val="20"/>
          <w:szCs w:val="20"/>
          <w:color w:val="auto"/>
        </w:rPr>
      </w:pPr>
    </w:p>
    <w:p>
      <w:pPr>
        <w:ind w:left="60" w:right="160" w:firstLine="336"/>
        <w:spacing w:after="0" w:line="257" w:lineRule="auto"/>
        <w:rPr>
          <w:sz w:val="20"/>
          <w:szCs w:val="20"/>
          <w:color w:val="auto"/>
        </w:rPr>
      </w:pPr>
      <w:r>
        <w:rPr>
          <w:rFonts w:ascii="Times New Roman" w:cs="Times New Roman" w:eastAsia="Times New Roman" w:hAnsi="Times New Roman"/>
          <w:sz w:val="13"/>
          <w:szCs w:val="13"/>
          <w:color w:val="auto"/>
        </w:rPr>
        <w:t>The Investment Management Agreement was reapproved by our board of directors, including a majority of our directors who are not interested persons of us or the Investment Adviser, in May 2025.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Base Management Fee</w:t>
      </w:r>
    </w:p>
    <w:p>
      <w:pPr>
        <w:spacing w:after="0" w:line="167" w:lineRule="exact"/>
        <w:rPr>
          <w:sz w:val="20"/>
          <w:szCs w:val="20"/>
          <w:color w:val="auto"/>
        </w:rPr>
      </w:pPr>
    </w:p>
    <w:p>
      <w:pPr>
        <w:ind w:left="60" w:right="100" w:firstLine="336"/>
        <w:spacing w:after="0" w:line="255"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2025 we recorded a base management fee of $5.9 million and $16.8 million, respectively, from us. For the three and nine months ended June 30, 2024, we recorded a base management of $3.9 million and $10.3 million, respectively.</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i w:val="1"/>
          <w:iCs w:val="1"/>
          <w:color w:val="auto"/>
        </w:rPr>
        <w:t>Incentive Fee</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63" w:lineRule="exact"/>
        <w:rPr>
          <w:sz w:val="20"/>
          <w:szCs w:val="20"/>
          <w:color w:val="auto"/>
        </w:rPr>
      </w:pPr>
    </w:p>
    <w:p>
      <w:pPr>
        <w:ind w:left="60" w:right="100" w:firstLine="336"/>
        <w:spacing w:after="0" w:line="253"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 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w:t>
      </w:r>
    </w:p>
    <w:p>
      <w:pPr>
        <w:sectPr>
          <w:pgSz w:w="11900" w:h="16840" w:orient="portrait"/>
          <w:cols w:equalWidth="0" w:num="1">
            <w:col w:w="9020"/>
          </w:cols>
          <w:pgMar w:left="1440" w:top="1132" w:right="1440" w:bottom="1440"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type w:val="continuous"/>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left="60" w:right="100"/>
        <w:spacing w:after="0" w:line="254" w:lineRule="auto"/>
        <w:rPr>
          <w:sz w:val="20"/>
          <w:szCs w:val="20"/>
          <w:color w:val="auto"/>
        </w:rPr>
      </w:pPr>
      <w:r>
        <w:rPr>
          <w:rFonts w:ascii="Times New Roman" w:cs="Times New Roman" w:eastAsia="Times New Roman" w:hAnsi="Times New Roman"/>
          <w:sz w:val="13"/>
          <w:szCs w:val="13"/>
          <w:color w:val="auto"/>
        </w:rPr>
        <w:t>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 -Incentive Fee Net Investment Income (which exceeds the hurdle but is less than 2.9167%) as the “catch -up,”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 -rated for any share issuances or repurchases during the relevant quarter, if applicable. For the three and nine months ended June 30, 2025 we recorded $5.4 million and $19.1 million, respectively, related to incentive fees on net investment income. For the three and nine months ended June 30, 2024, we recorded $5.3 million and $14.9 million, respectively, related to incentive fees on net investment income.</w:t>
      </w:r>
    </w:p>
    <w:p>
      <w:pPr>
        <w:spacing w:after="0" w:line="137" w:lineRule="exact"/>
        <w:rPr>
          <w:sz w:val="20"/>
          <w:szCs w:val="20"/>
          <w:color w:val="auto"/>
        </w:rPr>
      </w:pPr>
    </w:p>
    <w:p>
      <w:pPr>
        <w:ind w:left="60" w:right="120"/>
        <w:spacing w:after="0" w:line="262"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and nine months ended June 30, 2025 and 2024, the Investment Adviser did not accrue an incentive fee on capital gains.</w:t>
      </w:r>
    </w:p>
    <w:p>
      <w:pPr>
        <w:spacing w:after="0" w:line="127" w:lineRule="exact"/>
        <w:rPr>
          <w:sz w:val="20"/>
          <w:szCs w:val="20"/>
          <w:color w:val="auto"/>
        </w:rPr>
      </w:pPr>
    </w:p>
    <w:p>
      <w:pPr>
        <w:ind w:left="60" w:right="120" w:firstLine="336"/>
        <w:spacing w:after="0" w:line="254" w:lineRule="auto"/>
        <w:rPr>
          <w:sz w:val="20"/>
          <w:szCs w:val="20"/>
          <w:color w:val="auto"/>
        </w:rPr>
      </w:pPr>
      <w:r>
        <w:rPr>
          <w:rFonts w:ascii="Times New Roman" w:cs="Times New Roman" w:eastAsia="Times New Roman" w:hAnsi="Times New Roman"/>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and nine months ended June 30, 2025 and 2024, was zero, respectively.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(b)  Administration Agreement</w:t>
      </w:r>
    </w:p>
    <w:p>
      <w:pPr>
        <w:spacing w:after="0" w:line="167" w:lineRule="exact"/>
        <w:rPr>
          <w:sz w:val="20"/>
          <w:szCs w:val="20"/>
          <w:color w:val="auto"/>
        </w:rPr>
      </w:pPr>
    </w:p>
    <w:p>
      <w:pPr>
        <w:ind w:left="60" w:right="120" w:firstLine="336"/>
        <w:spacing w:after="0" w:line="254"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the directors who are not interested persons of us, in May 2025.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Financial Officer, Chief Compliance Officer, Corporate Counsel and their respective staffs. The amount billed by the Administrator may include credits related to its administrative agreement with PSSL.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2025 we recorded administrative expenses of approximately $0.6 million and $1.4 million, related to expenses the Administrator incurred for services described above, respectively. For the three and nine months ended June 30, 2024, we recorded administrative expenses of approximately $0.3 million and $1.2 million, related to expenses the Administrator incurred for services described above, respectively.</w:t>
      </w:r>
    </w:p>
    <w:p>
      <w:pPr>
        <w:spacing w:after="0" w:line="134" w:lineRule="exact"/>
        <w:rPr>
          <w:sz w:val="20"/>
          <w:szCs w:val="20"/>
          <w:color w:val="auto"/>
        </w:rPr>
      </w:pPr>
    </w:p>
    <w:p>
      <w:pPr>
        <w:ind w:left="60" w:right="320" w:firstLine="336"/>
        <w:spacing w:after="0" w:line="262" w:lineRule="auto"/>
        <w:rPr>
          <w:sz w:val="20"/>
          <w:szCs w:val="20"/>
          <w:color w:val="auto"/>
        </w:rPr>
      </w:pPr>
      <w:r>
        <w:rPr>
          <w:rFonts w:ascii="Times New Roman" w:cs="Times New Roman" w:eastAsia="Times New Roman" w:hAnsi="Times New Roman"/>
          <w:sz w:val="13"/>
          <w:szCs w:val="13"/>
          <w:color w:val="auto"/>
        </w:rPr>
        <w:t>Under the Administration Agreement the Administrator may be reimbursed by the Company for the costs and expenses to be borne by the Company set forth above to include the costs and expenses allocable with respect to the provision of in-house legal, tax, or other professional advice and/or services to the Company, including performing due diligence on its prospective portfolio companies as deemed appropriate by the Administrator, where such in-house personnel perform services that would be paid by the Company if outside service providers provided the same services, subject to the Board's oversight.</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(c) Other Related Party Transactions</w:t>
      </w:r>
    </w:p>
    <w:p>
      <w:pPr>
        <w:spacing w:after="0" w:line="167" w:lineRule="exact"/>
        <w:rPr>
          <w:sz w:val="20"/>
          <w:szCs w:val="20"/>
          <w:color w:val="auto"/>
        </w:rPr>
      </w:pPr>
    </w:p>
    <w:p>
      <w:pPr>
        <w:jc w:val="both"/>
        <w:ind w:left="60" w:right="140" w:firstLine="336"/>
        <w:spacing w:after="0" w:line="268" w:lineRule="auto"/>
        <w:rPr>
          <w:sz w:val="20"/>
          <w:szCs w:val="20"/>
          <w:color w:val="auto"/>
        </w:rPr>
      </w:pPr>
      <w:r>
        <w:rPr>
          <w:rFonts w:ascii="Times New Roman" w:cs="Times New Roman" w:eastAsia="Times New Roman" w:hAnsi="Times New Roman"/>
          <w:sz w:val="13"/>
          <w:szCs w:val="13"/>
          <w:color w:val="auto"/>
        </w:rPr>
        <w:t>The Company, the Investment Adviser and certain other affiliates have been granted an order for exemptive relief by the SEC for the Company to co-invest with other funds managed by the Investment Adviser. If we co-invest with other affiliated funds, our Investment Adviser will not receive compensation except to the extent permitted by the exemptive order and applicable law, including the limitations set forth in Section 57(k) of the 1940 Act.</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There were no transactions subject to Rule 17a-7 under the 1940 Act during each of the three and nine months ended June 30, 2025 and 2024.</w:t>
      </w:r>
    </w:p>
    <w:p>
      <w:pPr>
        <w:spacing w:after="0" w:line="163" w:lineRule="exact"/>
        <w:rPr>
          <w:sz w:val="20"/>
          <w:szCs w:val="20"/>
          <w:color w:val="auto"/>
        </w:rPr>
      </w:pPr>
    </w:p>
    <w:p>
      <w:pPr>
        <w:jc w:val="both"/>
        <w:ind w:left="60" w:right="160" w:firstLine="336"/>
        <w:spacing w:after="0" w:line="268" w:lineRule="auto"/>
        <w:rPr>
          <w:sz w:val="20"/>
          <w:szCs w:val="20"/>
          <w:color w:val="auto"/>
        </w:rPr>
      </w:pPr>
      <w:r>
        <w:rPr>
          <w:rFonts w:ascii="Times New Roman" w:cs="Times New Roman" w:eastAsia="Times New Roman" w:hAnsi="Times New Roman"/>
          <w:sz w:val="13"/>
          <w:szCs w:val="13"/>
          <w:color w:val="auto"/>
        </w:rPr>
        <w:t>For the three and nine months ended June 30, 2025, we sold $51.8 million and $292.4 million in investments to PSSL at fair value, respectively, and recognized $(0.3) and $(0.3) million of net realized gain (losses). For the three and nine months ended June 30, 2024, we sold $69.1 million and $209.0 million in investments to PSSL at fair value, respectively, and recognized zero of net realized gains (losses), respectively.</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For the three and nine months ended June 30, 2025 and 2024, we sold no investments to PTSF.</w:t>
      </w:r>
    </w:p>
    <w:p>
      <w:pPr>
        <w:spacing w:after="0" w:line="163" w:lineRule="exact"/>
        <w:rPr>
          <w:sz w:val="20"/>
          <w:szCs w:val="20"/>
          <w:color w:val="auto"/>
        </w:rPr>
      </w:pPr>
    </w:p>
    <w:p>
      <w:pPr>
        <w:ind w:left="60" w:right="80" w:firstLine="336"/>
        <w:spacing w:after="0" w:line="286" w:lineRule="auto"/>
        <w:rPr>
          <w:sz w:val="20"/>
          <w:szCs w:val="20"/>
          <w:color w:val="auto"/>
        </w:rPr>
      </w:pPr>
      <w:r>
        <w:rPr>
          <w:rFonts w:ascii="Times New Roman" w:cs="Times New Roman" w:eastAsia="Times New Roman" w:hAnsi="Times New Roman"/>
          <w:sz w:val="13"/>
          <w:szCs w:val="13"/>
          <w:color w:val="auto"/>
        </w:rPr>
        <w:t>As of June 30, 2025 and September 30, 2024, the Company had a receivable from the Administrator of $0.2 million and $0.3 million, respectively, presented as due from affiliate on the Consolidated Statements of Assets and Liabilities. This amount relates to cash owed from agency fees and collected on behalf of the Company.</w:t>
      </w:r>
    </w:p>
    <w:p>
      <w:pPr>
        <w:spacing w:after="0" w:line="112" w:lineRule="exact"/>
        <w:rPr>
          <w:sz w:val="20"/>
          <w:szCs w:val="20"/>
          <w:color w:val="auto"/>
        </w:rPr>
      </w:pPr>
    </w:p>
    <w:p>
      <w:pPr>
        <w:ind w:left="60" w:right="340" w:firstLine="336"/>
        <w:spacing w:after="0" w:line="268" w:lineRule="auto"/>
        <w:rPr>
          <w:sz w:val="20"/>
          <w:szCs w:val="20"/>
          <w:color w:val="auto"/>
        </w:rPr>
      </w:pPr>
      <w:r>
        <w:rPr>
          <w:rFonts w:ascii="Times New Roman" w:cs="Times New Roman" w:eastAsia="Times New Roman" w:hAnsi="Times New Roman"/>
          <w:sz w:val="13"/>
          <w:szCs w:val="13"/>
          <w:color w:val="auto"/>
        </w:rPr>
        <w:t>As of June 30, 2025 and September 30, 2024, PFLT had a payable to PSSL of less than $0.1 million and zero million, respectively, presented as a Due to Affiliates on the consolidated statement of assets and liabilities. These amounts are related to cash owed to PSSL from PFLT in connection with trades between the funds.</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65" w:lineRule="exact"/>
        <w:rPr>
          <w:sz w:val="20"/>
          <w:szCs w:val="20"/>
          <w:color w:val="auto"/>
        </w:rPr>
      </w:pPr>
    </w:p>
    <w:p>
      <w:pPr>
        <w:ind w:left="60" w:right="160" w:firstLine="336"/>
        <w:spacing w:after="0" w:line="262" w:lineRule="auto"/>
        <w:rPr>
          <w:sz w:val="20"/>
          <w:szCs w:val="20"/>
          <w:color w:val="auto"/>
        </w:rPr>
      </w:pPr>
      <w:r>
        <w:rPr>
          <w:rFonts w:ascii="Times New Roman" w:cs="Times New Roman" w:eastAsia="Times New Roman" w:hAnsi="Times New Roman"/>
          <w:sz w:val="13"/>
          <w:szCs w:val="13"/>
          <w:color w:val="auto"/>
        </w:rPr>
        <w:t>For the three and nine months ended June 30, 2025, purchases of investments, including payment- in-kind ("PIK") interest totaled $ 209.2 million and $1,112.5 million, respectively. Sales and repayments of investments for the three and nine months ended June 30, 2025 totaled $145.8 million and $669.5 million, respectively. For the three and nine months ended June 30, 2024, purchases of investments, including payment-in-kind ("PIK") interest totaled $321.5 million and $964.0 million, respectively. Sales and repayments of investments for the three and nine months ended June 30, 2024 totaled $137.6 million and $386.3 million, respectively.</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Investments and cash and cash equivalents consisted of the following:</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240" w:type="dxa"/>
            <w:vAlign w:val="bottom"/>
          </w:tcPr>
          <w:p>
            <w:pPr>
              <w:spacing w:after="0"/>
              <w:rPr>
                <w:sz w:val="13"/>
                <w:szCs w:val="13"/>
                <w:color w:val="auto"/>
              </w:rPr>
            </w:pPr>
          </w:p>
        </w:tc>
        <w:tc>
          <w:tcPr>
            <w:tcW w:w="236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70"/>
        </w:trPr>
        <w:tc>
          <w:tcPr>
            <w:tcW w:w="3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Investment Classification</w:t>
            </w:r>
          </w:p>
        </w:tc>
        <w:tc>
          <w:tcPr>
            <w:tcW w:w="2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6"/>
        </w:trPr>
        <w:tc>
          <w:tcPr>
            <w:tcW w:w="35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First lien</w:t>
            </w:r>
          </w:p>
        </w:tc>
        <w:tc>
          <w:tcPr>
            <w:tcW w:w="240" w:type="dxa"/>
            <w:vAlign w:val="bottom"/>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1,930,158</w:t>
            </w:r>
          </w:p>
        </w:tc>
        <w:tc>
          <w:tcPr>
            <w:tcW w:w="100" w:type="dxa"/>
            <w:vAlign w:val="bottom"/>
            <w:shd w:val="clear" w:color="auto" w:fill="CCECFF"/>
          </w:tcPr>
          <w:p>
            <w:pPr>
              <w:spacing w:after="0"/>
              <w:rPr>
                <w:sz w:val="13"/>
                <w:szCs w:val="13"/>
                <w:color w:val="auto"/>
              </w:rPr>
            </w:pPr>
          </w:p>
        </w:tc>
        <w:tc>
          <w:tcPr>
            <w:tcW w:w="2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1,912,951</w:t>
            </w:r>
          </w:p>
        </w:tc>
        <w:tc>
          <w:tcPr>
            <w:tcW w:w="100" w:type="dxa"/>
            <w:vAlign w:val="bottom"/>
            <w:shd w:val="clear" w:color="auto" w:fill="CCECFF"/>
          </w:tcPr>
          <w:p>
            <w:pPr>
              <w:spacing w:after="0"/>
              <w:rPr>
                <w:sz w:val="13"/>
                <w:szCs w:val="13"/>
                <w:color w:val="auto"/>
              </w:rPr>
            </w:pPr>
          </w:p>
        </w:tc>
        <w:tc>
          <w:tcPr>
            <w:tcW w:w="3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1,521,496</w:t>
            </w:r>
          </w:p>
        </w:tc>
        <w:tc>
          <w:tcPr>
            <w:tcW w:w="3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1,509,048</w:t>
            </w:r>
          </w:p>
        </w:tc>
        <w:tc>
          <w:tcPr>
            <w:tcW w:w="80" w:type="dxa"/>
            <w:vAlign w:val="bottom"/>
            <w:shd w:val="clear" w:color="auto" w:fill="CCECFF"/>
          </w:tcPr>
          <w:p>
            <w:pPr>
              <w:spacing w:after="0"/>
              <w:rPr>
                <w:sz w:val="13"/>
                <w:szCs w:val="13"/>
                <w:color w:val="auto"/>
              </w:rPr>
            </w:pPr>
          </w:p>
        </w:tc>
      </w:tr>
      <w:tr>
        <w:trPr>
          <w:trHeight w:val="156"/>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First lien in PSSL</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237,650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237,650</w:t>
            </w:r>
          </w:p>
        </w:tc>
        <w:tc>
          <w:tcPr>
            <w:tcW w:w="80" w:type="dxa"/>
            <w:vAlign w:val="bottom"/>
          </w:tcPr>
          <w:p>
            <w:pPr>
              <w:spacing w:after="0"/>
              <w:rPr>
                <w:sz w:val="13"/>
                <w:szCs w:val="13"/>
                <w:color w:val="auto"/>
              </w:rPr>
            </w:pPr>
          </w:p>
        </w:tc>
      </w:tr>
      <w:tr>
        <w:trPr>
          <w:trHeight w:val="156"/>
        </w:trPr>
        <w:tc>
          <w:tcPr>
            <w:tcW w:w="35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Subordinate debt</w:t>
            </w:r>
          </w:p>
        </w:tc>
        <w:tc>
          <w:tcPr>
            <w:tcW w:w="2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12,032</w:t>
            </w: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12,506</w:t>
            </w: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2,632</w:t>
            </w:r>
          </w:p>
        </w:tc>
        <w:tc>
          <w:tcPr>
            <w:tcW w:w="2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2,693</w:t>
            </w:r>
          </w:p>
        </w:tc>
        <w:tc>
          <w:tcPr>
            <w:tcW w:w="80" w:type="dxa"/>
            <w:vAlign w:val="bottom"/>
            <w:shd w:val="clear" w:color="auto" w:fill="CCECFF"/>
          </w:tcPr>
          <w:p>
            <w:pPr>
              <w:spacing w:after="0"/>
              <w:rPr>
                <w:sz w:val="13"/>
                <w:szCs w:val="13"/>
                <w:color w:val="auto"/>
              </w:rPr>
            </w:pPr>
          </w:p>
        </w:tc>
      </w:tr>
      <w:tr>
        <w:trPr>
          <w:trHeight w:val="156"/>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Equity</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187,119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131,312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177,635</w:t>
            </w:r>
          </w:p>
        </w:tc>
        <w:tc>
          <w:tcPr>
            <w:tcW w:w="80" w:type="dxa"/>
            <w:vAlign w:val="bottom"/>
          </w:tcPr>
          <w:p>
            <w:pPr>
              <w:spacing w:after="0"/>
              <w:rPr>
                <w:sz w:val="13"/>
                <w:szCs w:val="13"/>
                <w:color w:val="auto"/>
              </w:rPr>
            </w:pPr>
          </w:p>
        </w:tc>
      </w:tr>
      <w:tr>
        <w:trPr>
          <w:trHeight w:val="156"/>
        </w:trPr>
        <w:tc>
          <w:tcPr>
            <w:tcW w:w="35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Equity interests in PSSL</w:t>
            </w: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123,725</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53,289</w:t>
            </w: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101,850</w:t>
            </w:r>
          </w:p>
        </w:tc>
        <w:tc>
          <w:tcPr>
            <w:tcW w:w="2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56,478</w:t>
            </w:r>
          </w:p>
        </w:tc>
      </w:tr>
      <w:tr>
        <w:trPr>
          <w:trHeight w:val="156"/>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Total investments</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2,454,810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2,403,515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1,994,940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1,983,504</w:t>
            </w:r>
          </w:p>
        </w:tc>
        <w:tc>
          <w:tcPr>
            <w:tcW w:w="80" w:type="dxa"/>
            <w:vAlign w:val="bottom"/>
          </w:tcPr>
          <w:p>
            <w:pPr>
              <w:spacing w:after="0"/>
              <w:rPr>
                <w:sz w:val="13"/>
                <w:szCs w:val="13"/>
                <w:color w:val="auto"/>
              </w:rPr>
            </w:pPr>
          </w:p>
        </w:tc>
      </w:tr>
      <w:tr>
        <w:trPr>
          <w:trHeight w:val="156"/>
        </w:trPr>
        <w:tc>
          <w:tcPr>
            <w:tcW w:w="35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102,726</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102,730</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112,046</w:t>
            </w:r>
          </w:p>
        </w:tc>
        <w:tc>
          <w:tcPr>
            <w:tcW w:w="2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80" w:type="dxa"/>
            <w:vAlign w:val="bottom"/>
            <w:shd w:val="clear" w:color="auto" w:fill="CCECFF"/>
          </w:tcPr>
          <w:p>
            <w:pPr>
              <w:spacing w:after="0"/>
              <w:rPr>
                <w:sz w:val="13"/>
                <w:szCs w:val="13"/>
                <w:color w:val="auto"/>
              </w:rPr>
            </w:pPr>
          </w:p>
        </w:tc>
      </w:tr>
      <w:tr>
        <w:trPr>
          <w:trHeight w:val="156"/>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2,557,536</w:t>
            </w:r>
          </w:p>
        </w:tc>
        <w:tc>
          <w:tcPr>
            <w:tcW w:w="10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2,506,245</w:t>
            </w:r>
          </w:p>
        </w:tc>
        <w:tc>
          <w:tcPr>
            <w:tcW w:w="10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2,106,986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2,095,554</w:t>
            </w:r>
          </w:p>
        </w:tc>
        <w:tc>
          <w:tcPr>
            <w:tcW w:w="80" w:type="dxa"/>
            <w:vAlign w:val="bottom"/>
          </w:tcPr>
          <w:p>
            <w:pPr>
              <w:spacing w:after="0"/>
              <w:rPr>
                <w:sz w:val="13"/>
                <w:szCs w:val="13"/>
                <w:color w:val="auto"/>
              </w:rPr>
            </w:pPr>
          </w:p>
        </w:tc>
      </w:tr>
      <w:tr>
        <w:trPr>
          <w:trHeight w:val="20"/>
        </w:trPr>
        <w:tc>
          <w:tcPr>
            <w:tcW w:w="3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right="580" w:firstLine="336"/>
        <w:spacing w:after="0" w:line="286" w:lineRule="auto"/>
        <w:rPr>
          <w:sz w:val="20"/>
          <w:szCs w:val="20"/>
          <w:color w:val="auto"/>
        </w:rPr>
      </w:pPr>
      <w:r>
        <w:rPr>
          <w:rFonts w:ascii="Times New Roman" w:cs="Times New Roman" w:eastAsia="Times New Roman" w:hAnsi="Times New Roman"/>
          <w:sz w:val="13"/>
          <w:szCs w:val="13"/>
          <w:color w:val="auto"/>
        </w:rPr>
        <w:t>The table below describes investments by industry classification by cost and fair value and enumerates the percentage of the total net asset value in such industries:</w:t>
      </w:r>
    </w:p>
    <w:tbl>
      <w:tblPr>
        <w:tblLayout w:type="fixed"/>
        <w:tblInd w:w="60" w:type="dxa"/>
        <w:tblCellMar>
          <w:top w:w="0" w:type="dxa"/>
          <w:left w:w="0" w:type="dxa"/>
          <w:bottom w:w="0" w:type="dxa"/>
          <w:right w:w="0" w:type="dxa"/>
        </w:tblCellMar>
      </w:tblPr>
      <w:tr>
        <w:trPr>
          <w:trHeight w:val="182"/>
        </w:trPr>
        <w:tc>
          <w:tcPr>
            <w:tcW w:w="2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620" w:type="dxa"/>
            <w:vAlign w:val="bottom"/>
          </w:tcPr>
          <w:p>
            <w:pPr>
              <w:spacing w:after="0"/>
              <w:rPr>
                <w:sz w:val="15"/>
                <w:szCs w:val="15"/>
                <w:color w:val="auto"/>
              </w:rPr>
            </w:pPr>
          </w:p>
        </w:tc>
        <w:tc>
          <w:tcPr>
            <w:tcW w:w="1400" w:type="dxa"/>
            <w:vAlign w:val="bottom"/>
            <w:gridSpan w:val="2"/>
          </w:tcPr>
          <w:p>
            <w:pPr>
              <w:jc w:val="right"/>
              <w:ind w:right="14"/>
              <w:spacing w:after="0" w:line="182" w:lineRule="exact"/>
              <w:rPr>
                <w:sz w:val="20"/>
                <w:szCs w:val="20"/>
                <w:color w:val="auto"/>
              </w:rPr>
            </w:pPr>
            <w:r>
              <w:rPr>
                <w:rFonts w:ascii="Times New Roman" w:cs="Times New Roman" w:eastAsia="Times New Roman" w:hAnsi="Times New Roman"/>
                <w:sz w:val="13"/>
                <w:szCs w:val="13"/>
                <w:b w:val="1"/>
                <w:bCs w:val="1"/>
                <w:color w:val="auto"/>
              </w:rPr>
              <w:t xml:space="preserve">June 30, 2025 </w:t>
            </w:r>
            <w:r>
              <w:rPr>
                <w:rFonts w:ascii="Times New Roman" w:cs="Times New Roman" w:eastAsia="Times New Roman" w:hAnsi="Times New Roman"/>
                <w:sz w:val="16"/>
                <w:szCs w:val="16"/>
                <w:b w:val="1"/>
                <w:bCs w:val="1"/>
                <w:color w:val="auto"/>
                <w:vertAlign w:val="superscript"/>
              </w:rPr>
              <w:t>(1)</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3"/>
                <w:szCs w:val="13"/>
                <w:b w:val="1"/>
                <w:bCs w:val="1"/>
                <w:color w:val="auto"/>
              </w:rPr>
              <w:t xml:space="preserve">September 30, 2024 </w:t>
            </w:r>
            <w:r>
              <w:rPr>
                <w:rFonts w:ascii="Times New Roman" w:cs="Times New Roman" w:eastAsia="Times New Roman" w:hAnsi="Times New Roman"/>
                <w:sz w:val="16"/>
                <w:szCs w:val="16"/>
                <w:b w:val="1"/>
                <w:bCs w:val="1"/>
                <w:color w:val="auto"/>
                <w:vertAlign w:val="superscript"/>
              </w:rPr>
              <w:t>(1)</w:t>
            </w:r>
          </w:p>
        </w:tc>
        <w:tc>
          <w:tcPr>
            <w:tcW w:w="900" w:type="dxa"/>
            <w:vAlign w:val="bottom"/>
          </w:tcPr>
          <w:p>
            <w:pPr>
              <w:spacing w:after="0"/>
              <w:rPr>
                <w:sz w:val="15"/>
                <w:szCs w:val="15"/>
                <w:color w:val="auto"/>
              </w:rPr>
            </w:pPr>
          </w:p>
        </w:tc>
      </w:tr>
      <w:tr>
        <w:trPr>
          <w:trHeight w:val="156"/>
        </w:trPr>
        <w:tc>
          <w:tcPr>
            <w:tcW w:w="2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Net asset value</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Net asset value</w:t>
            </w:r>
          </w:p>
        </w:tc>
      </w:tr>
      <w:tr>
        <w:trPr>
          <w:trHeight w:val="158"/>
        </w:trPr>
        <w:tc>
          <w:tcPr>
            <w:tcW w:w="2760" w:type="dxa"/>
            <w:vAlign w:val="bottom"/>
          </w:tcPr>
          <w:p>
            <w:pPr>
              <w:spacing w:after="0"/>
              <w:rPr>
                <w:sz w:val="13"/>
                <w:szCs w:val="13"/>
                <w:color w:val="auto"/>
              </w:rPr>
            </w:pP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Fair Value Percentage</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80" w:type="dxa"/>
            <w:vAlign w:val="bottom"/>
          </w:tcPr>
          <w:p>
            <w:pPr>
              <w:spacing w:after="0"/>
              <w:rPr>
                <w:sz w:val="13"/>
                <w:szCs w:val="13"/>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Cost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68"/>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Aerospace and Defense</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$218,364</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$230,187</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$122,683</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$124,433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Professional Services</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216,509</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214,888</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141,651</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138,183</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154,351</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151,248</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110,125</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107,683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Media</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136,192</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136,436</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77,787</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77,895</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Diversified Consumer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126,760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126,536</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86,409</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85,526</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Personal Products</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111,135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113,281</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96,231</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100,812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IT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105,020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106,264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101,336</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102,781</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Healthcare Technology</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100,834</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104,126</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78,061</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79,142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Business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104,898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104,059</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54,229</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53,510</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Leisure Products</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86,254</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84,508</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76,093</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74,296</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Construction &amp; Engineering</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77,982</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80,576</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72,925</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74,294</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Distributors</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74,375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77,338</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71,230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72,818</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Commercial Services &amp; Supplies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72,686</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74,650</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67,197</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68,146</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High Tech Industries</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50,351</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70,098</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47,696</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65,780</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44"/>
        </w:trPr>
        <w:tc>
          <w:tcPr>
            <w:tcW w:w="27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Electronic Equipment, Instruments, and</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8"/>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Components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37,679</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37,464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71,102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71,428</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Automobiles</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35,023</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34,989</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13,293</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12,704</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Government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28,752</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29,612</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Auto Components</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27,542</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27,459</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28,834</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29,915</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24,842</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25,052</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25,265</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25,534</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Healthcare Equipment and Supplies</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20,188</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21,841</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14,266</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14,972</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21,538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21,484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21,222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21,223</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44"/>
        </w:trPr>
        <w:tc>
          <w:tcPr>
            <w:tcW w:w="2760" w:type="dxa"/>
            <w:vAlign w:val="bottom"/>
            <w:shd w:val="clear" w:color="auto" w:fill="CCECFF"/>
          </w:tcPr>
          <w:p>
            <w:pPr>
              <w:ind w:left="40"/>
              <w:spacing w:after="0" w:line="144" w:lineRule="exact"/>
              <w:rPr>
                <w:sz w:val="20"/>
                <w:szCs w:val="20"/>
                <w:color w:val="auto"/>
              </w:rPr>
            </w:pPr>
            <w:r>
              <w:rPr>
                <w:rFonts w:ascii="Times New Roman" w:cs="Times New Roman" w:eastAsia="Times New Roman" w:hAnsi="Times New Roman"/>
                <w:sz w:val="13"/>
                <w:szCs w:val="13"/>
                <w:color w:val="auto"/>
              </w:rPr>
              <w:t>Independent Power and Renewable Electricity</w:t>
            </w:r>
          </w:p>
        </w:tc>
        <w:tc>
          <w:tcPr>
            <w:tcW w:w="6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r>
      <w:tr>
        <w:trPr>
          <w:trHeight w:val="16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Producers</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20,072</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20,631</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CFF"/>
          </w:tcPr>
          <w:p>
            <w:pPr>
              <w:spacing w:after="0"/>
              <w:rPr>
                <w:sz w:val="14"/>
                <w:szCs w:val="14"/>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Consumer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24,133</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24,223</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16,747</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13,567</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Capital Equipment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16,130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14,254</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17,839</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18,959</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Building Products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13,922</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14,092</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13,959</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14,046</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Consulting Services</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12,769</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12,761</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Event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12,491</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Food Products</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12,204</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12,348</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12,239</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12,663</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Software</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11,922</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11,586</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3,016</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Media: Diversified and Production</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12,444</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11,151</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40,987</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63,417</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6"/>
        </w:trPr>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Marketing Services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10,841</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10,986</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15,854</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15,854</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6"/>
        </w:trPr>
        <w:tc>
          <w:tcPr>
            <w:tcW w:w="27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3"/>
                <w:szCs w:val="13"/>
                <w:color w:val="auto"/>
              </w:rPr>
              <w:t>All Other</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115,483</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95,957</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157,597</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146,779</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6"/>
        </w:trPr>
        <w:tc>
          <w:tcPr>
            <w:tcW w:w="27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$2,093,435</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$2,112,576</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9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194%</w:t>
            </w:r>
          </w:p>
        </w:tc>
        <w:tc>
          <w:tcPr>
            <w:tcW w:w="7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$1,655,440</w:t>
            </w: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$1,689,376</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190%</w:t>
            </w:r>
          </w:p>
        </w:tc>
      </w:tr>
      <w:tr>
        <w:trPr>
          <w:trHeight w:val="20"/>
        </w:trPr>
        <w:tc>
          <w:tcPr>
            <w:tcW w:w="2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auto"/>
        </w:rPr>
        <w:t>(1) Excludes investments in PSSL</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65" w:lineRule="exact"/>
        <w:rPr>
          <w:sz w:val="20"/>
          <w:szCs w:val="20"/>
          <w:color w:val="auto"/>
        </w:rPr>
      </w:pPr>
    </w:p>
    <w:p>
      <w:pPr>
        <w:ind w:left="60" w:right="480" w:firstLine="336"/>
        <w:spacing w:after="0" w:line="261"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June 30, 2025 and September 30, 2024, PSSL had total assets of</w:t>
      </w:r>
    </w:p>
    <w:p>
      <w:pPr>
        <w:spacing w:after="0" w:line="1" w:lineRule="exact"/>
        <w:rPr>
          <w:sz w:val="20"/>
          <w:szCs w:val="20"/>
          <w:color w:val="auto"/>
        </w:rPr>
      </w:pPr>
    </w:p>
    <w:p>
      <w:pPr>
        <w:ind w:left="60" w:right="240"/>
        <w:spacing w:after="0" w:line="254" w:lineRule="auto"/>
        <w:rPr>
          <w:sz w:val="20"/>
          <w:szCs w:val="20"/>
          <w:color w:val="auto"/>
        </w:rPr>
      </w:pPr>
      <w:r>
        <w:rPr>
          <w:rFonts w:ascii="Times New Roman" w:cs="Times New Roman" w:eastAsia="Times New Roman" w:hAnsi="Times New Roman"/>
          <w:sz w:val="13"/>
          <w:szCs w:val="13"/>
          <w:color w:val="auto"/>
        </w:rPr>
        <w:t>$1,108.4 million and $988.1 million, respectively, and its investment portfolio consisted of investments in 117 and 109 portfolio companies, respectively. As of June 30, 2025, at fair value, the largest investment in a single portfolio company in PSSL was $21.0 million and the five largest investments totaled $98.0 million. As of September 30, 2024, at fair value, the largest investment in a single portfolio company in PSSL was $21.3 million and the five largest investments totaled $97.3 million. PSSL invests in portfolio companies in the same industries in which we may directly invest.</w:t>
      </w:r>
    </w:p>
    <w:p>
      <w:pPr>
        <w:spacing w:after="0" w:line="133" w:lineRule="exact"/>
        <w:rPr>
          <w:sz w:val="20"/>
          <w:szCs w:val="20"/>
          <w:color w:val="auto"/>
        </w:rPr>
      </w:pPr>
    </w:p>
    <w:p>
      <w:pPr>
        <w:jc w:val="both"/>
        <w:ind w:left="60" w:right="120" w:firstLine="336"/>
        <w:spacing w:after="0" w:line="262" w:lineRule="auto"/>
        <w:rPr>
          <w:sz w:val="20"/>
          <w:szCs w:val="20"/>
          <w:color w:val="auto"/>
        </w:rPr>
      </w:pPr>
      <w:r>
        <w:rPr>
          <w:rFonts w:ascii="Times New Roman" w:cs="Times New Roman" w:eastAsia="Times New Roman" w:hAnsi="Times New Roman"/>
          <w:sz w:val="13"/>
          <w:szCs w:val="13"/>
          <w:color w:val="auto"/>
        </w:rPr>
        <w:t>We and Kemper provide capital to PSSL in the form of first lien secured debt and equity interests. As of June 30, 2025 and September 30, 2024, we and Kemper owned 87.5% and 12.5%, respectively, of each of the outstanding first lien secured debt and equity interests. As of the same dates, our investment in PSSL consisted of first lien secured debt of $237.7 million (zero remaining unfunded) and $237.7 million (zero remaining unfunded), respectively, and equity interests of $123.7 million ($65.6 million remaining unfunded) and $101.9 million (zero remaining unfunded), respectively.</w:t>
      </w:r>
    </w:p>
    <w:p>
      <w:pPr>
        <w:spacing w:after="0" w:line="127" w:lineRule="exact"/>
        <w:rPr>
          <w:sz w:val="20"/>
          <w:szCs w:val="20"/>
          <w:color w:val="auto"/>
        </w:rPr>
      </w:pPr>
    </w:p>
    <w:p>
      <w:pPr>
        <w:ind w:left="60" w:right="100" w:firstLine="336"/>
        <w:spacing w:after="0" w:line="256" w:lineRule="auto"/>
        <w:rPr>
          <w:sz w:val="20"/>
          <w:szCs w:val="20"/>
          <w:color w:val="auto"/>
        </w:rPr>
      </w:pPr>
      <w:r>
        <w:rPr>
          <w:rFonts w:ascii="Times New Roman" w:cs="Times New Roman" w:eastAsia="Times New Roman" w:hAnsi="Times New Roman"/>
          <w:sz w:val="13"/>
          <w:szCs w:val="13"/>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292" w:lineRule="exact"/>
        <w:rPr>
          <w:sz w:val="20"/>
          <w:szCs w:val="20"/>
          <w:color w:val="auto"/>
        </w:rPr>
      </w:pPr>
    </w:p>
    <w:p>
      <w:pPr>
        <w:ind w:left="60" w:right="120" w:firstLine="336"/>
        <w:spacing w:after="0" w:line="268" w:lineRule="auto"/>
        <w:rPr>
          <w:sz w:val="20"/>
          <w:szCs w:val="20"/>
          <w:color w:val="auto"/>
        </w:rPr>
      </w:pPr>
      <w:r>
        <w:rPr>
          <w:rFonts w:ascii="Times New Roman" w:cs="Times New Roman" w:eastAsia="Times New Roman" w:hAnsi="Times New Roman"/>
          <w:sz w:val="13"/>
          <w:szCs w:val="13"/>
          <w:color w:val="auto"/>
        </w:rPr>
        <w:t>In December 2024, PSSL entered into a $325.0 million (increased from $260.0 million) senior secured revolving credit facility which bears interest at SOFR plus 225 basis points (including a spread adjustment) with Ally Bank through its wholly-owned subsidiary, PennantPark Senior Secured Loan Facility LLC II, or PSSL Subsidiary II, subject to leverage and borrowing base restrictions.</w:t>
      </w:r>
    </w:p>
    <w:p>
      <w:pPr>
        <w:spacing w:after="0" w:line="123" w:lineRule="exact"/>
        <w:rPr>
          <w:sz w:val="20"/>
          <w:szCs w:val="20"/>
          <w:color w:val="auto"/>
        </w:rPr>
      </w:pPr>
    </w:p>
    <w:p>
      <w:pPr>
        <w:ind w:left="60" w:right="140" w:firstLine="336"/>
        <w:spacing w:after="0" w:line="257" w:lineRule="auto"/>
        <w:rPr>
          <w:sz w:val="20"/>
          <w:szCs w:val="20"/>
          <w:color w:val="auto"/>
        </w:rPr>
      </w:pPr>
      <w:r>
        <w:rPr>
          <w:rFonts w:ascii="Times New Roman" w:cs="Times New Roman" w:eastAsia="Times New Roman" w:hAnsi="Times New Roman"/>
          <w:sz w:val="13"/>
          <w:szCs w:val="13"/>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32" w:lineRule="exact"/>
        <w:rPr>
          <w:sz w:val="20"/>
          <w:szCs w:val="20"/>
          <w:color w:val="auto"/>
        </w:rPr>
      </w:pPr>
    </w:p>
    <w:p>
      <w:pPr>
        <w:ind w:left="60" w:right="260" w:firstLine="336"/>
        <w:spacing w:after="0" w:line="262" w:lineRule="auto"/>
        <w:rPr>
          <w:sz w:val="20"/>
          <w:szCs w:val="20"/>
          <w:color w:val="auto"/>
        </w:rPr>
      </w:pPr>
      <w:r>
        <w:rPr>
          <w:rFonts w:ascii="Times New Roman" w:cs="Times New Roman" w:eastAsia="Times New Roman" w:hAnsi="Times New Roman"/>
          <w:sz w:val="13"/>
          <w:szCs w:val="13"/>
          <w:color w:val="auto"/>
        </w:rPr>
        <w:t>In May 2024, PSSL completed the refinancing of the 2032 Asset-Backed Debt through a $300.7 million debt securitization in the form of a collateralized loan obligation, or the "2036 PSSL Asset-Backed Debt". The 2036 PSSL Asset-Backed Debt is secured by a diversified portfolio of PennantPark CLO II, Ltd., a wholly-owned subsidiary of PSSL, consisting primarily of middle market loans and participation interest in middle market loans. The 2036 PSSL Asset-Backed Debt is scheduled to mature in April 2036. PSSL retained the preferred shares and Class E-R Notes through a consolidated subsidiary.</w:t>
      </w:r>
    </w:p>
    <w:p>
      <w:pPr>
        <w:spacing w:after="0" w:line="127" w:lineRule="exact"/>
        <w:rPr>
          <w:sz w:val="20"/>
          <w:szCs w:val="20"/>
          <w:color w:val="auto"/>
        </w:rPr>
      </w:pPr>
    </w:p>
    <w:p>
      <w:pPr>
        <w:ind w:left="60" w:right="200" w:firstLine="336"/>
        <w:spacing w:after="0" w:line="259" w:lineRule="auto"/>
        <w:rPr>
          <w:sz w:val="20"/>
          <w:szCs w:val="20"/>
          <w:color w:val="auto"/>
        </w:rPr>
      </w:pPr>
      <w:r>
        <w:rPr>
          <w:rFonts w:ascii="Times New Roman" w:cs="Times New Roman" w:eastAsia="Times New Roman" w:hAnsi="Times New Roman"/>
          <w:sz w:val="13"/>
          <w:szCs w:val="13"/>
          <w:color w:val="auto"/>
        </w:rPr>
        <w:t>In April 2023, PSSL completed a $297.8 million debt securitization in the form of a collateralized loan obligation, or the “2035 Asset-Backed Debt”. The 2035 Asset-Backed Debt is secured by a diversified portfolio of PennantPark CLO VI, LLC, a wholly -owned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w:t>
      </w:r>
    </w:p>
    <w:p>
      <w:pPr>
        <w:spacing w:after="0" w:line="130" w:lineRule="exact"/>
        <w:rPr>
          <w:sz w:val="20"/>
          <w:szCs w:val="20"/>
          <w:color w:val="auto"/>
        </w:rPr>
      </w:pPr>
    </w:p>
    <w:p>
      <w:pPr>
        <w:ind w:left="60" w:right="120" w:firstLine="336"/>
        <w:spacing w:after="0" w:line="257" w:lineRule="auto"/>
        <w:rPr>
          <w:sz w:val="20"/>
          <w:szCs w:val="20"/>
          <w:color w:val="auto"/>
        </w:rPr>
      </w:pPr>
      <w:r>
        <w:rPr>
          <w:rFonts w:ascii="Times New Roman" w:cs="Times New Roman" w:eastAsia="Times New Roman" w:hAnsi="Times New Roman"/>
          <w:sz w:val="13"/>
          <w:szCs w:val="13"/>
          <w:color w:val="auto"/>
        </w:rPr>
        <w:t>In May 2025, PSSL through its wholly-owned and consolidated subsidiary, PennantPark CLO VI, LLC closed the refinancing of the 2035 Asset -Backed Debt through a four year reinvestment period, twelve-year final maturity $315.8 million debt securitization or the "2037 -R Asset-Backed Debt." The debt in this securitization is structured in the following manner: (i) $228.0 million of Class A-R Loans, which bears interest at three -month SOFR plus 1.85%, (ii) $18.0 million of Class B-R Loans, which bears interest at three- month SOFR plus 4.50%, (iii) $18.0 million of Class C-R Loans and (iv) $51.8 million of subordinated notes. PSSL will continue to retain all of the subordinated notes and Class C-R Loans through a consolidated subsidiary. The maturity of the replacement debt and existing subordinated notes is now extended to April 2037.</w:t>
      </w:r>
    </w:p>
    <w:p>
      <w:pPr>
        <w:spacing w:after="0" w:line="132" w:lineRule="exact"/>
        <w:rPr>
          <w:sz w:val="20"/>
          <w:szCs w:val="20"/>
          <w:color w:val="auto"/>
        </w:rPr>
      </w:pPr>
    </w:p>
    <w:p>
      <w:pPr>
        <w:ind w:left="60" w:right="160" w:firstLine="336"/>
        <w:spacing w:after="0" w:line="255" w:lineRule="auto"/>
        <w:rPr>
          <w:sz w:val="20"/>
          <w:szCs w:val="20"/>
          <w:color w:val="auto"/>
        </w:rPr>
      </w:pPr>
      <w:r>
        <w:rPr>
          <w:rFonts w:ascii="Times New Roman" w:cs="Times New Roman" w:eastAsia="Times New Roman" w:hAnsi="Times New Roman"/>
          <w:sz w:val="13"/>
          <w:szCs w:val="13"/>
          <w:color w:val="auto"/>
        </w:rPr>
        <w:t>In April 2025, PSSL through its wholly- owned and consolidated subsidiary, PennantPark CLO 12, LLC closed a four year reinvestment period, twelve -year final maturity $301 million debt securitization in the form of a collateralized loan obligation or the "2037 Asset-Backed Debt." The debt in this securitization is structured in the following manner: (i) $30.0 million of Class A- 1 Loans, which bear interest at three-month SOFR plus 1.45%, (ii) $141.0 million of Class A-1 Notes, which bear interest at three-month SOFR plus 1.45%, (iii) $12.0 million of Class A-2 Notes, which bear interest at a three-month SOFR plus 1.60%, (iv) $21.0 million of Class B notes, which bears interest at three-month SOFR plus 1.85%, (v) $24.0 million of Class C notes, which bears interest at three-month SOFR plus 2.30%, (vi)</w:t>
      </w:r>
    </w:p>
    <w:p>
      <w:pPr>
        <w:ind w:left="60" w:right="220"/>
        <w:spacing w:after="0" w:line="257" w:lineRule="auto"/>
        <w:rPr>
          <w:sz w:val="20"/>
          <w:szCs w:val="20"/>
          <w:color w:val="auto"/>
        </w:rPr>
      </w:pPr>
      <w:r>
        <w:rPr>
          <w:rFonts w:ascii="Times New Roman" w:cs="Times New Roman" w:eastAsia="Times New Roman" w:hAnsi="Times New Roman"/>
          <w:sz w:val="13"/>
          <w:szCs w:val="13"/>
          <w:color w:val="auto"/>
        </w:rPr>
        <w:t>$18.0 million Class D notes, which bears interest at three-month SOFR plus 3.30%, (vii) $55.0 million of subordinated notes. PSSL will continue to retain all of the subordinated notes through a consolidated subsidiary. The reinvestment period for the term debt securitization ends in April 2029 and the debt is scheduled to mature in April 2037. The proceeds from the debt repaid a portion of PSSL's $325 million secured credit facility.</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Below is a summary of PSSL’s portfolio at fair value:</w:t>
            </w: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2"/>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 in thousands)</w:t>
            </w:r>
          </w:p>
        </w:tc>
        <w:tc>
          <w:tcPr>
            <w:tcW w:w="1520" w:type="dxa"/>
            <w:vAlign w:val="bottom"/>
          </w:tcPr>
          <w:p>
            <w:pPr>
              <w:spacing w:after="0"/>
              <w:rPr>
                <w:sz w:val="24"/>
                <w:szCs w:val="24"/>
                <w:color w:val="auto"/>
              </w:rPr>
            </w:pP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20" w:type="dxa"/>
            <w:vAlign w:val="bottom"/>
          </w:tcPr>
          <w:p>
            <w:pPr>
              <w:spacing w:after="0"/>
              <w:rPr>
                <w:sz w:val="24"/>
                <w:szCs w:val="24"/>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9"/>
              </w:rPr>
              <w:t>September 30, 2024</w:t>
            </w:r>
          </w:p>
        </w:tc>
      </w:tr>
      <w:tr>
        <w:trPr>
          <w:trHeight w:val="156"/>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investments</w:t>
            </w:r>
          </w:p>
        </w:tc>
        <w:tc>
          <w:tcPr>
            <w:tcW w:w="15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1,055,552</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913,281</w:t>
            </w:r>
          </w:p>
        </w:tc>
      </w:tr>
      <w:tr>
        <w:trPr>
          <w:trHeight w:val="156"/>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15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56"/>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Number of portfolio companies in PSSL</w:t>
            </w:r>
          </w:p>
        </w:tc>
        <w:tc>
          <w:tcPr>
            <w:tcW w:w="1520" w:type="dxa"/>
            <w:vAlign w:val="bottom"/>
            <w:shd w:val="clear" w:color="auto" w:fill="CCECFF"/>
          </w:tcPr>
          <w:p>
            <w:pPr>
              <w:spacing w:after="0"/>
              <w:rPr>
                <w:sz w:val="13"/>
                <w:szCs w:val="13"/>
                <w:color w:val="auto"/>
              </w:rPr>
            </w:pPr>
          </w:p>
        </w:tc>
        <w:tc>
          <w:tcPr>
            <w:tcW w:w="1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117</w:t>
            </w:r>
          </w:p>
        </w:tc>
        <w:tc>
          <w:tcPr>
            <w:tcW w:w="120" w:type="dxa"/>
            <w:vAlign w:val="bottom"/>
            <w:shd w:val="clear" w:color="auto" w:fill="CCECFF"/>
          </w:tcPr>
          <w:p>
            <w:pPr>
              <w:spacing w:after="0"/>
              <w:rPr>
                <w:sz w:val="13"/>
                <w:szCs w:val="13"/>
                <w:color w:val="auto"/>
              </w:rPr>
            </w:pPr>
          </w:p>
        </w:tc>
        <w:tc>
          <w:tcPr>
            <w:tcW w:w="12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109</w:t>
            </w:r>
          </w:p>
        </w:tc>
      </w:tr>
      <w:tr>
        <w:trPr>
          <w:trHeight w:val="156"/>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Largest portfolio company investment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20,954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21,274</w:t>
            </w:r>
          </w:p>
        </w:tc>
      </w:tr>
      <w:tr>
        <w:trPr>
          <w:trHeight w:val="156"/>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of five largest portfolio company investments</w:t>
            </w:r>
          </w:p>
        </w:tc>
        <w:tc>
          <w:tcPr>
            <w:tcW w:w="15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98,008</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97,292</w:t>
            </w:r>
          </w:p>
        </w:tc>
      </w:tr>
    </w:tbl>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June 30, 2025 (Par and $ in thousands):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or Number</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ind w:left="4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68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80" w:type="dxa"/>
            <w:vAlign w:val="bottom"/>
          </w:tcPr>
          <w:p>
            <w:pPr>
              <w:jc w:val="center"/>
              <w:spacing w:after="0" w:line="120"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180" w:type="dxa"/>
            <w:vAlign w:val="bottom"/>
          </w:tcPr>
          <w:p>
            <w:pPr>
              <w:spacing w:after="0"/>
              <w:rPr>
                <w:sz w:val="10"/>
                <w:szCs w:val="10"/>
                <w:color w:val="auto"/>
              </w:rPr>
            </w:pP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60" w:type="dxa"/>
            <w:vAlign w:val="bottom"/>
            <w:gridSpan w:val="2"/>
          </w:tcPr>
          <w:p>
            <w:pPr>
              <w:jc w:val="right"/>
              <w:ind w:right="72"/>
              <w:spacing w:after="0" w:line="120"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2"/>
                <w:szCs w:val="12"/>
                <w:b w:val="1"/>
                <w:bCs w:val="1"/>
                <w:color w:val="auto"/>
                <w:vertAlign w:val="superscript"/>
              </w:rPr>
              <w:t>(2)</w:t>
            </w:r>
          </w:p>
        </w:tc>
      </w:tr>
      <w:tr>
        <w:trPr>
          <w:trHeight w:val="122"/>
        </w:trPr>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- 1,707.4%</w:t>
            </w:r>
          </w:p>
        </w:tc>
        <w:tc>
          <w:tcPr>
            <w:tcW w:w="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A1 Garage Merger Sub,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12/22/2028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8.83%</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SOFR+450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2,881</w:t>
            </w:r>
          </w:p>
        </w:tc>
        <w:tc>
          <w:tcPr>
            <w:tcW w:w="1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2,841</w:t>
            </w:r>
          </w:p>
        </w:tc>
        <w:tc>
          <w:tcPr>
            <w:tcW w:w="2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2,881</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ACP Avenu Buyer,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9,850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9,718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9,752</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Falcon Buyer,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18,620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18,339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18,806</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Ad.net Acquisition,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10.56%</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SOFR+626</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8,640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8,613</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8,640</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Aechelon Technology,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10.83%</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11,760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11,760</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11,760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AFC Dell Holding Corp</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4/9/2027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7,615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7,581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7,577</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11/30/2026</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10.48%</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SOFR+610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13,154</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12,991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9,208</w:t>
            </w:r>
          </w:p>
        </w:tc>
      </w:tr>
      <w:tr>
        <w:trPr>
          <w:trHeight w:val="120"/>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7.92%)</w:t>
            </w: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1"/>
        </w:trPr>
        <w:tc>
          <w:tcPr>
            <w:tcW w:w="26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SOFR+590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4,505</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4,404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4,505</w:t>
            </w:r>
          </w:p>
        </w:tc>
      </w:tr>
      <w:tr>
        <w:trPr>
          <w:trHeight w:val="121"/>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SOFR+590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4,438</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4,415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4,438</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Arcfield Acquisition Corp.</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9.28%</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5,970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5,961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5,940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Archer Lewis,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8/28/2029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9,925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9,844</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9,925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ARGANO,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9/13/2029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10.07%</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9,925</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9,842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9,836</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Azureon,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6/26/2029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4,987</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4,873</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4,873</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Services,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6/21/2029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12,780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12,624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12,652</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11/8/2029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9,878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9,826</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4,803</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4,753</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Big Top Holdings,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14,710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14,488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14,710</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10.82%</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8,747</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8,710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9/17/2026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SOFR+540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14,721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14,670</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BLC Holding Company,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11/20/2030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SOFR+450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4,987</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4,964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4,987</w:t>
            </w:r>
          </w:p>
        </w:tc>
      </w:tr>
      <w:tr>
        <w:trPr>
          <w:trHeight w:val="121"/>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Independent Power and</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Boss Industries, LLC - Term Loan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12/27/2030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Renewable Electricity Producers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4,987</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4,915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4,987</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7/25/2029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SOFR+535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439</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373</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11/16/2026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10.79%</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SOFR+647</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12,562</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12,549</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12,562</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C5MI Holdco,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14,888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14,701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14,888</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Carisk Buyer, Inc - Amendment No.1 Term Loan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12/1/2029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9,885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9,950</w:t>
            </w:r>
          </w:p>
        </w:tc>
      </w:tr>
      <w:tr>
        <w:trPr>
          <w:trHeight w:val="121"/>
        </w:trPr>
        <w:tc>
          <w:tcPr>
            <w:tcW w:w="26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Carnegie Dartlet,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2/7/2030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15,128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14,932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14,977</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Cartessa Aesthetics,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9,465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9,377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9,465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Case Works,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10/1/2029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14,818</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14,582</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CF512,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10.74%</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SOFR+644</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6,500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6,458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6,435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Commercial Fire Protection Holdings,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9/23/2030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SOFR+450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14,888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14,794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14,888</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Confluent Health,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11/30/2028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8.44%</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SOFR+400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6,655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6,487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6,322</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Connatix Buyer,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SOFR+561</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3,745</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3,715</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3,745</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Crane 1 Services,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9.69%</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SOFR+536</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2,052</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2,038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2,036</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 Squatch,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SOFR+535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14,450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14,314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14,450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DRI Holding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12/21/2028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SOFR+535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2,426</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2,543</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9.58%</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4,639</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4,636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4,606</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Duggal Acquisition,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4,963</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4,921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4,963</w:t>
            </w:r>
          </w:p>
        </w:tc>
      </w:tr>
      <w:tr>
        <w:trPr>
          <w:trHeight w:val="120"/>
        </w:trPr>
        <w:tc>
          <w:tcPr>
            <w:tcW w:w="26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Dynata, LLC - First Out Term Loan </w:t>
            </w:r>
            <w:r>
              <w:rPr>
                <w:rFonts w:ascii="Times New Roman" w:cs="Times New Roman" w:eastAsia="Times New Roman" w:hAnsi="Times New Roman"/>
                <w:sz w:val="12"/>
                <w:szCs w:val="12"/>
                <w:color w:val="auto"/>
                <w:vertAlign w:val="superscript"/>
              </w:rPr>
              <w:t>(5)</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7/17/2028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9.59%</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SOFR+526</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1,271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1,341</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10/16/2028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10.09%</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SOFR+576</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8,376</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8,376</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7,367</w:t>
            </w:r>
          </w:p>
        </w:tc>
      </w:tr>
      <w:tr>
        <w:trPr>
          <w:trHeight w:val="121"/>
        </w:trPr>
        <w:tc>
          <w:tcPr>
            <w:tcW w:w="26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w:t>
            </w: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EDS Buyer,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Instruments, and Components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8,712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8,820</w:t>
            </w:r>
          </w:p>
        </w:tc>
      </w:tr>
      <w:tr>
        <w:trPr>
          <w:trHeight w:val="121"/>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Emergency Care Partners,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10/18/2027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5,955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5,924</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5,955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Exigo Intermediate II,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10.68%</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SOFR+635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12,449</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12,358</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12,449</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ETE Intermediate II,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11,970</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12,155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Eval Home Solutions Intermediate,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5/10/2030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10.08%</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9,022</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8,899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9,022</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GGG MIDCO,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9/27/2030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9,925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9,841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9,925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9.92%</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SOFR+560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3,514</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3,510</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3,374</w:t>
            </w:r>
          </w:p>
        </w:tc>
      </w:tr>
      <w:tr>
        <w:trPr>
          <w:trHeight w:val="121"/>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Trading Companies &amp;</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SOFR+560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3,694</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3,667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3,620</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Halo Buyer,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8/7/2029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10.33%</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6,484</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6,356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6,289</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12/31/2026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SOFR+560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2,112</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2,098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2,102</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Harris &amp; Co.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8/9/2030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9.33%</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19,850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19,699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19,850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HEC Purchaser Corp</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3,663</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3,626</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3,663</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Hills Distribution,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11/8/2029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10.32%</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8,890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8,780</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8,890</w:t>
            </w:r>
          </w:p>
        </w:tc>
      </w:tr>
      <w:tr>
        <w:trPr>
          <w:trHeight w:val="124"/>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5/10/2026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SOFR+590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3,441</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3,426</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3,441</w:t>
            </w:r>
          </w:p>
        </w:tc>
      </w:tr>
    </w:tbl>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2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40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or Number</w:t>
            </w: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2680" w:type="dxa"/>
            <w:vAlign w:val="bottom"/>
          </w:tcPr>
          <w:p>
            <w:pPr>
              <w:ind w:left="4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6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2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4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66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2"/>
                <w:szCs w:val="12"/>
                <w:b w:val="1"/>
                <w:bCs w:val="1"/>
                <w:color w:val="auto"/>
                <w:vertAlign w:val="superscript"/>
              </w:rPr>
              <w:t>(2)</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Acquisitionco,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11/15/2027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9.42%</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SOFR+510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9,084</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8,977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9,061</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12/28/2028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10.30%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5,983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5,983</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Inovex Information Systems Incorporated</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12/17/2030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8,164</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8,107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8,164</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11.94%</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SOFR+761</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8,102</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8,062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8,102</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11/10/2027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10.45%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13,492</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13,332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12,817</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12.13%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SOFR+785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15,308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15,184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15,002</w:t>
            </w:r>
          </w:p>
        </w:tc>
      </w:tr>
      <w:tr>
        <w:trPr>
          <w:trHeight w:val="120"/>
        </w:trPr>
        <w:tc>
          <w:tcPr>
            <w:tcW w:w="26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5.10%)</w:t>
            </w: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6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(4)(5)</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10/31/2025</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0.00%</w:t>
            </w:r>
          </w:p>
        </w:tc>
        <w:tc>
          <w:tcPr>
            <w:tcW w:w="780" w:type="dxa"/>
            <w:vAlign w:val="bottom"/>
          </w:tcPr>
          <w:p>
            <w:pPr>
              <w:spacing w:after="0"/>
              <w:rPr>
                <w:sz w:val="10"/>
                <w:szCs w:val="10"/>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15,789</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15,466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11,826</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LAV Gear Holdings, Inc. - Incremental TL</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10/31/2025</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10.00%</w:t>
            </w: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1,018</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1,272</w:t>
            </w:r>
          </w:p>
        </w:tc>
      </w:tr>
      <w:tr>
        <w:trPr>
          <w:trHeight w:val="121"/>
        </w:trPr>
        <w:tc>
          <w:tcPr>
            <w:tcW w:w="2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11,273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11,230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11,273</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2/1/2030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Environmental Industries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9.07%</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2,540</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2,540</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5/31/2028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7,354</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7,257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7,317</w:t>
            </w:r>
          </w:p>
        </w:tc>
      </w:tr>
      <w:tr>
        <w:trPr>
          <w:trHeight w:val="120"/>
        </w:trPr>
        <w:tc>
          <w:tcPr>
            <w:tcW w:w="26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 First-Out Term Loan </w:t>
            </w:r>
            <w:r>
              <w:rPr>
                <w:rFonts w:ascii="Times New Roman" w:cs="Times New Roman" w:eastAsia="Times New Roman" w:hAnsi="Times New Roman"/>
                <w:sz w:val="12"/>
                <w:szCs w:val="12"/>
                <w:color w:val="auto"/>
                <w:vertAlign w:val="superscript"/>
              </w:rPr>
              <w:t>(5)</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11.96%</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SOFR+765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257</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257</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11.96%</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SOFR+765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525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439</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MAG DS Corp</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SOFR+560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2,199</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2,146</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2,111</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Magenta Buyer, LLC - First-Out Term Loan</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11.29%</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SOFR+701</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357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298</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Magenta Buyer, LLC - Second-Out Term Loan</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11.54%</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SOFR+726</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467</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215</w:t>
            </w:r>
          </w:p>
        </w:tc>
      </w:tr>
      <w:tr>
        <w:trPr>
          <w:trHeight w:val="120"/>
        </w:trPr>
        <w:tc>
          <w:tcPr>
            <w:tcW w:w="2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gridSpan w:val="2"/>
          </w:tcPr>
          <w:p>
            <w:pPr>
              <w:jc w:val="right"/>
              <w:ind w:right="132"/>
              <w:spacing w:after="0"/>
              <w:rPr>
                <w:sz w:val="20"/>
                <w:szCs w:val="20"/>
                <w:color w:val="auto"/>
              </w:rPr>
            </w:pPr>
            <w:r>
              <w:rPr>
                <w:rFonts w:ascii="Times New Roman" w:cs="Times New Roman" w:eastAsia="Times New Roman" w:hAnsi="Times New Roman"/>
                <w:sz w:val="10"/>
                <w:szCs w:val="10"/>
                <w:color w:val="auto"/>
              </w:rPr>
              <w:t>(PIK 6.25%)</w:t>
            </w: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6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Magenta Buyer, LLC - Third-Out Term Loan </w:t>
            </w:r>
            <w:r>
              <w:rPr>
                <w:rFonts w:ascii="Times New Roman" w:cs="Times New Roman" w:eastAsia="Times New Roman" w:hAnsi="Times New Roman"/>
                <w:sz w:val="12"/>
                <w:szCs w:val="12"/>
                <w:color w:val="auto"/>
                <w:vertAlign w:val="superscript"/>
              </w:rPr>
              <w:t>(7)</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6.04%</w:t>
            </w: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1,742</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1,742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404</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Marketplace Events Acquisitions,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12/19/2030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9.47%</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16,958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16,809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16,958</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MBS Holdings,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SOFR+510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8,266</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8,202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8,266</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MDI Buyer,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6,268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6,193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6,205</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12/10/2027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2,330</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2,306</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2,295</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Medina Health,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10/20/2028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10.57%</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18,833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18,600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18,880</w:t>
            </w:r>
          </w:p>
        </w:tc>
      </w:tr>
      <w:tr>
        <w:trPr>
          <w:trHeight w:val="121"/>
        </w:trPr>
        <w:tc>
          <w:tcPr>
            <w:tcW w:w="26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Instruments, and Components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15,553</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15,358</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14,356</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MOREGroup Holdings,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1/16/2030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9.57%</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12,968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12,815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12,968</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10/1/2027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3,369</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3,338</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3,369</w:t>
            </w:r>
          </w:p>
        </w:tc>
      </w:tr>
      <w:tr>
        <w:trPr>
          <w:trHeight w:val="121"/>
        </w:trPr>
        <w:tc>
          <w:tcPr>
            <w:tcW w:w="2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Education &amp;</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NBH Group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8/19/2026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Childcare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SOFR+560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10,379</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10,320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10,379</w:t>
            </w:r>
          </w:p>
        </w:tc>
      </w:tr>
      <w:tr>
        <w:trPr>
          <w:trHeight w:val="120"/>
        </w:trPr>
        <w:tc>
          <w:tcPr>
            <w:tcW w:w="26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NORA Acquisition,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10.65%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21,113</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20,797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20,954</w:t>
            </w:r>
          </w:p>
        </w:tc>
      </w:tr>
      <w:tr>
        <w:trPr>
          <w:trHeight w:val="121"/>
        </w:trPr>
        <w:tc>
          <w:tcPr>
            <w:tcW w:w="2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Omnia Exterior Solutions, LLC - Second Amendment Term Loan</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12/29/2029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12,904</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12,808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12,775</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One Stop Mailing,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10.69%</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SOFR+636</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15,525</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15,386</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15,525</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ORL Acquisitions,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13.70%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SOFR+940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2,220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2,207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1,998</w:t>
            </w:r>
          </w:p>
        </w:tc>
      </w:tr>
      <w:tr>
        <w:trPr>
          <w:trHeight w:val="120"/>
        </w:trPr>
        <w:tc>
          <w:tcPr>
            <w:tcW w:w="26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7.50%)</w:t>
            </w: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12/15/2029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10.07%</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9,925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9,796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9,766</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11/30/2028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12.71%</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SOFR+843</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821</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821</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821</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5/30/2028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10.96%</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SOFR+668</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Pacific Purchaser,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10.42%</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11,848</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11,689</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11,717</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10,960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10,860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10,850</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Midco,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10.05%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3,842</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3,795</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3,861</w:t>
            </w:r>
          </w:p>
        </w:tc>
      </w:tr>
      <w:tr>
        <w:trPr>
          <w:trHeight w:val="121"/>
        </w:trPr>
        <w:tc>
          <w:tcPr>
            <w:tcW w:w="2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Textiles, Apparel and Luxury</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PL Acquisitionco,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Goods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11.50%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SOFR+725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8,213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8,174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5,092</w:t>
            </w:r>
          </w:p>
        </w:tc>
      </w:tr>
      <w:tr>
        <w:trPr>
          <w:trHeight w:val="120"/>
        </w:trPr>
        <w:tc>
          <w:tcPr>
            <w:tcW w:w="26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7.00%)</w:t>
            </w: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Pragmatic Institute,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4,108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4,108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3,646</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Project Granite Buyer,Inc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12/31/2030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10.05%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6,484</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6,389</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6,549</w:t>
            </w:r>
          </w:p>
        </w:tc>
      </w:tr>
      <w:tr>
        <w:trPr>
          <w:trHeight w:val="120"/>
        </w:trPr>
        <w:tc>
          <w:tcPr>
            <w:tcW w:w="2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Rancho Health MSO,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6/20/2029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18,845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18,780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18,845</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Recteq,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10.72%</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4,788</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4,776</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4,764</w:t>
            </w:r>
          </w:p>
        </w:tc>
      </w:tr>
      <w:tr>
        <w:trPr>
          <w:trHeight w:val="121"/>
        </w:trPr>
        <w:tc>
          <w:tcPr>
            <w:tcW w:w="2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Ro Health,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1/17/2031</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11,300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11,224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11,300</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RRA Corporate,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8/15/2029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4,963</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4,922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4,922</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10.07%</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9,900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9,777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9,726</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9.92%</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4,303</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4,242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4,194</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Sabel Systems Technology Solutions,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10/31/2030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10.07%</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5,970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5,919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5,970</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Safe Haven Defense US,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5/23/2029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9.57%</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9,892</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9,891</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Sales Benchmark Index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7/7/2026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10.50%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SOFR+620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9,213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9,197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9,213</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Sath Industries,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12/17/2029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Event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10,332</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10,236</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10,332</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7/21/2025</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12,828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12,827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12,186</w:t>
            </w:r>
          </w:p>
        </w:tc>
      </w:tr>
      <w:tr>
        <w:trPr>
          <w:trHeight w:val="120"/>
        </w:trPr>
        <w:tc>
          <w:tcPr>
            <w:tcW w:w="26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0.50%)</w:t>
            </w: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6/13/2029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10.47%</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4,863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4,812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4,583</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12/20/2027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11.47%</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18,161</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17,892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18,160</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Smile Brands Inc.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10/12/2027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10.43%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12,202</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10,445</w:t>
            </w:r>
          </w:p>
        </w:tc>
      </w:tr>
      <w:tr>
        <w:trPr>
          <w:trHeight w:val="120"/>
        </w:trPr>
        <w:tc>
          <w:tcPr>
            <w:tcW w:w="26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1.50%)</w:t>
            </w: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9.45%</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4,039</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4,039</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SV-Aero Holdings,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11/1/2030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14,813</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14,750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14,813</w:t>
            </w:r>
          </w:p>
        </w:tc>
      </w:tr>
      <w:tr>
        <w:trPr>
          <w:trHeight w:val="121"/>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w w:val="99"/>
              </w:rPr>
              <w:t>System Planning and Analysis, Inc. (f/k/a Management Consulting</w:t>
            </w:r>
          </w:p>
        </w:tc>
        <w:tc>
          <w:tcPr>
            <w:tcW w:w="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&amp; Research,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14,475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14,374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14,359</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w w:val="99"/>
              </w:rPr>
              <w:t>STG Distribution, LLC (fka Reception Purchaser) - First Out New</w:t>
            </w:r>
          </w:p>
        </w:tc>
        <w:tc>
          <w:tcPr>
            <w:tcW w:w="66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Money Term Loans</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10/3/2029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12.67%</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SOFR+835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1,924</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1,616</w:t>
            </w:r>
          </w:p>
        </w:tc>
      </w:tr>
      <w:tr>
        <w:trPr>
          <w:trHeight w:val="120"/>
        </w:trPr>
        <w:tc>
          <w:tcPr>
            <w:tcW w:w="2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gridSpan w:val="2"/>
          </w:tcPr>
          <w:p>
            <w:pPr>
              <w:jc w:val="right"/>
              <w:ind w:right="132"/>
              <w:spacing w:after="0"/>
              <w:rPr>
                <w:sz w:val="20"/>
                <w:szCs w:val="20"/>
                <w:color w:val="auto"/>
              </w:rPr>
            </w:pPr>
            <w:r>
              <w:rPr>
                <w:rFonts w:ascii="Times New Roman" w:cs="Times New Roman" w:eastAsia="Times New Roman" w:hAnsi="Times New Roman"/>
                <w:sz w:val="10"/>
                <w:szCs w:val="10"/>
                <w:color w:val="auto"/>
              </w:rPr>
              <w:t>(PIK 7.25%)</w:t>
            </w: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1"/>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STG Distribution, LLC (fka Reception Purchaser) - Second Out</w:t>
            </w:r>
          </w:p>
        </w:tc>
        <w:tc>
          <w:tcPr>
            <w:tcW w:w="66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r>
      <w:tr>
        <w:trPr>
          <w:trHeight w:val="120"/>
        </w:trPr>
        <w:tc>
          <w:tcPr>
            <w:tcW w:w="26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Term Loans </w:t>
            </w:r>
            <w:r>
              <w:rPr>
                <w:rFonts w:ascii="Times New Roman" w:cs="Times New Roman" w:eastAsia="Times New Roman" w:hAnsi="Times New Roman"/>
                <w:sz w:val="12"/>
                <w:szCs w:val="12"/>
                <w:color w:val="auto"/>
                <w:vertAlign w:val="superscript"/>
              </w:rPr>
              <w:t>(7)</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10/3/2029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w:t>
            </w:r>
          </w:p>
        </w:tc>
        <w:tc>
          <w:tcPr>
            <w:tcW w:w="78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4,458</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1,337</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TCG 3.0 Jogger Acquisitionco</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1/23/2029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10.82%</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SOFR+650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19,478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19,213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19,477</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12/20/2027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9.43%</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5,328</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5,123</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5,296</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Teneo Holdings,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3/13/2031</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9.08%</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5,431</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5,379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5,479</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Bluebird Group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7/28/2026</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10.20%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8,431</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8,375</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8,431</w:t>
            </w:r>
          </w:p>
        </w:tc>
      </w:tr>
      <w:tr>
        <w:trPr>
          <w:trHeight w:val="120"/>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The Vertex Companies,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9.43%</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SOFR+510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17,527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17,337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17,492</w:t>
            </w:r>
          </w:p>
        </w:tc>
      </w:tr>
      <w:tr>
        <w:trPr>
          <w:trHeight w:val="12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TPC US Parent, LLC</w:t>
            </w:r>
          </w:p>
        </w:tc>
        <w:tc>
          <w:tcPr>
            <w:tcW w:w="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11/24/2025</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Goods: Non-Durable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10.20%</w:t>
            </w:r>
          </w:p>
        </w:tc>
        <w:tc>
          <w:tcPr>
            <w:tcW w:w="7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16,397</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16,357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16,381</w:t>
            </w:r>
          </w:p>
        </w:tc>
      </w:tr>
      <w:tr>
        <w:trPr>
          <w:trHeight w:val="124"/>
        </w:trPr>
        <w:tc>
          <w:tcPr>
            <w:tcW w:w="2680" w:type="dxa"/>
            <w:vAlign w:val="bottom"/>
          </w:tcPr>
          <w:p>
            <w:pPr>
              <w:spacing w:after="0"/>
              <w:rPr>
                <w:sz w:val="20"/>
                <w:szCs w:val="20"/>
                <w:color w:val="auto"/>
              </w:rPr>
            </w:pPr>
            <w:r>
              <w:rPr>
                <w:rFonts w:ascii="Times New Roman" w:cs="Times New Roman" w:eastAsia="Times New Roman" w:hAnsi="Times New Roman"/>
                <w:sz w:val="10"/>
                <w:szCs w:val="10"/>
                <w:color w:val="auto"/>
              </w:rPr>
              <w:t>Transgo, LLC</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12/29/2028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10.07%</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16,548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16,345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16,631</w:t>
            </w:r>
          </w:p>
        </w:tc>
      </w:tr>
    </w:tbl>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42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Par or Number</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6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70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42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of Shares</w:t>
            </w:r>
          </w:p>
        </w:tc>
        <w:tc>
          <w:tcPr>
            <w:tcW w:w="46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6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0"/>
                <w:szCs w:val="10"/>
                <w:b w:val="1"/>
                <w:bCs w:val="1"/>
                <w:color w:val="auto"/>
                <w:w w:val="97"/>
              </w:rPr>
              <w:t>Fair Value</w:t>
            </w:r>
            <w:r>
              <w:rPr>
                <w:rFonts w:ascii="Times New Roman" w:cs="Times New Roman" w:eastAsia="Times New Roman" w:hAnsi="Times New Roman"/>
                <w:sz w:val="12"/>
                <w:szCs w:val="12"/>
                <w:b w:val="1"/>
                <w:bCs w:val="1"/>
                <w:color w:val="auto"/>
                <w:w w:val="97"/>
                <w:vertAlign w:val="superscript"/>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Tyto Athene,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9.19%</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SOFR+490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14,604</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14,530</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14,253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6/15/2027</w:t>
            </w:r>
          </w:p>
        </w:tc>
        <w:tc>
          <w:tcPr>
            <w:tcW w:w="15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9.80%</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6,771</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6,723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VRS Buyer,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11/22/2030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Road and Rail</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9.08%</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6,454</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6,413</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6,422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(4)(5)</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0.00%</w:t>
            </w:r>
          </w:p>
        </w:tc>
        <w:tc>
          <w:tcPr>
            <w:tcW w:w="760" w:type="dxa"/>
            <w:vAlign w:val="bottom"/>
          </w:tcPr>
          <w:p>
            <w:pPr>
              <w:spacing w:after="0"/>
              <w:rPr>
                <w:sz w:val="10"/>
                <w:szCs w:val="10"/>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6,105</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5,069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w w:val="98"/>
              </w:rPr>
              <w:t>Walker Edison Furniture Company LLC - Junior Revolving Credit</w:t>
            </w: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Facility </w:t>
            </w:r>
            <w:r>
              <w:rPr>
                <w:rFonts w:ascii="Times New Roman" w:cs="Times New Roman" w:eastAsia="Times New Roman" w:hAnsi="Times New Roman"/>
                <w:sz w:val="12"/>
                <w:szCs w:val="12"/>
                <w:color w:val="auto"/>
                <w:vertAlign w:val="superscript"/>
              </w:rPr>
              <w:t>(4)(5)</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0.00%</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Watchtower Buyer,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10.30%</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12,097</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12,085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Systems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3/31/2028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9.78%</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5,720</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5,827</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5,834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1,060,592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1,039,849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Subordinate Debt</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04/15/30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0.00%</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1,877</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1,615</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1,605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04/15/33</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0.00%</w:t>
            </w:r>
          </w:p>
        </w:tc>
        <w:tc>
          <w:tcPr>
            <w:tcW w:w="760" w:type="dxa"/>
            <w:vAlign w:val="bottom"/>
          </w:tcPr>
          <w:p>
            <w:pPr>
              <w:spacing w:after="0"/>
              <w:rPr>
                <w:sz w:val="10"/>
                <w:szCs w:val="10"/>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4,275</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Systems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07/30/28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12.00%</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3,815</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3,815</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3,815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7,407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7,397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Equity Securities - 13.6%</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48Forty Intermediate Holdings, Inc.- Common Equity</w:t>
            </w:r>
          </w:p>
        </w:tc>
        <w:tc>
          <w:tcPr>
            <w:tcW w:w="7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1,722</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New Insight Holdings, Inc.</w:t>
            </w:r>
          </w:p>
        </w:tc>
        <w:tc>
          <w:tcPr>
            <w:tcW w:w="70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tcPr>
          <w:p>
            <w:pPr>
              <w:spacing w:after="0"/>
              <w:rPr>
                <w:sz w:val="10"/>
                <w:szCs w:val="10"/>
                <w:color w:val="auto"/>
              </w:rPr>
            </w:pP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116,055</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Lucky Bucks, LLC</w:t>
            </w:r>
          </w:p>
        </w:tc>
        <w:tc>
          <w:tcPr>
            <w:tcW w:w="7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73,870</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2,062</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Output Services Group, Inc</w:t>
            </w:r>
          </w:p>
        </w:tc>
        <w:tc>
          <w:tcPr>
            <w:tcW w:w="70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20" w:type="dxa"/>
            <w:vAlign w:val="bottom"/>
          </w:tcPr>
          <w:p>
            <w:pPr>
              <w:spacing w:after="0"/>
              <w:rPr>
                <w:sz w:val="10"/>
                <w:szCs w:val="10"/>
                <w:color w:val="auto"/>
              </w:rPr>
            </w:pP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126,324</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Pragmatic Holdco, Inc.</w:t>
            </w:r>
          </w:p>
        </w:tc>
        <w:tc>
          <w:tcPr>
            <w:tcW w:w="7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134</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70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520" w:type="dxa"/>
            <w:vAlign w:val="bottom"/>
          </w:tcPr>
          <w:p>
            <w:pPr>
              <w:spacing w:after="0"/>
              <w:rPr>
                <w:sz w:val="10"/>
                <w:szCs w:val="10"/>
                <w:color w:val="auto"/>
              </w:rPr>
            </w:pPr>
          </w:p>
        </w:tc>
        <w:tc>
          <w:tcPr>
            <w:tcW w:w="4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36,458</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Systems LLC - Class A Common Equity</w:t>
            </w:r>
          </w:p>
        </w:tc>
        <w:tc>
          <w:tcPr>
            <w:tcW w:w="7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2,493</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4,449</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4,573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12,994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8,306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Total Investments - 1,733.20% </w:t>
            </w:r>
            <w:r>
              <w:rPr>
                <w:rFonts w:ascii="Times New Roman" w:cs="Times New Roman" w:eastAsia="Times New Roman" w:hAnsi="Times New Roman"/>
                <w:sz w:val="12"/>
                <w:szCs w:val="12"/>
                <w:b w:val="1"/>
                <w:bCs w:val="1"/>
                <w:color w:val="auto"/>
                <w:vertAlign w:val="superscript"/>
              </w:rPr>
              <w:t>(6)</w:t>
            </w: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1,080,993</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1,055,552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- 75.1%</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BlackRock Federal FD Institutional 81</w:t>
            </w: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4.19%</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18,771</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18,771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Blackrock Liquidity Fed Fund Inst</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4.24%</w:t>
            </w: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JP Morgan USD Liquidity Inst</w:t>
            </w: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4.28%</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6,051</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6,051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JP Morgan US Government Fund</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4.09%</w:t>
            </w: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Goldman Sachs Financial Square Government Fund</w:t>
            </w: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4.18%</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6,178</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6,178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Non-Money Market Cash</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9,038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9,038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45,728</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45,728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—1,808.0%</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1,126,721</w:t>
            </w: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1,101,280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2660" w:type="dxa"/>
            <w:vAlign w:val="bottom"/>
            <w:shd w:val="clear" w:color="auto" w:fill="CCECFF"/>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(1,708.0)%</w:t>
            </w:r>
          </w:p>
        </w:tc>
        <w:tc>
          <w:tcPr>
            <w:tcW w:w="700" w:type="dxa"/>
            <w:vAlign w:val="bottom"/>
            <w:shd w:val="clear" w:color="auto" w:fill="CCECFF"/>
          </w:tcPr>
          <w:p>
            <w:pPr>
              <w:spacing w:after="0"/>
              <w:rPr>
                <w:sz w:val="8"/>
                <w:szCs w:val="8"/>
                <w:color w:val="auto"/>
              </w:rPr>
            </w:pPr>
          </w:p>
        </w:tc>
        <w:tc>
          <w:tcPr>
            <w:tcW w:w="1520" w:type="dxa"/>
            <w:vAlign w:val="bottom"/>
            <w:shd w:val="clear" w:color="auto" w:fill="CCECFF"/>
          </w:tcPr>
          <w:p>
            <w:pPr>
              <w:spacing w:after="0"/>
              <w:rPr>
                <w:sz w:val="8"/>
                <w:szCs w:val="8"/>
                <w:color w:val="auto"/>
              </w:rPr>
            </w:pPr>
          </w:p>
        </w:tc>
        <w:tc>
          <w:tcPr>
            <w:tcW w:w="520" w:type="dxa"/>
            <w:vAlign w:val="bottom"/>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60" w:type="dxa"/>
            <w:vAlign w:val="bottom"/>
            <w:gridSpan w:val="2"/>
            <w:shd w:val="clear" w:color="auto" w:fill="CCECFF"/>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(1,040,378)</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60,902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0" w:right="280"/>
        <w:spacing w:after="0" w:line="233"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ind w:left="60"/>
        <w:spacing w:after="0" w:line="218"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PSSL’s accounting policy.</w:t>
      </w:r>
    </w:p>
    <w:p>
      <w:pPr>
        <w:ind w:left="60"/>
        <w:spacing w:after="0" w:line="211" w:lineRule="auto"/>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ind w:left="60"/>
        <w:spacing w:after="0" w:line="211" w:lineRule="auto"/>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Non-accrual security.</w:t>
      </w:r>
    </w:p>
    <w:p>
      <w:pPr>
        <w:ind w:left="60" w:right="420"/>
        <w:spacing w:after="0" w:line="219" w:lineRule="auto"/>
        <w:rPr>
          <w:sz w:val="20"/>
          <w:szCs w:val="20"/>
          <w:color w:val="auto"/>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0"/>
          <w:szCs w:val="10"/>
          <w:color w:val="auto"/>
        </w:rPr>
        <w:t>The securities, or a portion thereof, are not 1) pledged as collateral under the Credit Facility and held through Funding I; or, 2) securing the 2037-R Asset-Backed Debt and held through PennantPark CLO VI, LLC, or, 3) securing the 2036 Asset-Backed Debt and held through PennantPark CLO II, Ltd. or, 4) securing the 2037 Asset-Backed Debt held through PennantPark CLO 12, LLC.</w:t>
      </w:r>
    </w:p>
    <w:p>
      <w:pPr>
        <w:ind w:left="60"/>
        <w:spacing w:after="0" w:line="219" w:lineRule="auto"/>
        <w:rPr>
          <w:sz w:val="20"/>
          <w:szCs w:val="20"/>
          <w:color w:val="auto"/>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0"/>
          <w:szCs w:val="10"/>
          <w:color w:val="auto"/>
        </w:rPr>
        <w:t>All investments are in U.S. companies unless noted otherwise.</w:t>
      </w:r>
    </w:p>
    <w:p>
      <w:pPr>
        <w:ind w:left="60"/>
        <w:spacing w:after="0" w:line="205" w:lineRule="auto"/>
        <w:rPr>
          <w:sz w:val="20"/>
          <w:szCs w:val="20"/>
          <w:color w:val="auto"/>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0"/>
          <w:szCs w:val="10"/>
          <w:color w:val="auto"/>
        </w:rPr>
        <w:t>Partial PIK non-accrual security</w:t>
      </w: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408305</wp:posOffset>
            </wp:positionV>
            <wp:extent cx="62604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2024 (Par and $ in thousands):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Par or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9"/>
              </w:rPr>
              <w:t>Spread Above</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74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40" w:type="dxa"/>
            <w:vAlign w:val="bottom"/>
          </w:tcPr>
          <w:p>
            <w:pPr>
              <w:jc w:val="right"/>
              <w:ind w:right="192"/>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2"/>
                <w:szCs w:val="12"/>
                <w:b w:val="1"/>
                <w:bCs w:val="1"/>
                <w:color w:val="auto"/>
                <w:vertAlign w:val="superscript"/>
              </w:rPr>
              <w:t>(1)</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Pr>
          <w:p>
            <w:pPr>
              <w:spacing w:after="0"/>
              <w:rPr>
                <w:sz w:val="10"/>
                <w:szCs w:val="10"/>
                <w:color w:val="auto"/>
              </w:rPr>
            </w:pP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60" w:type="dxa"/>
            <w:vAlign w:val="bottom"/>
            <w:gridSpan w:val="2"/>
          </w:tcPr>
          <w:p>
            <w:pPr>
              <w:jc w:val="right"/>
              <w:ind w:right="72"/>
              <w:spacing w:after="0" w:line="120"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2"/>
                <w:szCs w:val="12"/>
                <w:b w:val="1"/>
                <w:bCs w:val="1"/>
                <w:color w:val="auto"/>
                <w:vertAlign w:val="superscript"/>
              </w:rPr>
              <w:t>(2)</w:t>
            </w:r>
          </w:p>
        </w:tc>
      </w:tr>
      <w:tr>
        <w:trPr>
          <w:trHeight w:val="122"/>
        </w:trPr>
        <w:tc>
          <w:tcPr>
            <w:tcW w:w="24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- 1,404.5%</w:t>
            </w:r>
          </w:p>
        </w:tc>
        <w:tc>
          <w:tcPr>
            <w:tcW w:w="7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A1 Garage Merger Sub,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12/22/2028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2,903</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2,855</w:t>
            </w:r>
          </w:p>
        </w:tc>
        <w:tc>
          <w:tcPr>
            <w:tcW w:w="2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2,903</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ACP Avenu Buyer,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9,925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9,771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9,602</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Falcon Buyer,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18,762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18,434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18,837</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Ad.net Acquisition,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SOFR+626</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8,708</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8,658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8,708</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Aeronix,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12/18/2028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15,880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15,665</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15,880</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11/30/2026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12,722</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12,481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12,213</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Advertising, Printing &amp; Publishing</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4,717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4,613</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4,717</w:t>
            </w:r>
          </w:p>
        </w:tc>
      </w:tr>
      <w:tr>
        <w:trPr>
          <w:trHeight w:val="121"/>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w w:val="99"/>
              </w:rPr>
              <w:t>Anteriad, LLC (f/k/a MeritDirect, LLC) - Incremental Term</w:t>
            </w:r>
          </w:p>
        </w:tc>
        <w:tc>
          <w:tcPr>
            <w:tcW w:w="7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Loan</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Advertising, Printing &amp; Publishing</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4,625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4,584</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4,625</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12/29/2026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11,155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11,058</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10,988</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Arcfield Acquisition Corp.</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11,115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10,967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11,059</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Services,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6/21/2029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9,975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9,836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9,825</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4,900</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4,828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4,753</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Big Top Holdings,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2/28/2030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15,423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15,167</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15,423</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BioDerm,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8,888</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8,797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8,776</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9/17/2026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14,974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14,779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14,718</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10/31/2025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5,546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5,523</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5,435</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Broder Bros., Co.</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12/4/2025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SOFR+611</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2,274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2,274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2,274</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9/26/2029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442</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416</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5/16/2025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SOFR+698</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13,084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13,059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13,084</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Carnegie Dartlet,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2/7/2030</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Advertising, Printing &amp; Publishing</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15,243</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15,025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15,015</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Cartessa Aesthetics,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9,539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9,431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9,539</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CF512,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SOFR+619</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6,751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6,682</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6,649</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Confluent Health,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10/28/2028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SOFR+400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6,708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6,506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6,540</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Connatix Buyer,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SOFR+561</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3,775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3,734</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3,775</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Crane 1 Services,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SOFR+586</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2,068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2,051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2,052</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Dr. Squatch,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14,562</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14,398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14,562</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DRI Holding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12/21/2028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2,600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2,420</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2,509</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13,805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13,788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13,694</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Dynata, LLC - First Out Term Loan </w:t>
            </w:r>
            <w:r>
              <w:rPr>
                <w:rFonts w:ascii="Times New Roman" w:cs="Times New Roman" w:eastAsia="Times New Roman" w:hAnsi="Times New Roman"/>
                <w:sz w:val="12"/>
                <w:szCs w:val="12"/>
                <w:color w:val="auto"/>
                <w:vertAlign w:val="superscript"/>
              </w:rPr>
              <w:t>(6)</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7/15/2028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SOFR+526</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1,358</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10/15/2028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SOFR+576</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8,439</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8,439</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7,769</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ECL Entertainment,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SOFR+400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4,963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4,894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4,973</w:t>
            </w:r>
          </w:p>
        </w:tc>
      </w:tr>
      <w:tr>
        <w:trPr>
          <w:trHeight w:val="121"/>
        </w:trPr>
        <w:tc>
          <w:tcPr>
            <w:tcW w:w="2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EDS Buyer,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8,865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8,763</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8,732</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Exigo Intermediate II,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12,546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12,418</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12,484</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ETE Intermediate II,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12,249</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12,032</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12,249</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Eval Home Solutions Intermediate,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5/10/2030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9,268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9,132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9,176</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Fairbanks More Defense</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10,117</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10,071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10,128</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3,696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3,689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3,511</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SOFR+560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3,723</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3,686</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3,685</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12/31/2026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SOFR+560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2,153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2,131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2,110</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HEC Purchaser Corp</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3,691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3,648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3,665</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Hills Distribution,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11/8/2029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8,957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8,835</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8,868</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5/10/2026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3,486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3,475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3,486</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Acquisitionco,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11/15/2027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SOFR+510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9,154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9,018</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9,108</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12/28/2028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SOFR+685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6,029</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5,932</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6,089</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SOFR+715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11,287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11,274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9,707</w:t>
            </w:r>
          </w:p>
        </w:tc>
      </w:tr>
      <w:tr>
        <w:trPr>
          <w:trHeight w:val="120"/>
        </w:trPr>
        <w:tc>
          <w:tcPr>
            <w:tcW w:w="2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(PIK 2.25%)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SOFR+761</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8,164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8,094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8,041</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ITI Holdings,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SOFR+565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3,900</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3,855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3,900</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11/10/2027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13,492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13,289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13,492</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SOFR+785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14,731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14,539</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14,584</w:t>
            </w:r>
          </w:p>
        </w:tc>
      </w:tr>
      <w:tr>
        <w:trPr>
          <w:trHeight w:val="120"/>
        </w:trPr>
        <w:tc>
          <w:tcPr>
            <w:tcW w:w="24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(PIK 5.10%)</w:t>
            </w:r>
          </w:p>
        </w:tc>
        <w:tc>
          <w:tcPr>
            <w:tcW w:w="7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42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10/31/2025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11.42%</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SOFR+643</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12,125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12,102</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11,907</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LAV Gear Holdings, Inc. - Term Loan Incremental</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10/31/2025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11.64%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2,861</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2,856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2,810</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11,330</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11,258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11,330</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Environmental Industries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2,559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2,516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2,559</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7,407</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7,288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7,296</w:t>
            </w: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 First-Out Term Loan </w:t>
            </w:r>
            <w:r>
              <w:rPr>
                <w:rFonts w:ascii="Times New Roman" w:cs="Times New Roman" w:eastAsia="Times New Roman" w:hAnsi="Times New Roman"/>
                <w:sz w:val="12"/>
                <w:szCs w:val="12"/>
                <w:color w:val="auto"/>
                <w:vertAlign w:val="superscript"/>
              </w:rPr>
              <w:t>(6)</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SOFR+765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259</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SOFR+765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518</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518</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MAG DS Corp</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2,218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2,143</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2,085</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Magenta Buyer, LLC - First-Out Term Loan</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SOFR+701</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357</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337</w:t>
            </w:r>
          </w:p>
        </w:tc>
      </w:tr>
      <w:tr>
        <w:trPr>
          <w:trHeight w:val="120"/>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Magenta Buyer, LLC - Second-Out Term Loan</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SOFR+801</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310</w:t>
            </w:r>
          </w:p>
        </w:tc>
      </w:tr>
      <w:tr>
        <w:trPr>
          <w:trHeight w:val="120"/>
        </w:trPr>
        <w:tc>
          <w:tcPr>
            <w:tcW w:w="2420" w:type="dxa"/>
            <w:vAlign w:val="bottom"/>
          </w:tcPr>
          <w:p>
            <w:pPr>
              <w:spacing w:after="0"/>
              <w:rPr>
                <w:sz w:val="20"/>
                <w:szCs w:val="20"/>
                <w:color w:val="auto"/>
              </w:rPr>
            </w:pPr>
            <w:r>
              <w:rPr>
                <w:rFonts w:ascii="Times New Roman" w:cs="Times New Roman" w:eastAsia="Times New Roman" w:hAnsi="Times New Roman"/>
                <w:sz w:val="10"/>
                <w:szCs w:val="10"/>
                <w:color w:val="auto"/>
              </w:rPr>
              <w:t>Magenta Buyer, LLC - Third-Out Term Loan</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SOFR+726</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1,675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1,675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490</w:t>
            </w:r>
          </w:p>
        </w:tc>
      </w:tr>
      <w:tr>
        <w:trPr>
          <w:trHeight w:val="121"/>
        </w:trPr>
        <w:tc>
          <w:tcPr>
            <w:tcW w:w="24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Marketplace Events, LLC - Super Priority First Lien Term</w:t>
            </w:r>
          </w:p>
        </w:tc>
        <w:tc>
          <w:tcPr>
            <w:tcW w:w="74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42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Loan </w:t>
            </w:r>
            <w:r>
              <w:rPr>
                <w:rFonts w:ascii="Times New Roman" w:cs="Times New Roman" w:eastAsia="Times New Roman" w:hAnsi="Times New Roman"/>
                <w:sz w:val="12"/>
                <w:szCs w:val="12"/>
                <w:color w:val="auto"/>
                <w:vertAlign w:val="superscript"/>
              </w:rPr>
              <w:t>(6)</w:t>
            </w:r>
          </w:p>
        </w:tc>
        <w:tc>
          <w:tcPr>
            <w:tcW w:w="7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SOFR+540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1,845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1,845</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1,845</w:t>
            </w:r>
          </w:p>
        </w:tc>
      </w:tr>
    </w:tbl>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411480</wp:posOffset>
            </wp:positionV>
            <wp:extent cx="62604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Par or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gridSpan w:val="2"/>
          </w:tcPr>
          <w:p>
            <w:pPr>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00" w:type="dxa"/>
            <w:vAlign w:val="bottom"/>
          </w:tcPr>
          <w:p>
            <w:pPr>
              <w:jc w:val="center"/>
              <w:ind w:right="3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Pr>
          <w:p>
            <w:pPr>
              <w:spacing w:after="0"/>
              <w:rPr>
                <w:sz w:val="10"/>
                <w:szCs w:val="10"/>
                <w:color w:val="auto"/>
              </w:rPr>
            </w:pP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60" w:type="dxa"/>
            <w:vAlign w:val="bottom"/>
            <w:gridSpan w:val="2"/>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8"/>
              </w:rPr>
              <w:t>Marketplace Events, LLC - Super Priority First Lien Unfunded</w:t>
            </w: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Term Loan </w:t>
            </w:r>
            <w:r>
              <w:rPr>
                <w:rFonts w:ascii="Times New Roman" w:cs="Times New Roman" w:eastAsia="Times New Roman" w:hAnsi="Times New Roman"/>
                <w:sz w:val="12"/>
                <w:szCs w:val="12"/>
                <w:color w:val="auto"/>
                <w:vertAlign w:val="superscript"/>
              </w:rPr>
              <w:t>(3)(6)</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9/30/2025</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0.00%</w:t>
            </w:r>
          </w:p>
        </w:tc>
        <w:tc>
          <w:tcPr>
            <w:tcW w:w="70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564</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12"/>
                <w:szCs w:val="12"/>
                <w:color w:val="auto"/>
                <w:vertAlign w:val="superscript"/>
              </w:rPr>
              <w:t>(6)</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9/30/2026</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10.53%</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4,837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4,068</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MBS Holdings,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4/16/2027</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10.59%</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7,256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7,183</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7,256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MBS Holdings, Inc. (New Issue) - Incremental</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4/16/2027</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11.34%</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SOFR+660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514</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528</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MBS Holdings, Inc. (New Issue) - Second Incremental</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4/16/2027</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11.09%</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543</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MDI Buyer,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7/25/2028</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10.60%</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4,900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4,829</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4,851</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MDI Buyer, Inc. - Incremental</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7/25/2028</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11.25%</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1,416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1,395</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1,409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10.50%</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2,348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2,319</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2,289</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Medina Health,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10.85%</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19,199</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18,911</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19,199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8"/>
              </w:rPr>
              <w:t>Components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9.85%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15,671</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15,453</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14,794</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3/31/2025</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10.50%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5,551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5,551</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5,551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MOREGroup Holdings,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1/16/2030</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10.35%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13,067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12,891</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12,871</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9/28/2027</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Distributors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9.75%</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SOFR+515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3,395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3,355</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3,395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NBH Group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8/19/2026</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Healthcare, Education &amp; Childcare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11.05%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SOFR+585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10,504</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10,284</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NORA Acquisition,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8/31/2029</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10.95%</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21,274</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20,913</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21,274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One Stop Mailing,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11.21%</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SOFR+636</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15,682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15,480</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15,682</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ORL Acquisitions,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14.00%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SOFR+940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2,140</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2,124</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(PIK 7.50%)</w:t>
            </w:r>
          </w:p>
        </w:tc>
        <w:tc>
          <w:tcPr>
            <w:tcW w:w="7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13.75%</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SOFR+843</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821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821</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821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5/30/2028</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12.00%</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SOFR+668</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Owl Acquisition,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10.20%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SOFR+535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3,893</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3,842</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3,825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Ox Two,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5/18/2026</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11.12%</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SOFR+651</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4,307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4,282</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Pacific Purchaser,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9/30/2028</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11.51%</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SOFR+625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11,938</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11,745</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Midco,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10.81%</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3,871</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3,818</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3,871</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9/29/2025</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4"/>
              </w:rPr>
              <w:t>Wholesale</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10.17%</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SOFR+543</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9,391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9,289</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9,302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PL Acquisitionco,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11/9/2027</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11.99%</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SOFR+725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7,816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7,733</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6,253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4.00%)</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(5)</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3"/>
              </w:rPr>
              <w:t>Education</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12.35%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SOFR+750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11,855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11,480</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7,261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12.35%)</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Quantic Electronics,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10.95%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2,775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2,758</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2,761</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Rancho Health MSO,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10.85%</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SOFR+560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1,016</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Reception Purchaser,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2/28/2028</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10.75%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4,875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4,828</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3,656</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Recteq,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1/29/2026</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11.75%</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SOFR+715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4,825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4,796</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4,777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5/3/2029</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10.35%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9,975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9,830</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9,776</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6/15/2029</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10.35%</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4,336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4,266</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4,282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Safe Haven Defense US,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5/23/2029</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9.85%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9,973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9,830</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9,873</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Sales Benchmark Index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10.80%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SOFR+620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9,268</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9,260</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9,268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Sargent &amp; Greenleaf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4"/>
              </w:rPr>
              <w:t>Wholesale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12.45%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SOFR+760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4,916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4,906</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4,916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1.00%)</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7/14/2025</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13.20%</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SOFR+835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12,388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12,387</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12,078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0.50%)</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6/13/2029</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10.75%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4,900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4,842</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4,729</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11.50%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SOFR+690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18,620</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18,370</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18,434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12/2/2026</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11,359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11,206</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11,472</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5/17/2028</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9.46%</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SOFR+461</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1,290</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1,268</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1,289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Smartronix,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10.35%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4,863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4,800</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Smile Brands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10.20%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11,887</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11,860</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(PIK 1.50%)</w:t>
            </w:r>
          </w:p>
        </w:tc>
        <w:tc>
          <w:tcPr>
            <w:tcW w:w="7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Solutionreach,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7/17/2025</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12.40%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SOFR+715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4,582</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4,560</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4,582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10.25%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SOFR+565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4,070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4,017</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4,070</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9.31%</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SOFR+425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1,777</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1,700</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1,653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System Planning and Analysis, Inc. (f/k/a Management</w:t>
            </w: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Consulting &amp; Research,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10.26%</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SOFR+500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14,588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14,445</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14,558</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TCG 3.0 Jogger Acquisitionco</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rPr>
              <w:t>Media</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11.10%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SOFR+650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19,626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19,312</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19,430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9.95%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SOFR+500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343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332</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338</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Teneo Holdings,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3/13/2031</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9.60%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SOFR+475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5,473</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5,418</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5,490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Bluebird Group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07/27/26</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11.25%</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SOFR+665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8,521</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8,427</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8,521</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Vertex Companies,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08/31/27</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10.95%</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SOFR+610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7,636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7,538</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7,639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11/24/25</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Consumer Goods: Non-Durable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10.84%</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SOFR+565</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16,524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16,394</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16,524</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Transgo,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12/29/28</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Automotive</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10.60%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18,552</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18,293</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18,552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06/16/25</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11.33%</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SOFR+640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943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943</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943</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Tyto Athene,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04/01/28</w:t>
            </w:r>
          </w:p>
        </w:tc>
        <w:tc>
          <w:tcPr>
            <w:tcW w:w="20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IT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10.23%</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SOFR+490</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14,670</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14,585</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14,376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06/15/26</w:t>
            </w:r>
          </w:p>
        </w:tc>
        <w:tc>
          <w:tcPr>
            <w:tcW w:w="20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Healthcare and Pharmaceuticals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10.76%</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6,823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6,742</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6,755</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(4)(6)</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03/01/29</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4"/>
              </w:rPr>
              <w:t>Wholesale</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0.00%</w:t>
            </w:r>
          </w:p>
        </w:tc>
        <w:tc>
          <w:tcPr>
            <w:tcW w:w="700" w:type="dxa"/>
            <w:vAlign w:val="bottom"/>
          </w:tcPr>
          <w:p>
            <w:pPr>
              <w:spacing w:after="0"/>
              <w:rPr>
                <w:sz w:val="10"/>
                <w:szCs w:val="1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5,441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4,986</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Walker Edison Furniture Company LLC - Junior Revolving</w:t>
            </w: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Credit Facility </w:t>
            </w:r>
            <w:r>
              <w:rPr>
                <w:rFonts w:ascii="Times New Roman" w:cs="Times New Roman" w:eastAsia="Times New Roman" w:hAnsi="Times New Roman"/>
                <w:sz w:val="12"/>
                <w:szCs w:val="12"/>
                <w:color w:val="auto"/>
                <w:vertAlign w:val="superscript"/>
              </w:rPr>
              <w:t>(4)(6)</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03/01/29</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4"/>
              </w:rPr>
              <w:t>Wholesale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0.00%</w:t>
            </w:r>
          </w:p>
        </w:tc>
        <w:tc>
          <w:tcPr>
            <w:tcW w:w="700" w:type="dxa"/>
            <w:vAlign w:val="bottom"/>
            <w:shd w:val="clear" w:color="auto" w:fill="CCECFF"/>
          </w:tcPr>
          <w:p>
            <w:pPr>
              <w:spacing w:after="0"/>
              <w:rPr>
                <w:sz w:val="10"/>
                <w:szCs w:val="10"/>
                <w:color w:val="auto"/>
              </w:rPr>
            </w:pP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96"/>
        </w:trPr>
        <w:tc>
          <w:tcPr>
            <w:tcW w:w="2500" w:type="dxa"/>
            <w:vAlign w:val="bottom"/>
            <w:gridSpan w:val="2"/>
          </w:tcPr>
          <w:p>
            <w:pPr>
              <w:spacing w:after="0" w:line="96" w:lineRule="exact"/>
              <w:rPr>
                <w:sz w:val="20"/>
                <w:szCs w:val="20"/>
                <w:color w:val="auto"/>
              </w:rPr>
            </w:pPr>
            <w:r>
              <w:rPr>
                <w:rFonts w:ascii="Times New Roman" w:cs="Times New Roman" w:eastAsia="Times New Roman" w:hAnsi="Times New Roman"/>
                <w:sz w:val="9"/>
                <w:szCs w:val="9"/>
                <w:color w:val="auto"/>
              </w:rPr>
              <w:t xml:space="preserve">Walker Edison Furniture Company LLC - DDTL - Unfunded </w:t>
            </w:r>
            <w:r>
              <w:rPr>
                <w:rFonts w:ascii="Times New Roman" w:cs="Times New Roman" w:eastAsia="Times New Roman" w:hAnsi="Times New Roman"/>
                <w:sz w:val="11"/>
                <w:szCs w:val="11"/>
                <w:color w:val="auto"/>
                <w:vertAlign w:val="superscript"/>
              </w:rPr>
              <w:t>(3)</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03/01/29</w:t>
            </w:r>
          </w:p>
        </w:tc>
        <w:tc>
          <w:tcPr>
            <w:tcW w:w="200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color w:val="auto"/>
                <w:w w:val="94"/>
              </w:rPr>
              <w:t>Wholesale</w:t>
            </w:r>
          </w:p>
        </w:tc>
        <w:tc>
          <w:tcPr>
            <w:tcW w:w="86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0.00%</w:t>
            </w:r>
          </w:p>
        </w:tc>
        <w:tc>
          <w:tcPr>
            <w:tcW w:w="700" w:type="dxa"/>
            <w:vAlign w:val="bottom"/>
          </w:tcPr>
          <w:p>
            <w:pPr>
              <w:spacing w:after="0"/>
              <w:rPr>
                <w:sz w:val="8"/>
                <w:szCs w:val="8"/>
                <w:color w:val="auto"/>
              </w:rPr>
            </w:pP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83</w:t>
            </w:r>
          </w:p>
        </w:tc>
        <w:tc>
          <w:tcPr>
            <w:tcW w:w="200" w:type="dxa"/>
            <w:vAlign w:val="bottom"/>
          </w:tcPr>
          <w:p>
            <w:pPr>
              <w:spacing w:after="0"/>
              <w:rPr>
                <w:sz w:val="8"/>
                <w:szCs w:val="8"/>
                <w:color w:val="auto"/>
              </w:rPr>
            </w:pP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520" w:type="dxa"/>
            <w:vAlign w:val="bottom"/>
          </w:tcPr>
          <w:p>
            <w:pPr>
              <w:jc w:val="right"/>
              <w:ind w:right="12"/>
              <w:spacing w:after="0" w:line="96" w:lineRule="exact"/>
              <w:rPr>
                <w:sz w:val="20"/>
                <w:szCs w:val="20"/>
                <w:color w:val="auto"/>
              </w:rPr>
            </w:pPr>
            <w:r>
              <w:rPr>
                <w:rFonts w:ascii="Times New Roman" w:cs="Times New Roman" w:eastAsia="Times New Roman" w:hAnsi="Times New Roman"/>
                <w:sz w:val="10"/>
                <w:szCs w:val="10"/>
                <w:color w:val="auto"/>
              </w:rPr>
              <w:t>(76)</w:t>
            </w:r>
          </w:p>
        </w:tc>
        <w:tc>
          <w:tcPr>
            <w:tcW w:w="0" w:type="dxa"/>
            <w:vAlign w:val="bottom"/>
          </w:tcPr>
          <w:p>
            <w:pPr>
              <w:spacing w:after="0"/>
              <w:rPr>
                <w:sz w:val="1"/>
                <w:szCs w:val="1"/>
                <w:color w:val="auto"/>
              </w:rPr>
            </w:pPr>
          </w:p>
        </w:tc>
      </w:tr>
      <w:tr>
        <w:trPr>
          <w:trHeight w:val="77"/>
        </w:trPr>
        <w:tc>
          <w:tcPr>
            <w:tcW w:w="2500" w:type="dxa"/>
            <w:vAlign w:val="bottom"/>
            <w:gridSpan w:val="2"/>
          </w:tcPr>
          <w:p>
            <w:pPr>
              <w:spacing w:after="0"/>
              <w:rPr>
                <w:sz w:val="20"/>
                <w:szCs w:val="20"/>
                <w:color w:val="auto"/>
              </w:rPr>
            </w:pPr>
            <w:r>
              <w:rPr>
                <w:rFonts w:ascii="Times New Roman" w:cs="Times New Roman" w:eastAsia="Times New Roman" w:hAnsi="Times New Roman"/>
                <w:sz w:val="6"/>
                <w:szCs w:val="6"/>
                <w:color w:val="auto"/>
              </w:rPr>
              <w:t>(4)(6)</w:t>
            </w:r>
          </w:p>
        </w:tc>
        <w:tc>
          <w:tcPr>
            <w:tcW w:w="60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200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Watchtower Buyer,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12/03/29</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10.60%</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12,189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12,007</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12,067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Wildcat Buyerco,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02/27/27</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8"/>
              </w:rPr>
              <w:t>Components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10.60%</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16,014</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15,916</w:t>
            </w:r>
          </w:p>
        </w:tc>
        <w:tc>
          <w:tcPr>
            <w:tcW w:w="240" w:type="dxa"/>
            <w:vAlign w:val="bottom"/>
          </w:tcPr>
          <w:p>
            <w:pPr>
              <w:spacing w:after="0"/>
              <w:rPr>
                <w:sz w:val="10"/>
                <w:szCs w:val="1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Zips Car Wash,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12/31/24</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Automobiles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12.46%</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SOFR+740</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16,736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16,722</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15,983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1.50%)</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920,485</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906,532</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Equity Securities - 10.5%</w:t>
            </w: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New Insight Holdings, Inc.</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116,055</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2,031</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Lucky Bucks, LLC</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73,870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2,062</w:t>
            </w:r>
          </w:p>
        </w:tc>
        <w:tc>
          <w:tcPr>
            <w:tcW w:w="24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904</w:t>
            </w: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411480</wp:posOffset>
            </wp:positionV>
            <wp:extent cx="62604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Par or</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2380" w:type="dxa"/>
            <w:vAlign w:val="bottom"/>
          </w:tcPr>
          <w:p>
            <w:pPr>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8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46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6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0"/>
                <w:szCs w:val="10"/>
                <w:b w:val="1"/>
                <w:bCs w:val="1"/>
                <w:color w:val="auto"/>
                <w:w w:val="97"/>
              </w:rPr>
              <w:t>Fair Value</w:t>
            </w:r>
            <w:r>
              <w:rPr>
                <w:rFonts w:ascii="Times New Roman" w:cs="Times New Roman" w:eastAsia="Times New Roman" w:hAnsi="Times New Roman"/>
                <w:sz w:val="12"/>
                <w:szCs w:val="12"/>
                <w:b w:val="1"/>
                <w:bCs w:val="1"/>
                <w:color w:val="auto"/>
                <w:w w:val="97"/>
                <w:vertAlign w:val="superscript"/>
              </w:rPr>
              <w:t>(2)</w:t>
            </w:r>
          </w:p>
        </w:tc>
      </w:tr>
      <w:tr>
        <w:trPr>
          <w:trHeight w:val="120"/>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New MPE Holdings, LLC</w:t>
            </w:r>
          </w:p>
        </w:tc>
        <w:tc>
          <w:tcPr>
            <w:tcW w:w="88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47</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2,710</w:t>
            </w:r>
          </w:p>
        </w:tc>
        <w:tc>
          <w:tcPr>
            <w:tcW w:w="80" w:type="dxa"/>
            <w:vAlign w:val="bottom"/>
          </w:tcPr>
          <w:p>
            <w:pPr>
              <w:spacing w:after="0"/>
              <w:rPr>
                <w:sz w:val="10"/>
                <w:szCs w:val="10"/>
                <w:color w:val="auto"/>
              </w:rPr>
            </w:pPr>
          </w:p>
        </w:tc>
      </w:tr>
      <w:tr>
        <w:trPr>
          <w:trHeight w:val="12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w:t>
            </w:r>
          </w:p>
        </w:tc>
        <w:tc>
          <w:tcPr>
            <w:tcW w:w="88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2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126,324</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1,104</w:t>
            </w:r>
          </w:p>
        </w:tc>
        <w:tc>
          <w:tcPr>
            <w:tcW w:w="80" w:type="dxa"/>
            <w:vAlign w:val="bottom"/>
            <w:shd w:val="clear" w:color="auto" w:fill="CCECFF"/>
          </w:tcPr>
          <w:p>
            <w:pPr>
              <w:spacing w:after="0"/>
              <w:rPr>
                <w:sz w:val="10"/>
                <w:szCs w:val="10"/>
                <w:color w:val="auto"/>
              </w:rPr>
            </w:pPr>
          </w:p>
        </w:tc>
      </w:tr>
      <w:tr>
        <w:trPr>
          <w:trHeight w:val="120"/>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8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82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36,458</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r>
      <w:tr>
        <w:trPr>
          <w:trHeight w:val="12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80" w:type="dxa"/>
            <w:vAlign w:val="bottom"/>
            <w:shd w:val="clear" w:color="auto" w:fill="CCECFF"/>
          </w:tcPr>
          <w:p>
            <w:pPr>
              <w:spacing w:after="0"/>
              <w:rPr>
                <w:sz w:val="10"/>
                <w:szCs w:val="10"/>
                <w:color w:val="auto"/>
              </w:rPr>
            </w:pPr>
          </w:p>
        </w:tc>
        <w:tc>
          <w:tcPr>
            <w:tcW w:w="18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8,498</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80" w:type="dxa"/>
            <w:vAlign w:val="bottom"/>
            <w:shd w:val="clear" w:color="auto" w:fill="CCECFF"/>
          </w:tcPr>
          <w:p>
            <w:pPr>
              <w:spacing w:after="0"/>
              <w:rPr>
                <w:sz w:val="10"/>
                <w:szCs w:val="10"/>
                <w:color w:val="auto"/>
              </w:rPr>
            </w:pPr>
          </w:p>
        </w:tc>
      </w:tr>
      <w:tr>
        <w:trPr>
          <w:trHeight w:val="120"/>
        </w:trPr>
        <w:tc>
          <w:tcPr>
            <w:tcW w:w="2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Investments - 1,415.0%</w:t>
            </w: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928,983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913,281</w:t>
            </w:r>
          </w:p>
        </w:tc>
        <w:tc>
          <w:tcPr>
            <w:tcW w:w="80" w:type="dxa"/>
            <w:vAlign w:val="bottom"/>
          </w:tcPr>
          <w:p>
            <w:pPr>
              <w:spacing w:after="0"/>
              <w:rPr>
                <w:sz w:val="10"/>
                <w:szCs w:val="10"/>
                <w:color w:val="auto"/>
              </w:rPr>
            </w:pPr>
          </w:p>
        </w:tc>
      </w:tr>
      <w:tr>
        <w:trPr>
          <w:trHeight w:val="12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- 106.0%</w:t>
            </w:r>
          </w:p>
        </w:tc>
        <w:tc>
          <w:tcPr>
            <w:tcW w:w="880" w:type="dxa"/>
            <w:vAlign w:val="bottom"/>
            <w:shd w:val="clear" w:color="auto" w:fill="CCECFF"/>
          </w:tcPr>
          <w:p>
            <w:pPr>
              <w:spacing w:after="0"/>
              <w:rPr>
                <w:sz w:val="10"/>
                <w:szCs w:val="10"/>
                <w:color w:val="auto"/>
              </w:rPr>
            </w:pPr>
          </w:p>
        </w:tc>
        <w:tc>
          <w:tcPr>
            <w:tcW w:w="18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20"/>
        </w:trPr>
        <w:tc>
          <w:tcPr>
            <w:tcW w:w="2380" w:type="dxa"/>
            <w:vAlign w:val="bottom"/>
          </w:tcPr>
          <w:p>
            <w:pPr>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tcPr>
          <w:p>
            <w:pPr>
              <w:spacing w:after="0"/>
              <w:rPr>
                <w:sz w:val="10"/>
                <w:szCs w:val="10"/>
                <w:color w:val="auto"/>
              </w:rPr>
            </w:pPr>
          </w:p>
        </w:tc>
      </w:tr>
      <w:tr>
        <w:trPr>
          <w:trHeight w:val="120"/>
        </w:trPr>
        <w:tc>
          <w:tcPr>
            <w:tcW w:w="23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80" w:type="dxa"/>
            <w:vAlign w:val="bottom"/>
            <w:shd w:val="clear" w:color="auto" w:fill="CCECFF"/>
          </w:tcPr>
          <w:p>
            <w:pPr>
              <w:spacing w:after="0"/>
              <w:rPr>
                <w:sz w:val="10"/>
                <w:szCs w:val="10"/>
                <w:color w:val="auto"/>
              </w:rPr>
            </w:pPr>
          </w:p>
        </w:tc>
        <w:tc>
          <w:tcPr>
            <w:tcW w:w="18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shd w:val="clear" w:color="auto" w:fill="CCECFF"/>
          </w:tcPr>
          <w:p>
            <w:pPr>
              <w:spacing w:after="0"/>
              <w:rPr>
                <w:sz w:val="10"/>
                <w:szCs w:val="10"/>
                <w:color w:val="auto"/>
              </w:rPr>
            </w:pPr>
          </w:p>
        </w:tc>
      </w:tr>
      <w:tr>
        <w:trPr>
          <w:trHeight w:val="120"/>
        </w:trPr>
        <w:tc>
          <w:tcPr>
            <w:tcW w:w="2380" w:type="dxa"/>
            <w:vAlign w:val="bottom"/>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—1,521.0%</w:t>
            </w: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997,412</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981,710</w:t>
            </w:r>
          </w:p>
        </w:tc>
        <w:tc>
          <w:tcPr>
            <w:tcW w:w="80" w:type="dxa"/>
            <w:vAlign w:val="bottom"/>
          </w:tcPr>
          <w:p>
            <w:pPr>
              <w:spacing w:after="0"/>
              <w:rPr>
                <w:sz w:val="10"/>
                <w:szCs w:val="10"/>
                <w:color w:val="auto"/>
              </w:rPr>
            </w:pPr>
          </w:p>
        </w:tc>
      </w:tr>
      <w:tr>
        <w:trPr>
          <w:trHeight w:val="20"/>
        </w:trPr>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2380" w:type="dxa"/>
            <w:vAlign w:val="bottom"/>
            <w:shd w:val="clear" w:color="auto" w:fill="CCECFF"/>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(1,421.0)%</w:t>
            </w:r>
          </w:p>
        </w:tc>
        <w:tc>
          <w:tcPr>
            <w:tcW w:w="880" w:type="dxa"/>
            <w:vAlign w:val="bottom"/>
            <w:shd w:val="clear" w:color="auto" w:fill="CCECFF"/>
          </w:tcPr>
          <w:p>
            <w:pPr>
              <w:spacing w:after="0"/>
              <w:rPr>
                <w:sz w:val="8"/>
                <w:szCs w:val="8"/>
                <w:color w:val="auto"/>
              </w:rPr>
            </w:pPr>
          </w:p>
        </w:tc>
        <w:tc>
          <w:tcPr>
            <w:tcW w:w="184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740" w:type="dxa"/>
            <w:vAlign w:val="bottom"/>
            <w:shd w:val="clear" w:color="auto" w:fill="CCECFF"/>
          </w:tcPr>
          <w:p>
            <w:pPr>
              <w:spacing w:after="0"/>
              <w:rPr>
                <w:sz w:val="8"/>
                <w:szCs w:val="8"/>
                <w:color w:val="auto"/>
              </w:rPr>
            </w:pPr>
          </w:p>
        </w:tc>
        <w:tc>
          <w:tcPr>
            <w:tcW w:w="8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40" w:type="dxa"/>
            <w:vAlign w:val="bottom"/>
            <w:gridSpan w:val="2"/>
            <w:shd w:val="clear" w:color="auto" w:fill="CCECFF"/>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(917,163)</w:t>
            </w:r>
          </w:p>
        </w:tc>
      </w:tr>
      <w:tr>
        <w:trPr>
          <w:trHeight w:val="120"/>
        </w:trPr>
        <w:tc>
          <w:tcPr>
            <w:tcW w:w="2380" w:type="dxa"/>
            <w:vAlign w:val="bottom"/>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64,547</w:t>
            </w:r>
          </w:p>
        </w:tc>
        <w:tc>
          <w:tcPr>
            <w:tcW w:w="80" w:type="dxa"/>
            <w:vAlign w:val="bottom"/>
          </w:tcPr>
          <w:p>
            <w:pPr>
              <w:spacing w:after="0"/>
              <w:rPr>
                <w:sz w:val="10"/>
                <w:szCs w:val="10"/>
                <w:color w:val="auto"/>
              </w:rPr>
            </w:pPr>
          </w:p>
        </w:tc>
      </w:tr>
      <w:tr>
        <w:trPr>
          <w:trHeight w:val="20"/>
        </w:trPr>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8" w:lineRule="exact"/>
        <w:rPr>
          <w:sz w:val="20"/>
          <w:szCs w:val="20"/>
          <w:color w:val="auto"/>
        </w:rPr>
      </w:pPr>
    </w:p>
    <w:p>
      <w:pPr>
        <w:ind w:left="60" w:right="280"/>
        <w:spacing w:after="0" w:line="213"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ind w:left="60"/>
        <w:spacing w:after="0" w:line="180"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PSSL’s accounting policy.</w:t>
      </w:r>
    </w:p>
    <w:p>
      <w:pPr>
        <w:ind w:left="60"/>
        <w:spacing w:after="0" w:line="181" w:lineRule="auto"/>
        <w:rPr>
          <w:sz w:val="20"/>
          <w:szCs w:val="20"/>
          <w:color w:val="auto"/>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9"/>
          <w:szCs w:val="9"/>
          <w:color w:val="auto"/>
        </w:rPr>
        <w:t>Represents the purchase of a security with a delayed settlement or a revolving line of credit that is currently an unfunded investment. This security does not earn a basis point spread above an index while it is unfunded.</w:t>
      </w:r>
    </w:p>
    <w:p>
      <w:pPr>
        <w:ind w:left="60"/>
        <w:spacing w:after="0" w:line="181" w:lineRule="auto"/>
        <w:rPr>
          <w:sz w:val="20"/>
          <w:szCs w:val="20"/>
          <w:color w:val="auto"/>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9"/>
          <w:szCs w:val="9"/>
          <w:color w:val="auto"/>
        </w:rPr>
        <w:t>Non-accrual security.</w:t>
      </w:r>
    </w:p>
    <w:p>
      <w:pPr>
        <w:ind w:left="60"/>
        <w:spacing w:after="0" w:line="181" w:lineRule="auto"/>
        <w:rPr>
          <w:sz w:val="20"/>
          <w:szCs w:val="20"/>
          <w:color w:val="auto"/>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9"/>
          <w:szCs w:val="9"/>
          <w:color w:val="auto"/>
        </w:rPr>
        <w:t>Partial PIK non-accrual security.</w:t>
      </w:r>
    </w:p>
    <w:p>
      <w:pPr>
        <w:ind w:left="60" w:right="160"/>
        <w:spacing w:after="0" w:line="194" w:lineRule="auto"/>
        <w:rPr>
          <w:sz w:val="20"/>
          <w:szCs w:val="20"/>
          <w:color w:val="auto"/>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0"/>
          <w:szCs w:val="10"/>
          <w:color w:val="auto"/>
        </w:rPr>
        <w:t>The securities, or a portion thereof, are not 1) pledged as collateral under the Credit Facility and held through Funding I; or, 2) securing the 2035 Asset-Backed Debt and held through PennantPark CLO VI, LLC, or, 3) securing the 2036 Asset-Backed Debt and held through PennantPark CLO II, Ltd.</w:t>
      </w:r>
    </w:p>
    <w:p>
      <w:pPr>
        <w:ind w:left="60"/>
        <w:spacing w:after="0"/>
        <w:rPr>
          <w:sz w:val="20"/>
          <w:szCs w:val="20"/>
          <w:color w:val="auto"/>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0"/>
          <w:szCs w:val="10"/>
          <w:color w:val="auto"/>
        </w:rPr>
        <w:t>All investments are in U.S. companies unless noted otherwise.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PSSL ($ in thousands):</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6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56"/>
        </w:trPr>
        <w:tc>
          <w:tcPr>
            <w:tcW w:w="5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80" w:type="dxa"/>
            <w:vAlign w:val="bottom"/>
            <w:shd w:val="clear" w:color="auto" w:fill="CCECFF"/>
          </w:tcPr>
          <w:p>
            <w:pPr>
              <w:spacing w:after="0"/>
              <w:rPr>
                <w:sz w:val="13"/>
                <w:szCs w:val="13"/>
                <w:color w:val="auto"/>
              </w:rPr>
            </w:pPr>
          </w:p>
        </w:tc>
        <w:tc>
          <w:tcPr>
            <w:tcW w:w="13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Investments at fair value (amortized cost—$1,080,993 and $928,983, respectively)</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1,055,552</w:t>
            </w:r>
          </w:p>
        </w:tc>
        <w:tc>
          <w:tcPr>
            <w:tcW w:w="240" w:type="dxa"/>
            <w:vAlign w:val="bottom"/>
          </w:tcPr>
          <w:p>
            <w:pPr>
              <w:spacing w:after="0"/>
              <w:rPr>
                <w:sz w:val="13"/>
                <w:szCs w:val="13"/>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913,281</w:t>
            </w:r>
          </w:p>
        </w:tc>
        <w:tc>
          <w:tcPr>
            <w:tcW w:w="100" w:type="dxa"/>
            <w:vAlign w:val="bottom"/>
          </w:tcPr>
          <w:p>
            <w:pPr>
              <w:spacing w:after="0"/>
              <w:rPr>
                <w:sz w:val="13"/>
                <w:szCs w:val="13"/>
                <w:color w:val="auto"/>
              </w:rPr>
            </w:pPr>
          </w:p>
        </w:tc>
      </w:tr>
      <w:tr>
        <w:trPr>
          <w:trHeight w:val="156"/>
        </w:trPr>
        <w:tc>
          <w:tcPr>
            <w:tcW w:w="5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Cash and cash equivalents (cost—$45,728 and $68,429, respectively)</w:t>
            </w:r>
          </w:p>
        </w:tc>
        <w:tc>
          <w:tcPr>
            <w:tcW w:w="280" w:type="dxa"/>
            <w:vAlign w:val="bottom"/>
            <w:shd w:val="clear" w:color="auto" w:fill="CCECFF"/>
          </w:tcPr>
          <w:p>
            <w:pPr>
              <w:spacing w:after="0"/>
              <w:rPr>
                <w:sz w:val="13"/>
                <w:szCs w:val="13"/>
                <w:color w:val="auto"/>
              </w:rPr>
            </w:pP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45,728</w:t>
            </w:r>
          </w:p>
        </w:tc>
        <w:tc>
          <w:tcPr>
            <w:tcW w:w="260" w:type="dxa"/>
            <w:vAlign w:val="bottom"/>
            <w:shd w:val="clear" w:color="auto" w:fill="CCECFF"/>
          </w:tcPr>
          <w:p>
            <w:pPr>
              <w:spacing w:after="0"/>
              <w:rPr>
                <w:sz w:val="13"/>
                <w:szCs w:val="13"/>
                <w:color w:val="auto"/>
              </w:rPr>
            </w:pPr>
          </w:p>
        </w:tc>
        <w:tc>
          <w:tcPr>
            <w:tcW w:w="15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68,429</w:t>
            </w:r>
          </w:p>
        </w:tc>
      </w:tr>
      <w:tr>
        <w:trPr>
          <w:trHeight w:val="156"/>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2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4,722</w:t>
            </w:r>
          </w:p>
        </w:tc>
        <w:tc>
          <w:tcPr>
            <w:tcW w:w="100" w:type="dxa"/>
            <w:vAlign w:val="bottom"/>
          </w:tcPr>
          <w:p>
            <w:pPr>
              <w:spacing w:after="0"/>
              <w:rPr>
                <w:sz w:val="13"/>
                <w:szCs w:val="13"/>
                <w:color w:val="auto"/>
              </w:rPr>
            </w:pPr>
          </w:p>
        </w:tc>
      </w:tr>
      <w:tr>
        <w:trPr>
          <w:trHeight w:val="156"/>
        </w:trPr>
        <w:tc>
          <w:tcPr>
            <w:tcW w:w="5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Due from affiliate</w:t>
            </w:r>
          </w:p>
        </w:tc>
        <w:tc>
          <w:tcPr>
            <w:tcW w:w="28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CFF"/>
          </w:tcPr>
          <w:p>
            <w:pPr>
              <w:spacing w:after="0"/>
              <w:rPr>
                <w:sz w:val="13"/>
                <w:szCs w:val="13"/>
                <w:color w:val="auto"/>
              </w:rPr>
            </w:pPr>
          </w:p>
        </w:tc>
      </w:tr>
      <w:tr>
        <w:trPr>
          <w:trHeight w:val="156"/>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100" w:type="dxa"/>
            <w:vAlign w:val="bottom"/>
          </w:tcPr>
          <w:p>
            <w:pPr>
              <w:spacing w:after="0"/>
              <w:rPr>
                <w:sz w:val="13"/>
                <w:szCs w:val="13"/>
                <w:color w:val="auto"/>
              </w:rPr>
            </w:pPr>
          </w:p>
        </w:tc>
      </w:tr>
      <w:tr>
        <w:trPr>
          <w:trHeight w:val="156"/>
        </w:trPr>
        <w:tc>
          <w:tcPr>
            <w:tcW w:w="516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8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1,108,373</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100" w:type="dxa"/>
            <w:vAlign w:val="bottom"/>
            <w:shd w:val="clear" w:color="auto" w:fill="CCECFF"/>
          </w:tcPr>
          <w:p>
            <w:pPr>
              <w:spacing w:after="0"/>
              <w:rPr>
                <w:sz w:val="13"/>
                <w:szCs w:val="13"/>
                <w:color w:val="auto"/>
              </w:rPr>
            </w:pPr>
          </w:p>
        </w:tc>
      </w:tr>
      <w:tr>
        <w:trPr>
          <w:trHeight w:val="156"/>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Credit facility payable</w:t>
            </w:r>
          </w:p>
        </w:tc>
        <w:tc>
          <w:tcPr>
            <w:tcW w:w="280" w:type="dxa"/>
            <w:vAlign w:val="bottom"/>
            <w:shd w:val="clear" w:color="auto" w:fill="CCECFF"/>
          </w:tcPr>
          <w:p>
            <w:pPr>
              <w:spacing w:after="0"/>
              <w:rPr>
                <w:sz w:val="13"/>
                <w:szCs w:val="13"/>
                <w:color w:val="auto"/>
              </w:rPr>
            </w:pP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27,000</w:t>
            </w: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146,100</w:t>
            </w:r>
          </w:p>
        </w:tc>
        <w:tc>
          <w:tcPr>
            <w:tcW w:w="100" w:type="dxa"/>
            <w:vAlign w:val="bottom"/>
            <w:shd w:val="clear" w:color="auto" w:fill="CCECFF"/>
          </w:tcPr>
          <w:p>
            <w:pPr>
              <w:spacing w:after="0"/>
              <w:rPr>
                <w:sz w:val="13"/>
                <w:szCs w:val="13"/>
                <w:color w:val="auto"/>
              </w:rPr>
            </w:pPr>
          </w:p>
        </w:tc>
      </w:tr>
      <w:tr>
        <w:trPr>
          <w:trHeight w:val="144"/>
        </w:trPr>
        <w:tc>
          <w:tcPr>
            <w:tcW w:w="516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2035 Asset-backed debt, net (par—$0 and $246,000, respectively) (unamortized deferred</w:t>
            </w: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financing costs of $0 and $2,066, respectively)</w:t>
            </w:r>
          </w:p>
        </w:tc>
        <w:tc>
          <w:tcPr>
            <w:tcW w:w="28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243,934</w:t>
            </w:r>
          </w:p>
        </w:tc>
        <w:tc>
          <w:tcPr>
            <w:tcW w:w="100" w:type="dxa"/>
            <w:vAlign w:val="bottom"/>
          </w:tcPr>
          <w:p>
            <w:pPr>
              <w:spacing w:after="0"/>
              <w:rPr>
                <w:sz w:val="14"/>
                <w:szCs w:val="14"/>
                <w:color w:val="auto"/>
              </w:rPr>
            </w:pPr>
          </w:p>
        </w:tc>
      </w:tr>
      <w:tr>
        <w:trPr>
          <w:trHeight w:val="144"/>
        </w:trPr>
        <w:tc>
          <w:tcPr>
            <w:tcW w:w="5160" w:type="dxa"/>
            <w:vAlign w:val="bottom"/>
            <w:gridSpan w:val="2"/>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2036 Asset-backed debt, net (par—$246,000) (unamortized deferred financing costs of</w:t>
            </w:r>
          </w:p>
        </w:tc>
        <w:tc>
          <w:tcPr>
            <w:tcW w:w="280" w:type="dxa"/>
            <w:vAlign w:val="bottom"/>
            <w:shd w:val="clear" w:color="auto" w:fill="CCECFF"/>
          </w:tcPr>
          <w:p>
            <w:pPr>
              <w:spacing w:after="0"/>
              <w:rPr>
                <w:sz w:val="12"/>
                <w:szCs w:val="12"/>
                <w:color w:val="auto"/>
              </w:rPr>
            </w:pPr>
          </w:p>
        </w:tc>
        <w:tc>
          <w:tcPr>
            <w:tcW w:w="13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4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8"/>
        </w:trPr>
        <w:tc>
          <w:tcPr>
            <w:tcW w:w="5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$1,413 and $1,628, respectively)</w:t>
            </w:r>
          </w:p>
        </w:tc>
        <w:tc>
          <w:tcPr>
            <w:tcW w:w="28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244,587</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244,372</w:t>
            </w:r>
          </w:p>
        </w:tc>
        <w:tc>
          <w:tcPr>
            <w:tcW w:w="100" w:type="dxa"/>
            <w:vAlign w:val="bottom"/>
            <w:shd w:val="clear" w:color="auto" w:fill="CCECFF"/>
          </w:tcPr>
          <w:p>
            <w:pPr>
              <w:spacing w:after="0"/>
              <w:rPr>
                <w:sz w:val="14"/>
                <w:szCs w:val="14"/>
                <w:color w:val="auto"/>
              </w:rPr>
            </w:pPr>
          </w:p>
        </w:tc>
      </w:tr>
      <w:tr>
        <w:trPr>
          <w:trHeight w:val="144"/>
        </w:trPr>
        <w:tc>
          <w:tcPr>
            <w:tcW w:w="516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2037 Asset-backed debt, net (par—$246,000 and $0, respectively) (unamortized deferred</w:t>
            </w: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financing costs of $1,990 and $0, respectively)</w:t>
            </w: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244,010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5160" w:type="dxa"/>
            <w:vAlign w:val="bottom"/>
            <w:gridSpan w:val="2"/>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2037-R Asset-backed debt, net (par—$246,000 and $0, respectively) (unamortized deferred</w:t>
            </w:r>
          </w:p>
        </w:tc>
        <w:tc>
          <w:tcPr>
            <w:tcW w:w="280" w:type="dxa"/>
            <w:vAlign w:val="bottom"/>
            <w:shd w:val="clear" w:color="auto" w:fill="CCECFF"/>
          </w:tcPr>
          <w:p>
            <w:pPr>
              <w:spacing w:after="0"/>
              <w:rPr>
                <w:sz w:val="12"/>
                <w:szCs w:val="12"/>
                <w:color w:val="auto"/>
              </w:rPr>
            </w:pPr>
          </w:p>
        </w:tc>
        <w:tc>
          <w:tcPr>
            <w:tcW w:w="13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4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8"/>
        </w:trPr>
        <w:tc>
          <w:tcPr>
            <w:tcW w:w="5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financing costs of $2,629 and $0, respectively)</w:t>
            </w:r>
          </w:p>
        </w:tc>
        <w:tc>
          <w:tcPr>
            <w:tcW w:w="28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243,371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Notes payable to members</w:t>
            </w:r>
          </w:p>
        </w:tc>
        <w:tc>
          <w:tcPr>
            <w:tcW w:w="2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271,600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271,600</w:t>
            </w:r>
          </w:p>
        </w:tc>
        <w:tc>
          <w:tcPr>
            <w:tcW w:w="100" w:type="dxa"/>
            <w:vAlign w:val="bottom"/>
          </w:tcPr>
          <w:p>
            <w:pPr>
              <w:spacing w:after="0"/>
              <w:rPr>
                <w:sz w:val="13"/>
                <w:szCs w:val="13"/>
                <w:color w:val="auto"/>
              </w:rPr>
            </w:pPr>
          </w:p>
        </w:tc>
      </w:tr>
      <w:tr>
        <w:trPr>
          <w:trHeight w:val="156"/>
        </w:trPr>
        <w:tc>
          <w:tcPr>
            <w:tcW w:w="5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28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9,281</w:t>
            </w:r>
          </w:p>
        </w:tc>
        <w:tc>
          <w:tcPr>
            <w:tcW w:w="100" w:type="dxa"/>
            <w:vAlign w:val="bottom"/>
            <w:shd w:val="clear" w:color="auto" w:fill="CCECFF"/>
          </w:tcPr>
          <w:p>
            <w:pPr>
              <w:spacing w:after="0"/>
              <w:rPr>
                <w:sz w:val="13"/>
                <w:szCs w:val="13"/>
                <w:color w:val="auto"/>
              </w:rPr>
            </w:pPr>
          </w:p>
        </w:tc>
      </w:tr>
      <w:tr>
        <w:trPr>
          <w:trHeight w:val="156"/>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280" w:type="dxa"/>
            <w:vAlign w:val="bottom"/>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3"/>
                <w:szCs w:val="13"/>
                <w:color w:val="auto"/>
              </w:rPr>
            </w:pPr>
          </w:p>
        </w:tc>
      </w:tr>
      <w:tr>
        <w:trPr>
          <w:trHeight w:val="156"/>
        </w:trPr>
        <w:tc>
          <w:tcPr>
            <w:tcW w:w="5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28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6,665</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7,315</w:t>
            </w:r>
          </w:p>
        </w:tc>
        <w:tc>
          <w:tcPr>
            <w:tcW w:w="100" w:type="dxa"/>
            <w:vAlign w:val="bottom"/>
            <w:shd w:val="clear" w:color="auto" w:fill="CCECFF"/>
          </w:tcPr>
          <w:p>
            <w:pPr>
              <w:spacing w:after="0"/>
              <w:rPr>
                <w:sz w:val="13"/>
                <w:szCs w:val="13"/>
                <w:color w:val="auto"/>
              </w:rPr>
            </w:pPr>
          </w:p>
        </w:tc>
      </w:tr>
      <w:tr>
        <w:trPr>
          <w:trHeight w:val="156"/>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Accrued expenses</w:t>
            </w:r>
          </w:p>
        </w:tc>
        <w:tc>
          <w:tcPr>
            <w:tcW w:w="2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3"/>
                <w:szCs w:val="13"/>
                <w:color w:val="auto"/>
              </w:rPr>
            </w:pPr>
          </w:p>
        </w:tc>
      </w:tr>
      <w:tr>
        <w:trPr>
          <w:trHeight w:val="156"/>
        </w:trPr>
        <w:tc>
          <w:tcPr>
            <w:tcW w:w="51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3"/>
                <w:szCs w:val="13"/>
                <w:color w:val="auto"/>
              </w:rPr>
              <w:t>Due to affiliate</w:t>
            </w:r>
          </w:p>
        </w:tc>
        <w:tc>
          <w:tcPr>
            <w:tcW w:w="28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CFF"/>
          </w:tcPr>
          <w:p>
            <w:pPr>
              <w:spacing w:after="0"/>
              <w:rPr>
                <w:sz w:val="13"/>
                <w:szCs w:val="13"/>
                <w:color w:val="auto"/>
              </w:rPr>
            </w:pPr>
          </w:p>
        </w:tc>
      </w:tr>
      <w:tr>
        <w:trPr>
          <w:trHeight w:val="156"/>
        </w:trPr>
        <w:tc>
          <w:tcPr>
            <w:tcW w:w="51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1,047,471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923,575</w:t>
            </w:r>
          </w:p>
        </w:tc>
        <w:tc>
          <w:tcPr>
            <w:tcW w:w="100" w:type="dxa"/>
            <w:vAlign w:val="bottom"/>
          </w:tcPr>
          <w:p>
            <w:pPr>
              <w:spacing w:after="0"/>
              <w:rPr>
                <w:sz w:val="13"/>
                <w:szCs w:val="13"/>
                <w:color w:val="auto"/>
              </w:rPr>
            </w:pPr>
          </w:p>
        </w:tc>
      </w:tr>
      <w:tr>
        <w:trPr>
          <w:trHeight w:val="156"/>
        </w:trPr>
        <w:tc>
          <w:tcPr>
            <w:tcW w:w="516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280" w:type="dxa"/>
            <w:vAlign w:val="bottom"/>
            <w:shd w:val="clear" w:color="auto" w:fill="CCECFF"/>
          </w:tcPr>
          <w:p>
            <w:pPr>
              <w:spacing w:after="0"/>
              <w:rPr>
                <w:sz w:val="13"/>
                <w:szCs w:val="13"/>
                <w:color w:val="auto"/>
              </w:rPr>
            </w:pP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60,902</w:t>
            </w:r>
          </w:p>
        </w:tc>
        <w:tc>
          <w:tcPr>
            <w:tcW w:w="260" w:type="dxa"/>
            <w:vAlign w:val="bottom"/>
            <w:shd w:val="clear" w:color="auto" w:fill="CCECFF"/>
          </w:tcPr>
          <w:p>
            <w:pPr>
              <w:spacing w:after="0"/>
              <w:rPr>
                <w:sz w:val="13"/>
                <w:szCs w:val="13"/>
                <w:color w:val="auto"/>
              </w:rPr>
            </w:pPr>
          </w:p>
        </w:tc>
        <w:tc>
          <w:tcPr>
            <w:tcW w:w="15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64,547</w:t>
            </w:r>
          </w:p>
        </w:tc>
      </w:tr>
      <w:tr>
        <w:trPr>
          <w:trHeight w:val="156"/>
        </w:trPr>
        <w:tc>
          <w:tcPr>
            <w:tcW w:w="51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1,108,373</w:t>
            </w:r>
          </w:p>
        </w:tc>
        <w:tc>
          <w:tcPr>
            <w:tcW w:w="240" w:type="dxa"/>
            <w:vAlign w:val="bottom"/>
          </w:tcPr>
          <w:p>
            <w:pPr>
              <w:spacing w:after="0"/>
              <w:rPr>
                <w:sz w:val="13"/>
                <w:szCs w:val="13"/>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100" w:type="dxa"/>
            <w:vAlign w:val="bottom"/>
          </w:tcPr>
          <w:p>
            <w:pPr>
              <w:spacing w:after="0"/>
              <w:rPr>
                <w:sz w:val="13"/>
                <w:szCs w:val="13"/>
                <w:color w:val="auto"/>
              </w:rPr>
            </w:pPr>
          </w:p>
        </w:tc>
      </w:tr>
      <w:tr>
        <w:trPr>
          <w:trHeight w:val="20"/>
        </w:trPr>
        <w:tc>
          <w:tcPr>
            <w:tcW w:w="5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As of June 30, 2025 and September 30, 2024, PSSL had unfunded commitments to fund investments of zero and $0.6 million, respectively.</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PSSL ($ in thousands):</w:t>
      </w: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00" w:type="dxa"/>
            <w:vAlign w:val="bottom"/>
          </w:tcPr>
          <w:p>
            <w:pPr>
              <w:spacing w:after="0"/>
              <w:rPr>
                <w:sz w:val="13"/>
                <w:szCs w:val="13"/>
                <w:color w:val="auto"/>
              </w:rPr>
            </w:pPr>
          </w:p>
        </w:tc>
        <w:tc>
          <w:tcPr>
            <w:tcW w:w="1920" w:type="dxa"/>
            <w:vAlign w:val="bottom"/>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r>
      <w:tr>
        <w:trPr>
          <w:trHeight w:val="170"/>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r>
      <w:tr>
        <w:trPr>
          <w:trHeight w:val="156"/>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28,212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27,614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84,989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80,578</w:t>
            </w: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Other income</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80" w:type="dxa"/>
            <w:vAlign w:val="bottom"/>
            <w:shd w:val="clear" w:color="auto" w:fill="CCECFF"/>
          </w:tcPr>
          <w:p>
            <w:pPr>
              <w:spacing w:after="0"/>
              <w:rPr>
                <w:sz w:val="13"/>
                <w:szCs w:val="13"/>
                <w:color w:val="auto"/>
              </w:rPr>
            </w:pP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28,569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27,970</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86,134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81,499</w:t>
            </w:r>
          </w:p>
        </w:tc>
      </w:tr>
      <w:tr>
        <w:trPr>
          <w:trHeight w:val="156"/>
        </w:trPr>
        <w:tc>
          <w:tcPr>
            <w:tcW w:w="470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b w:val="1"/>
                <w:bCs w:val="1"/>
                <w:color w:val="auto"/>
              </w:rPr>
              <w:t>Expenses:</w:t>
            </w:r>
            <w:r>
              <w:rPr>
                <w:rFonts w:ascii="Times New Roman" w:cs="Times New Roman" w:eastAsia="Times New Roman" w:hAnsi="Times New Roman"/>
                <w:sz w:val="16"/>
                <w:szCs w:val="16"/>
                <w:b w:val="1"/>
                <w:bCs w:val="1"/>
                <w:color w:val="auto"/>
                <w:vertAlign w:val="superscript"/>
              </w:rPr>
              <w:t>(1)</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and expense on credit facility and asset-backed debt</w:t>
            </w: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14,381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13,685</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42,198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40,866</w:t>
            </w: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8,427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8,646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25,674</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24,962</w:t>
            </w: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Administration fees</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w:t>
            </w:r>
          </w:p>
        </w:tc>
        <w:tc>
          <w:tcPr>
            <w:tcW w:w="80" w:type="dxa"/>
            <w:vAlign w:val="bottom"/>
          </w:tcPr>
          <w:p>
            <w:pPr>
              <w:spacing w:after="0"/>
              <w:rPr>
                <w:sz w:val="13"/>
                <w:szCs w:val="13"/>
                <w:color w:val="auto"/>
              </w:rPr>
            </w:pP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80" w:type="dxa"/>
            <w:vAlign w:val="bottom"/>
            <w:shd w:val="clear" w:color="auto" w:fill="CCECFF"/>
          </w:tcPr>
          <w:p>
            <w:pPr>
              <w:spacing w:after="0"/>
              <w:rPr>
                <w:sz w:val="13"/>
                <w:szCs w:val="13"/>
                <w:color w:val="auto"/>
              </w:rPr>
            </w:pP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Expenses before debt issuance costs</w:t>
            </w: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23,919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23,439</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71,274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68,564</w:t>
            </w: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Debt issuance costs</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24,119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23,439</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71,474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68,564</w:t>
            </w: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4,450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4,531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14,660</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12,935</w:t>
            </w:r>
          </w:p>
        </w:tc>
      </w:tr>
      <w:tr>
        <w:trPr>
          <w:trHeight w:val="156"/>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00" w:type="dxa"/>
            <w:vAlign w:val="bottom"/>
            <w:shd w:val="clear" w:color="auto" w:fill="CCECFF"/>
          </w:tcPr>
          <w:p>
            <w:pPr>
              <w:spacing w:after="0"/>
              <w:rPr>
                <w:sz w:val="13"/>
                <w:szCs w:val="13"/>
                <w:color w:val="auto"/>
              </w:rPr>
            </w:pP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(10,974)</w:t>
            </w: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(17,429)</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(6,510)</w:t>
            </w: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Realized loss on debt extinguishment</w:t>
            </w: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(1,637)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(1,622)</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(1,622)</w:t>
            </w: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5,403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(5,034)</w:t>
            </w: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(9,739)</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3,871</w:t>
            </w:r>
          </w:p>
        </w:tc>
        <w:tc>
          <w:tcPr>
            <w:tcW w:w="80" w:type="dxa"/>
            <w:vAlign w:val="bottom"/>
            <w:shd w:val="clear" w:color="auto" w:fill="CCECFF"/>
          </w:tcPr>
          <w:p>
            <w:pPr>
              <w:spacing w:after="0"/>
              <w:rPr>
                <w:sz w:val="13"/>
                <w:szCs w:val="13"/>
                <w:color w:val="auto"/>
              </w:rPr>
            </w:pP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(7,208)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(6,656)</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(28,805)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(4,261)</w:t>
            </w:r>
          </w:p>
        </w:tc>
      </w:tr>
      <w:tr>
        <w:trPr>
          <w:trHeight w:val="176"/>
        </w:trPr>
        <w:tc>
          <w:tcPr>
            <w:tcW w:w="470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CFF"/>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(2,758</w:t>
            </w:r>
            <w:r>
              <w:rPr>
                <w:rFonts w:ascii="Times New Roman" w:cs="Times New Roman" w:eastAsia="Times New Roman" w:hAnsi="Times New Roman"/>
                <w:sz w:val="15"/>
                <w:szCs w:val="15"/>
                <w:color w:val="auto"/>
                <w:vertAlign w:val="subscript"/>
              </w:rPr>
              <w:t>)</w:t>
            </w:r>
          </w:p>
        </w:tc>
        <w:tc>
          <w:tcPr>
            <w:tcW w:w="320" w:type="dxa"/>
            <w:vAlign w:val="bottom"/>
            <w:gridSpan w:val="2"/>
            <w:shd w:val="clear" w:color="auto" w:fill="CCEC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CFF"/>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(2,125</w:t>
            </w:r>
            <w:r>
              <w:rPr>
                <w:rFonts w:ascii="Times New Roman" w:cs="Times New Roman" w:eastAsia="Times New Roman" w:hAnsi="Times New Roman"/>
                <w:sz w:val="15"/>
                <w:szCs w:val="15"/>
                <w:color w:val="auto"/>
                <w:vertAlign w:val="subscript"/>
              </w:rPr>
              <w:t>)</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CFF"/>
          </w:tcPr>
          <w:p>
            <w:pPr>
              <w:jc w:val="right"/>
              <w:ind w:right="80"/>
              <w:spacing w:after="0" w:line="136" w:lineRule="exact"/>
              <w:rPr>
                <w:sz w:val="20"/>
                <w:szCs w:val="20"/>
                <w:color w:val="auto"/>
              </w:rPr>
            </w:pPr>
            <w:r>
              <w:rPr>
                <w:rFonts w:ascii="Times New Roman" w:cs="Times New Roman" w:eastAsia="Times New Roman" w:hAnsi="Times New Roman"/>
                <w:sz w:val="9"/>
                <w:szCs w:val="9"/>
                <w:color w:val="auto"/>
              </w:rPr>
              <w:t>(14,145</w:t>
            </w:r>
            <w:r>
              <w:rPr>
                <w:rFonts w:ascii="Times New Roman" w:cs="Times New Roman" w:eastAsia="Times New Roman" w:hAnsi="Times New Roman"/>
                <w:sz w:val="15"/>
                <w:szCs w:val="15"/>
                <w:color w:val="auto"/>
                <w:vertAlign w:val="subscript"/>
              </w:rPr>
              <w:t>)</w:t>
            </w:r>
          </w:p>
        </w:tc>
        <w:tc>
          <w:tcPr>
            <w:tcW w:w="280" w:type="dxa"/>
            <w:vAlign w:val="bottom"/>
            <w:gridSpan w:val="2"/>
            <w:shd w:val="clear" w:color="auto" w:fill="CCEC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8,674</w:t>
            </w:r>
          </w:p>
        </w:tc>
        <w:tc>
          <w:tcPr>
            <w:tcW w:w="80" w:type="dxa"/>
            <w:vAlign w:val="bottom"/>
            <w:shd w:val="clear" w:color="auto" w:fill="CCECFF"/>
          </w:tcPr>
          <w:p>
            <w:pPr>
              <w:spacing w:after="0"/>
              <w:rPr>
                <w:sz w:val="15"/>
                <w:szCs w:val="15"/>
                <w:color w:val="auto"/>
              </w:rPr>
            </w:pPr>
          </w:p>
        </w:tc>
      </w:tr>
      <w:tr>
        <w:trPr>
          <w:trHeight w:val="20"/>
        </w:trPr>
        <w:tc>
          <w:tcPr>
            <w:tcW w:w="47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195" w:lineRule="exact"/>
        <w:rPr>
          <w:sz w:val="20"/>
          <w:szCs w:val="20"/>
          <w:color w:val="auto"/>
        </w:rPr>
      </w:pPr>
    </w:p>
    <w:p>
      <w:pPr>
        <w:ind w:left="220" w:hanging="154"/>
        <w:spacing w:after="0"/>
        <w:tabs>
          <w:tab w:leader="none" w:pos="22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 management or incentive fees are payable by PSSL. If any fees were to be charged, they would be separately disclosed in the Consolidated Statement of Operations.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41" w:name="page42"/>
    <w:bookmarkEnd w:id="41"/>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5. FAIR VALUE OF FINANCIAL INSTRUMENTS</w:t>
      </w:r>
    </w:p>
    <w:p>
      <w:pPr>
        <w:spacing w:after="0" w:line="165" w:lineRule="exact"/>
        <w:rPr>
          <w:sz w:val="20"/>
          <w:szCs w:val="20"/>
          <w:color w:val="auto"/>
        </w:rPr>
      </w:pPr>
    </w:p>
    <w:p>
      <w:pPr>
        <w:ind w:left="60" w:right="120" w:firstLine="336"/>
        <w:spacing w:after="0" w:line="257"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87" w:lineRule="exact"/>
        <w:rPr>
          <w:sz w:val="20"/>
          <w:szCs w:val="20"/>
          <w:color w:val="auto"/>
        </w:rPr>
      </w:pPr>
    </w:p>
    <w:p>
      <w:pPr>
        <w:ind w:left="280"/>
        <w:spacing w:after="0"/>
        <w:tabs>
          <w:tab w:leader="none" w:pos="124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3"/>
          <w:szCs w:val="13"/>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260" w:right="440" w:hanging="983"/>
        <w:spacing w:after="0" w:line="268" w:lineRule="auto"/>
        <w:tabs>
          <w:tab w:leader="none" w:pos="124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3" w:lineRule="exact"/>
        <w:rPr>
          <w:sz w:val="20"/>
          <w:szCs w:val="20"/>
          <w:color w:val="auto"/>
        </w:rPr>
      </w:pPr>
    </w:p>
    <w:p>
      <w:pPr>
        <w:ind w:left="1260" w:right="500" w:hanging="983"/>
        <w:spacing w:after="0" w:line="286" w:lineRule="auto"/>
        <w:tabs>
          <w:tab w:leader="none" w:pos="124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3"/>
          <w:szCs w:val="13"/>
          <w:color w:val="auto"/>
        </w:rPr>
        <w:t>Inputs that are unobservable for an asset or liability because they are based on our own assumptions about how market participants would price the asset or liability.</w:t>
      </w:r>
    </w:p>
    <w:p>
      <w:pPr>
        <w:spacing w:after="0" w:line="112" w:lineRule="exact"/>
        <w:rPr>
          <w:sz w:val="20"/>
          <w:szCs w:val="20"/>
          <w:color w:val="auto"/>
        </w:rPr>
      </w:pPr>
    </w:p>
    <w:p>
      <w:pPr>
        <w:ind w:left="60" w:right="260" w:firstLine="336"/>
        <w:spacing w:after="0" w:line="259"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including our 2031 Asset-Backed Debt, 2036 Asset- Backed Debt, 2036-R Asset-Backed Debt, 2037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0" w:lineRule="exact"/>
        <w:rPr>
          <w:sz w:val="20"/>
          <w:szCs w:val="20"/>
          <w:color w:val="auto"/>
        </w:rPr>
      </w:pPr>
    </w:p>
    <w:p>
      <w:pPr>
        <w:ind w:left="60" w:right="60" w:firstLine="336"/>
        <w:spacing w:after="0" w:line="257"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32" w:lineRule="exact"/>
        <w:rPr>
          <w:sz w:val="20"/>
          <w:szCs w:val="20"/>
          <w:color w:val="auto"/>
        </w:rPr>
      </w:pPr>
    </w:p>
    <w:p>
      <w:pPr>
        <w:ind w:left="60" w:right="180" w:firstLine="336"/>
        <w:spacing w:after="0" w:line="259" w:lineRule="auto"/>
        <w:rPr>
          <w:sz w:val="20"/>
          <w:szCs w:val="20"/>
          <w:color w:val="auto"/>
        </w:rPr>
      </w:pPr>
      <w:r>
        <w:rPr>
          <w:rFonts w:ascii="Times New Roman" w:cs="Times New Roman" w:eastAsia="Times New Roman" w:hAnsi="Times New Roman"/>
          <w:sz w:val="13"/>
          <w:szCs w:val="13"/>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30" w:lineRule="exact"/>
        <w:rPr>
          <w:sz w:val="20"/>
          <w:szCs w:val="20"/>
          <w:color w:val="auto"/>
        </w:rPr>
      </w:pPr>
    </w:p>
    <w:p>
      <w:pPr>
        <w:ind w:left="60" w:right="880" w:firstLine="336"/>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112" w:lineRule="exact"/>
        <w:rPr>
          <w:sz w:val="20"/>
          <w:szCs w:val="20"/>
          <w:color w:val="auto"/>
        </w:rPr>
      </w:pPr>
    </w:p>
    <w:p>
      <w:pPr>
        <w:ind w:left="60" w:right="160" w:firstLine="336"/>
        <w:spacing w:after="0" w:line="262"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2023 Notes, our 2026 Notes, our 2031 Asset-Backed Debt, our 2036 Asset-Backed Debt, 2036-R Asset-Backed Debt, our 2037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27" w:lineRule="exact"/>
        <w:rPr>
          <w:sz w:val="20"/>
          <w:szCs w:val="20"/>
          <w:color w:val="auto"/>
        </w:rPr>
      </w:pPr>
    </w:p>
    <w:p>
      <w:pPr>
        <w:ind w:left="60" w:right="120" w:firstLine="336"/>
        <w:spacing w:after="0" w:line="257"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32" w:lineRule="exact"/>
        <w:rPr>
          <w:sz w:val="20"/>
          <w:szCs w:val="20"/>
          <w:color w:val="auto"/>
        </w:rPr>
      </w:pPr>
    </w:p>
    <w:p>
      <w:pPr>
        <w:ind w:left="60" w:right="100" w:firstLine="336"/>
        <w:spacing w:after="0" w:line="252" w:lineRule="auto"/>
        <w:rPr>
          <w:sz w:val="20"/>
          <w:szCs w:val="20"/>
          <w:color w:val="auto"/>
        </w:rPr>
      </w:pPr>
      <w:r>
        <w:rPr>
          <w:rFonts w:ascii="Times New Roman" w:cs="Times New Roman" w:eastAsia="Times New Roman" w:hAnsi="Times New Roman"/>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discounted for lack of marketability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 -public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earnings before interest, taxes, depreciation and amortization, or EBITDA, multiple will result in an increase in the valuation of an investment, while a decrease in an EBITDA multiple will have the opposite effect.</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500" w:type="dxa"/>
            <w:vAlign w:val="bottom"/>
            <w:gridSpan w:val="6"/>
          </w:tcPr>
          <w:p>
            <w:pPr>
              <w:jc w:val="center"/>
              <w:ind w:left="235"/>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 ($ in thousands):</w:t>
            </w:r>
          </w:p>
        </w:tc>
        <w:tc>
          <w:tcPr>
            <w:tcW w:w="1380" w:type="dxa"/>
            <w:vAlign w:val="bottom"/>
          </w:tcPr>
          <w:p>
            <w:pPr>
              <w:spacing w:after="0"/>
              <w:rPr>
                <w:sz w:val="14"/>
                <w:szCs w:val="14"/>
                <w:color w:val="auto"/>
              </w:rPr>
            </w:pPr>
          </w:p>
        </w:tc>
      </w:tr>
      <w:tr>
        <w:trPr>
          <w:trHeight w:val="307"/>
        </w:trPr>
        <w:tc>
          <w:tcPr>
            <w:tcW w:w="2740" w:type="dxa"/>
            <w:vAlign w:val="bottom"/>
          </w:tcPr>
          <w:p>
            <w:pPr>
              <w:spacing w:after="0"/>
              <w:rPr>
                <w:sz w:val="24"/>
                <w:szCs w:val="24"/>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 at June 30,</w:t>
            </w: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81"/>
        </w:trPr>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300" w:type="dxa"/>
            <w:vAlign w:val="bottom"/>
          </w:tcPr>
          <w:p>
            <w:pPr>
              <w:spacing w:after="0"/>
              <w:rPr>
                <w:sz w:val="15"/>
                <w:szCs w:val="15"/>
                <w:color w:val="auto"/>
              </w:rPr>
            </w:pPr>
          </w:p>
        </w:tc>
        <w:tc>
          <w:tcPr>
            <w:tcW w:w="104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6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380" w:type="dxa"/>
            <w:vAlign w:val="bottom"/>
          </w:tcPr>
          <w:p>
            <w:pPr>
              <w:jc w:val="center"/>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44"/>
        </w:trPr>
        <w:tc>
          <w:tcPr>
            <w:tcW w:w="274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First lien</w:t>
            </w: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0" w:type="dxa"/>
            <w:vAlign w:val="bottom"/>
            <w:shd w:val="clear" w:color="auto" w:fill="CCECFF"/>
          </w:tcPr>
          <w:p>
            <w:pPr>
              <w:spacing w:after="0"/>
              <w:rPr>
                <w:sz w:val="12"/>
                <w:szCs w:val="12"/>
                <w:color w:val="auto"/>
              </w:rPr>
            </w:pPr>
          </w:p>
        </w:tc>
        <w:tc>
          <w:tcPr>
            <w:tcW w:w="1680" w:type="dxa"/>
            <w:vAlign w:val="bottom"/>
            <w:shd w:val="clear" w:color="auto" w:fill="CCECFF"/>
          </w:tcPr>
          <w:p>
            <w:pPr>
              <w:jc w:val="center"/>
              <w:ind w:right="94"/>
              <w:spacing w:after="0" w:line="144" w:lineRule="exact"/>
              <w:rPr>
                <w:sz w:val="20"/>
                <w:szCs w:val="20"/>
                <w:color w:val="auto"/>
              </w:rPr>
            </w:pPr>
            <w:r>
              <w:rPr>
                <w:rFonts w:ascii="Times New Roman" w:cs="Times New Roman" w:eastAsia="Times New Roman" w:hAnsi="Times New Roman"/>
                <w:sz w:val="13"/>
                <w:szCs w:val="13"/>
                <w:color w:val="auto"/>
              </w:rPr>
              <w:t>Broker/Dealer bids or</w:t>
            </w:r>
          </w:p>
        </w:tc>
        <w:tc>
          <w:tcPr>
            <w:tcW w:w="1380" w:type="dxa"/>
            <w:vAlign w:val="bottom"/>
            <w:shd w:val="clear" w:color="auto" w:fill="CCECFF"/>
          </w:tcPr>
          <w:p>
            <w:pPr>
              <w:spacing w:after="0"/>
              <w:rPr>
                <w:sz w:val="12"/>
                <w:szCs w:val="12"/>
                <w:color w:val="auto"/>
              </w:rPr>
            </w:pPr>
          </w:p>
        </w:tc>
      </w:tr>
      <w:tr>
        <w:trPr>
          <w:trHeight w:val="168"/>
        </w:trPr>
        <w:tc>
          <w:tcPr>
            <w:tcW w:w="2740" w:type="dxa"/>
            <w:vAlign w:val="bottom"/>
            <w:shd w:val="clear" w:color="auto" w:fill="CCECFF"/>
          </w:tcPr>
          <w:p>
            <w:pPr>
              <w:spacing w:after="0"/>
              <w:rPr>
                <w:sz w:val="14"/>
                <w:szCs w:val="14"/>
                <w:color w:val="auto"/>
              </w:rPr>
            </w:pPr>
          </w:p>
        </w:tc>
        <w:tc>
          <w:tcPr>
            <w:tcW w:w="300" w:type="dxa"/>
            <w:vAlign w:val="bottom"/>
            <w:shd w:val="clear" w:color="auto" w:fill="CCECFF"/>
          </w:tcPr>
          <w:p>
            <w:pPr>
              <w:jc w:val="right"/>
              <w:ind w:right="182"/>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CFF"/>
          </w:tcPr>
          <w:p>
            <w:pPr>
              <w:jc w:val="center"/>
              <w:ind w:left="474"/>
              <w:spacing w:after="0"/>
              <w:rPr>
                <w:sz w:val="20"/>
                <w:szCs w:val="20"/>
                <w:color w:val="auto"/>
              </w:rPr>
            </w:pPr>
            <w:r>
              <w:rPr>
                <w:rFonts w:ascii="Times New Roman" w:cs="Times New Roman" w:eastAsia="Times New Roman" w:hAnsi="Times New Roman"/>
                <w:sz w:val="13"/>
                <w:szCs w:val="13"/>
                <w:color w:val="auto"/>
              </w:rPr>
              <w:t>89,907</w:t>
            </w:r>
          </w:p>
        </w:tc>
        <w:tc>
          <w:tcPr>
            <w:tcW w:w="1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Market Comparable</w:t>
            </w:r>
          </w:p>
        </w:tc>
        <w:tc>
          <w:tcPr>
            <w:tcW w:w="1680" w:type="dxa"/>
            <w:vAlign w:val="bottom"/>
            <w:shd w:val="clear" w:color="auto" w:fill="CCECFF"/>
          </w:tcPr>
          <w:p>
            <w:pPr>
              <w:jc w:val="center"/>
              <w:ind w:right="114"/>
              <w:spacing w:after="0"/>
              <w:rPr>
                <w:sz w:val="20"/>
                <w:szCs w:val="20"/>
                <w:color w:val="auto"/>
              </w:rPr>
            </w:pPr>
            <w:r>
              <w:rPr>
                <w:rFonts w:ascii="Times New Roman" w:cs="Times New Roman" w:eastAsia="Times New Roman" w:hAnsi="Times New Roman"/>
                <w:sz w:val="13"/>
                <w:szCs w:val="13"/>
                <w:color w:val="auto"/>
              </w:rPr>
              <w:t>quotes</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First lien</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2,037,892</w:t>
            </w:r>
          </w:p>
        </w:tc>
        <w:tc>
          <w:tcPr>
            <w:tcW w:w="1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Market Comparable</w:t>
            </w:r>
          </w:p>
        </w:tc>
        <w:tc>
          <w:tcPr>
            <w:tcW w:w="168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rPr>
              <w:t>Market yield</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8.2% - 20.6% (10.2%)</w:t>
            </w:r>
          </w:p>
        </w:tc>
      </w:tr>
      <w:tr>
        <w:trPr>
          <w:trHeight w:val="156"/>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First lien</w:t>
            </w:r>
          </w:p>
        </w:tc>
        <w:tc>
          <w:tcPr>
            <w:tcW w:w="30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center"/>
              <w:ind w:left="474"/>
              <w:spacing w:after="0"/>
              <w:rPr>
                <w:sz w:val="20"/>
                <w:szCs w:val="20"/>
                <w:color w:val="auto"/>
              </w:rPr>
            </w:pPr>
            <w:r>
              <w:rPr>
                <w:rFonts w:ascii="Times New Roman" w:cs="Times New Roman" w:eastAsia="Times New Roman" w:hAnsi="Times New Roman"/>
                <w:sz w:val="13"/>
                <w:szCs w:val="13"/>
                <w:color w:val="auto"/>
              </w:rPr>
              <w:t>19,460</w:t>
            </w:r>
          </w:p>
        </w:tc>
        <w:tc>
          <w:tcPr>
            <w:tcW w:w="1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1680" w:type="dxa"/>
            <w:vAlign w:val="bottom"/>
            <w:shd w:val="clear" w:color="auto" w:fill="CCECFF"/>
          </w:tcPr>
          <w:p>
            <w:pPr>
              <w:jc w:val="center"/>
              <w:ind w:right="94"/>
              <w:spacing w:after="0"/>
              <w:rPr>
                <w:sz w:val="20"/>
                <w:szCs w:val="20"/>
                <w:color w:val="auto"/>
              </w:rPr>
            </w:pPr>
            <w:r>
              <w:rPr>
                <w:rFonts w:ascii="Times New Roman" w:cs="Times New Roman" w:eastAsia="Times New Roman" w:hAnsi="Times New Roman"/>
                <w:sz w:val="13"/>
                <w:szCs w:val="13"/>
                <w:color w:val="auto"/>
              </w:rPr>
              <w:t>EBITDA multiple</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7.0x - 8.5x (7.5x)</w:t>
            </w:r>
          </w:p>
        </w:tc>
      </w:tr>
      <w:tr>
        <w:trPr>
          <w:trHeight w:val="156"/>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First lien</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w:t>
            </w:r>
          </w:p>
        </w:tc>
        <w:tc>
          <w:tcPr>
            <w:tcW w:w="1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Market Comparable</w:t>
            </w:r>
          </w:p>
        </w:tc>
        <w:tc>
          <w:tcPr>
            <w:tcW w:w="168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rPr>
              <w:t>Revenue multiple</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0.9x</w:t>
            </w:r>
          </w:p>
        </w:tc>
      </w:tr>
      <w:tr>
        <w:trPr>
          <w:trHeight w:val="156"/>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Subordinated debt</w:t>
            </w:r>
          </w:p>
        </w:tc>
        <w:tc>
          <w:tcPr>
            <w:tcW w:w="30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center"/>
              <w:ind w:left="474"/>
              <w:spacing w:after="0"/>
              <w:rPr>
                <w:sz w:val="20"/>
                <w:szCs w:val="20"/>
                <w:color w:val="auto"/>
              </w:rPr>
            </w:pPr>
            <w:r>
              <w:rPr>
                <w:rFonts w:ascii="Times New Roman" w:cs="Times New Roman" w:eastAsia="Times New Roman" w:hAnsi="Times New Roman"/>
                <w:sz w:val="13"/>
                <w:szCs w:val="13"/>
                <w:color w:val="auto"/>
              </w:rPr>
              <w:t>11,933</w:t>
            </w:r>
          </w:p>
        </w:tc>
        <w:tc>
          <w:tcPr>
            <w:tcW w:w="1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Market Comparable</w:t>
            </w:r>
          </w:p>
        </w:tc>
        <w:tc>
          <w:tcPr>
            <w:tcW w:w="1680" w:type="dxa"/>
            <w:vAlign w:val="bottom"/>
            <w:shd w:val="clear" w:color="auto" w:fill="CCECFF"/>
          </w:tcPr>
          <w:p>
            <w:pPr>
              <w:jc w:val="center"/>
              <w:ind w:right="94"/>
              <w:spacing w:after="0"/>
              <w:rPr>
                <w:sz w:val="20"/>
                <w:szCs w:val="20"/>
                <w:color w:val="auto"/>
              </w:rPr>
            </w:pPr>
            <w:r>
              <w:rPr>
                <w:rFonts w:ascii="Times New Roman" w:cs="Times New Roman" w:eastAsia="Times New Roman" w:hAnsi="Times New Roman"/>
                <w:sz w:val="13"/>
                <w:szCs w:val="13"/>
                <w:color w:val="auto"/>
              </w:rPr>
              <w:t>Market yield</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6.3% - 23.3% (17.2%)</w:t>
            </w:r>
          </w:p>
        </w:tc>
      </w:tr>
      <w:tr>
        <w:trPr>
          <w:trHeight w:val="156"/>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Subordinated debt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168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rPr>
              <w:t>EBITDA multiple</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14.8x</w:t>
            </w:r>
          </w:p>
        </w:tc>
      </w:tr>
      <w:tr>
        <w:trPr>
          <w:trHeight w:val="156"/>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Equity</w:t>
            </w: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178,722</w:t>
            </w:r>
          </w:p>
        </w:tc>
        <w:tc>
          <w:tcPr>
            <w:tcW w:w="140" w:type="dxa"/>
            <w:vAlign w:val="bottom"/>
            <w:shd w:val="clear" w:color="auto" w:fill="CCECFF"/>
          </w:tcPr>
          <w:p>
            <w:pPr>
              <w:spacing w:after="0"/>
              <w:rPr>
                <w:sz w:val="13"/>
                <w:szCs w:val="13"/>
                <w:color w:val="auto"/>
              </w:rPr>
            </w:pPr>
          </w:p>
        </w:tc>
        <w:tc>
          <w:tcPr>
            <w:tcW w:w="1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Enterprise Market Value</w:t>
            </w:r>
          </w:p>
        </w:tc>
        <w:tc>
          <w:tcPr>
            <w:tcW w:w="1680" w:type="dxa"/>
            <w:vAlign w:val="bottom"/>
            <w:shd w:val="clear" w:color="auto" w:fill="CCECFF"/>
          </w:tcPr>
          <w:p>
            <w:pPr>
              <w:jc w:val="center"/>
              <w:ind w:right="94"/>
              <w:spacing w:after="0"/>
              <w:rPr>
                <w:sz w:val="20"/>
                <w:szCs w:val="20"/>
                <w:color w:val="auto"/>
              </w:rPr>
            </w:pPr>
            <w:r>
              <w:rPr>
                <w:rFonts w:ascii="Times New Roman" w:cs="Times New Roman" w:eastAsia="Times New Roman" w:hAnsi="Times New Roman"/>
                <w:sz w:val="13"/>
                <w:szCs w:val="13"/>
                <w:color w:val="auto"/>
              </w:rPr>
              <w:t>EBITDA multiple</w:t>
            </w: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1.5x - 16.3x (11.1x)</w:t>
            </w:r>
          </w:p>
        </w:tc>
      </w:tr>
      <w:tr>
        <w:trPr>
          <w:trHeight w:val="156"/>
        </w:trPr>
        <w:tc>
          <w:tcPr>
            <w:tcW w:w="2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3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2,341,829</w:t>
            </w: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2"/>
        </w:trPr>
        <w:tc>
          <w:tcPr>
            <w:tcW w:w="2740" w:type="dxa"/>
            <w:vAlign w:val="bottom"/>
            <w:tcBorders>
              <w:bottom w:val="single" w:sz="8" w:color="CCECFF"/>
            </w:tcBorders>
            <w:shd w:val="clear" w:color="auto" w:fill="CCECFF"/>
          </w:tcPr>
          <w:p>
            <w:pPr>
              <w:spacing w:after="0" w:line="133" w:lineRule="exact"/>
              <w:rPr>
                <w:sz w:val="20"/>
                <w:szCs w:val="20"/>
                <w:color w:val="auto"/>
              </w:rPr>
            </w:pPr>
            <w:r>
              <w:rPr>
                <w:rFonts w:ascii="Times New Roman" w:cs="Times New Roman" w:eastAsia="Times New Roman" w:hAnsi="Times New Roman"/>
                <w:sz w:val="13"/>
                <w:szCs w:val="13"/>
                <w:color w:val="auto"/>
              </w:rPr>
              <w:t>Long-Term Credit Facility</w:t>
            </w:r>
          </w:p>
        </w:tc>
        <w:tc>
          <w:tcPr>
            <w:tcW w:w="300" w:type="dxa"/>
            <w:vAlign w:val="bottom"/>
            <w:tcBorders>
              <w:bottom w:val="single" w:sz="8" w:color="auto"/>
            </w:tcBorders>
            <w:shd w:val="clear" w:color="auto" w:fill="CCECFF"/>
          </w:tcPr>
          <w:p>
            <w:pPr>
              <w:jc w:val="right"/>
              <w:ind w:right="182"/>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298,865</w:t>
            </w:r>
          </w:p>
        </w:tc>
        <w:tc>
          <w:tcPr>
            <w:tcW w:w="140" w:type="dxa"/>
            <w:vAlign w:val="bottom"/>
            <w:tcBorders>
              <w:bottom w:val="single" w:sz="8" w:color="CCECFF"/>
            </w:tcBorders>
            <w:shd w:val="clear" w:color="auto" w:fill="CCECFF"/>
          </w:tcPr>
          <w:p>
            <w:pPr>
              <w:spacing w:after="0"/>
              <w:rPr>
                <w:sz w:val="14"/>
                <w:szCs w:val="14"/>
                <w:color w:val="auto"/>
              </w:rPr>
            </w:pPr>
          </w:p>
        </w:tc>
        <w:tc>
          <w:tcPr>
            <w:tcW w:w="1600" w:type="dxa"/>
            <w:vAlign w:val="bottom"/>
            <w:tcBorders>
              <w:bottom w:val="single" w:sz="8" w:color="CCECFF"/>
            </w:tcBorders>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9"/>
              </w:rPr>
              <w:t>Market Comparable</w:t>
            </w:r>
          </w:p>
        </w:tc>
        <w:tc>
          <w:tcPr>
            <w:tcW w:w="1680" w:type="dxa"/>
            <w:vAlign w:val="bottom"/>
            <w:tcBorders>
              <w:bottom w:val="single" w:sz="8" w:color="CCECFF"/>
            </w:tcBorders>
            <w:shd w:val="clear" w:color="auto" w:fill="CCECFF"/>
          </w:tcPr>
          <w:p>
            <w:pPr>
              <w:jc w:val="center"/>
              <w:ind w:right="94"/>
              <w:spacing w:after="0" w:line="133" w:lineRule="exact"/>
              <w:rPr>
                <w:sz w:val="20"/>
                <w:szCs w:val="20"/>
                <w:color w:val="auto"/>
              </w:rPr>
            </w:pPr>
            <w:r>
              <w:rPr>
                <w:rFonts w:ascii="Times New Roman" w:cs="Times New Roman" w:eastAsia="Times New Roman" w:hAnsi="Times New Roman"/>
                <w:sz w:val="13"/>
                <w:szCs w:val="13"/>
                <w:color w:val="auto"/>
              </w:rPr>
              <w:t>Market yield</w:t>
            </w:r>
          </w:p>
        </w:tc>
        <w:tc>
          <w:tcPr>
            <w:tcW w:w="1380" w:type="dxa"/>
            <w:vAlign w:val="bottom"/>
            <w:tcBorders>
              <w:bottom w:val="single" w:sz="8" w:color="CCECFF"/>
            </w:tcBorders>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rPr>
              <w:t>5.4%</w:t>
            </w:r>
          </w:p>
        </w:tc>
      </w:tr>
      <w:tr>
        <w:trPr>
          <w:trHeight w:val="140"/>
        </w:trPr>
        <w:tc>
          <w:tcPr>
            <w:tcW w:w="2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r>
    </w:tbl>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The weighted averages disclosed in the table above were weighted by their relative fair value.</w:t>
      </w:r>
    </w:p>
    <w:p>
      <w:pPr>
        <w:spacing w:after="0" w:line="7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69"/>
        </w:trPr>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0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6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540" w:type="dxa"/>
            <w:vAlign w:val="bottom"/>
          </w:tcPr>
          <w:p>
            <w:pPr>
              <w:jc w:val="center"/>
              <w:ind w:left="54"/>
              <w:spacing w:after="0" w:line="169" w:lineRule="exact"/>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56"/>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Broker/Dealer bids</w:t>
            </w:r>
          </w:p>
        </w:tc>
        <w:tc>
          <w:tcPr>
            <w:tcW w:w="1540" w:type="dxa"/>
            <w:vAlign w:val="bottom"/>
          </w:tcPr>
          <w:p>
            <w:pPr>
              <w:spacing w:after="0"/>
              <w:rPr>
                <w:sz w:val="13"/>
                <w:szCs w:val="13"/>
                <w:color w:val="auto"/>
              </w:rPr>
            </w:pPr>
          </w:p>
        </w:tc>
      </w:tr>
      <w:tr>
        <w:trPr>
          <w:trHeight w:val="168"/>
        </w:trPr>
        <w:tc>
          <w:tcPr>
            <w:tcW w:w="27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132,197</w:t>
            </w:r>
          </w:p>
        </w:tc>
        <w:tc>
          <w:tcPr>
            <w:tcW w:w="1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Market Comparable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or quotes</w:t>
            </w:r>
          </w:p>
        </w:tc>
        <w:tc>
          <w:tcPr>
            <w:tcW w:w="15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1,589,437</w:t>
            </w: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Market Comparable</w:t>
            </w:r>
          </w:p>
        </w:tc>
        <w:tc>
          <w:tcPr>
            <w:tcW w:w="1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540" w:type="dxa"/>
            <w:vAlign w:val="bottom"/>
            <w:shd w:val="clear" w:color="auto" w:fill="CCECFF"/>
          </w:tcPr>
          <w:p>
            <w:pPr>
              <w:jc w:val="center"/>
              <w:ind w:left="34"/>
              <w:spacing w:after="0"/>
              <w:rPr>
                <w:sz w:val="20"/>
                <w:szCs w:val="20"/>
                <w:color w:val="auto"/>
              </w:rPr>
            </w:pPr>
            <w:r>
              <w:rPr>
                <w:rFonts w:ascii="Times New Roman" w:cs="Times New Roman" w:eastAsia="Times New Roman" w:hAnsi="Times New Roman"/>
                <w:sz w:val="13"/>
                <w:szCs w:val="13"/>
                <w:color w:val="auto"/>
              </w:rPr>
              <w:t>7.9% - 21.1% (9.1%)</w:t>
            </w:r>
          </w:p>
        </w:tc>
      </w:tr>
      <w:tr>
        <w:trPr>
          <w:trHeight w:val="156"/>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25,063</w:t>
            </w:r>
          </w:p>
        </w:tc>
        <w:tc>
          <w:tcPr>
            <w:tcW w:w="162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Enterprise Market Value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54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0.8x - 9.8x (3.4x)</w:t>
            </w:r>
          </w:p>
        </w:tc>
      </w:tr>
      <w:tr>
        <w:trPr>
          <w:trHeight w:val="156"/>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Subordinated debt</w:t>
            </w:r>
          </w:p>
        </w:tc>
        <w:tc>
          <w:tcPr>
            <w:tcW w:w="10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Market Comparable</w:t>
            </w:r>
          </w:p>
        </w:tc>
        <w:tc>
          <w:tcPr>
            <w:tcW w:w="1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540" w:type="dxa"/>
            <w:vAlign w:val="bottom"/>
            <w:shd w:val="clear" w:color="auto" w:fill="CCECFF"/>
          </w:tcPr>
          <w:p>
            <w:pPr>
              <w:jc w:val="center"/>
              <w:ind w:left="34"/>
              <w:spacing w:after="0"/>
              <w:rPr>
                <w:sz w:val="20"/>
                <w:szCs w:val="20"/>
                <w:color w:val="auto"/>
              </w:rPr>
            </w:pPr>
            <w:r>
              <w:rPr>
                <w:rFonts w:ascii="Times New Roman" w:cs="Times New Roman" w:eastAsia="Times New Roman" w:hAnsi="Times New Roman"/>
                <w:sz w:val="13"/>
                <w:szCs w:val="13"/>
                <w:color w:val="auto"/>
              </w:rPr>
              <w:t>11.8% - 16.5% (14.0%)</w:t>
            </w:r>
          </w:p>
        </w:tc>
      </w:tr>
      <w:tr>
        <w:trPr>
          <w:trHeight w:val="156"/>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Subordinated debt</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3"/>
                <w:szCs w:val="13"/>
                <w:color w:val="auto"/>
              </w:rPr>
            </w:pPr>
          </w:p>
        </w:tc>
        <w:tc>
          <w:tcPr>
            <w:tcW w:w="162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Enterprise Market Value</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5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w w:val="91"/>
              </w:rPr>
              <w:t>5x</w:t>
            </w:r>
          </w:p>
        </w:tc>
      </w:tr>
      <w:tr>
        <w:trPr>
          <w:trHeight w:val="156"/>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Equity</w:t>
            </w:r>
          </w:p>
        </w:tc>
        <w:tc>
          <w:tcPr>
            <w:tcW w:w="100" w:type="dxa"/>
            <w:vAlign w:val="bottom"/>
            <w:shd w:val="clear" w:color="auto" w:fill="CCECFF"/>
          </w:tcPr>
          <w:p>
            <w:pPr>
              <w:spacing w:after="0"/>
              <w:rPr>
                <w:sz w:val="13"/>
                <w:szCs w:val="13"/>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168,450</w:t>
            </w:r>
          </w:p>
        </w:tc>
        <w:tc>
          <w:tcPr>
            <w:tcW w:w="140" w:type="dxa"/>
            <w:vAlign w:val="bottom"/>
            <w:shd w:val="clear" w:color="auto" w:fill="CCECFF"/>
          </w:tcPr>
          <w:p>
            <w:pPr>
              <w:spacing w:after="0"/>
              <w:rPr>
                <w:sz w:val="13"/>
                <w:szCs w:val="13"/>
                <w:color w:val="auto"/>
              </w:rPr>
            </w:pPr>
          </w:p>
        </w:tc>
        <w:tc>
          <w:tcPr>
            <w:tcW w:w="1620" w:type="dxa"/>
            <w:vAlign w:val="bottom"/>
            <w:shd w:val="clear" w:color="auto" w:fill="CCECFF"/>
          </w:tcPr>
          <w:p>
            <w:pPr>
              <w:jc w:val="center"/>
              <w:ind w:right="14"/>
              <w:spacing w:after="0"/>
              <w:rPr>
                <w:sz w:val="20"/>
                <w:szCs w:val="20"/>
                <w:color w:val="auto"/>
              </w:rPr>
            </w:pPr>
            <w:r>
              <w:rPr>
                <w:rFonts w:ascii="Times New Roman" w:cs="Times New Roman" w:eastAsia="Times New Roman" w:hAnsi="Times New Roman"/>
                <w:sz w:val="13"/>
                <w:szCs w:val="13"/>
                <w:color w:val="auto"/>
              </w:rPr>
              <w:t>Enterprise Market Value</w:t>
            </w:r>
          </w:p>
        </w:tc>
        <w:tc>
          <w:tcPr>
            <w:tcW w:w="1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540" w:type="dxa"/>
            <w:vAlign w:val="bottom"/>
            <w:shd w:val="clear" w:color="auto" w:fill="CCECFF"/>
          </w:tcPr>
          <w:p>
            <w:pPr>
              <w:jc w:val="center"/>
              <w:ind w:left="54"/>
              <w:spacing w:after="0"/>
              <w:rPr>
                <w:sz w:val="20"/>
                <w:szCs w:val="20"/>
                <w:color w:val="auto"/>
              </w:rPr>
            </w:pPr>
            <w:r>
              <w:rPr>
                <w:rFonts w:ascii="Times New Roman" w:cs="Times New Roman" w:eastAsia="Times New Roman" w:hAnsi="Times New Roman"/>
                <w:sz w:val="13"/>
                <w:szCs w:val="13"/>
                <w:color w:val="auto"/>
              </w:rPr>
              <w:t>0.4x - 18.8x (11.0x)</w:t>
            </w:r>
          </w:p>
        </w:tc>
      </w:tr>
      <w:tr>
        <w:trPr>
          <w:trHeight w:val="156"/>
        </w:trPr>
        <w:tc>
          <w:tcPr>
            <w:tcW w:w="2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2"/>
        </w:trPr>
        <w:tc>
          <w:tcPr>
            <w:tcW w:w="2740" w:type="dxa"/>
            <w:vAlign w:val="bottom"/>
            <w:tcBorders>
              <w:bottom w:val="single" w:sz="8" w:color="CCECFF"/>
            </w:tcBorders>
            <w:shd w:val="clear" w:color="auto" w:fill="CCECFF"/>
          </w:tcPr>
          <w:p>
            <w:pPr>
              <w:spacing w:after="0" w:line="133" w:lineRule="exact"/>
              <w:rPr>
                <w:sz w:val="20"/>
                <w:szCs w:val="20"/>
                <w:color w:val="auto"/>
              </w:rPr>
            </w:pPr>
            <w:r>
              <w:rPr>
                <w:rFonts w:ascii="Times New Roman" w:cs="Times New Roman" w:eastAsia="Times New Roman" w:hAnsi="Times New Roman"/>
                <w:sz w:val="13"/>
                <w:szCs w:val="13"/>
                <w:color w:val="auto"/>
              </w:rPr>
              <w:t>Long-Term Credit Facility</w:t>
            </w: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443,880</w:t>
            </w:r>
          </w:p>
        </w:tc>
        <w:tc>
          <w:tcPr>
            <w:tcW w:w="140" w:type="dxa"/>
            <w:vAlign w:val="bottom"/>
            <w:tcBorders>
              <w:bottom w:val="single" w:sz="8" w:color="CCECFF"/>
            </w:tcBorders>
            <w:shd w:val="clear" w:color="auto" w:fill="CCECFF"/>
          </w:tcPr>
          <w:p>
            <w:pPr>
              <w:spacing w:after="0"/>
              <w:rPr>
                <w:sz w:val="14"/>
                <w:szCs w:val="14"/>
                <w:color w:val="auto"/>
              </w:rPr>
            </w:pPr>
          </w:p>
        </w:tc>
        <w:tc>
          <w:tcPr>
            <w:tcW w:w="1620" w:type="dxa"/>
            <w:vAlign w:val="bottom"/>
            <w:tcBorders>
              <w:bottom w:val="single" w:sz="8" w:color="CCECFF"/>
            </w:tcBorders>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9"/>
              </w:rPr>
              <w:t>Market Comparable</w:t>
            </w:r>
          </w:p>
        </w:tc>
        <w:tc>
          <w:tcPr>
            <w:tcW w:w="1500" w:type="dxa"/>
            <w:vAlign w:val="bottom"/>
            <w:tcBorders>
              <w:bottom w:val="single" w:sz="8" w:color="CCECFF"/>
            </w:tcBorders>
            <w:shd w:val="clear" w:color="auto" w:fill="CCECFF"/>
          </w:tcPr>
          <w:p>
            <w:pPr>
              <w:jc w:val="center"/>
              <w:spacing w:after="0" w:line="133" w:lineRule="exact"/>
              <w:rPr>
                <w:sz w:val="20"/>
                <w:szCs w:val="20"/>
                <w:color w:val="auto"/>
              </w:rPr>
            </w:pPr>
            <w:r>
              <w:rPr>
                <w:rFonts w:ascii="Times New Roman" w:cs="Times New Roman" w:eastAsia="Times New Roman" w:hAnsi="Times New Roman"/>
                <w:sz w:val="13"/>
                <w:szCs w:val="13"/>
                <w:color w:val="auto"/>
              </w:rPr>
              <w:t>Market Yield</w:t>
            </w:r>
          </w:p>
        </w:tc>
        <w:tc>
          <w:tcPr>
            <w:tcW w:w="1540" w:type="dxa"/>
            <w:vAlign w:val="bottom"/>
            <w:tcBorders>
              <w:bottom w:val="single" w:sz="8" w:color="CCECFF"/>
            </w:tcBorders>
            <w:shd w:val="clear" w:color="auto" w:fill="CCECFF"/>
          </w:tcPr>
          <w:p>
            <w:pPr>
              <w:jc w:val="center"/>
              <w:ind w:left="34"/>
              <w:spacing w:after="0" w:line="133" w:lineRule="exact"/>
              <w:rPr>
                <w:sz w:val="20"/>
                <w:szCs w:val="20"/>
                <w:color w:val="auto"/>
              </w:rPr>
            </w:pPr>
            <w:r>
              <w:rPr>
                <w:rFonts w:ascii="Times New Roman" w:cs="Times New Roman" w:eastAsia="Times New Roman" w:hAnsi="Times New Roman"/>
                <w:sz w:val="13"/>
                <w:szCs w:val="13"/>
                <w:color w:val="auto"/>
              </w:rPr>
              <w:t>5.4%</w:t>
            </w:r>
          </w:p>
        </w:tc>
      </w:tr>
    </w:tbl>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The weighted averages disclosed in the table above were weighted by their relative fair value.</w:t>
      </w:r>
    </w:p>
    <w:p>
      <w:pPr>
        <w:spacing w:after="0" w:line="70" w:lineRule="exact"/>
        <w:rPr>
          <w:sz w:val="20"/>
          <w:szCs w:val="20"/>
          <w:color w:val="auto"/>
        </w:rPr>
      </w:pPr>
    </w:p>
    <w:p>
      <w:pPr>
        <w:ind w:left="60" w:right="280" w:firstLine="336"/>
        <w:spacing w:after="0" w:line="286" w:lineRule="auto"/>
        <w:rPr>
          <w:sz w:val="20"/>
          <w:szCs w:val="20"/>
          <w:color w:val="auto"/>
        </w:rPr>
      </w:pPr>
      <w:r>
        <w:rPr>
          <w:rFonts w:ascii="Times New Roman" w:cs="Times New Roman" w:eastAsia="Times New Roman" w:hAnsi="Times New Roman"/>
          <w:sz w:val="13"/>
          <w:szCs w:val="13"/>
          <w:color w:val="auto"/>
        </w:rPr>
        <w:t>Our investments, cash and cash equivalents, Credit Facility, 2026 Notes, 2031 Asset-Backed Debt, 2036-R Asset-Backed Debt, 2036 Asset-Backed Debt, and 2037 Asset-Backed Debt were categorized as follows in the fair value hierarchy for ASC 820 purposes ($ in thousands):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6"/>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Fair Value at June 30, 2025</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Measured at Net</w:t>
            </w:r>
          </w:p>
        </w:tc>
        <w:tc>
          <w:tcPr>
            <w:tcW w:w="0" w:type="dxa"/>
            <w:vAlign w:val="bottom"/>
          </w:tcPr>
          <w:p>
            <w:pPr>
              <w:spacing w:after="0"/>
              <w:rPr>
                <w:sz w:val="1"/>
                <w:szCs w:val="1"/>
                <w:color w:val="auto"/>
              </w:rPr>
            </w:pPr>
          </w:p>
        </w:tc>
      </w:tr>
      <w:tr>
        <w:trPr>
          <w:trHeight w:val="127"/>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3"/>
                <w:szCs w:val="13"/>
                <w:b w:val="1"/>
                <w:bCs w:val="1"/>
                <w:color w:val="auto"/>
                <w:w w:val="98"/>
              </w:rPr>
              <w:t xml:space="preserve">Asset Value </w:t>
            </w:r>
            <w:r>
              <w:rPr>
                <w:rFonts w:ascii="Times New Roman" w:cs="Times New Roman" w:eastAsia="Times New Roman" w:hAnsi="Times New Roman"/>
                <w:sz w:val="16"/>
                <w:szCs w:val="16"/>
                <w:b w:val="1"/>
                <w:bCs w:val="1"/>
                <w:color w:val="auto"/>
                <w:w w:val="98"/>
                <w:vertAlign w:val="superscript"/>
              </w:rPr>
              <w:t>(1)</w:t>
            </w:r>
          </w:p>
        </w:tc>
        <w:tc>
          <w:tcPr>
            <w:tcW w:w="0" w:type="dxa"/>
            <w:vAlign w:val="bottom"/>
          </w:tcPr>
          <w:p>
            <w:pPr>
              <w:spacing w:after="0"/>
              <w:rPr>
                <w:sz w:val="1"/>
                <w:szCs w:val="1"/>
                <w:color w:val="auto"/>
              </w:rPr>
            </w:pPr>
          </w:p>
        </w:tc>
      </w:tr>
      <w:tr>
        <w:trPr>
          <w:trHeight w:val="156"/>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First lien</w:t>
            </w:r>
          </w:p>
        </w:tc>
        <w:tc>
          <w:tcPr>
            <w:tcW w:w="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2,150,601</w:t>
            </w:r>
          </w:p>
        </w:tc>
        <w:tc>
          <w:tcPr>
            <w:tcW w:w="100" w:type="dxa"/>
            <w:vAlign w:val="bottom"/>
            <w:shd w:val="clear" w:color="auto" w:fill="CCECFF"/>
          </w:tcPr>
          <w:p>
            <w:pPr>
              <w:spacing w:after="0"/>
              <w:rPr>
                <w:sz w:val="13"/>
                <w:szCs w:val="13"/>
                <w:color w:val="auto"/>
              </w:rPr>
            </w:pPr>
          </w:p>
        </w:tc>
        <w:tc>
          <w:tcPr>
            <w:tcW w:w="280" w:type="dxa"/>
            <w:vAlign w:val="bottom"/>
            <w:gridSpan w:val="2"/>
            <w:shd w:val="clear" w:color="auto" w:fill="CCECFF"/>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CFF"/>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2,150,601</w:t>
            </w:r>
          </w:p>
        </w:tc>
        <w:tc>
          <w:tcPr>
            <w:tcW w:w="100" w:type="dxa"/>
            <w:vAlign w:val="bottom"/>
            <w:shd w:val="clear" w:color="auto" w:fill="CCECFF"/>
          </w:tcPr>
          <w:p>
            <w:pPr>
              <w:spacing w:after="0"/>
              <w:rPr>
                <w:sz w:val="13"/>
                <w:szCs w:val="13"/>
                <w:color w:val="auto"/>
              </w:rPr>
            </w:pPr>
          </w:p>
        </w:tc>
        <w:tc>
          <w:tcPr>
            <w:tcW w:w="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Subordinate debt</w:t>
            </w:r>
          </w:p>
        </w:tc>
        <w:tc>
          <w:tcPr>
            <w:tcW w:w="1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12,506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Equity</w:t>
            </w:r>
          </w:p>
        </w:tc>
        <w:tc>
          <w:tcPr>
            <w:tcW w:w="14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240,408</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178,722</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61,686</w:t>
            </w:r>
          </w:p>
        </w:tc>
        <w:tc>
          <w:tcPr>
            <w:tcW w:w="0" w:type="dxa"/>
            <w:vAlign w:val="bottom"/>
          </w:tcPr>
          <w:p>
            <w:pPr>
              <w:spacing w:after="0"/>
              <w:rPr>
                <w:sz w:val="1"/>
                <w:szCs w:val="1"/>
                <w:color w:val="auto"/>
              </w:rPr>
            </w:pPr>
          </w:p>
        </w:tc>
      </w:tr>
      <w:tr>
        <w:trPr>
          <w:trHeight w:val="156"/>
        </w:trPr>
        <w:tc>
          <w:tcPr>
            <w:tcW w:w="30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Total investments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2,403,515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2,341,829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61,686</w:t>
            </w:r>
          </w:p>
        </w:tc>
        <w:tc>
          <w:tcPr>
            <w:tcW w:w="0" w:type="dxa"/>
            <w:vAlign w:val="bottom"/>
          </w:tcPr>
          <w:p>
            <w:pPr>
              <w:spacing w:after="0"/>
              <w:rPr>
                <w:sz w:val="1"/>
                <w:szCs w:val="1"/>
                <w:color w:val="auto"/>
              </w:rPr>
            </w:pPr>
          </w:p>
        </w:tc>
      </w:tr>
      <w:tr>
        <w:trPr>
          <w:trHeight w:val="156"/>
        </w:trPr>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102,730</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102,730</w:t>
            </w:r>
          </w:p>
        </w:tc>
        <w:tc>
          <w:tcPr>
            <w:tcW w:w="2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0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2,506,245</w:t>
            </w:r>
          </w:p>
        </w:tc>
        <w:tc>
          <w:tcPr>
            <w:tcW w:w="100" w:type="dxa"/>
            <w:vAlign w:val="bottom"/>
          </w:tcPr>
          <w:p>
            <w:pPr>
              <w:spacing w:after="0"/>
              <w:rPr>
                <w:sz w:val="13"/>
                <w:szCs w:val="13"/>
                <w:color w:val="auto"/>
              </w:rPr>
            </w:pPr>
          </w:p>
        </w:tc>
        <w:tc>
          <w:tcPr>
            <w:tcW w:w="28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102,730</w:t>
            </w: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2,341,829</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61,686</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040" w:type="dxa"/>
            <w:vAlign w:val="bottom"/>
            <w:shd w:val="clear" w:color="auto" w:fill="CCECFF"/>
          </w:tcPr>
          <w:p>
            <w:pPr>
              <w:spacing w:after="0" w:line="133" w:lineRule="exact"/>
              <w:rPr>
                <w:sz w:val="20"/>
                <w:szCs w:val="20"/>
                <w:color w:val="auto"/>
              </w:rPr>
            </w:pPr>
            <w:r>
              <w:rPr>
                <w:rFonts w:ascii="Times New Roman" w:cs="Times New Roman" w:eastAsia="Times New Roman" w:hAnsi="Times New Roman"/>
                <w:sz w:val="13"/>
                <w:szCs w:val="13"/>
                <w:color w:val="auto"/>
              </w:rPr>
              <w:t>Long Term Credit Facility payable</w:t>
            </w:r>
          </w:p>
        </w:tc>
        <w:tc>
          <w:tcPr>
            <w:tcW w:w="140" w:type="dxa"/>
            <w:vAlign w:val="bottom"/>
            <w:shd w:val="clear" w:color="auto" w:fill="CCEC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298,865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80" w:type="dxa"/>
            <w:vAlign w:val="bottom"/>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1"/>
                <w:szCs w:val="11"/>
                <w:color w:val="auto"/>
              </w:rPr>
            </w:pPr>
          </w:p>
        </w:tc>
        <w:tc>
          <w:tcPr>
            <w:tcW w:w="180" w:type="dxa"/>
            <w:vAlign w:val="bottom"/>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298,865</w:t>
            </w: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2026 Notes payable</w:t>
            </w:r>
            <w:r>
              <w:rPr>
                <w:rFonts w:ascii="Times New Roman" w:cs="Times New Roman" w:eastAsia="Times New Roman" w:hAnsi="Times New Roman"/>
                <w:sz w:val="16"/>
                <w:szCs w:val="16"/>
                <w:color w:val="auto"/>
                <w:vertAlign w:val="superscript"/>
              </w:rPr>
              <w:t>(2)</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184,415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2036 Asset-Backed Debt</w:t>
            </w:r>
            <w:r>
              <w:rPr>
                <w:rFonts w:ascii="Times New Roman" w:cs="Times New Roman" w:eastAsia="Times New Roman" w:hAnsi="Times New Roman"/>
                <w:sz w:val="16"/>
                <w:szCs w:val="16"/>
                <w:color w:val="auto"/>
                <w:vertAlign w:val="superscript"/>
              </w:rPr>
              <w:t>(2)</w:t>
            </w:r>
          </w:p>
        </w:tc>
        <w:tc>
          <w:tcPr>
            <w:tcW w:w="14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284,492</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284,492</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0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2036-R Asset-Backed Debt</w:t>
            </w:r>
            <w:r>
              <w:rPr>
                <w:rFonts w:ascii="Times New Roman" w:cs="Times New Roman" w:eastAsia="Times New Roman" w:hAnsi="Times New Roman"/>
                <w:sz w:val="16"/>
                <w:szCs w:val="16"/>
                <w:color w:val="auto"/>
                <w:vertAlign w:val="superscript"/>
              </w:rPr>
              <w:t>(2)</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265,333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04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2037 Asset-Backed Debt </w:t>
            </w:r>
            <w:r>
              <w:rPr>
                <w:rFonts w:ascii="Times New Roman" w:cs="Times New Roman" w:eastAsia="Times New Roman" w:hAnsi="Times New Roman"/>
                <w:sz w:val="16"/>
                <w:szCs w:val="16"/>
                <w:color w:val="auto"/>
                <w:vertAlign w:val="superscript"/>
              </w:rPr>
              <w:t>(2)</w:t>
            </w:r>
          </w:p>
        </w:tc>
        <w:tc>
          <w:tcPr>
            <w:tcW w:w="14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358,207</w:t>
            </w: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358,207</w:t>
            </w: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0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Total debt</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1,391,312</w:t>
            </w:r>
          </w:p>
        </w:tc>
        <w:tc>
          <w:tcPr>
            <w:tcW w:w="100" w:type="dxa"/>
            <w:vAlign w:val="bottom"/>
          </w:tcPr>
          <w:p>
            <w:pPr>
              <w:spacing w:after="0"/>
              <w:rPr>
                <w:sz w:val="13"/>
                <w:szCs w:val="13"/>
                <w:color w:val="auto"/>
              </w:rPr>
            </w:pPr>
          </w:p>
        </w:tc>
        <w:tc>
          <w:tcPr>
            <w:tcW w:w="28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184,415</w:t>
            </w:r>
          </w:p>
        </w:tc>
        <w:tc>
          <w:tcPr>
            <w:tcW w:w="36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1,206,897</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60" w:right="220"/>
        <w:spacing w:after="0" w:line="224"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spacing w:after="0" w:line="17" w:lineRule="exact"/>
        <w:rPr>
          <w:sz w:val="20"/>
          <w:szCs w:val="20"/>
          <w:color w:val="auto"/>
        </w:rPr>
      </w:pPr>
    </w:p>
    <w:p>
      <w:pPr>
        <w:ind w:left="60" w:right="220"/>
        <w:spacing w:after="0" w:line="224"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We elected not to apply the fair value option allowed by ASC 825-10 to the 2026 Notes, 2031 Asset-Backed Debt, 2036 Asset-Backed Debt, 2036-R Asset-Backed Debt, and 2037 Asset-Backed Debt and thus the balance reported in the Consolidated Statement of Assets and Liabilities represents the carrying value, which approximates the fair value.</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51"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 at September 30, 2024</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 w:type="dxa"/>
            <w:vAlign w:val="bottom"/>
          </w:tcPr>
          <w:p>
            <w:pPr>
              <w:spacing w:after="0"/>
              <w:rPr>
                <w:sz w:val="14"/>
                <w:szCs w:val="14"/>
                <w:color w:val="auto"/>
              </w:rPr>
            </w:pP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9"/>
              </w:rPr>
              <w:t>Level 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68"/>
        </w:trPr>
        <w:tc>
          <w:tcPr>
            <w:tcW w:w="3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 lien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1,746,697</w:t>
            </w:r>
          </w:p>
        </w:tc>
        <w:tc>
          <w:tcPr>
            <w:tcW w:w="36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1,746,697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Second lien</w:t>
            </w: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Equity</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234,115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168,450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65,665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3"/>
                <w:szCs w:val="13"/>
                <w:color w:val="auto"/>
              </w:rPr>
              <w:t>Total investments</w:t>
            </w: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1,983,504</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65,665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2,095,554</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112,050</w:t>
            </w:r>
          </w:p>
        </w:tc>
        <w:tc>
          <w:tcPr>
            <w:tcW w:w="3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65,665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Long Term Credit Facility payable</w:t>
            </w:r>
          </w:p>
        </w:tc>
        <w:tc>
          <w:tcPr>
            <w:tcW w:w="1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443,880</w:t>
            </w:r>
          </w:p>
        </w:tc>
        <w:tc>
          <w:tcPr>
            <w:tcW w:w="180" w:type="dxa"/>
            <w:vAlign w:val="bottom"/>
          </w:tcPr>
          <w:p>
            <w:pPr>
              <w:spacing w:after="0"/>
              <w:rPr>
                <w:sz w:val="11"/>
                <w:szCs w:val="11"/>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443,880</w:t>
            </w:r>
          </w:p>
        </w:tc>
        <w:tc>
          <w:tcPr>
            <w:tcW w:w="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2026 Notes payable</w:t>
            </w:r>
            <w:r>
              <w:rPr>
                <w:rFonts w:ascii="Times New Roman" w:cs="Times New Roman" w:eastAsia="Times New Roman" w:hAnsi="Times New Roman"/>
                <w:sz w:val="16"/>
                <w:szCs w:val="16"/>
                <w:color w:val="auto"/>
                <w:vertAlign w:val="superscript"/>
              </w:rPr>
              <w:t>(2)</w:t>
            </w: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183,832</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183,832</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2036 Asset-Backed Debt</w:t>
            </w:r>
            <w:r>
              <w:rPr>
                <w:rFonts w:ascii="Times New Roman" w:cs="Times New Roman" w:eastAsia="Times New Roman" w:hAnsi="Times New Roman"/>
                <w:sz w:val="16"/>
                <w:szCs w:val="16"/>
                <w:color w:val="auto"/>
                <w:vertAlign w:val="superscript"/>
              </w:rPr>
              <w:t>(2)</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284,086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284,086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2036-R Asset-Backed Debt</w:t>
            </w:r>
            <w:r>
              <w:rPr>
                <w:rFonts w:ascii="Times New Roman" w:cs="Times New Roman" w:eastAsia="Times New Roman" w:hAnsi="Times New Roman"/>
                <w:sz w:val="16"/>
                <w:szCs w:val="16"/>
                <w:color w:val="auto"/>
                <w:vertAlign w:val="superscript"/>
              </w:rPr>
              <w:t>(2)</w:t>
            </w: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265,235</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265,235</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1,177,033</w:t>
            </w:r>
          </w:p>
        </w:tc>
        <w:tc>
          <w:tcPr>
            <w:tcW w:w="36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183,832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993,201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60" w:right="280"/>
        <w:spacing w:after="0" w:line="216"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PSSL and PTSF is measured using the net asset value per share (or its equivalent) as a practical expedient for fair value, and thus has not been classified in the fair value hierarchy.</w:t>
      </w:r>
    </w:p>
    <w:p>
      <w:pPr>
        <w:spacing w:after="0" w:line="17" w:lineRule="exact"/>
        <w:rPr>
          <w:sz w:val="20"/>
          <w:szCs w:val="20"/>
          <w:color w:val="auto"/>
        </w:rPr>
      </w:pPr>
    </w:p>
    <w:p>
      <w:pPr>
        <w:ind w:left="60" w:right="640"/>
        <w:spacing w:after="0" w:line="216"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We elected not to apply the fair value option allowed by ASC 825-10 to the 2026 Notes the 2036 Asset-Backed Debt, and the 2036-R Asset-Backed Debt and thus the balance reported in the Consolidated Statement of Assets and Liabilities represents the carrying value, which approximates the fair value.</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fair valued investments measured using significant unobservable inputs (Level</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3)</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 in thousands):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9"/>
          </w:tcPr>
          <w:p>
            <w:pPr>
              <w:jc w:val="center"/>
              <w:ind w:left="534"/>
              <w:spacing w:after="0"/>
              <w:rPr>
                <w:sz w:val="20"/>
                <w:szCs w:val="20"/>
                <w:color w:val="auto"/>
              </w:rPr>
            </w:pPr>
            <w:r>
              <w:rPr>
                <w:rFonts w:ascii="Times New Roman" w:cs="Times New Roman" w:eastAsia="Times New Roman" w:hAnsi="Times New Roman"/>
                <w:sz w:val="13"/>
                <w:szCs w:val="13"/>
                <w:b w:val="1"/>
                <w:bCs w:val="1"/>
                <w:color w:val="auto"/>
              </w:rPr>
              <w:t>Nine Months Ended June 30, 2025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subordinated</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debt and equity</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1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1,746,697</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171,142</w:t>
            </w:r>
          </w:p>
        </w:tc>
        <w:tc>
          <w:tcPr>
            <w:tcW w:w="120" w:type="dxa"/>
            <w:vAlign w:val="bottom"/>
            <w:shd w:val="clear" w:color="auto" w:fill="CCECFF"/>
          </w:tcPr>
          <w:p>
            <w:pPr>
              <w:spacing w:after="0"/>
              <w:rPr>
                <w:sz w:val="13"/>
                <w:szCs w:val="13"/>
                <w:color w:val="auto"/>
              </w:rPr>
            </w:pPr>
          </w:p>
        </w:tc>
        <w:tc>
          <w:tcPr>
            <w:tcW w:w="3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1,917,839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Net realized gain (loss)</w:t>
            </w:r>
          </w:p>
        </w:tc>
        <w:tc>
          <w:tcPr>
            <w:tcW w:w="160" w:type="dxa"/>
            <w:vAlign w:val="bottom"/>
          </w:tcPr>
          <w:p>
            <w:pPr>
              <w:spacing w:after="0"/>
              <w:rPr>
                <w:sz w:val="13"/>
                <w:szCs w:val="13"/>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(12,997)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21,352</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160" w:type="dxa"/>
            <w:vAlign w:val="bottom"/>
            <w:shd w:val="clear" w:color="auto" w:fill="CCECFF"/>
          </w:tcPr>
          <w:p>
            <w:pPr>
              <w:spacing w:after="0"/>
              <w:rPr>
                <w:sz w:val="13"/>
                <w:szCs w:val="13"/>
                <w:color w:val="auto"/>
              </w:rPr>
            </w:pPr>
          </w:p>
        </w:tc>
        <w:tc>
          <w:tcPr>
            <w:tcW w:w="100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(4,757)</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(9,246)</w:t>
            </w:r>
          </w:p>
        </w:tc>
        <w:tc>
          <w:tcPr>
            <w:tcW w:w="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(14,003)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1,077,943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21,151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1,099,094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160" w:type="dxa"/>
            <w:vAlign w:val="bottom"/>
            <w:shd w:val="clear" w:color="auto" w:fill="CCECFF"/>
          </w:tcPr>
          <w:p>
            <w:pPr>
              <w:spacing w:after="0"/>
              <w:rPr>
                <w:sz w:val="13"/>
                <w:szCs w:val="13"/>
                <w:color w:val="auto"/>
              </w:rPr>
            </w:pPr>
          </w:p>
        </w:tc>
        <w:tc>
          <w:tcPr>
            <w:tcW w:w="100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(656,285)</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(13,171)</w:t>
            </w:r>
          </w:p>
        </w:tc>
        <w:tc>
          <w:tcPr>
            <w:tcW w:w="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(669,456)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160" w:type="dxa"/>
            <w:vAlign w:val="bottom"/>
          </w:tcPr>
          <w:p>
            <w:pPr>
              <w:spacing w:after="0"/>
              <w:rPr>
                <w:sz w:val="13"/>
                <w:szCs w:val="13"/>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1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2,150,601</w:t>
            </w:r>
          </w:p>
        </w:tc>
        <w:tc>
          <w:tcPr>
            <w:tcW w:w="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191,228</w:t>
            </w:r>
          </w:p>
        </w:tc>
        <w:tc>
          <w:tcPr>
            <w:tcW w:w="120" w:type="dxa"/>
            <w:vAlign w:val="bottom"/>
            <w:shd w:val="clear" w:color="auto" w:fill="CCECFF"/>
          </w:tcPr>
          <w:p>
            <w:pPr>
              <w:spacing w:after="0"/>
              <w:rPr>
                <w:sz w:val="17"/>
                <w:szCs w:val="17"/>
                <w:color w:val="auto"/>
              </w:rPr>
            </w:pPr>
          </w:p>
        </w:tc>
        <w:tc>
          <w:tcPr>
            <w:tcW w:w="3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2,341,829</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20" w:type="dxa"/>
            <w:vAlign w:val="bottom"/>
            <w:tcBorders>
              <w:top w:val="single" w:sz="8" w:color="CCECFF"/>
            </w:tcBorders>
          </w:tcPr>
          <w:p>
            <w:pPr>
              <w:spacing w:after="0" w:line="121" w:lineRule="exact"/>
              <w:rPr>
                <w:sz w:val="20"/>
                <w:szCs w:val="20"/>
                <w:color w:val="auto"/>
              </w:rPr>
            </w:pPr>
            <w:r>
              <w:rPr>
                <w:rFonts w:ascii="Times New Roman" w:cs="Times New Roman" w:eastAsia="Times New Roman" w:hAnsi="Times New Roman"/>
                <w:sz w:val="13"/>
                <w:szCs w:val="13"/>
                <w:color w:val="auto"/>
              </w:rPr>
              <w:t>Net change in unrealized appreciation (depreciation) reported within the net change in unrealized</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80" w:type="dxa"/>
            <w:vAlign w:val="bottom"/>
            <w:tcBorders>
              <w:top w:val="single" w:sz="8" w:color="CCEC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CECFF"/>
            </w:tcBorders>
          </w:tcPr>
          <w:p>
            <w:pPr>
              <w:spacing w:after="0"/>
              <w:rPr>
                <w:sz w:val="10"/>
                <w:szCs w:val="10"/>
                <w:color w:val="auto"/>
              </w:rPr>
            </w:pPr>
          </w:p>
        </w:tc>
        <w:tc>
          <w:tcPr>
            <w:tcW w:w="60" w:type="dxa"/>
            <w:vAlign w:val="bottom"/>
            <w:tcBorders>
              <w:top w:val="single" w:sz="8" w:color="CCEC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appreciation (depreciation) on investments in our consolidated statements of operations</w:t>
            </w:r>
          </w:p>
        </w:tc>
        <w:tc>
          <w:tcPr>
            <w:tcW w:w="16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3"/>
            <w:vMerge w:val="restart"/>
          </w:tcPr>
          <w:p>
            <w:pPr>
              <w:jc w:val="right"/>
              <w:ind w:right="80"/>
              <w:spacing w:after="0" w:line="267" w:lineRule="exact"/>
              <w:rPr>
                <w:sz w:val="20"/>
                <w:szCs w:val="20"/>
                <w:color w:val="auto"/>
              </w:rPr>
            </w:pPr>
            <w:r>
              <w:rPr>
                <w:rFonts w:ascii="Times New Roman" w:cs="Times New Roman" w:eastAsia="Times New Roman" w:hAnsi="Times New Roman"/>
                <w:sz w:val="13"/>
                <w:szCs w:val="13"/>
                <w:color w:val="auto"/>
              </w:rPr>
              <w:t>(3,778</w:t>
            </w:r>
            <w:r>
              <w:rPr>
                <w:rFonts w:ascii="Times New Roman" w:cs="Times New Roman" w:eastAsia="Times New Roman" w:hAnsi="Times New Roman"/>
                <w:sz w:val="26"/>
                <w:szCs w:val="26"/>
                <w:color w:val="auto"/>
                <w:vertAlign w:val="subscript"/>
              </w:rPr>
              <w:t>)</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10,025</w:t>
            </w:r>
          </w:p>
        </w:tc>
        <w:tc>
          <w:tcPr>
            <w:tcW w:w="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ind w:left="8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160" w:type="dxa"/>
            <w:vAlign w:val="bottom"/>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9"/>
          </w:tcPr>
          <w:p>
            <w:pPr>
              <w:jc w:val="center"/>
              <w:ind w:left="534"/>
              <w:spacing w:after="0"/>
              <w:rPr>
                <w:sz w:val="20"/>
                <w:szCs w:val="20"/>
                <w:color w:val="auto"/>
              </w:rPr>
            </w:pPr>
            <w:r>
              <w:rPr>
                <w:rFonts w:ascii="Times New Roman" w:cs="Times New Roman" w:eastAsia="Times New Roman" w:hAnsi="Times New Roman"/>
                <w:sz w:val="13"/>
                <w:szCs w:val="13"/>
                <w:b w:val="1"/>
                <w:bCs w:val="1"/>
                <w:color w:val="auto"/>
              </w:rPr>
              <w:t>Nine Months Ended June 30, 2024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subordinated</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debt and equity</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1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906,166</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100,782</w:t>
            </w:r>
          </w:p>
        </w:tc>
        <w:tc>
          <w:tcPr>
            <w:tcW w:w="120" w:type="dxa"/>
            <w:vAlign w:val="bottom"/>
            <w:shd w:val="clear" w:color="auto" w:fill="CCECFF"/>
          </w:tcPr>
          <w:p>
            <w:pPr>
              <w:spacing w:after="0"/>
              <w:rPr>
                <w:sz w:val="13"/>
                <w:szCs w:val="13"/>
                <w:color w:val="auto"/>
              </w:rPr>
            </w:pPr>
          </w:p>
        </w:tc>
        <w:tc>
          <w:tcPr>
            <w:tcW w:w="3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1,006,948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Net realized gain (loss)</w:t>
            </w:r>
          </w:p>
        </w:tc>
        <w:tc>
          <w:tcPr>
            <w:tcW w:w="160" w:type="dxa"/>
            <w:vAlign w:val="bottom"/>
          </w:tcPr>
          <w:p>
            <w:pPr>
              <w:spacing w:after="0"/>
              <w:rPr>
                <w:sz w:val="13"/>
                <w:szCs w:val="13"/>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(5,273)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16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4,009</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9,150</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13,159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888,171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70,237</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958,408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160" w:type="dxa"/>
            <w:vAlign w:val="bottom"/>
            <w:shd w:val="clear" w:color="auto" w:fill="CCECFF"/>
          </w:tcPr>
          <w:p>
            <w:pPr>
              <w:spacing w:after="0"/>
              <w:rPr>
                <w:sz w:val="13"/>
                <w:szCs w:val="13"/>
                <w:color w:val="auto"/>
              </w:rPr>
            </w:pPr>
          </w:p>
        </w:tc>
        <w:tc>
          <w:tcPr>
            <w:tcW w:w="100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(343,867)</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1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(45,115)</w:t>
            </w:r>
          </w:p>
        </w:tc>
        <w:tc>
          <w:tcPr>
            <w:tcW w:w="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(388,982)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160" w:type="dxa"/>
            <w:vAlign w:val="bottom"/>
          </w:tcPr>
          <w:p>
            <w:pPr>
              <w:spacing w:after="0"/>
              <w:rPr>
                <w:sz w:val="13"/>
                <w:szCs w:val="13"/>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160" w:type="dxa"/>
            <w:vAlign w:val="bottom"/>
            <w:shd w:val="clear" w:color="auto" w:fill="CCEC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1,449,206</w:t>
            </w:r>
          </w:p>
        </w:tc>
        <w:tc>
          <w:tcPr>
            <w:tcW w:w="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140,895</w:t>
            </w:r>
          </w:p>
        </w:tc>
        <w:tc>
          <w:tcPr>
            <w:tcW w:w="120" w:type="dxa"/>
            <w:vAlign w:val="bottom"/>
            <w:shd w:val="clear" w:color="auto" w:fill="CCECFF"/>
          </w:tcPr>
          <w:p>
            <w:pPr>
              <w:spacing w:after="0"/>
              <w:rPr>
                <w:sz w:val="17"/>
                <w:szCs w:val="17"/>
                <w:color w:val="auto"/>
              </w:rPr>
            </w:pPr>
          </w:p>
        </w:tc>
        <w:tc>
          <w:tcPr>
            <w:tcW w:w="3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1,590,101</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20" w:type="dxa"/>
            <w:vAlign w:val="bottom"/>
            <w:tcBorders>
              <w:top w:val="single" w:sz="8" w:color="CCECFF"/>
            </w:tcBorders>
          </w:tcPr>
          <w:p>
            <w:pPr>
              <w:spacing w:after="0" w:line="121"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80" w:type="dxa"/>
            <w:vAlign w:val="bottom"/>
            <w:tcBorders>
              <w:top w:val="single" w:sz="8" w:color="CCEC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CECFF"/>
            </w:tcBorders>
          </w:tcPr>
          <w:p>
            <w:pPr>
              <w:spacing w:after="0"/>
              <w:rPr>
                <w:sz w:val="10"/>
                <w:szCs w:val="10"/>
                <w:color w:val="auto"/>
              </w:rPr>
            </w:pPr>
          </w:p>
        </w:tc>
        <w:tc>
          <w:tcPr>
            <w:tcW w:w="60" w:type="dxa"/>
            <w:vAlign w:val="bottom"/>
            <w:tcBorders>
              <w:top w:val="single" w:sz="8" w:color="CCEC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depreciation on investments in our consolidated statements of operations</w:t>
            </w:r>
          </w:p>
        </w:tc>
        <w:tc>
          <w:tcPr>
            <w:tcW w:w="16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3"/>
            <w:vMerge w:val="restart"/>
          </w:tcPr>
          <w:p>
            <w:pPr>
              <w:jc w:val="right"/>
              <w:ind w:right="80"/>
              <w:spacing w:after="0" w:line="267" w:lineRule="exact"/>
              <w:rPr>
                <w:sz w:val="20"/>
                <w:szCs w:val="20"/>
                <w:color w:val="auto"/>
              </w:rPr>
            </w:pPr>
            <w:r>
              <w:rPr>
                <w:rFonts w:ascii="Times New Roman" w:cs="Times New Roman" w:eastAsia="Times New Roman" w:hAnsi="Times New Roman"/>
                <w:sz w:val="13"/>
                <w:szCs w:val="13"/>
                <w:color w:val="auto"/>
              </w:rPr>
              <w:t>(2,997</w:t>
            </w:r>
            <w:r>
              <w:rPr>
                <w:rFonts w:ascii="Times New Roman" w:cs="Times New Roman" w:eastAsia="Times New Roman" w:hAnsi="Times New Roman"/>
                <w:sz w:val="26"/>
                <w:szCs w:val="26"/>
                <w:color w:val="auto"/>
                <w:vertAlign w:val="subscript"/>
              </w:rPr>
              <w:t>)</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11,500</w:t>
            </w:r>
          </w:p>
        </w:tc>
        <w:tc>
          <w:tcPr>
            <w:tcW w:w="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ind w:left="80"/>
              <w:spacing w:after="0" w:line="112" w:lineRule="exact"/>
              <w:rPr>
                <w:sz w:val="20"/>
                <w:szCs w:val="20"/>
                <w:color w:val="auto"/>
              </w:rPr>
            </w:pPr>
            <w:r>
              <w:rPr>
                <w:rFonts w:ascii="Times New Roman" w:cs="Times New Roman" w:eastAsia="Times New Roman" w:hAnsi="Times New Roman"/>
                <w:sz w:val="12"/>
                <w:szCs w:val="12"/>
                <w:color w:val="auto"/>
              </w:rPr>
              <w:t>attributable to our Level 3 assets still held at the reporting date.</w:t>
            </w:r>
          </w:p>
        </w:tc>
        <w:tc>
          <w:tcPr>
            <w:tcW w:w="160" w:type="dxa"/>
            <w:vAlign w:val="bottom"/>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right="160" w:firstLine="336"/>
        <w:spacing w:after="0" w:line="286" w:lineRule="auto"/>
        <w:rPr>
          <w:sz w:val="20"/>
          <w:szCs w:val="20"/>
          <w:color w:val="auto"/>
        </w:rPr>
      </w:pPr>
      <w:r>
        <w:rPr>
          <w:rFonts w:ascii="Times New Roman" w:cs="Times New Roman" w:eastAsia="Times New Roman" w:hAnsi="Times New Roman"/>
          <w:sz w:val="13"/>
          <w:szCs w:val="13"/>
          <w:color w:val="auto"/>
        </w:rPr>
        <w:t>The table below shows a reconciliation of the beginning and ending balances for liabilities recognized at fair value and measured using significant unobservable inputs (Level 3)($ in thousands):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6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r>
      <w:tr>
        <w:trPr>
          <w:trHeight w:val="170"/>
        </w:trPr>
        <w:tc>
          <w:tcPr>
            <w:tcW w:w="6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Long-Term Credit Facility and 2023 Notes</w:t>
            </w:r>
          </w:p>
        </w:tc>
        <w:tc>
          <w:tcPr>
            <w:tcW w:w="280" w:type="dxa"/>
            <w:vAlign w:val="bottom"/>
          </w:tcPr>
          <w:p>
            <w:pPr>
              <w:spacing w:after="0"/>
              <w:rPr>
                <w:sz w:val="14"/>
                <w:szCs w:val="14"/>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r>
      <w:tr>
        <w:trPr>
          <w:trHeight w:val="156"/>
        </w:trPr>
        <w:tc>
          <w:tcPr>
            <w:tcW w:w="61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Beginning balance (cost – $443,855 and $85,619, respectively)</w:t>
            </w:r>
          </w:p>
        </w:tc>
        <w:tc>
          <w:tcPr>
            <w:tcW w:w="280" w:type="dxa"/>
            <w:vAlign w:val="bottom"/>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443,880</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85,619</w:t>
            </w:r>
          </w:p>
        </w:tc>
      </w:tr>
      <w:tr>
        <w:trPr>
          <w:trHeight w:val="156"/>
        </w:trPr>
        <w:tc>
          <w:tcPr>
            <w:tcW w:w="61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Net change in unrealized (depreciation) appreciation included in earnings</w:t>
            </w:r>
          </w:p>
        </w:tc>
        <w:tc>
          <w:tcPr>
            <w:tcW w:w="28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3"/>
                <w:szCs w:val="13"/>
                <w:color w:val="auto"/>
              </w:rPr>
            </w:pPr>
          </w:p>
        </w:tc>
      </w:tr>
      <w:tr>
        <w:trPr>
          <w:trHeight w:val="156"/>
        </w:trPr>
        <w:tc>
          <w:tcPr>
            <w:tcW w:w="61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3"/>
                <w:szCs w:val="13"/>
                <w:color w:val="auto"/>
              </w:rPr>
              <w:t>Borrowings</w:t>
            </w: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260,000</w:t>
            </w: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381,455</w:t>
            </w:r>
          </w:p>
        </w:tc>
        <w:tc>
          <w:tcPr>
            <w:tcW w:w="80" w:type="dxa"/>
            <w:vAlign w:val="bottom"/>
            <w:shd w:val="clear" w:color="auto" w:fill="CCECFF"/>
          </w:tcPr>
          <w:p>
            <w:pPr>
              <w:spacing w:after="0"/>
              <w:rPr>
                <w:sz w:val="13"/>
                <w:szCs w:val="13"/>
                <w:color w:val="auto"/>
              </w:rPr>
            </w:pPr>
          </w:p>
        </w:tc>
      </w:tr>
      <w:tr>
        <w:trPr>
          <w:trHeight w:val="156"/>
        </w:trPr>
        <w:tc>
          <w:tcPr>
            <w:tcW w:w="61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Repayments</w:t>
            </w:r>
          </w:p>
        </w:tc>
        <w:tc>
          <w:tcPr>
            <w:tcW w:w="28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(405,000)</w:t>
            </w:r>
          </w:p>
        </w:tc>
        <w:tc>
          <w:tcPr>
            <w:tcW w:w="2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(248,219)</w:t>
            </w:r>
          </w:p>
        </w:tc>
      </w:tr>
      <w:tr>
        <w:trPr>
          <w:trHeight w:val="196"/>
        </w:trPr>
        <w:tc>
          <w:tcPr>
            <w:tcW w:w="61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3"/>
                <w:szCs w:val="13"/>
                <w:color w:val="auto"/>
              </w:rPr>
              <w:t>Ending balance (cost – $298,855 and $218,855 respectively)</w:t>
            </w:r>
          </w:p>
        </w:tc>
        <w:tc>
          <w:tcPr>
            <w:tcW w:w="280" w:type="dxa"/>
            <w:vAlign w:val="bottom"/>
            <w:tcBorders>
              <w:bottom w:val="single" w:sz="8" w:color="auto"/>
            </w:tcBorders>
            <w:shd w:val="clear" w:color="auto" w:fill="CCEC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298,865</w:t>
            </w:r>
          </w:p>
        </w:tc>
        <w:tc>
          <w:tcPr>
            <w:tcW w:w="22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218,862</w:t>
            </w:r>
          </w:p>
        </w:tc>
        <w:tc>
          <w:tcPr>
            <w:tcW w:w="80" w:type="dxa"/>
            <w:vAlign w:val="bottom"/>
            <w:tcBorders>
              <w:bottom w:val="single" w:sz="8" w:color="CCECFF"/>
            </w:tcBorders>
            <w:shd w:val="clear" w:color="auto" w:fill="CCECFF"/>
          </w:tcPr>
          <w:p>
            <w:pPr>
              <w:spacing w:after="0"/>
              <w:rPr>
                <w:sz w:val="17"/>
                <w:szCs w:val="17"/>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As of June 30, 2025, we had outstanding non-U.S. dollar borrowings on our Credit Facility. The following table shows our non-U.S. dollar borrowings as of</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June 30, 2025 (CAD and $ in thousands):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56"/>
        </w:trPr>
        <w:tc>
          <w:tcPr>
            <w:tcW w:w="2140" w:type="dxa"/>
            <w:vAlign w:val="bottom"/>
          </w:tcPr>
          <w:p>
            <w:pPr>
              <w:spacing w:after="0"/>
              <w:rPr>
                <w:sz w:val="13"/>
                <w:szCs w:val="13"/>
                <w:color w:val="auto"/>
              </w:rPr>
            </w:pPr>
          </w:p>
        </w:tc>
        <w:tc>
          <w:tcPr>
            <w:tcW w:w="2000" w:type="dxa"/>
            <w:vAlign w:val="bottom"/>
          </w:tcPr>
          <w:p>
            <w:pPr>
              <w:jc w:val="center"/>
              <w:ind w:left="7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appreciation</w:t>
            </w:r>
          </w:p>
        </w:tc>
      </w:tr>
      <w:tr>
        <w:trPr>
          <w:trHeight w:val="170"/>
        </w:trPr>
        <w:tc>
          <w:tcPr>
            <w:tcW w:w="2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000" w:type="dxa"/>
            <w:vAlign w:val="bottom"/>
          </w:tcPr>
          <w:p>
            <w:pPr>
              <w:jc w:val="center"/>
              <w:ind w:left="734"/>
              <w:spacing w:after="0"/>
              <w:rPr>
                <w:sz w:val="20"/>
                <w:szCs w:val="20"/>
                <w:color w:val="auto"/>
              </w:rPr>
            </w:pPr>
            <w:r>
              <w:rPr>
                <w:rFonts w:ascii="Times New Roman" w:cs="Times New Roman" w:eastAsia="Times New Roman" w:hAnsi="Times New Roman"/>
                <w:sz w:val="13"/>
                <w:szCs w:val="13"/>
                <w:b w:val="1"/>
                <w:bCs w:val="1"/>
                <w:color w:val="auto"/>
              </w:rPr>
              <w:t>Borrowed</w:t>
            </w:r>
          </w:p>
        </w:tc>
        <w:tc>
          <w:tcPr>
            <w:tcW w:w="118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180" w:type="dxa"/>
            <w:vAlign w:val="bottom"/>
          </w:tcPr>
          <w:p>
            <w:pPr>
              <w:spacing w:after="0"/>
              <w:rPr>
                <w:sz w:val="14"/>
                <w:szCs w:val="14"/>
                <w:color w:val="auto"/>
              </w:rPr>
            </w:pP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(depreciation)</w:t>
            </w:r>
          </w:p>
        </w:tc>
      </w:tr>
      <w:tr>
        <w:trPr>
          <w:trHeight w:val="156"/>
        </w:trPr>
        <w:tc>
          <w:tcPr>
            <w:tcW w:w="21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Canadian Dollar</w:t>
            </w:r>
          </w:p>
        </w:tc>
        <w:tc>
          <w:tcPr>
            <w:tcW w:w="2000" w:type="dxa"/>
            <w:vAlign w:val="bottom"/>
            <w:shd w:val="clear" w:color="auto" w:fill="CCECFF"/>
          </w:tcPr>
          <w:p>
            <w:pPr>
              <w:ind w:left="1280"/>
              <w:spacing w:after="0"/>
              <w:rPr>
                <w:sz w:val="20"/>
                <w:szCs w:val="20"/>
                <w:color w:val="auto"/>
              </w:rPr>
            </w:pPr>
            <w:r>
              <w:rPr>
                <w:rFonts w:ascii="Times New Roman" w:cs="Times New Roman" w:eastAsia="Times New Roman" w:hAnsi="Times New Roman"/>
                <w:sz w:val="13"/>
                <w:szCs w:val="13"/>
                <w:color w:val="auto"/>
              </w:rPr>
              <w:t>CAD 2,000</w:t>
            </w:r>
          </w:p>
        </w:tc>
        <w:tc>
          <w:tcPr>
            <w:tcW w:w="480" w:type="dxa"/>
            <w:vAlign w:val="bottom"/>
            <w:shd w:val="clear" w:color="auto" w:fill="CCEC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1,455</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1,466</w:t>
            </w:r>
          </w:p>
        </w:tc>
        <w:tc>
          <w:tcPr>
            <w:tcW w:w="1020" w:type="dxa"/>
            <w:vAlign w:val="bottom"/>
            <w:shd w:val="clear" w:color="auto" w:fill="CCECFF"/>
          </w:tcPr>
          <w:p>
            <w:pPr>
              <w:jc w:val="right"/>
              <w:ind w:right="274"/>
              <w:spacing w:after="0"/>
              <w:rPr>
                <w:sz w:val="20"/>
                <w:szCs w:val="20"/>
                <w:color w:val="auto"/>
              </w:rPr>
            </w:pPr>
            <w:r>
              <w:rPr>
                <w:rFonts w:ascii="Times New Roman" w:cs="Times New Roman" w:eastAsia="Times New Roman" w:hAnsi="Times New Roman"/>
                <w:sz w:val="13"/>
                <w:szCs w:val="13"/>
                <w:color w:val="auto"/>
              </w:rPr>
              <w:t>7/1/25</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w:t>
            </w:r>
          </w:p>
        </w:tc>
      </w:tr>
    </w:tbl>
    <w:p>
      <w:pPr>
        <w:spacing w:after="0" w:line="144" w:lineRule="exact"/>
        <w:rPr>
          <w:sz w:val="20"/>
          <w:szCs w:val="20"/>
          <w:color w:val="auto"/>
        </w:rPr>
      </w:pPr>
    </w:p>
    <w:p>
      <w:pPr>
        <w:ind w:left="60" w:right="400" w:firstLine="336"/>
        <w:spacing w:after="0" w:line="286" w:lineRule="auto"/>
        <w:rPr>
          <w:sz w:val="20"/>
          <w:szCs w:val="20"/>
          <w:color w:val="auto"/>
        </w:rPr>
      </w:pPr>
      <w:r>
        <w:rPr>
          <w:rFonts w:ascii="Times New Roman" w:cs="Times New Roman" w:eastAsia="Times New Roman" w:hAnsi="Times New Roman"/>
          <w:sz w:val="13"/>
          <w:szCs w:val="13"/>
          <w:color w:val="auto"/>
        </w:rPr>
        <w:t>As of September 30, 2024 we had outstanding non-U.S. dollar borrowings on our Credit Facility. The following table shows our non-U.S dollar borrowings (CAD and $ in thousands):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Unrealized</w:t>
            </w:r>
          </w:p>
        </w:tc>
      </w:tr>
      <w:tr>
        <w:trPr>
          <w:trHeight w:val="156"/>
        </w:trPr>
        <w:tc>
          <w:tcPr>
            <w:tcW w:w="2140" w:type="dxa"/>
            <w:vAlign w:val="bottom"/>
          </w:tcPr>
          <w:p>
            <w:pPr>
              <w:spacing w:after="0"/>
              <w:rPr>
                <w:sz w:val="13"/>
                <w:szCs w:val="13"/>
                <w:color w:val="auto"/>
              </w:rPr>
            </w:pPr>
          </w:p>
        </w:tc>
        <w:tc>
          <w:tcPr>
            <w:tcW w:w="2000" w:type="dxa"/>
            <w:vAlign w:val="bottom"/>
          </w:tcPr>
          <w:p>
            <w:pPr>
              <w:jc w:val="center"/>
              <w:ind w:left="7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appreciation</w:t>
            </w:r>
          </w:p>
        </w:tc>
      </w:tr>
      <w:tr>
        <w:trPr>
          <w:trHeight w:val="170"/>
        </w:trPr>
        <w:tc>
          <w:tcPr>
            <w:tcW w:w="2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000" w:type="dxa"/>
            <w:vAlign w:val="bottom"/>
          </w:tcPr>
          <w:p>
            <w:pPr>
              <w:jc w:val="center"/>
              <w:ind w:left="734"/>
              <w:spacing w:after="0"/>
              <w:rPr>
                <w:sz w:val="20"/>
                <w:szCs w:val="20"/>
                <w:color w:val="auto"/>
              </w:rPr>
            </w:pPr>
            <w:r>
              <w:rPr>
                <w:rFonts w:ascii="Times New Roman" w:cs="Times New Roman" w:eastAsia="Times New Roman" w:hAnsi="Times New Roman"/>
                <w:sz w:val="13"/>
                <w:szCs w:val="13"/>
                <w:b w:val="1"/>
                <w:bCs w:val="1"/>
                <w:color w:val="auto"/>
              </w:rPr>
              <w:t>Borrowed</w:t>
            </w:r>
          </w:p>
        </w:tc>
        <w:tc>
          <w:tcPr>
            <w:tcW w:w="118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160" w:type="dxa"/>
            <w:vAlign w:val="bottom"/>
          </w:tcPr>
          <w:p>
            <w:pPr>
              <w:spacing w:after="0"/>
              <w:rPr>
                <w:sz w:val="14"/>
                <w:szCs w:val="14"/>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(depreciation)</w:t>
            </w:r>
          </w:p>
        </w:tc>
      </w:tr>
      <w:tr>
        <w:trPr>
          <w:trHeight w:val="156"/>
        </w:trPr>
        <w:tc>
          <w:tcPr>
            <w:tcW w:w="21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Canadian Dollar</w:t>
            </w:r>
          </w:p>
        </w:tc>
        <w:tc>
          <w:tcPr>
            <w:tcW w:w="2000" w:type="dxa"/>
            <w:vAlign w:val="bottom"/>
            <w:shd w:val="clear" w:color="auto" w:fill="CCECFF"/>
          </w:tcPr>
          <w:p>
            <w:pPr>
              <w:ind w:left="1300"/>
              <w:spacing w:after="0"/>
              <w:rPr>
                <w:sz w:val="20"/>
                <w:szCs w:val="20"/>
                <w:color w:val="auto"/>
              </w:rPr>
            </w:pPr>
            <w:r>
              <w:rPr>
                <w:rFonts w:ascii="Times New Roman" w:cs="Times New Roman" w:eastAsia="Times New Roman" w:hAnsi="Times New Roman"/>
                <w:sz w:val="13"/>
                <w:szCs w:val="13"/>
                <w:color w:val="auto"/>
              </w:rPr>
              <w:t>CAD 2,000</w:t>
            </w:r>
          </w:p>
        </w:tc>
        <w:tc>
          <w:tcPr>
            <w:tcW w:w="480" w:type="dxa"/>
            <w:vAlign w:val="bottom"/>
            <w:shd w:val="clear" w:color="auto" w:fill="CCECFF"/>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1,455</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1,481</w:t>
            </w:r>
          </w:p>
        </w:tc>
        <w:tc>
          <w:tcPr>
            <w:tcW w:w="102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10/1/2024</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w:t>
            </w:r>
          </w:p>
        </w:tc>
      </w:tr>
    </w:tbl>
    <w:p>
      <w:pPr>
        <w:spacing w:after="0" w:line="144" w:lineRule="exact"/>
        <w:rPr>
          <w:sz w:val="20"/>
          <w:szCs w:val="20"/>
          <w:color w:val="auto"/>
        </w:rPr>
      </w:pPr>
    </w:p>
    <w:p>
      <w:pPr>
        <w:ind w:left="60" w:right="120" w:firstLine="336"/>
        <w:spacing w:after="0" w:line="25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$2.9 million and $3.3 million of expenses relating to amendment costs on the Credit Facility for the three and nine months ended June 30, 2025 and we incurred less than</w:t>
      </w:r>
    </w:p>
    <w:p>
      <w:pPr>
        <w:ind w:left="60" w:right="80"/>
        <w:spacing w:after="0" w:line="253" w:lineRule="auto"/>
        <w:rPr>
          <w:sz w:val="20"/>
          <w:szCs w:val="20"/>
          <w:color w:val="auto"/>
        </w:rPr>
      </w:pPr>
      <w:r>
        <w:rPr>
          <w:rFonts w:ascii="Times New Roman" w:cs="Times New Roman" w:eastAsia="Times New Roman" w:hAnsi="Times New Roman"/>
          <w:sz w:val="13"/>
          <w:szCs w:val="13"/>
          <w:color w:val="auto"/>
        </w:rPr>
        <w:t>$0.1 million of expenses relating to amendment costs on the Credit Facility during the three and nine months ended June 30, 2024.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including our 2026 Notes, 2031 Asset-Backed Debt, 2036 Asset-Backed Debt, 2036-R Asset-Backed Debt, and the 2037 Asset-Backed Debt.</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For the three and nine months ended June 30, 2025, the Credit Facility had a net change in unrealized appreciation (depreciation) of $(0.1) million and less than</w:t>
      </w:r>
    </w:p>
    <w:p>
      <w:pPr>
        <w:spacing w:after="0" w:line="21" w:lineRule="exact"/>
        <w:rPr>
          <w:sz w:val="20"/>
          <w:szCs w:val="20"/>
          <w:color w:val="auto"/>
        </w:rPr>
      </w:pPr>
    </w:p>
    <w:p>
      <w:pPr>
        <w:ind w:left="60" w:right="300"/>
        <w:spacing w:after="0" w:line="254" w:lineRule="auto"/>
        <w:rPr>
          <w:sz w:val="20"/>
          <w:szCs w:val="20"/>
          <w:color w:val="auto"/>
        </w:rPr>
      </w:pPr>
      <w:r>
        <w:rPr>
          <w:rFonts w:ascii="Times New Roman" w:cs="Times New Roman" w:eastAsia="Times New Roman" w:hAnsi="Times New Roman"/>
          <w:sz w:val="13"/>
          <w:szCs w:val="13"/>
          <w:color w:val="auto"/>
        </w:rPr>
        <w:t>$0.1 million, respectively. For the three and nine months ended June 30, 2024, the Credit Facility had a net change in unrealized appreciation (depreciation) of less than $0.1 million and ($0.1) million, respectively. As of June 30, 2025 and September 30, 2024, the net unrealized appreciation (depreciation) on the Credit Facility totaled approximately less than $(0.1) million and zero, respectively. We use a nationally recognized independent valuation service to measure the fair value of the Credit Facility in a manner consistent with the valuation process that our board of directors uses to value our investments.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6. TRANSACTIONS WITH AFFILIATED COMPANIES</w:t>
      </w:r>
    </w:p>
    <w:p>
      <w:pPr>
        <w:spacing w:after="0" w:line="165" w:lineRule="exact"/>
        <w:rPr>
          <w:sz w:val="20"/>
          <w:szCs w:val="20"/>
          <w:color w:val="auto"/>
        </w:rPr>
      </w:pPr>
    </w:p>
    <w:p>
      <w:pPr>
        <w:jc w:val="both"/>
        <w:ind w:left="60" w:right="160" w:firstLine="336"/>
        <w:spacing w:after="0" w:line="262" w:lineRule="auto"/>
        <w:rPr>
          <w:sz w:val="20"/>
          <w:szCs w:val="20"/>
          <w:color w:val="auto"/>
        </w:rPr>
      </w:pPr>
      <w:r>
        <w:rPr>
          <w:rFonts w:ascii="Times New Roman" w:cs="Times New Roman" w:eastAsia="Times New Roman" w:hAnsi="Times New Roman"/>
          <w:sz w:val="13"/>
          <w:szCs w:val="13"/>
          <w:color w:val="auto"/>
        </w:rPr>
        <w:t>An affiliated portfolio company is a company in which we have ownership of 5% or more of its voting securities. A portfolio company is generally presumed to be a non-controlled affiliate when we own at least 5% but less than 25% of its voting securities and a controlled affiliate generally when we own more than 25% of its voting securities. Transactions related to our funded investments with both controlled and non-controlled affiliates for the nine months ended June 30, 2025 and 2024 were as follows ($ in thousands):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6"/>
        </w:trPr>
        <w:tc>
          <w:tcPr>
            <w:tcW w:w="208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840" w:type="dxa"/>
            <w:vAlign w:val="bottom"/>
          </w:tcPr>
          <w:p>
            <w:pPr>
              <w:spacing w:after="0"/>
              <w:rPr>
                <w:sz w:val="13"/>
                <w:szCs w:val="13"/>
                <w:color w:val="auto"/>
              </w:rPr>
            </w:pPr>
          </w:p>
        </w:tc>
      </w:tr>
      <w:tr>
        <w:trPr>
          <w:trHeight w:val="156"/>
        </w:trPr>
        <w:tc>
          <w:tcPr>
            <w:tcW w:w="208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September</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Appreciation</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Net Realized</w:t>
            </w:r>
          </w:p>
        </w:tc>
      </w:tr>
      <w:tr>
        <w:trPr>
          <w:trHeight w:val="170"/>
        </w:trPr>
        <w:tc>
          <w:tcPr>
            <w:tcW w:w="2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Reductions</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Gains (Losses)</w:t>
            </w:r>
          </w:p>
        </w:tc>
      </w:tr>
      <w:tr>
        <w:trPr>
          <w:trHeight w:val="156"/>
        </w:trPr>
        <w:tc>
          <w:tcPr>
            <w:tcW w:w="2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36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r>
      <w:tr>
        <w:trPr>
          <w:trHeight w:val="156"/>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Marketplace Events, LLC**</w:t>
            </w:r>
          </w:p>
        </w:tc>
        <w:tc>
          <w:tcPr>
            <w:tcW w:w="3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$57,107</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$(24,337)</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5,062</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$22,811</w:t>
            </w:r>
          </w:p>
        </w:tc>
      </w:tr>
      <w:tr>
        <w:trPr>
          <w:trHeight w:val="144"/>
        </w:trPr>
        <w:tc>
          <w:tcPr>
            <w:tcW w:w="208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PennantPark Senior Secured Loan</w:t>
            </w:r>
          </w:p>
        </w:tc>
        <w:tc>
          <w:tcPr>
            <w:tcW w:w="36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r>
      <w:tr>
        <w:trPr>
          <w:trHeight w:val="168"/>
        </w:trPr>
        <w:tc>
          <w:tcPr>
            <w:tcW w:w="20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Fund I LLC *</w:t>
            </w:r>
          </w:p>
        </w:tc>
        <w:tc>
          <w:tcPr>
            <w:tcW w:w="36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w w:val="99"/>
              </w:rPr>
              <w:t>294,128</w:t>
            </w:r>
          </w:p>
        </w:tc>
        <w:tc>
          <w:tcPr>
            <w:tcW w:w="100" w:type="dxa"/>
            <w:vAlign w:val="bottom"/>
            <w:shd w:val="clear" w:color="auto" w:fill="CCECFF"/>
          </w:tcPr>
          <w:p>
            <w:pPr>
              <w:spacing w:after="0"/>
              <w:rPr>
                <w:sz w:val="14"/>
                <w:szCs w:val="14"/>
                <w:color w:val="auto"/>
              </w:rPr>
            </w:pPr>
          </w:p>
        </w:tc>
        <w:tc>
          <w:tcPr>
            <w:tcW w:w="8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21,875</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(25,064)</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290,939</w:t>
            </w:r>
          </w:p>
        </w:tc>
        <w:tc>
          <w:tcPr>
            <w:tcW w:w="94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22,464</w:t>
            </w: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12,688</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w w:val="99"/>
              </w:rPr>
              <w:t>351,235</w:t>
            </w:r>
          </w:p>
        </w:tc>
        <w:tc>
          <w:tcPr>
            <w:tcW w:w="10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$26,089</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$(49,401)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$290,939</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$27,526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$12,994</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$22,811</w:t>
            </w:r>
          </w:p>
        </w:tc>
      </w:tr>
      <w:tr>
        <w:trPr>
          <w:trHeight w:val="20"/>
        </w:trPr>
        <w:tc>
          <w:tcPr>
            <w:tcW w:w="2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60" w:right="100" w:firstLine="6"/>
        <w:spacing w:after="0" w:line="259" w:lineRule="auto"/>
        <w:tabs>
          <w:tab w:leader="none" w:pos="132" w:val="left"/>
        </w:tabs>
        <w:numPr>
          <w:ilvl w:val="0"/>
          <w:numId w:val="15"/>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1"/>
          <w:szCs w:val="11"/>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6" w:lineRule="exact"/>
        <w:rPr>
          <w:rFonts w:ascii="Times New Roman" w:cs="Times New Roman" w:eastAsia="Times New Roman" w:hAnsi="Times New Roman"/>
          <w:sz w:val="10"/>
          <w:szCs w:val="10"/>
          <w:b w:val="1"/>
          <w:bCs w:val="1"/>
          <w:color w:val="auto"/>
        </w:rPr>
      </w:pPr>
    </w:p>
    <w:p>
      <w:pPr>
        <w:ind w:left="60"/>
        <w:spacing w:after="0"/>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1"/>
          <w:szCs w:val="11"/>
          <w:color w:val="auto"/>
        </w:rPr>
        <w:t>** Marketplace was sold during the Q1 2025 quarter.</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7"/>
              </w:rPr>
              <w:t>Sale of/</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1"/>
              </w:rPr>
              <w:t>at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60" w:type="dxa"/>
            <w:vAlign w:val="bottom"/>
          </w:tcPr>
          <w:p>
            <w:pPr>
              <w:spacing w:after="0"/>
              <w:rPr>
                <w:sz w:val="13"/>
                <w:szCs w:val="13"/>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Appreciation</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Net Realized</w:t>
            </w:r>
          </w:p>
        </w:tc>
      </w:tr>
      <w:tr>
        <w:trPr>
          <w:trHeight w:val="156"/>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September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from</w:t>
            </w:r>
          </w:p>
        </w:tc>
        <w:tc>
          <w:tcPr>
            <w:tcW w:w="160" w:type="dxa"/>
            <w:vAlign w:val="bottom"/>
          </w:tcPr>
          <w:p>
            <w:pPr>
              <w:spacing w:after="0"/>
              <w:rPr>
                <w:sz w:val="13"/>
                <w:szCs w:val="13"/>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(Depreciatio</w:t>
            </w:r>
          </w:p>
        </w:tc>
        <w:tc>
          <w:tcPr>
            <w:tcW w:w="12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Gains</w:t>
            </w:r>
          </w:p>
        </w:tc>
      </w:tr>
      <w:tr>
        <w:trPr>
          <w:trHeight w:val="170"/>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30, 2023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Affiliates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w:t>
            </w:r>
          </w:p>
        </w:tc>
        <w:tc>
          <w:tcPr>
            <w:tcW w:w="12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(Losses)</w:t>
            </w:r>
          </w:p>
        </w:tc>
      </w:tr>
      <w:tr>
        <w:trPr>
          <w:trHeight w:val="156"/>
        </w:trPr>
        <w:tc>
          <w:tcPr>
            <w:tcW w:w="17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Marketplace Events, LLC</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34,027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7,602</w:t>
            </w:r>
          </w:p>
        </w:tc>
        <w:tc>
          <w:tcPr>
            <w:tcW w:w="8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5,868</w:t>
            </w:r>
          </w:p>
        </w:tc>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47,497</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3,755</w:t>
            </w:r>
          </w:p>
        </w:tc>
        <w:tc>
          <w:tcPr>
            <w:tcW w:w="8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178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PennantPark Senior Secured</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17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Loan Fund I LLC *</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260,969</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4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39,375</w:t>
            </w: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6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(3,349)</w:t>
            </w:r>
          </w:p>
        </w:tc>
        <w:tc>
          <w:tcPr>
            <w:tcW w:w="120" w:type="dxa"/>
            <w:vAlign w:val="bottom"/>
            <w:shd w:val="clear" w:color="auto" w:fill="CCECFF"/>
          </w:tcPr>
          <w:p>
            <w:pPr>
              <w:spacing w:after="0"/>
              <w:rPr>
                <w:sz w:val="13"/>
                <w:szCs w:val="13"/>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296,995</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21,840</w:t>
            </w:r>
          </w:p>
        </w:tc>
        <w:tc>
          <w:tcPr>
            <w:tcW w:w="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10,938</w:t>
            </w:r>
          </w:p>
        </w:tc>
        <w:tc>
          <w:tcPr>
            <w:tcW w:w="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80" w:type="dxa"/>
            <w:vAlign w:val="bottom"/>
            <w:gridSpan w:val="2"/>
            <w:shd w:val="clear" w:color="auto" w:fill="CCECFF"/>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294,996</w:t>
            </w:r>
          </w:p>
        </w:tc>
        <w:tc>
          <w:tcPr>
            <w:tcW w:w="8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46,977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w:t>
            </w:r>
          </w:p>
        </w:tc>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344,492</w:t>
            </w:r>
          </w:p>
        </w:tc>
        <w:tc>
          <w:tcPr>
            <w:tcW w:w="8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25,595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60" w:right="100" w:firstLine="6"/>
        <w:spacing w:after="0" w:line="259" w:lineRule="auto"/>
        <w:tabs>
          <w:tab w:leader="none" w:pos="144"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7. CHANGE IN NET ASSETS FROM OPERATIONS PER COMMON SHARE</w:t>
      </w:r>
    </w:p>
    <w:p>
      <w:pPr>
        <w:spacing w:after="0" w:line="165" w:lineRule="exact"/>
        <w:rPr>
          <w:sz w:val="20"/>
          <w:szCs w:val="20"/>
          <w:color w:val="auto"/>
        </w:rPr>
      </w:pPr>
    </w:p>
    <w:p>
      <w:pPr>
        <w:ind w:left="540" w:right="1520" w:hanging="131"/>
        <w:spacing w:after="0" w:line="286" w:lineRule="auto"/>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per share net increase in net assets resulting from operations ($ in thousands, except per share data):</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gridSpan w:val="3"/>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280" w:type="dxa"/>
            <w:vAlign w:val="bottom"/>
          </w:tcPr>
          <w:p>
            <w:pPr>
              <w:spacing w:after="0"/>
              <w:rPr>
                <w:sz w:val="13"/>
                <w:szCs w:val="13"/>
                <w:color w:val="auto"/>
              </w:rPr>
            </w:pPr>
          </w:p>
        </w:tc>
        <w:tc>
          <w:tcPr>
            <w:tcW w:w="2280" w:type="dxa"/>
            <w:vAlign w:val="bottom"/>
            <w:gridSpan w:val="3"/>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r>
      <w:tr>
        <w:trPr>
          <w:trHeight w:val="170"/>
        </w:trPr>
        <w:tc>
          <w:tcPr>
            <w:tcW w:w="3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Pr>
          <w:p>
            <w:pPr>
              <w:spacing w:after="0"/>
              <w:rPr>
                <w:sz w:val="14"/>
                <w:szCs w:val="14"/>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4"/>
                <w:szCs w:val="14"/>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Pr>
          <w:p>
            <w:pPr>
              <w:spacing w:after="0"/>
              <w:rPr>
                <w:sz w:val="14"/>
                <w:szCs w:val="14"/>
                <w:color w:val="auto"/>
              </w:rPr>
            </w:pPr>
          </w:p>
        </w:tc>
        <w:tc>
          <w:tcPr>
            <w:tcW w:w="102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6"/>
        </w:trPr>
        <w:tc>
          <w:tcPr>
            <w:tcW w:w="3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Numerator for net increase in net assets resulting from operations</w:t>
            </w:r>
          </w:p>
        </w:tc>
        <w:tc>
          <w:tcPr>
            <w:tcW w:w="3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19,298</w:t>
            </w:r>
          </w:p>
        </w:tc>
        <w:tc>
          <w:tcPr>
            <w:tcW w:w="32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16,920</w:t>
            </w:r>
          </w:p>
        </w:tc>
        <w:tc>
          <w:tcPr>
            <w:tcW w:w="2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48,852</w:t>
            </w:r>
          </w:p>
        </w:tc>
        <w:tc>
          <w:tcPr>
            <w:tcW w:w="32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70,499</w:t>
            </w:r>
          </w:p>
        </w:tc>
      </w:tr>
      <w:tr>
        <w:trPr>
          <w:trHeight w:val="156"/>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Denominator for basic and diluted weighted average shares</w:t>
            </w:r>
          </w:p>
        </w:tc>
        <w:tc>
          <w:tcPr>
            <w:tcW w:w="380" w:type="dxa"/>
            <w:vAlign w:val="bottom"/>
          </w:tcPr>
          <w:p>
            <w:pPr>
              <w:spacing w:after="0"/>
              <w:rPr>
                <w:sz w:val="13"/>
                <w:szCs w:val="13"/>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99,217,896</w:t>
            </w:r>
          </w:p>
        </w:tc>
        <w:tc>
          <w:tcPr>
            <w:tcW w:w="32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68,481,874</w:t>
            </w:r>
          </w:p>
        </w:tc>
        <w:tc>
          <w:tcPr>
            <w:tcW w:w="280" w:type="dxa"/>
            <w:vAlign w:val="bottom"/>
          </w:tcPr>
          <w:p>
            <w:pPr>
              <w:spacing w:after="0"/>
              <w:rPr>
                <w:sz w:val="13"/>
                <w:szCs w:val="1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90,291,815</w:t>
            </w:r>
          </w:p>
        </w:tc>
        <w:tc>
          <w:tcPr>
            <w:tcW w:w="320" w:type="dxa"/>
            <w:vAlign w:val="bottom"/>
          </w:tcPr>
          <w:p>
            <w:pPr>
              <w:spacing w:after="0"/>
              <w:rPr>
                <w:sz w:val="13"/>
                <w:szCs w:val="13"/>
                <w:color w:val="auto"/>
              </w:rPr>
            </w:pPr>
          </w:p>
        </w:tc>
        <w:tc>
          <w:tcPr>
            <w:tcW w:w="10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62,774,693</w:t>
            </w:r>
          </w:p>
        </w:tc>
      </w:tr>
      <w:tr>
        <w:trPr>
          <w:trHeight w:val="144"/>
        </w:trPr>
        <w:tc>
          <w:tcPr>
            <w:tcW w:w="374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Basic and diluted net increase in net assets per share resulting from</w:t>
            </w:r>
          </w:p>
        </w:tc>
        <w:tc>
          <w:tcPr>
            <w:tcW w:w="3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r>
      <w:tr>
        <w:trPr>
          <w:trHeight w:val="168"/>
        </w:trPr>
        <w:tc>
          <w:tcPr>
            <w:tcW w:w="374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operations</w:t>
            </w:r>
          </w:p>
        </w:tc>
        <w:tc>
          <w:tcPr>
            <w:tcW w:w="3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0.19</w:t>
            </w:r>
          </w:p>
        </w:tc>
        <w:tc>
          <w:tcPr>
            <w:tcW w:w="32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0.25</w:t>
            </w:r>
          </w:p>
        </w:tc>
        <w:tc>
          <w:tcPr>
            <w:tcW w:w="2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0.54</w:t>
            </w:r>
          </w:p>
        </w:tc>
        <w:tc>
          <w:tcPr>
            <w:tcW w:w="32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1.12</w:t>
            </w:r>
          </w:p>
        </w:tc>
      </w:tr>
    </w:tbl>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8. CASH AND CASH EQUIVALENTS</w:t>
      </w:r>
    </w:p>
    <w:p>
      <w:pPr>
        <w:spacing w:after="0" w:line="165" w:lineRule="exact"/>
        <w:rPr>
          <w:sz w:val="20"/>
          <w:szCs w:val="20"/>
          <w:color w:val="auto"/>
        </w:rPr>
      </w:pPr>
    </w:p>
    <w:p>
      <w:pPr>
        <w:ind w:left="60" w:right="160" w:firstLine="336"/>
        <w:spacing w:after="0" w:line="254"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and for other general purposes.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2025, cash and cash equivalents consisted of money market funds and non-money market fund in the amounts of $39.2 million and $63.5 million. As of September 30, 2024, cash and cash equivalents consisted of money market funds and non-money market fund in the amounts of $22.2 million and $89.8 million at fair value, respectively.</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5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9. FINANCIAL HIGHLIGHTS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20" w:type="dxa"/>
            <w:vAlign w:val="bottom"/>
          </w:tcPr>
          <w:p>
            <w:pPr>
              <w:spacing w:after="0"/>
              <w:rPr>
                <w:sz w:val="24"/>
                <w:szCs w:val="24"/>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Below are the financial highlights ($ in thousands, except per share data):</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760" w:type="dxa"/>
            <w:vAlign w:val="bottom"/>
            <w:gridSpan w:val="5"/>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94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Net asset value, beginning of period</w:t>
            </w:r>
          </w:p>
        </w:tc>
        <w:tc>
          <w:tcPr>
            <w:tcW w:w="94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200" w:type="dxa"/>
            <w:vAlign w:val="bottom"/>
          </w:tcPr>
          <w:p>
            <w:pPr>
              <w:spacing w:after="0"/>
              <w:rPr>
                <w:sz w:val="13"/>
                <w:szCs w:val="13"/>
                <w:color w:val="auto"/>
              </w:rPr>
            </w:pPr>
          </w:p>
        </w:tc>
        <w:tc>
          <w:tcPr>
            <w:tcW w:w="1000" w:type="dxa"/>
            <w:vAlign w:val="bottom"/>
            <w:gridSpan w:val="2"/>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6"/>
                <w:szCs w:val="16"/>
                <w:color w:val="auto"/>
                <w:vertAlign w:val="superscript"/>
              </w:rPr>
              <w:t>(1)</w:t>
            </w:r>
          </w:p>
        </w:tc>
        <w:tc>
          <w:tcPr>
            <w:tcW w:w="94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0.88</w:t>
            </w:r>
          </w:p>
        </w:tc>
        <w:tc>
          <w:tcPr>
            <w:tcW w:w="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0.95</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Net change in realized and unrealized gain (loss) </w:t>
            </w:r>
            <w:r>
              <w:rPr>
                <w:rFonts w:ascii="Times New Roman" w:cs="Times New Roman" w:eastAsia="Times New Roman" w:hAnsi="Times New Roman"/>
                <w:sz w:val="16"/>
                <w:szCs w:val="16"/>
                <w:color w:val="auto"/>
                <w:vertAlign w:val="superscript"/>
              </w:rPr>
              <w:t>(1)</w:t>
            </w:r>
          </w:p>
        </w:tc>
        <w:tc>
          <w:tcPr>
            <w:tcW w:w="9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(0.34)</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0.17</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Net increase (decrease) in net assets resulting from operations </w:t>
            </w:r>
            <w:r>
              <w:rPr>
                <w:rFonts w:ascii="Times New Roman" w:cs="Times New Roman" w:eastAsia="Times New Roman" w:hAnsi="Times New Roman"/>
                <w:sz w:val="16"/>
                <w:szCs w:val="16"/>
                <w:color w:val="auto"/>
                <w:vertAlign w:val="superscript"/>
              </w:rPr>
              <w:t>(1)</w:t>
            </w:r>
          </w:p>
        </w:tc>
        <w:tc>
          <w:tcPr>
            <w:tcW w:w="94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0.54</w:t>
            </w:r>
          </w:p>
        </w:tc>
        <w:tc>
          <w:tcPr>
            <w:tcW w:w="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1.12</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6"/>
                <w:szCs w:val="16"/>
                <w:color w:val="auto"/>
                <w:vertAlign w:val="superscript"/>
              </w:rPr>
              <w:t>(1), (2)</w:t>
            </w:r>
          </w:p>
        </w:tc>
        <w:tc>
          <w:tcPr>
            <w:tcW w:w="9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(0.92)</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(0.92)</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Accretive effect of common stock issuance</w:t>
            </w:r>
          </w:p>
        </w:tc>
        <w:tc>
          <w:tcPr>
            <w:tcW w:w="94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0.03</w:t>
            </w:r>
          </w:p>
        </w:tc>
        <w:tc>
          <w:tcPr>
            <w:tcW w:w="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0.01</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Net asset value, end of period</w:t>
            </w:r>
          </w:p>
        </w:tc>
        <w:tc>
          <w:tcPr>
            <w:tcW w:w="94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200" w:type="dxa"/>
            <w:vAlign w:val="bottom"/>
          </w:tcPr>
          <w:p>
            <w:pPr>
              <w:spacing w:after="0"/>
              <w:rPr>
                <w:sz w:val="13"/>
                <w:szCs w:val="13"/>
                <w:color w:val="auto"/>
              </w:rPr>
            </w:pPr>
          </w:p>
        </w:tc>
        <w:tc>
          <w:tcPr>
            <w:tcW w:w="1000" w:type="dxa"/>
            <w:vAlign w:val="bottom"/>
            <w:gridSpan w:val="2"/>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38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tcBorders>
              <w:bottom w:val="single" w:sz="8" w:color="CCECFF"/>
            </w:tcBorders>
            <w:shd w:val="clear" w:color="auto" w:fill="CCECFF"/>
          </w:tcPr>
          <w:p>
            <w:pPr>
              <w:spacing w:after="0" w:line="133" w:lineRule="exact"/>
              <w:rPr>
                <w:sz w:val="20"/>
                <w:szCs w:val="20"/>
                <w:color w:val="auto"/>
              </w:rPr>
            </w:pPr>
            <w:r>
              <w:rPr>
                <w:rFonts w:ascii="Times New Roman" w:cs="Times New Roman" w:eastAsia="Times New Roman" w:hAnsi="Times New Roman"/>
                <w:sz w:val="13"/>
                <w:szCs w:val="13"/>
                <w:color w:val="auto"/>
              </w:rPr>
              <w:t>Per share market value, end of period</w:t>
            </w:r>
          </w:p>
        </w:tc>
        <w:tc>
          <w:tcPr>
            <w:tcW w:w="940" w:type="dxa"/>
            <w:vAlign w:val="bottom"/>
            <w:tcBorders>
              <w:bottom w:val="single" w:sz="8" w:color="auto"/>
            </w:tcBorders>
            <w:shd w:val="clear" w:color="auto" w:fill="CCEC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10.33</w:t>
            </w:r>
          </w:p>
        </w:tc>
        <w:tc>
          <w:tcPr>
            <w:tcW w:w="20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bottom w:val="single" w:sz="8" w:color="CCECFF"/>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ind w:right="7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3"/>
                <w:szCs w:val="13"/>
                <w:color w:val="auto"/>
              </w:rPr>
              <w:t>11.54</w:t>
            </w:r>
          </w:p>
        </w:tc>
        <w:tc>
          <w:tcPr>
            <w:tcW w:w="120" w:type="dxa"/>
            <w:vAlign w:val="bottom"/>
            <w:tcBorders>
              <w:bottom w:val="single" w:sz="8" w:color="CCECFF"/>
            </w:tcBorders>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 xml:space="preserve">Total return </w:t>
            </w:r>
            <w:r>
              <w:rPr>
                <w:rFonts w:ascii="Times New Roman" w:cs="Times New Roman" w:eastAsia="Times New Roman" w:hAnsi="Times New Roman"/>
                <w:sz w:val="15"/>
                <w:szCs w:val="15"/>
                <w:color w:val="auto"/>
                <w:vertAlign w:val="superscript"/>
              </w:rPr>
              <w:t>*(3)</w:t>
            </w:r>
          </w:p>
        </w:tc>
        <w:tc>
          <w:tcPr>
            <w:tcW w:w="940" w:type="dxa"/>
            <w:vAlign w:val="bottom"/>
          </w:tcPr>
          <w:p>
            <w:pPr>
              <w:spacing w:after="0"/>
              <w:rPr>
                <w:sz w:val="11"/>
                <w:szCs w:val="11"/>
                <w:color w:val="auto"/>
              </w:rPr>
            </w:pPr>
          </w:p>
        </w:tc>
        <w:tc>
          <w:tcPr>
            <w:tcW w:w="8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-2.77%</w:t>
            </w: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17.45%</w:t>
            </w:r>
          </w:p>
        </w:tc>
        <w:tc>
          <w:tcPr>
            <w:tcW w:w="20" w:type="dxa"/>
            <w:vAlign w:val="bottom"/>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Shares outstanding at end of period</w:t>
            </w:r>
          </w:p>
        </w:tc>
        <w:tc>
          <w:tcPr>
            <w:tcW w:w="94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99,217,896</w:t>
            </w: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71,998,138</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line="156" w:lineRule="exact"/>
              <w:rPr>
                <w:sz w:val="20"/>
                <w:szCs w:val="20"/>
                <w:color w:val="auto"/>
              </w:rPr>
            </w:pPr>
            <w:r>
              <w:rPr>
                <w:rFonts w:ascii="Times New Roman" w:cs="Times New Roman" w:eastAsia="Times New Roman" w:hAnsi="Times New Roman"/>
                <w:sz w:val="13"/>
                <w:szCs w:val="13"/>
                <w:b w:val="1"/>
                <w:bCs w:val="1"/>
                <w:color w:val="auto"/>
              </w:rPr>
              <w:t>Ratios</w:t>
            </w:r>
            <w:r>
              <w:rPr>
                <w:rFonts w:ascii="Times New Roman" w:cs="Times New Roman" w:eastAsia="Times New Roman" w:hAnsi="Times New Roman"/>
                <w:sz w:val="16"/>
                <w:szCs w:val="16"/>
                <w:b w:val="1"/>
                <w:bCs w:val="1"/>
                <w:color w:val="auto"/>
                <w:vertAlign w:val="superscript"/>
              </w:rPr>
              <w:t>**</w:t>
            </w:r>
            <w:r>
              <w:rPr>
                <w:rFonts w:ascii="Times New Roman" w:cs="Times New Roman" w:eastAsia="Times New Roman" w:hAnsi="Times New Roman"/>
                <w:sz w:val="13"/>
                <w:szCs w:val="13"/>
                <w:b w:val="1"/>
                <w:bCs w:val="1"/>
                <w:color w:val="auto"/>
              </w:rPr>
              <w:t xml:space="preserve"> / Supplemental Data:</w:t>
            </w: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6"/>
                <w:szCs w:val="16"/>
                <w:color w:val="auto"/>
                <w:vertAlign w:val="superscript"/>
              </w:rPr>
              <w:t>(4)</w:t>
            </w:r>
          </w:p>
        </w:tc>
        <w:tc>
          <w:tcPr>
            <w:tcW w:w="94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5.56%</w:t>
            </w:r>
          </w:p>
        </w:tc>
        <w:tc>
          <w:tcPr>
            <w:tcW w:w="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Ratio of debt related expenses to average net assets** </w:t>
            </w:r>
            <w:r>
              <w:rPr>
                <w:rFonts w:ascii="Times New Roman" w:cs="Times New Roman" w:eastAsia="Times New Roman" w:hAnsi="Times New Roman"/>
                <w:sz w:val="16"/>
                <w:szCs w:val="16"/>
                <w:color w:val="auto"/>
                <w:vertAlign w:val="superscript"/>
              </w:rPr>
              <w:t>(5)</w:t>
            </w:r>
          </w:p>
        </w:tc>
        <w:tc>
          <w:tcPr>
            <w:tcW w:w="9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9.23%</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Ratio of total expenses to average net assets** </w:t>
            </w:r>
            <w:r>
              <w:rPr>
                <w:rFonts w:ascii="Times New Roman" w:cs="Times New Roman" w:eastAsia="Times New Roman" w:hAnsi="Times New Roman"/>
                <w:sz w:val="16"/>
                <w:szCs w:val="16"/>
                <w:color w:val="auto"/>
                <w:vertAlign w:val="superscript"/>
              </w:rPr>
              <w:t>(5)</w:t>
            </w:r>
          </w:p>
        </w:tc>
        <w:tc>
          <w:tcPr>
            <w:tcW w:w="94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14.79%</w:t>
            </w:r>
          </w:p>
        </w:tc>
        <w:tc>
          <w:tcPr>
            <w:tcW w:w="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13.34%</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6"/>
                <w:szCs w:val="16"/>
                <w:color w:val="auto"/>
                <w:vertAlign w:val="superscript"/>
              </w:rPr>
              <w:t>(5)</w:t>
            </w:r>
          </w:p>
        </w:tc>
        <w:tc>
          <w:tcPr>
            <w:tcW w:w="9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10.62%</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11.23%</w:t>
            </w: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940" w:type="dxa"/>
            <w:vAlign w:val="bottom"/>
            <w:shd w:val="clear" w:color="auto" w:fill="CCEC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1,087,513</w:t>
            </w:r>
          </w:p>
        </w:tc>
        <w:tc>
          <w:tcPr>
            <w:tcW w:w="20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816,726</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debt outstanding</w:t>
            </w:r>
          </w:p>
        </w:tc>
        <w:tc>
          <w:tcPr>
            <w:tcW w:w="94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1,350,703</w:t>
            </w:r>
          </w:p>
        </w:tc>
        <w:tc>
          <w:tcPr>
            <w:tcW w:w="200" w:type="dxa"/>
            <w:vAlign w:val="bottom"/>
          </w:tcPr>
          <w:p>
            <w:pPr>
              <w:spacing w:after="0"/>
              <w:rPr>
                <w:sz w:val="13"/>
                <w:szCs w:val="13"/>
                <w:color w:val="auto"/>
              </w:rPr>
            </w:pPr>
          </w:p>
        </w:tc>
        <w:tc>
          <w:tcPr>
            <w:tcW w:w="1000" w:type="dxa"/>
            <w:vAlign w:val="bottom"/>
            <w:gridSpan w:val="2"/>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730,296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Weighted average debt per share </w:t>
            </w:r>
            <w:r>
              <w:rPr>
                <w:rFonts w:ascii="Times New Roman" w:cs="Times New Roman" w:eastAsia="Times New Roman" w:hAnsi="Times New Roman"/>
                <w:sz w:val="16"/>
                <w:szCs w:val="16"/>
                <w:color w:val="auto"/>
                <w:vertAlign w:val="superscript"/>
              </w:rPr>
              <w:t>(1)</w:t>
            </w:r>
          </w:p>
        </w:tc>
        <w:tc>
          <w:tcPr>
            <w:tcW w:w="940" w:type="dxa"/>
            <w:vAlign w:val="bottom"/>
            <w:shd w:val="clear" w:color="auto" w:fill="CCEC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20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6"/>
                <w:szCs w:val="16"/>
                <w:color w:val="auto"/>
                <w:vertAlign w:val="superscript"/>
              </w:rPr>
              <w:t>(6)</w:t>
            </w:r>
          </w:p>
        </w:tc>
        <w:tc>
          <w:tcPr>
            <w:tcW w:w="94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200" w:type="dxa"/>
            <w:vAlign w:val="bottom"/>
          </w:tcPr>
          <w:p>
            <w:pPr>
              <w:spacing w:after="0"/>
              <w:rPr>
                <w:sz w:val="13"/>
                <w:szCs w:val="13"/>
                <w:color w:val="auto"/>
              </w:rPr>
            </w:pPr>
          </w:p>
        </w:tc>
        <w:tc>
          <w:tcPr>
            <w:tcW w:w="1000" w:type="dxa"/>
            <w:vAlign w:val="bottom"/>
            <w:gridSpan w:val="2"/>
          </w:tcPr>
          <w:p>
            <w:pPr>
              <w:jc w:val="right"/>
              <w:ind w:right="79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color w:val="auto"/>
              </w:rPr>
              <w:t>Portfolio turnover rate</w:t>
            </w:r>
            <w:r>
              <w:rPr>
                <w:rFonts w:ascii="Times New Roman" w:cs="Times New Roman" w:eastAsia="Times New Roman" w:hAnsi="Times New Roman"/>
                <w:sz w:val="16"/>
                <w:szCs w:val="16"/>
                <w:color w:val="auto"/>
                <w:vertAlign w:val="superscript"/>
              </w:rPr>
              <w:t>*</w:t>
            </w:r>
          </w:p>
        </w:tc>
        <w:tc>
          <w:tcPr>
            <w:tcW w:w="940" w:type="dxa"/>
            <w:vAlign w:val="bottom"/>
            <w:shd w:val="clear" w:color="auto" w:fill="CCECFF"/>
          </w:tcPr>
          <w:p>
            <w:pPr>
              <w:spacing w:after="0"/>
              <w:rPr>
                <w:sz w:val="13"/>
                <w:szCs w:val="13"/>
                <w:color w:val="auto"/>
              </w:rPr>
            </w:pPr>
          </w:p>
        </w:tc>
        <w:tc>
          <w:tcPr>
            <w:tcW w:w="8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25.09%</w:t>
            </w:r>
          </w:p>
        </w:tc>
        <w:tc>
          <w:tcPr>
            <w:tcW w:w="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20" w:type="dxa"/>
            <w:vAlign w:val="bottom"/>
          </w:tcPr>
          <w:p>
            <w:pPr>
              <w:spacing w:after="0"/>
              <w:rPr>
                <w:sz w:val="13"/>
                <w:szCs w:val="13"/>
                <w:color w:val="auto"/>
              </w:rPr>
            </w:pPr>
          </w:p>
        </w:tc>
      </w:tr>
    </w:tbl>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auto"/>
        </w:rPr>
        <w:t>Note: The expense and investment income ratios above do not reflect the Company's proportionate share of income and expenses of PSSL and PTSF</w:t>
      </w:r>
    </w:p>
    <w:p>
      <w:pPr>
        <w:spacing w:after="0" w:line="125" w:lineRule="exact"/>
        <w:rPr>
          <w:sz w:val="20"/>
          <w:szCs w:val="20"/>
          <w:color w:val="auto"/>
        </w:rPr>
      </w:pPr>
    </w:p>
    <w:p>
      <w:pPr>
        <w:ind w:left="360" w:hanging="294"/>
        <w:spacing w:after="0"/>
        <w:tabs>
          <w:tab w:leader="none" w:pos="360" w:val="left"/>
        </w:tabs>
        <w:numPr>
          <w:ilvl w:val="0"/>
          <w:numId w:val="17"/>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Not annualized for periods less than one year.</w:t>
      </w:r>
    </w:p>
    <w:p>
      <w:pPr>
        <w:spacing w:after="0" w:line="9" w:lineRule="exact"/>
        <w:rPr>
          <w:sz w:val="20"/>
          <w:szCs w:val="20"/>
          <w:color w:val="auto"/>
        </w:rPr>
      </w:pPr>
    </w:p>
    <w:p>
      <w:pPr>
        <w:ind w:left="360" w:hanging="294"/>
        <w:spacing w:after="0"/>
        <w:tabs>
          <w:tab w:leader="none" w:pos="360" w:val="left"/>
        </w:tabs>
        <w:numPr>
          <w:ilvl w:val="0"/>
          <w:numId w:val="18"/>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Re-occurring investment income and expenses included in these ratios are annualized for periods less than one year</w:t>
      </w:r>
    </w:p>
    <w:p>
      <w:pPr>
        <w:spacing w:after="0" w:line="5" w:lineRule="exact"/>
        <w:rPr>
          <w:rFonts w:ascii="Times New Roman" w:cs="Times New Roman" w:eastAsia="Times New Roman" w:hAnsi="Times New Roman"/>
          <w:sz w:val="10"/>
          <w:szCs w:val="10"/>
          <w:b w:val="1"/>
          <w:bCs w:val="1"/>
          <w:color w:val="auto"/>
        </w:rPr>
      </w:pPr>
    </w:p>
    <w:p>
      <w:pPr>
        <w:ind w:left="60"/>
        <w:spacing w:after="0"/>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Based on the weighted average shares outstanding for the respective periods.</w:t>
      </w:r>
    </w:p>
    <w:p>
      <w:pPr>
        <w:spacing w:after="0" w:line="4" w:lineRule="exact"/>
        <w:rPr>
          <w:rFonts w:ascii="Times New Roman" w:cs="Times New Roman" w:eastAsia="Times New Roman" w:hAnsi="Times New Roman"/>
          <w:sz w:val="10"/>
          <w:szCs w:val="10"/>
          <w:b w:val="1"/>
          <w:bCs w:val="1"/>
          <w:color w:val="auto"/>
        </w:rPr>
      </w:pPr>
    </w:p>
    <w:p>
      <w:pPr>
        <w:ind w:left="60"/>
        <w:spacing w:after="0" w:line="184"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The tax status of distributions is calculated in accordance with income tax regulations, which may differ from amounts determined under GAAP, and reported on Form 1099-DIV each calendar year.</w:t>
      </w:r>
    </w:p>
    <w:p>
      <w:pPr>
        <w:ind w:left="60"/>
        <w:spacing w:after="0" w:line="184"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Based on the change in market price per share during the periods and assumes distributions, if any, are reinvested.</w:t>
      </w:r>
    </w:p>
    <w:p>
      <w:pPr>
        <w:ind w:left="60"/>
        <w:spacing w:after="0" w:line="184"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Excludes debt-related costs.</w:t>
      </w:r>
    </w:p>
    <w:p>
      <w:pPr>
        <w:ind w:left="60"/>
        <w:spacing w:after="0" w:line="192"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3"/>
          <w:szCs w:val="13"/>
          <w:color w:val="auto"/>
          <w:vertAlign w:val="superscript"/>
        </w:rPr>
        <w:t>(5)</w:t>
      </w:r>
      <w:r>
        <w:rPr>
          <w:rFonts w:ascii="Times New Roman" w:cs="Times New Roman" w:eastAsia="Times New Roman" w:hAnsi="Times New Roman"/>
          <w:sz w:val="7"/>
          <w:szCs w:val="7"/>
          <w:color w:val="auto"/>
        </w:rPr>
        <w:t>Includes interest and expenses on debt (annualized) as well as Credit Facility amendment and debt issuance costs, if any, (not annualized).</w:t>
      </w:r>
    </w:p>
    <w:p>
      <w:pPr>
        <w:ind w:left="60" w:right="400"/>
        <w:spacing w:after="0" w:line="202" w:lineRule="auto"/>
        <w:rPr>
          <w:sz w:val="20"/>
          <w:szCs w:val="20"/>
          <w:color w:val="auto"/>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0"/>
          <w:szCs w:val="10"/>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10. DEBT</w:t>
      </w:r>
    </w:p>
    <w:p>
      <w:pPr>
        <w:spacing w:after="0" w:line="165" w:lineRule="exact"/>
        <w:rPr>
          <w:sz w:val="20"/>
          <w:szCs w:val="20"/>
          <w:color w:val="auto"/>
        </w:rPr>
      </w:pPr>
    </w:p>
    <w:p>
      <w:pPr>
        <w:ind w:left="60" w:right="160" w:firstLine="336"/>
        <w:spacing w:after="0" w:line="286" w:lineRule="auto"/>
        <w:rPr>
          <w:sz w:val="20"/>
          <w:szCs w:val="20"/>
          <w:color w:val="auto"/>
        </w:rPr>
      </w:pPr>
      <w:r>
        <w:rPr>
          <w:rFonts w:ascii="Times New Roman" w:cs="Times New Roman" w:eastAsia="Times New Roman" w:hAnsi="Times New Roman"/>
          <w:sz w:val="13"/>
          <w:szCs w:val="13"/>
          <w:color w:val="auto"/>
        </w:rPr>
        <w:t>The annualized weighted average cost of debt for the nine months ended June 30, 2025 and 2024, inclusive of the fee on the undrawn commitment on the Credit Facility, amendment costs and debt issuance costs, was 6.9% and 7.3%, respectively.</w:t>
      </w:r>
    </w:p>
    <w:p>
      <w:pPr>
        <w:spacing w:after="0" w:line="112" w:lineRule="exact"/>
        <w:rPr>
          <w:sz w:val="20"/>
          <w:szCs w:val="20"/>
          <w:color w:val="auto"/>
        </w:rPr>
      </w:pPr>
    </w:p>
    <w:p>
      <w:pPr>
        <w:ind w:left="60" w:right="240" w:firstLine="336"/>
        <w:spacing w:after="0" w:line="259"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2025 and September 30, 2024, our asset coverage ratio, as computed in accordance with the 1940 Act, was 177% and 174%, respectively.</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Credit Facility</w:t>
      </w:r>
    </w:p>
    <w:p>
      <w:pPr>
        <w:spacing w:after="0" w:line="167" w:lineRule="exact"/>
        <w:rPr>
          <w:sz w:val="20"/>
          <w:szCs w:val="20"/>
          <w:color w:val="auto"/>
        </w:rPr>
      </w:pPr>
    </w:p>
    <w:p>
      <w:pPr>
        <w:ind w:left="60" w:right="120" w:firstLine="369"/>
        <w:spacing w:after="0" w:line="256" w:lineRule="auto"/>
        <w:rPr>
          <w:sz w:val="20"/>
          <w:szCs w:val="20"/>
          <w:color w:val="auto"/>
        </w:rPr>
      </w:pPr>
      <w:r>
        <w:rPr>
          <w:rFonts w:ascii="Times New Roman" w:cs="Times New Roman" w:eastAsia="Times New Roman" w:hAnsi="Times New Roman"/>
          <w:sz w:val="13"/>
          <w:szCs w:val="13"/>
          <w:color w:val="auto"/>
        </w:rPr>
        <w:t>As of June 30, 2025, the Credit Facility has commitments $718.0 million (decreased from $736.0 million in April 2025) has an interest rate spread above SOFR (or an alternative risk-free floating interest rate index) of 200 basis points, a maturity date of August 2030 and a revolving period that ends in August 2028. As of June 30, 2025 and September 30, 2024, Funding I had $298.9 million and $443.9 million of outstanding borrowings under the Credit Facility, respectively. The Credit Facility had a weighted average interest rate of 6.3% and 7.5%, exclusive of the fee on undrawn commitments as of June 30, 2025 and September 30, 2024, respectively. As of June 30, 2025 and September 30, 2024, Funding I had $419.1 million and $192.1 million of unused borrowing capacity under the Credit Facility, respectively, subject to leverage and borrowing base restrictions. The Credit Facility is subject to satisfaction of certain conditions and the regulatory restrictions that the 1940 Act imposes on us as a BDC.</w:t>
      </w:r>
    </w:p>
    <w:p>
      <w:pPr>
        <w:spacing w:after="0" w:line="132" w:lineRule="exact"/>
        <w:rPr>
          <w:sz w:val="20"/>
          <w:szCs w:val="20"/>
          <w:color w:val="auto"/>
        </w:rPr>
      </w:pPr>
    </w:p>
    <w:p>
      <w:pPr>
        <w:ind w:left="60" w:right="220" w:firstLine="336"/>
        <w:spacing w:after="0" w:line="262" w:lineRule="auto"/>
        <w:rPr>
          <w:sz w:val="20"/>
          <w:szCs w:val="20"/>
          <w:color w:val="auto"/>
        </w:rPr>
      </w:pPr>
      <w:r>
        <w:rPr>
          <w:rFonts w:ascii="Times New Roman" w:cs="Times New Roman" w:eastAsia="Times New Roman" w:hAnsi="Times New Roman"/>
          <w:sz w:val="13"/>
          <w:szCs w:val="13"/>
          <w:color w:val="auto"/>
        </w:rPr>
        <w:t>In April 2025, the Credit Facility was amended. The terms of the amendment decreased the aggregate commitment amounts of the lenders party to the Credit Facility from $736.0 million to $ 718.0 million, decreased pricing under the Credit Facility to SOFR plus 200 basis points from SOFR plus 225 basis points, extended the reinvestment period one year to August 2028 from August 2027, extended the maturity date of the Credit Facility by one year to August 2030 from August 2029, and increased the maximum first lien advance rate to 72.5% from 70.0%.</w:t>
      </w:r>
    </w:p>
    <w:p>
      <w:pPr>
        <w:spacing w:after="0" w:line="127" w:lineRule="exact"/>
        <w:rPr>
          <w:sz w:val="20"/>
          <w:szCs w:val="20"/>
          <w:color w:val="auto"/>
        </w:rPr>
      </w:pPr>
    </w:p>
    <w:p>
      <w:pPr>
        <w:ind w:left="60" w:right="280"/>
        <w:spacing w:after="0" w:line="262" w:lineRule="auto"/>
        <w:rPr>
          <w:sz w:val="20"/>
          <w:szCs w:val="20"/>
          <w:color w:val="auto"/>
        </w:rPr>
      </w:pPr>
      <w:r>
        <w:rPr>
          <w:rFonts w:ascii="Times New Roman" w:cs="Times New Roman" w:eastAsia="Times New Roman" w:hAnsi="Times New Roman"/>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2025, we were in compliance with the covenants relating to the Credit Facility.</w:t>
      </w:r>
    </w:p>
    <w:p>
      <w:pPr>
        <w:spacing w:after="0" w:line="127" w:lineRule="exact"/>
        <w:rPr>
          <w:sz w:val="20"/>
          <w:szCs w:val="20"/>
          <w:color w:val="auto"/>
        </w:rPr>
      </w:pPr>
    </w:p>
    <w:p>
      <w:pPr>
        <w:ind w:left="60" w:right="100" w:firstLine="336"/>
        <w:spacing w:after="0" w:line="263" w:lineRule="auto"/>
        <w:rPr>
          <w:sz w:val="20"/>
          <w:szCs w:val="20"/>
          <w:color w:val="auto"/>
        </w:rPr>
      </w:pPr>
      <w:r>
        <w:rPr>
          <w:rFonts w:ascii="Times New Roman" w:cs="Times New Roman" w:eastAsia="Times New Roman" w:hAnsi="Times New Roman"/>
          <w:sz w:val="13"/>
          <w:szCs w:val="13"/>
          <w:color w:val="auto"/>
        </w:rPr>
        <w:t>We own 100% of the equity interest in Funding I and treat the indebtedness of Funding I as our leverage. Our Investment Adviser serves as collateral manager to Funding I under the Credit Facility.</w:t>
      </w: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93" w:lineRule="exact"/>
        <w:rPr>
          <w:sz w:val="20"/>
          <w:szCs w:val="20"/>
          <w:color w:val="auto"/>
        </w:rPr>
      </w:pPr>
    </w:p>
    <w:p>
      <w:pPr>
        <w:ind w:left="60" w:right="160" w:firstLine="336"/>
        <w:spacing w:after="0" w:line="259" w:lineRule="auto"/>
        <w:rPr>
          <w:sz w:val="20"/>
          <w:szCs w:val="20"/>
          <w:color w:val="auto"/>
        </w:rPr>
      </w:pPr>
      <w:r>
        <w:rPr>
          <w:rFonts w:ascii="Times New Roman" w:cs="Times New Roman" w:eastAsia="Times New Roman" w:hAnsi="Times New Roman"/>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2023 Notes</w:t>
      </w:r>
    </w:p>
    <w:p>
      <w:pPr>
        <w:spacing w:after="0" w:line="167" w:lineRule="exact"/>
        <w:rPr>
          <w:sz w:val="20"/>
          <w:szCs w:val="20"/>
          <w:color w:val="auto"/>
        </w:rPr>
      </w:pPr>
    </w:p>
    <w:p>
      <w:pPr>
        <w:ind w:left="60" w:right="120" w:firstLine="336"/>
        <w:spacing w:after="0" w:line="259" w:lineRule="auto"/>
        <w:rPr>
          <w:sz w:val="20"/>
          <w:szCs w:val="20"/>
          <w:color w:val="auto"/>
        </w:rPr>
      </w:pPr>
      <w:r>
        <w:rPr>
          <w:rFonts w:ascii="Times New Roman" w:cs="Times New Roman" w:eastAsia="Times New Roman" w:hAnsi="Times New Roman"/>
          <w:sz w:val="13"/>
          <w:szCs w:val="13"/>
          <w:color w:val="auto"/>
        </w:rPr>
        <w:t>In November 2017, we issued $138.6 million aggregate principal amount of our 2023 Notes that matured on December 15, 2023. The 2023 Notes were issued pursuant to a deed of trust between the Company and Mishmeret Trust Company, Ltd., as trustee, in November 2017. In connection with this offering, we have dual listed our common stock on the TASE. On February 7, 2024, the Company filed a notice with the Israel Securities Authority and the Tel Aviv Stock Exchange Ltd (the “TASE”) voluntarily requesting to delist the Company’s common stock from trading on the TASE. The last day of trading on the TASE was May 6, 2024 and the delisting of the Company’s common stock from the TASE took effect on May 8, 2024.</w:t>
      </w:r>
    </w:p>
    <w:p>
      <w:pPr>
        <w:spacing w:after="0" w:line="130" w:lineRule="exact"/>
        <w:rPr>
          <w:sz w:val="20"/>
          <w:szCs w:val="20"/>
          <w:color w:val="auto"/>
        </w:rPr>
      </w:pPr>
    </w:p>
    <w:p>
      <w:pPr>
        <w:ind w:left="60" w:right="160" w:firstLine="336"/>
        <w:spacing w:after="0" w:line="259" w:lineRule="auto"/>
        <w:rPr>
          <w:sz w:val="20"/>
          <w:szCs w:val="20"/>
          <w:color w:val="auto"/>
        </w:rPr>
      </w:pPr>
      <w:r>
        <w:rPr>
          <w:rFonts w:ascii="Times New Roman" w:cs="Times New Roman" w:eastAsia="Times New Roman" w:hAnsi="Times New Roman"/>
          <w:sz w:val="13"/>
          <w:szCs w:val="13"/>
          <w:color w:val="auto"/>
        </w:rPr>
        <w:t>The 2023 Notes paid interest at a rate of 4.3% per year. As a result of the downgrade of the 2023 Notes from “ilA+” to “ilA- ” in March 2020, the interest rate of the 2023 Notes was increased to 4.3% from 3.8%. Interest on the 2023 Notes was payable semi-annually in arrears on June 15 and December 15 of each year, commencing June 15, 2018. The principal on the 2023 Notes was payable in four annual installments as follows: 15% of the original principal amount on December 15, 2020, 15% of the original principal amount on December 15, 2021, 15% of the original principal amount on December 15, 2022 and 55% of the original principal amount on December 15, 2023. On December 15, 2023, the remaining outstanding 2023 Notes were repaid in full.</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2026 Notes</w:t>
      </w:r>
    </w:p>
    <w:p>
      <w:pPr>
        <w:spacing w:after="0" w:line="167" w:lineRule="exact"/>
        <w:rPr>
          <w:sz w:val="20"/>
          <w:szCs w:val="20"/>
          <w:color w:val="auto"/>
        </w:rPr>
      </w:pPr>
    </w:p>
    <w:p>
      <w:pPr>
        <w:ind w:left="60" w:right="80" w:firstLine="336"/>
        <w:spacing w:after="0" w:line="255" w:lineRule="auto"/>
        <w:rPr>
          <w:sz w:val="20"/>
          <w:szCs w:val="20"/>
          <w:color w:val="auto"/>
        </w:rPr>
      </w:pPr>
      <w:r>
        <w:rPr>
          <w:rFonts w:ascii="Times New Roman" w:cs="Times New Roman" w:eastAsia="Times New Roman" w:hAnsi="Times New Roman"/>
          <w:sz w:val="13"/>
          <w:szCs w:val="13"/>
          <w:color w:val="auto"/>
        </w:rPr>
        <w:t>In March 2021 and in October 2021, we issued $100.0 million and $85.0 million, respectively, in aggregate principal amount of $185.0 million of our 2026 Notes at a public offering price per note of 99.4% and 101.5%, respectively. Interest on the 2026 Notes is paid semi- annually on April 1 and October 1 of each year, at a rate of 4.25% per year, commencing October 1, 2021. The effective interest rate is 4.15%.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of our existing and future indebtedness and other obligations of any of our subsidiaries, financing vehicles, or similar facilities. We do not intend to list the 2026 Notes on any securities exchange or automated dealer quotation system.</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2031 Asset-Backed Debt / 2036-R Asset-Backed Debt</w:t>
      </w:r>
    </w:p>
    <w:p>
      <w:pPr>
        <w:spacing w:after="0" w:line="167" w:lineRule="exact"/>
        <w:rPr>
          <w:sz w:val="20"/>
          <w:szCs w:val="20"/>
          <w:color w:val="auto"/>
        </w:rPr>
      </w:pPr>
    </w:p>
    <w:p>
      <w:pPr>
        <w:ind w:left="60" w:right="120" w:firstLine="369"/>
        <w:spacing w:after="0" w:line="158" w:lineRule="exact"/>
        <w:rPr>
          <w:sz w:val="20"/>
          <w:szCs w:val="20"/>
          <w:color w:val="auto"/>
        </w:rPr>
      </w:pPr>
      <w:r>
        <w:rPr>
          <w:rFonts w:ascii="Times New Roman" w:cs="Times New Roman" w:eastAsia="Times New Roman" w:hAnsi="Times New Roman"/>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A- 1 Senior Secured Floating Rate Loans maturing 2031, which bear interest at the three-month SOFR plus 1.8%, (ii) $15.0 million Class A-2 Senior Secured Fixed Rate Notes due 2031, which bear interest at 3.7%, (iii) $14.0 million Class B- 1 Senior Secured Floating Rate Notes due 2031, which bear interest at the three-month SOFR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Secured Deferrable Floating Rate Notes due 2031, which bear interest at the three-month SOFR plus 4.0%, (vi) $8.0 million Class C-2 Secured Deferrable Fixed Rate Notes due 2031, which bear interest at 5.4%, and</w:t>
      </w:r>
    </w:p>
    <w:p>
      <w:pPr>
        <w:spacing w:after="0" w:line="2" w:lineRule="exact"/>
        <w:rPr>
          <w:sz w:val="20"/>
          <w:szCs w:val="20"/>
          <w:color w:val="auto"/>
        </w:rPr>
      </w:pPr>
    </w:p>
    <w:p>
      <w:pPr>
        <w:ind w:left="60" w:right="100" w:firstLine="6"/>
        <w:spacing w:after="0" w:line="157" w:lineRule="exact"/>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$18.0 million Class D Secured Deferrable Floating Rate Loans due 2031, which bear interest at the three-month SOFR plus 4.8% and (B) the borrowing of $77.5 million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Notes due 2031, which bear interest at the three-month SOFR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ended on October 15, 2023 and the 2031 Asset-Backed Debt is scheduled to mature on October 15, 2031.</w:t>
      </w:r>
    </w:p>
    <w:p>
      <w:pPr>
        <w:spacing w:after="0" w:line="141" w:lineRule="exact"/>
        <w:rPr>
          <w:sz w:val="20"/>
          <w:szCs w:val="20"/>
          <w:color w:val="auto"/>
        </w:rPr>
      </w:pPr>
    </w:p>
    <w:p>
      <w:pPr>
        <w:ind w:left="60" w:right="80" w:firstLine="336"/>
        <w:spacing w:after="0" w:line="259" w:lineRule="auto"/>
        <w:rPr>
          <w:sz w:val="20"/>
          <w:szCs w:val="20"/>
          <w:color w:val="auto"/>
        </w:rPr>
      </w:pPr>
      <w:r>
        <w:rPr>
          <w:rFonts w:ascii="Times New Roman" w:cs="Times New Roman" w:eastAsia="Times New Roman" w:hAnsi="Times New Roman"/>
          <w:sz w:val="13"/>
          <w:szCs w:val="13"/>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On July 25, 2024, the Company closed the refinancing of the 2031Asset-Backed Debt and upsize of a four-year reinvestment period, twelve-year final maturity</w:t>
      </w:r>
    </w:p>
    <w:p>
      <w:pPr>
        <w:spacing w:after="0" w:line="21" w:lineRule="exact"/>
        <w:rPr>
          <w:sz w:val="20"/>
          <w:szCs w:val="20"/>
          <w:color w:val="auto"/>
        </w:rPr>
      </w:pPr>
    </w:p>
    <w:p>
      <w:pPr>
        <w:ind w:left="60" w:right="100"/>
        <w:spacing w:after="0" w:line="252" w:lineRule="auto"/>
        <w:rPr>
          <w:sz w:val="20"/>
          <w:szCs w:val="20"/>
          <w:color w:val="auto"/>
        </w:rPr>
      </w:pPr>
      <w:r>
        <w:rPr>
          <w:rFonts w:ascii="Times New Roman" w:cs="Times New Roman" w:eastAsia="Times New Roman" w:hAnsi="Times New Roman"/>
          <w:sz w:val="13"/>
          <w:szCs w:val="13"/>
          <w:color w:val="auto"/>
        </w:rPr>
        <w:t>$351.0 million debt securitization in the form of a collateralized loan obligation (the “2036-R Asset-Backed Debt”). The 2036-R Asset-Backed Debt was executed through: (A) the issuance by the Issuers of the following classes of notes pursuant that certain indenture, dated September 19, 2019, by and among the Issuers and U.S. Bank Trust Company, National Association, as amended by the second supplemental indenture, dated June 25, 2024): (i) $203 million of A-1-R Notes, which bear interest at the three-month SOFR plus 1.75%, (ii) $10.5 million of A-2-R Notes, which bear interest at three-month SOFR plus 1.90%, (iii) $12 million of Class B-R Notes, which bear interest at three-month SOFR plus 2.05%, (iv) $28 million of C-R Notes, which bear interest at three-month SOFR plus 2.75% and (v) $21 million of D-R Notes, which bear interest at three-month SOFR plus 4.30%, (B) the issuance by the Issuer of $64 million of subordinated notes pursuant to the Indenture and (C) the borrowing by the Issuer of $12.5 million of Class B-R Loans, which bear interest at three-month SOFR plus 2.05%, pursuant to a credit agreement, dated the closing date, by and among the Issuers, the various financial institutions and other persons party thereto, as lenders and U.S. Bank Trust Company, National Association, as loan agent and as trustee. The Replacement Debt matures in July 2036. The Replacement Debt was 100% funded at closing.</w:t>
      </w:r>
    </w:p>
    <w:p>
      <w:pPr>
        <w:spacing w:after="0" w:line="134" w:lineRule="exact"/>
        <w:rPr>
          <w:sz w:val="20"/>
          <w:szCs w:val="20"/>
          <w:color w:val="auto"/>
        </w:rPr>
      </w:pPr>
    </w:p>
    <w:p>
      <w:pPr>
        <w:ind w:left="60" w:right="160" w:firstLine="231"/>
        <w:spacing w:after="0" w:line="262" w:lineRule="auto"/>
        <w:rPr>
          <w:sz w:val="20"/>
          <w:szCs w:val="20"/>
          <w:color w:val="auto"/>
        </w:rPr>
      </w:pPr>
      <w:r>
        <w:rPr>
          <w:rFonts w:ascii="Times New Roman" w:cs="Times New Roman" w:eastAsia="Times New Roman" w:hAnsi="Times New Roman"/>
          <w:sz w:val="13"/>
          <w:szCs w:val="13"/>
          <w:color w:val="auto"/>
        </w:rPr>
        <w:t>The obligations of the Issuers under the replacement are non-recourse to the Company. The Company will retain the Class D-R Notes and the Subordinated Notes through a consolidated subsidiary. As of June 30, 2025 and September 30, 2024, the Company had $266.0 million, respectively, 2036-R Asset-Backed Debt outstanding with a weighted average interest rate of 6.2% and 7.2%, respectively. As of June 30, 2025 and September 30, 2024, the unamortized fees on the 2036-R Asset-Backed Debt were $0.7 million and $0.8 million, respectively.</w:t>
      </w:r>
    </w:p>
    <w:p>
      <w:pPr>
        <w:spacing w:after="0" w:line="127" w:lineRule="exact"/>
        <w:rPr>
          <w:sz w:val="20"/>
          <w:szCs w:val="20"/>
          <w:color w:val="auto"/>
        </w:rPr>
      </w:pPr>
    </w:p>
    <w:p>
      <w:pPr>
        <w:ind w:left="60" w:right="460" w:firstLine="336"/>
        <w:spacing w:after="0" w:line="268"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2036 Asset-Backed Debt</w:t>
      </w:r>
    </w:p>
    <w:p>
      <w:pPr>
        <w:sectPr>
          <w:pgSz w:w="11900" w:h="16840" w:orient="portrait"/>
          <w:cols w:equalWidth="0" w:num="1">
            <w:col w:w="9020"/>
          </w:cols>
          <w:pgMar w:left="1440" w:top="1132" w:right="1440" w:bottom="1440" w:gutter="0" w:footer="0" w:header="0"/>
        </w:sectPr>
      </w:pP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type w:val="continuous"/>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3" w:lineRule="exact"/>
        <w:rPr>
          <w:sz w:val="20"/>
          <w:szCs w:val="20"/>
          <w:color w:val="auto"/>
        </w:rPr>
      </w:pPr>
    </w:p>
    <w:p>
      <w:pPr>
        <w:ind w:left="60" w:right="220" w:firstLine="369"/>
        <w:spacing w:after="0" w:line="255" w:lineRule="auto"/>
        <w:rPr>
          <w:sz w:val="20"/>
          <w:szCs w:val="20"/>
          <w:color w:val="auto"/>
        </w:rPr>
      </w:pPr>
      <w:r>
        <w:rPr>
          <w:rFonts w:ascii="Times New Roman" w:cs="Times New Roman" w:eastAsia="Times New Roman" w:hAnsi="Times New Roman"/>
          <w:sz w:val="13"/>
          <w:szCs w:val="13"/>
          <w:color w:val="auto"/>
        </w:rPr>
        <w:t>In February 2024, the Company completed the $350.6 million term debt securitization. Term debt securitizations, also known as CLOs, are a form of secured financing incurred by the Company, which is consolidated by the Company and subject to the Company’s asset coverage requirements. The 2036 Asset-Backed Debt was issued by the 2036 Securitization Issuer. The 2036 Asset-Backed Debt is secured by the middle market loans, participation interests in middle market loans and other assets of the 2036 Securitization Issuer. The Debt Securitization was executed through (A) a private placement of: (i) $139.5 million of AAA(sf) Class A-1 Notes, which bear interest at the three-month SOFR plus 2.30%, (ii) $14 million of AAA(sf) Class A-2 Notes, which bear interest at three-month SOFR plus 2.70%,</w:t>
      </w:r>
    </w:p>
    <w:p>
      <w:pPr>
        <w:ind w:left="60" w:right="80" w:firstLine="6"/>
        <w:spacing w:after="0" w:line="253" w:lineRule="auto"/>
        <w:tabs>
          <w:tab w:leader="none" w:pos="29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$24.5 million of AA(sf) Class B Notes, which bear interest at three-month SOFR plus 2.90%, (iv) $28 million of A(sf) Class C Notes, which bear interest at three-month SOFR plus 3.90%, (v) $21 million of BBB-(sf) Class D Notes, which bear interest at three-month SOFR plus 5.90%, (together, the “Secured Notes”), and (vi) $63.6 million of subordinated notes (“Subordinated Notes”) and (B) the borrowing of $60.0 million AAA(sf) Class A-1 Senior Secured Floating Rate Loans (the “Class A-1 Loans” and together with the Secured Notes and Subordinated Notes, the “Debt”), which bear interest at three-month SOFR plus 2.30%, under a credit agreement (the “Credit Agreement”), dated as of the Closing Date, by and among the Issuer, as borrower, various financial institutions, as lenders, and Wilmington Trust, National Association, as collateral agent and as loan agent. The Debt is scheduled to mature on April 18, 2036.</w:t>
      </w:r>
    </w:p>
    <w:p>
      <w:pPr>
        <w:spacing w:after="0" w:line="133" w:lineRule="exact"/>
        <w:rPr>
          <w:sz w:val="20"/>
          <w:szCs w:val="20"/>
          <w:color w:val="auto"/>
        </w:rPr>
      </w:pPr>
    </w:p>
    <w:p>
      <w:pPr>
        <w:ind w:left="60" w:right="120" w:firstLine="336"/>
        <w:spacing w:after="0" w:line="262" w:lineRule="auto"/>
        <w:rPr>
          <w:sz w:val="20"/>
          <w:szCs w:val="20"/>
          <w:color w:val="auto"/>
        </w:rPr>
      </w:pPr>
      <w:r>
        <w:rPr>
          <w:rFonts w:ascii="Times New Roman" w:cs="Times New Roman" w:eastAsia="Times New Roman" w:hAnsi="Times New Roman"/>
          <w:sz w:val="13"/>
          <w:szCs w:val="13"/>
          <w:color w:val="auto"/>
        </w:rPr>
        <w:t>The 2036 Asset-Backed Debt is included in the Consolidated Statement of Assets and Liabilities as debt of the Company and the Subordinated Notes of the 2036 -Securitization Issuer were eliminated in consolidation. As of June 30, 2025 and September 30, 2024, the Company had $287.0 million of 2036 Asset- Backed Debt outstanding with a weighted average interest rate of 7.1% and 8.1%, respectively. As of June 30, 2025, and September 30, 2024 the unamortized fees on the 2036 Asset- Backed Debt were $2.5 million and $2.9 million, respectively.</w:t>
      </w:r>
    </w:p>
    <w:p>
      <w:pPr>
        <w:spacing w:after="0" w:line="127" w:lineRule="exact"/>
        <w:rPr>
          <w:sz w:val="20"/>
          <w:szCs w:val="20"/>
          <w:color w:val="auto"/>
        </w:rPr>
      </w:pPr>
    </w:p>
    <w:p>
      <w:pPr>
        <w:ind w:left="60" w:right="340" w:firstLine="336"/>
        <w:spacing w:after="0" w:line="268"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2036-Securitization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2037 Asset-Backed Debt</w:t>
      </w:r>
    </w:p>
    <w:p>
      <w:pPr>
        <w:spacing w:after="0" w:line="167" w:lineRule="exact"/>
        <w:rPr>
          <w:sz w:val="20"/>
          <w:szCs w:val="20"/>
          <w:color w:val="auto"/>
        </w:rPr>
      </w:pPr>
    </w:p>
    <w:p>
      <w:pPr>
        <w:ind w:left="60" w:right="140" w:firstLine="297"/>
        <w:spacing w:after="0" w:line="253" w:lineRule="auto"/>
        <w:rPr>
          <w:sz w:val="20"/>
          <w:szCs w:val="20"/>
          <w:color w:val="auto"/>
        </w:rPr>
      </w:pPr>
      <w:r>
        <w:rPr>
          <w:rFonts w:ascii="Times New Roman" w:cs="Times New Roman" w:eastAsia="Times New Roman" w:hAnsi="Times New Roman"/>
          <w:sz w:val="13"/>
          <w:szCs w:val="13"/>
          <w:color w:val="auto"/>
        </w:rPr>
        <w:t>In February 2025, the Company completed the 2037 Debt Securitization. The 2037 Notes were issued by the 2037 Securitization Issuer and are backed by a portfolio of collateral obligations consisting of middle market loans and participation interests in middle market loans as well as by other assets of the 2037 Securitization Issuer. The transaction was executed through (A) a private placement of $220.5 million of AAA(sf) Class A -1 Notes, which bear interest at the three-month SOFR plus 1.49% (the “2037 Class A-1 Notes”), (ii) $19.0 million of AAA(sf) Class A-2 Notes, which bear interest at three-month SOFR plus 1.60% (the “2037 Class A-2 Notes”), (iii) $28.5 million of AA(sf) Class B Notes, which bear interest at three-month SOFR plus 1.75% (the “2037 Class B Notes”), (iv) $38.0 million of A(sf) Class C Notes, which bear interest at three-month SOFR plus 2.20% (the “2037 Class C Notes”), (v) $28.5 million of BBB-(sf) Class D Notes, which bear interest at three-month SOFR plus 3.60%, (the “2037 Class D Notes” and, collectively with the 2037 Class A- 2 Notes, the 2037 Class B Notes and the 2037 Class D Notes, the “2037 Secured Notes”), and (vi) $85.1 million of subordinated notes (the “2037 Subordinated Notes” and, together with the 2037 Secured Notes, the “2037 Notes”) and (B) the borrowing by the 2037 Securitization Issuer of $10.0 million under AAA(sf) Class A-1L-A floating rate loans (the “2037 Class A- 1L-A Loans”) and $45.0 million under AAA(sf) Class A-1L-B floating rate loans (the “2037 Class A-1L- B Loans” and, together with the Class A-1L- A Loans, the “2037 Asset- Backed Loans,” and collectively with the 2037 Secured Notes and 2037 Subordinated Notes, the “2037 Asset-Backed Debt”), which bear interest at three-month SOFR plus 1.49%. The 2037 Asset-Backed Debt is scheduled to mature on April 20, 2037.</w:t>
      </w:r>
    </w:p>
    <w:p>
      <w:pPr>
        <w:spacing w:after="0" w:line="138" w:lineRule="exact"/>
        <w:rPr>
          <w:sz w:val="20"/>
          <w:szCs w:val="20"/>
          <w:color w:val="auto"/>
        </w:rPr>
      </w:pPr>
    </w:p>
    <w:p>
      <w:pPr>
        <w:ind w:left="60" w:right="100" w:firstLine="336"/>
        <w:spacing w:after="0" w:line="257" w:lineRule="auto"/>
        <w:rPr>
          <w:sz w:val="20"/>
          <w:szCs w:val="20"/>
          <w:color w:val="auto"/>
        </w:rPr>
      </w:pPr>
      <w:r>
        <w:rPr>
          <w:rFonts w:ascii="Times New Roman" w:cs="Times New Roman" w:eastAsia="Times New Roman" w:hAnsi="Times New Roman"/>
          <w:sz w:val="13"/>
          <w:szCs w:val="13"/>
          <w:color w:val="auto"/>
        </w:rPr>
        <w:t>The 2037 Asset-Backed Debt is included in the Consolidated Statement of Assets and Liabilities as debt of the Company and the 2037 Class D Notes and the 2037 Subordinated Notes of the 2037 Securitization Issuer were eliminated in consolidation. The Company will continue to retain the 2037 Class D Notes and the 2037 Subordinated Notes. A portion of the proceeds received by the 2037 Securitization Issuer from the loans securing the 2037 Asset-Backed Loans and the 2037 Secured Notes may be used to purchase additional middle market loans under the direction of the Investment Adviser through April 20, 2029. As of June 30, 2025 and September 30, 2024, the Company had $361.0 million and zero of 2037 Asset-Backed Debt outstanding with a weighted average interest rate of 5.9% and zero, respectively. As of June 30, 2025 and September 30, 2024, the unamortized fees on the 2037 Asset-Backed Debt were $2.8 million and zero, respectively.</w:t>
      </w:r>
    </w:p>
    <w:p>
      <w:pPr>
        <w:spacing w:after="0" w:line="132" w:lineRule="exact"/>
        <w:rPr>
          <w:sz w:val="20"/>
          <w:szCs w:val="20"/>
          <w:color w:val="auto"/>
        </w:rPr>
      </w:pPr>
    </w:p>
    <w:p>
      <w:pPr>
        <w:ind w:left="60" w:right="360" w:firstLine="336"/>
        <w:spacing w:after="0" w:line="268"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2037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11. COMMITMENTS AND CONTINGENCIES</w:t>
      </w:r>
    </w:p>
    <w:p>
      <w:pPr>
        <w:spacing w:after="0" w:line="165" w:lineRule="exact"/>
        <w:rPr>
          <w:sz w:val="20"/>
          <w:szCs w:val="20"/>
          <w:color w:val="auto"/>
        </w:rPr>
      </w:pPr>
    </w:p>
    <w:p>
      <w:pPr>
        <w:ind w:left="60" w:right="180" w:firstLine="336"/>
        <w:spacing w:after="0" w:line="257" w:lineRule="auto"/>
        <w:rPr>
          <w:sz w:val="20"/>
          <w:szCs w:val="20"/>
          <w:color w:val="auto"/>
        </w:rPr>
      </w:pPr>
      <w:r>
        <w:rPr>
          <w:rFonts w:ascii="Times New Roman" w:cs="Times New Roman" w:eastAsia="Times New Roman" w:hAnsi="Times New Roman"/>
          <w:sz w:val="13"/>
          <w:szCs w:val="13"/>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June 30, 2025 and September 30, 2024, we had $568.5 million and $632.2 million, respectively, in commitments to fund investments. Additionally, as described in Note 4, the Company had unfunded commitments of $65.6 million and zero to PSSL as of June 30, 2025 and September 30, 2024, respectively,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2" w:right="1440" w:bottom="1440" w:gutter="0" w:footer="0" w:header="0"/>
        </w:sectPr>
      </w:pPr>
    </w:p>
    <w:bookmarkStart w:id="49" w:name="page50"/>
    <w:bookmarkEnd w:id="49"/>
    <w:p>
      <w:pPr>
        <w:ind w:left="286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To the Stockholders and Board of Directors of PennantPark Floating Rate Capital Ltd. and its Subsidiaries</w:t>
      </w:r>
    </w:p>
    <w:p>
      <w:pPr>
        <w:spacing w:after="0" w:line="3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Results of Review of Interim Financial Statements</w:t>
      </w:r>
    </w:p>
    <w:p>
      <w:pPr>
        <w:spacing w:after="0" w:line="165" w:lineRule="exact"/>
        <w:rPr>
          <w:sz w:val="20"/>
          <w:szCs w:val="20"/>
          <w:color w:val="auto"/>
        </w:rPr>
      </w:pPr>
    </w:p>
    <w:p>
      <w:pPr>
        <w:ind w:left="60" w:right="80"/>
        <w:spacing w:after="0" w:line="258" w:lineRule="auto"/>
        <w:rPr>
          <w:sz w:val="20"/>
          <w:szCs w:val="20"/>
          <w:color w:val="auto"/>
        </w:rPr>
      </w:pPr>
      <w:r>
        <w:rPr>
          <w:rFonts w:ascii="Times New Roman" w:cs="Times New Roman" w:eastAsia="Times New Roman" w:hAnsi="Times New Roman"/>
          <w:sz w:val="13"/>
          <w:szCs w:val="13"/>
          <w:color w:val="auto"/>
        </w:rPr>
        <w:t>We have reviewed the accompanying consolidated statement of assets and liabilities of PennantPark Floating Rate Capital, Ltd. and its subsidiaries (the Company), including the consolidated schedule of investments, as of June 30, 2025, the related consolidated statements of operations and changes in net assets for the three-month and nine month periods ended June 30, 2025 and 2024, and cash flows for the nine month periods ended June 30, 2025 and 2024, and the related notes to the consolidated financial statements (collectively, the interim financial information or financial statements). Based on our reviews, we are not aware of any material modifications that should be made to the financial statements referred to above for them to be in conformity with accounting principles generally accepted in the United States of America.</w:t>
      </w:r>
    </w:p>
    <w:p>
      <w:pPr>
        <w:spacing w:after="0" w:line="289" w:lineRule="exact"/>
        <w:rPr>
          <w:sz w:val="20"/>
          <w:szCs w:val="20"/>
          <w:color w:val="auto"/>
        </w:rPr>
      </w:pPr>
    </w:p>
    <w:p>
      <w:pPr>
        <w:ind w:left="60" w:right="100"/>
        <w:spacing w:after="0" w:line="257" w:lineRule="auto"/>
        <w:rPr>
          <w:sz w:val="20"/>
          <w:szCs w:val="20"/>
          <w:color w:val="auto"/>
        </w:rPr>
      </w:pPr>
      <w:r>
        <w:rPr>
          <w:rFonts w:ascii="Times New Roman" w:cs="Times New Roman" w:eastAsia="Times New Roman" w:hAnsi="Times New Roman"/>
          <w:sz w:val="13"/>
          <w:szCs w:val="13"/>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2024, and the related consolidated statements of operations, changes in net assets, and cash flows for the year then ended (not presented herein); and in our report dated November 25, 2024, we expressed an unqualified opinion on those financial statements. In our opinion, the information set forth in the accompanying consolidated statement of assets and liabilities, including the consolidated schedule of investments, as of September 30, 2024, is fairly stated, in all material respects, in relation to the consolidated statement of assets and liabilities, including the consolidated schedule of investments, from which it has been derived.</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Basis for Review Results</w:t>
      </w:r>
    </w:p>
    <w:p>
      <w:pPr>
        <w:spacing w:after="0" w:line="165" w:lineRule="exact"/>
        <w:rPr>
          <w:sz w:val="20"/>
          <w:szCs w:val="20"/>
          <w:color w:val="auto"/>
        </w:rPr>
      </w:pPr>
    </w:p>
    <w:p>
      <w:pPr>
        <w:ind w:left="60" w:right="60"/>
        <w:spacing w:after="0" w:line="257" w:lineRule="auto"/>
        <w:rPr>
          <w:sz w:val="20"/>
          <w:szCs w:val="20"/>
          <w:color w:val="auto"/>
        </w:rPr>
      </w:pPr>
      <w:r>
        <w:rPr>
          <w:rFonts w:ascii="Times New Roman" w:cs="Times New Roman" w:eastAsia="Times New Roman" w:hAnsi="Times New Roman"/>
          <w:sz w:val="13"/>
          <w:szCs w:val="13"/>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August 11, 2025</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408305</wp:posOffset>
            </wp:positionV>
            <wp:extent cx="62604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88" w:right="1440" w:bottom="1440" w:gutter="0" w:footer="0" w:header="0"/>
        </w:sectPr>
      </w:pPr>
    </w:p>
    <w:bookmarkStart w:id="50" w:name="page51"/>
    <w:bookmarkEnd w:id="50"/>
    <w:p>
      <w:pPr>
        <w:spacing w:after="0" w:line="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3"/>
          <w:szCs w:val="13"/>
          <w:b w:val="1"/>
          <w:bCs w:val="1"/>
          <w:color w:val="auto"/>
        </w:rPr>
        <w:t>Awareness Letter of Independent Registered Public Accounting Firm</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To the Board of Directors and Stockholders of PennantPark Floating Rate Capital Ltd. and its Subsidiaries</w:t>
      </w:r>
    </w:p>
    <w:p>
      <w:pPr>
        <w:spacing w:after="0" w:line="163" w:lineRule="exact"/>
        <w:rPr>
          <w:sz w:val="20"/>
          <w:szCs w:val="20"/>
          <w:color w:val="auto"/>
        </w:rPr>
      </w:pPr>
    </w:p>
    <w:p>
      <w:pPr>
        <w:ind w:left="60" w:right="140"/>
        <w:spacing w:after="0" w:line="268" w:lineRule="auto"/>
        <w:rPr>
          <w:sz w:val="20"/>
          <w:szCs w:val="20"/>
          <w:color w:val="auto"/>
        </w:rPr>
      </w:pPr>
      <w:r>
        <w:rPr>
          <w:rFonts w:ascii="Times New Roman" w:cs="Times New Roman" w:eastAsia="Times New Roman" w:hAnsi="Times New Roman"/>
          <w:sz w:val="13"/>
          <w:szCs w:val="13"/>
          <w:color w:val="auto"/>
        </w:rPr>
        <w:t>We have reviewed, in accordance with the standards of the Public Company Accounting Oversight Board (United States), the unaudited interim financial information of PennantPark Floating Rate Capital Ltd. and its Subsidiaries for the periods ended June 30, 2025 and 2024, as indicated in our report dated August 11, 2025; because we did not perform an audit, we expressed no opinion on that information.</w:t>
      </w:r>
    </w:p>
    <w:p>
      <w:pPr>
        <w:spacing w:after="0" w:line="123" w:lineRule="exact"/>
        <w:rPr>
          <w:sz w:val="20"/>
          <w:szCs w:val="20"/>
          <w:color w:val="auto"/>
        </w:rPr>
      </w:pPr>
    </w:p>
    <w:p>
      <w:pPr>
        <w:ind w:left="60" w:right="460"/>
        <w:spacing w:after="0" w:line="286" w:lineRule="auto"/>
        <w:rPr>
          <w:sz w:val="20"/>
          <w:szCs w:val="20"/>
          <w:color w:val="auto"/>
        </w:rPr>
      </w:pPr>
      <w:r>
        <w:rPr>
          <w:rFonts w:ascii="Times New Roman" w:cs="Times New Roman" w:eastAsia="Times New Roman" w:hAnsi="Times New Roman"/>
          <w:sz w:val="13"/>
          <w:szCs w:val="13"/>
          <w:color w:val="auto"/>
        </w:rPr>
        <w:t>We are aware that our report referred to above, which is included in your Quarterly Report on Form 10-Q for the quarter ended June 30, 2025, is incorporated by reference in Registration Statement No.333-279726 on Form N-2.</w:t>
      </w:r>
    </w:p>
    <w:p>
      <w:pPr>
        <w:spacing w:after="0" w:line="112" w:lineRule="exact"/>
        <w:rPr>
          <w:sz w:val="20"/>
          <w:szCs w:val="20"/>
          <w:color w:val="auto"/>
        </w:rPr>
      </w:pPr>
    </w:p>
    <w:p>
      <w:pPr>
        <w:ind w:left="60" w:right="420"/>
        <w:spacing w:after="0" w:line="286" w:lineRule="auto"/>
        <w:rPr>
          <w:sz w:val="20"/>
          <w:szCs w:val="20"/>
          <w:color w:val="auto"/>
        </w:rPr>
      </w:pPr>
      <w:r>
        <w:rPr>
          <w:rFonts w:ascii="Times New Roman" w:cs="Times New Roman" w:eastAsia="Times New Roman" w:hAnsi="Times New Roman"/>
          <w:sz w:val="13"/>
          <w:szCs w:val="13"/>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August 11, 2025</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65" w:lineRule="exact"/>
        <w:rPr>
          <w:sz w:val="20"/>
          <w:szCs w:val="20"/>
          <w:color w:val="auto"/>
        </w:rPr>
      </w:pPr>
    </w:p>
    <w:p>
      <w:pPr>
        <w:ind w:left="60" w:right="120" w:firstLine="336"/>
        <w:spacing w:after="0" w:line="262" w:lineRule="auto"/>
        <w:rPr>
          <w:sz w:val="20"/>
          <w:szCs w:val="20"/>
          <w:color w:val="auto"/>
        </w:rPr>
      </w:pPr>
      <w:r>
        <w:rPr>
          <w:rFonts w:ascii="Times New Roman" w:cs="Times New Roman" w:eastAsia="Times New Roman" w:hAnsi="Times New Roman"/>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future operating results;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business prospects and the prospects of our prospective portfolio companies;</w:t>
      </w:r>
    </w:p>
    <w:p>
      <w:pPr>
        <w:spacing w:after="0" w:line="163" w:lineRule="exact"/>
        <w:rPr>
          <w:sz w:val="20"/>
          <w:szCs w:val="20"/>
          <w:color w:val="auto"/>
        </w:rPr>
      </w:pPr>
    </w:p>
    <w:p>
      <w:pPr>
        <w:ind w:left="400" w:right="200"/>
        <w:spacing w:after="0" w:line="286" w:lineRule="auto"/>
        <w:rPr>
          <w:sz w:val="20"/>
          <w:szCs w:val="20"/>
          <w:color w:val="auto"/>
        </w:rPr>
      </w:pPr>
      <w:r>
        <w:rPr>
          <w:rFonts w:ascii="Times New Roman" w:cs="Times New Roman" w:eastAsia="Times New Roman" w:hAnsi="Times New Roman"/>
          <w:sz w:val="13"/>
          <w:szCs w:val="13"/>
          <w:color w:val="auto"/>
        </w:rPr>
        <w:t>•changes in political, economic or industry conditions, such as the impact of the ongoing invasion of Ukraine by Russia and other world economic and political issues, the interest rate environment or conditions affecting the financial and capital markets that could result in changes to the value of our assets;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•U.S. trade policy developments, tariffs and other trade restrictions;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dependence of our future success on the general economy and its impact on the industries in which we invest;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impact of a protracted decline in the liquidity of credit markets on our business;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impact of investments that we expect to make;</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impact of fluctuations in interest rates and foreign exchange rates on our business and our portfolio companies;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contractual arrangements and relationships with third parties;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valuation of our investments in portfolio companies, particularly those having no liquid trading market;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ability of our prospective portfolio companies to achieve their objectives;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expected financings and investments and ability to fund capital commitments to PSSL;</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adequacy of our cash resources and working capital;</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timing of cash flows, if any, from the operations of our prospective portfolio companies;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impact of price and volume fluctuations in the stock market;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•increasing levels of inflation, and its impact on us and our portfolio companies;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ability of our Investment Adviser to locate suitable investments for us and to monitor and administer our investments;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impact of future legislation and regulation on our business and our portfolio companies; and</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inability to develop and maintain effective internal control over financial reporting.</w:t>
      </w:r>
    </w:p>
    <w:p>
      <w:pPr>
        <w:spacing w:after="0" w:line="163" w:lineRule="exact"/>
        <w:rPr>
          <w:sz w:val="20"/>
          <w:szCs w:val="20"/>
          <w:color w:val="auto"/>
        </w:rPr>
      </w:pPr>
    </w:p>
    <w:p>
      <w:pPr>
        <w:ind w:left="60" w:right="240" w:firstLine="336"/>
        <w:spacing w:after="0" w:line="268" w:lineRule="auto"/>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 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23" w:lineRule="exact"/>
        <w:rPr>
          <w:sz w:val="20"/>
          <w:szCs w:val="20"/>
          <w:color w:val="auto"/>
        </w:rPr>
      </w:pPr>
    </w:p>
    <w:p>
      <w:pPr>
        <w:ind w:left="60" w:right="140" w:firstLine="336"/>
        <w:spacing w:after="0" w:line="262"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27" w:lineRule="exact"/>
        <w:rPr>
          <w:sz w:val="20"/>
          <w:szCs w:val="20"/>
          <w:color w:val="auto"/>
        </w:rPr>
      </w:pPr>
    </w:p>
    <w:p>
      <w:pPr>
        <w:ind w:left="60" w:right="120" w:firstLine="336"/>
        <w:spacing w:after="0" w:line="262" w:lineRule="auto"/>
        <w:rPr>
          <w:sz w:val="20"/>
          <w:szCs w:val="20"/>
          <w:color w:val="auto"/>
        </w:rPr>
      </w:pPr>
      <w:r>
        <w:rPr>
          <w:rFonts w:ascii="Times New Roman" w:cs="Times New Roman" w:eastAsia="Times New Roman" w:hAnsi="Times New Roman"/>
          <w:sz w:val="13"/>
          <w:szCs w:val="13"/>
          <w:color w:val="auto"/>
        </w:rPr>
        <w:t>We have based the forward -looking statements included in this Report on information available to us on the date of this Report, and we assume no obligation to update any such forward-looking statements. Although we undertake no obligation to revise or update any forward -looking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27" w:lineRule="exact"/>
        <w:rPr>
          <w:sz w:val="20"/>
          <w:szCs w:val="20"/>
          <w:color w:val="auto"/>
        </w:rPr>
      </w:pPr>
    </w:p>
    <w:p>
      <w:pPr>
        <w:ind w:left="60" w:right="160" w:firstLine="336"/>
        <w:spacing w:after="0" w:line="286" w:lineRule="auto"/>
        <w:rPr>
          <w:sz w:val="20"/>
          <w:szCs w:val="20"/>
          <w:color w:val="auto"/>
        </w:rPr>
      </w:pPr>
      <w:r>
        <w:rPr>
          <w:rFonts w:ascii="Times New Roman" w:cs="Times New Roman" w:eastAsia="Times New Roman" w:hAnsi="Times New Roman"/>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12" w:lineRule="exact"/>
        <w:rPr>
          <w:sz w:val="20"/>
          <w:szCs w:val="20"/>
          <w:color w:val="auto"/>
        </w:rPr>
      </w:pPr>
    </w:p>
    <w:p>
      <w:pPr>
        <w:ind w:left="60" w:right="360" w:firstLine="336"/>
        <w:spacing w:after="0" w:line="286" w:lineRule="auto"/>
        <w:rPr>
          <w:sz w:val="20"/>
          <w:szCs w:val="20"/>
          <w:color w:val="auto"/>
        </w:rPr>
      </w:pPr>
      <w:r>
        <w:rPr>
          <w:rFonts w:ascii="Times New Roman" w:cs="Times New Roman" w:eastAsia="Times New Roman" w:hAnsi="Times New Roman"/>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67" w:lineRule="exact"/>
        <w:rPr>
          <w:sz w:val="20"/>
          <w:szCs w:val="20"/>
          <w:color w:val="auto"/>
        </w:rPr>
      </w:pPr>
    </w:p>
    <w:p>
      <w:pPr>
        <w:ind w:left="60" w:right="100" w:firstLine="336"/>
        <w:spacing w:after="0" w:line="268" w:lineRule="auto"/>
        <w:rPr>
          <w:sz w:val="20"/>
          <w:szCs w:val="20"/>
          <w:color w:val="auto"/>
        </w:rPr>
      </w:pPr>
      <w:r>
        <w:rPr>
          <w:rFonts w:ascii="Times New Roman" w:cs="Times New Roman" w:eastAsia="Times New Roman" w:hAnsi="Times New Roman"/>
          <w:sz w:val="13"/>
          <w:szCs w:val="13"/>
          <w:color w:val="auto"/>
        </w:rPr>
        <w:t>PennantPark Floating Rate Capital Ltd. (the "Company," "we," "our" or "us") is a business development company ("BDC") whose objectives are to generate both current income and capital appreciation while seeking to preserve capital by investing primarily in floating rate loans and other investments made to U.S. middle-market companies.</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88" w:right="1440" w:bottom="1440" w:gutter="0" w:footer="0" w:header="0"/>
        </w:sectPr>
      </w:pPr>
    </w:p>
    <w:bookmarkStart w:id="52" w:name="page53"/>
    <w:bookmarkEnd w:id="52"/>
    <w:p>
      <w:pPr>
        <w:ind w:left="60" w:right="80" w:firstLine="336"/>
        <w:spacing w:after="0" w:line="255" w:lineRule="auto"/>
        <w:rPr>
          <w:sz w:val="20"/>
          <w:szCs w:val="20"/>
          <w:color w:val="auto"/>
        </w:rPr>
      </w:pPr>
      <w:r>
        <w:rPr>
          <w:rFonts w:ascii="Times New Roman" w:cs="Times New Roman" w:eastAsia="Times New Roman" w:hAnsi="Times New Roman"/>
          <w:sz w:val="13"/>
          <w:szCs w:val="13"/>
          <w:color w:val="auto"/>
        </w:rPr>
        <w:t>We believe that floating rate loans to U.S. middle- 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34" w:lineRule="exact"/>
        <w:rPr>
          <w:sz w:val="20"/>
          <w:szCs w:val="20"/>
          <w:color w:val="auto"/>
        </w:rPr>
      </w:pPr>
    </w:p>
    <w:p>
      <w:pPr>
        <w:ind w:left="60" w:right="240" w:firstLine="336"/>
        <w:spacing w:after="0" w:line="259" w:lineRule="auto"/>
        <w:rPr>
          <w:sz w:val="20"/>
          <w:szCs w:val="20"/>
          <w:color w:val="auto"/>
        </w:rPr>
      </w:pPr>
      <w:r>
        <w:rPr>
          <w:rFonts w:ascii="Times New Roman" w:cs="Times New Roman" w:eastAsia="Times New Roman" w:hAnsi="Times New Roman"/>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30" w:lineRule="exact"/>
        <w:rPr>
          <w:sz w:val="20"/>
          <w:szCs w:val="20"/>
          <w:color w:val="auto"/>
        </w:rPr>
      </w:pPr>
    </w:p>
    <w:p>
      <w:pPr>
        <w:ind w:left="60" w:right="120" w:firstLine="336"/>
        <w:spacing w:after="0" w:line="262"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 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Floating Rate Capital Ltd.</w:t>
      </w:r>
    </w:p>
    <w:p>
      <w:pPr>
        <w:spacing w:after="0" w:line="167" w:lineRule="exact"/>
        <w:rPr>
          <w:sz w:val="20"/>
          <w:szCs w:val="20"/>
          <w:color w:val="auto"/>
        </w:rPr>
      </w:pPr>
    </w:p>
    <w:p>
      <w:pPr>
        <w:jc w:val="both"/>
        <w:ind w:left="60" w:right="160" w:firstLine="336"/>
        <w:spacing w:after="0" w:line="286" w:lineRule="auto"/>
        <w:rPr>
          <w:sz w:val="20"/>
          <w:szCs w:val="20"/>
          <w:color w:val="auto"/>
        </w:rPr>
      </w:pPr>
      <w:r>
        <w:rPr>
          <w:rFonts w:ascii="Times New Roman" w:cs="Times New Roman" w:eastAsia="Times New Roman" w:hAnsi="Times New Roman"/>
          <w:sz w:val="13"/>
          <w:szCs w:val="13"/>
          <w:color w:val="auto"/>
        </w:rPr>
        <w:t>The Company, a Maryland corporation organized in October 2010, is a closed- end, externally managed, non-diversified investment company that has elected to be treated as a BDC under the 1940 Act. In addition, for federal income tax purposes we elected to be treated, and intend to qualify annually, as a RIC under the Code.</w:t>
      </w:r>
    </w:p>
    <w:p>
      <w:pPr>
        <w:spacing w:after="0" w:line="112" w:lineRule="exact"/>
        <w:rPr>
          <w:sz w:val="20"/>
          <w:szCs w:val="20"/>
          <w:color w:val="auto"/>
        </w:rPr>
      </w:pPr>
    </w:p>
    <w:p>
      <w:pPr>
        <w:ind w:left="60" w:right="80" w:firstLine="336"/>
        <w:spacing w:after="0" w:line="255" w:lineRule="auto"/>
        <w:rPr>
          <w:sz w:val="20"/>
          <w:szCs w:val="20"/>
          <w:color w:val="auto"/>
        </w:rPr>
      </w:pPr>
      <w:r>
        <w:rPr>
          <w:rFonts w:ascii="Times New Roman" w:cs="Times New Roman" w:eastAsia="Times New Roman" w:hAnsi="Times New Roman"/>
          <w:sz w:val="13"/>
          <w:szCs w:val="13"/>
          <w:color w:val="auto"/>
        </w:rPr>
        <w:t>We execute our investment strategy directly and through our wholly owned subsidiaries, our unconsolidated joint venture and unconsolidated limited partnership. The term “subsidiary” means entities that primarily engage in investments activities in securities or other assets that are wholly owned by us. The Company does not intend to create or acquire primary control of an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293" w:lineRule="exact"/>
        <w:rPr>
          <w:sz w:val="20"/>
          <w:szCs w:val="20"/>
          <w:color w:val="auto"/>
        </w:rPr>
      </w:pPr>
    </w:p>
    <w:p>
      <w:pPr>
        <w:ind w:left="60" w:right="200" w:firstLine="336"/>
        <w:spacing w:after="0" w:line="256" w:lineRule="auto"/>
        <w:rPr>
          <w:sz w:val="20"/>
          <w:szCs w:val="20"/>
          <w:color w:val="auto"/>
        </w:rPr>
      </w:pPr>
      <w:r>
        <w:rPr>
          <w:rFonts w:ascii="Times New Roman" w:cs="Times New Roman" w:eastAsia="Times New Roman" w:hAnsi="Times New Roman"/>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Corporate Counsel and their respective staffs. Our board of directors, a majority of whom are independent of us, provides overall supervision of our activities, and the Investment Adviser supervises our day-to-day activities.</w:t>
      </w: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67" w:lineRule="exact"/>
        <w:rPr>
          <w:sz w:val="20"/>
          <w:szCs w:val="20"/>
          <w:color w:val="auto"/>
        </w:rPr>
      </w:pPr>
    </w:p>
    <w:p>
      <w:pPr>
        <w:ind w:left="60" w:right="60" w:firstLine="336"/>
        <w:spacing w:after="0" w:line="254" w:lineRule="auto"/>
        <w:rPr>
          <w:sz w:val="20"/>
          <w:szCs w:val="20"/>
          <w:color w:val="auto"/>
        </w:rPr>
      </w:pPr>
      <w:r>
        <w:rPr>
          <w:rFonts w:ascii="Times New Roman" w:cs="Times New Roman" w:eastAsia="Times New Roman" w:hAnsi="Times New Roman"/>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 dividend date to the extent that we expect to collect such amounts. From time to time, the Company receives certain fees from portfolio companies, which may or may not be non-recurring in nature. Such fees include loan prepayment penalties, structuring fees and amendment fees and agency fees, and are recorded as other investment income when earned. Litigation settlements are accounted for in accordance with the gain contingency provisions of ASC Subtopic 450-30, Gain Contingencies, or ASC 450-30.</w:t>
      </w: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ind w:left="60" w:right="120" w:firstLine="336"/>
        <w:spacing w:after="0" w:line="259" w:lineRule="auto"/>
        <w:rPr>
          <w:sz w:val="20"/>
          <w:szCs w:val="20"/>
          <w:color w:val="auto"/>
        </w:rPr>
      </w:pPr>
      <w:r>
        <w:rPr>
          <w:rFonts w:ascii="Times New Roman" w:cs="Times New Roman" w:eastAsia="Times New Roman" w:hAnsi="Times New Roman"/>
          <w:sz w:val="13"/>
          <w:szCs w:val="13"/>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cost of calculating our NAV, including the cost of any third-party valuation services;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cost of effecting sales and repurchases of shares of our common stock and other securities;</w:t>
      </w:r>
    </w:p>
    <w:p>
      <w:pPr>
        <w:spacing w:after="0" w:line="163" w:lineRule="exact"/>
        <w:rPr>
          <w:sz w:val="20"/>
          <w:szCs w:val="20"/>
          <w:color w:val="auto"/>
        </w:rPr>
      </w:pPr>
    </w:p>
    <w:p>
      <w:pPr>
        <w:jc w:val="both"/>
        <w:ind w:left="400" w:right="420"/>
        <w:spacing w:after="0" w:line="286" w:lineRule="auto"/>
        <w:rPr>
          <w:sz w:val="20"/>
          <w:szCs w:val="20"/>
          <w:color w:val="auto"/>
        </w:rPr>
      </w:pPr>
      <w:r>
        <w:rPr>
          <w:rFonts w:ascii="Times New Roman" w:cs="Times New Roman" w:eastAsia="Times New Roman" w:hAnsi="Times New Roman"/>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112" w:lineRule="exact"/>
        <w:rPr>
          <w:sz w:val="20"/>
          <w:szCs w:val="20"/>
          <w:color w:val="auto"/>
        </w:rPr>
      </w:pPr>
    </w:p>
    <w:p>
      <w:pPr>
        <w:jc w:val="both"/>
        <w:ind w:left="400" w:right="420"/>
        <w:spacing w:after="0" w:line="268" w:lineRule="auto"/>
        <w:rPr>
          <w:sz w:val="20"/>
          <w:szCs w:val="20"/>
          <w:color w:val="auto"/>
        </w:rPr>
      </w:pPr>
      <w:r>
        <w:rPr>
          <w:rFonts w:ascii="Times New Roman" w:cs="Times New Roman" w:eastAsia="Times New Roman" w:hAnsi="Times New Roman"/>
          <w:sz w:val="13"/>
          <w:szCs w:val="13"/>
          <w:color w:val="auto"/>
        </w:rPr>
        <w:t>•expenses incurred by the Investment Adviser payable to third parties, including agents, consultants or other advisors, in monitoring our financial and legal affairs for the Company's and in monitoring the Company's investments; and performing due diligence (including related legal expenses) on its prospective portfolio companies and expenses related to unsuccessful portfolio acquisition efforts;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•federal and state registration fees and any exchange listing fees;</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90" w:right="1440" w:bottom="1440" w:gutter="0" w:footer="0" w:header="0"/>
        </w:sectPr>
      </w:pPr>
    </w:p>
    <w:bookmarkStart w:id="53" w:name="page54"/>
    <w:bookmarkEnd w:id="53"/>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•federal, state, local and foreign taxes;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•independent directors’ fees and expenses;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•brokerage commissions;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•direct costs such as printing, mailing, long distance telephone and staff;</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•fees and expenses associated with independent audits and outside legal costs;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•costs associated with our reporting and compliance obligations under the 1940 Act and applicable federal and state securities laws; and</w:t>
      </w:r>
    </w:p>
    <w:p>
      <w:pPr>
        <w:spacing w:after="0" w:line="163" w:lineRule="exact"/>
        <w:rPr>
          <w:sz w:val="20"/>
          <w:szCs w:val="20"/>
          <w:color w:val="auto"/>
        </w:rPr>
      </w:pPr>
    </w:p>
    <w:p>
      <w:pPr>
        <w:ind w:left="400" w:right="220"/>
        <w:spacing w:after="0" w:line="262" w:lineRule="auto"/>
        <w:rPr>
          <w:sz w:val="20"/>
          <w:szCs w:val="20"/>
          <w:color w:val="auto"/>
        </w:rPr>
      </w:pPr>
      <w:r>
        <w:rPr>
          <w:rFonts w:ascii="Times New Roman" w:cs="Times New Roman" w:eastAsia="Times New Roman" w:hAnsi="Times New Roman"/>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127" w:lineRule="exact"/>
        <w:rPr>
          <w:sz w:val="20"/>
          <w:szCs w:val="20"/>
          <w:color w:val="auto"/>
        </w:rPr>
      </w:pPr>
    </w:p>
    <w:p>
      <w:pPr>
        <w:ind w:left="60" w:right="240" w:firstLine="336"/>
        <w:spacing w:after="0" w:line="268" w:lineRule="auto"/>
        <w:rPr>
          <w:sz w:val="20"/>
          <w:szCs w:val="20"/>
          <w:color w:val="auto"/>
        </w:rPr>
      </w:pPr>
      <w:r>
        <w:rPr>
          <w:rFonts w:ascii="Times New Roman" w:cs="Times New Roman" w:eastAsia="Times New Roman" w:hAnsi="Times New Roman"/>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PORTFOLIO AND INVESTMENT ACTIVITY</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w:t>
      </w:r>
    </w:p>
    <w:p>
      <w:pPr>
        <w:spacing w:after="0" w:line="105" w:lineRule="exact"/>
        <w:rPr>
          <w:sz w:val="20"/>
          <w:szCs w:val="20"/>
          <w:color w:val="auto"/>
        </w:rPr>
      </w:pPr>
    </w:p>
    <w:p>
      <w:pPr>
        <w:ind w:left="60" w:right="120" w:firstLine="336"/>
        <w:spacing w:after="0" w:line="261" w:lineRule="auto"/>
        <w:rPr>
          <w:sz w:val="20"/>
          <w:szCs w:val="20"/>
          <w:color w:val="auto"/>
        </w:rPr>
      </w:pPr>
      <w:r>
        <w:rPr>
          <w:rFonts w:ascii="Times New Roman" w:cs="Times New Roman" w:eastAsia="Times New Roman" w:hAnsi="Times New Roman"/>
          <w:sz w:val="13"/>
          <w:szCs w:val="13"/>
          <w:color w:val="auto"/>
        </w:rPr>
        <w:t>As of June 30, 2025, our portfolio totaled $2,403.5 million, and consisted of $2,150.6 million of first lien secured debt (including $237.7 million in PSSL), $12.5 million of subordinated debt and $240.4 million of preferred and common equity (including $53.3 million in PSSL). Our debt portfolio consisted of approximately</w:t>
      </w:r>
    </w:p>
    <w:p>
      <w:pPr>
        <w:spacing w:after="0" w:line="1" w:lineRule="exact"/>
        <w:rPr>
          <w:sz w:val="20"/>
          <w:szCs w:val="20"/>
          <w:color w:val="auto"/>
        </w:rPr>
      </w:pPr>
    </w:p>
    <w:p>
      <w:pPr>
        <w:ind w:left="60" w:right="100"/>
        <w:spacing w:after="0" w:line="253" w:lineRule="auto"/>
        <w:rPr>
          <w:sz w:val="20"/>
          <w:szCs w:val="20"/>
          <w:color w:val="auto"/>
        </w:rPr>
      </w:pPr>
      <w:r>
        <w:rPr>
          <w:rFonts w:ascii="Times New Roman" w:cs="Times New Roman" w:eastAsia="Times New Roman" w:hAnsi="Times New Roman"/>
          <w:sz w:val="13"/>
          <w:szCs w:val="13"/>
          <w:color w:val="auto"/>
        </w:rPr>
        <w:t>99% variable-rate investments. As of June 30, 2025, we had two portfolio companies on non-accrual, representing 1.0% and 0.5% of our overall portfolio on a cost and fair value basis, respectively. As of June 30, 2025, the portfolio had net unrealized depreciation of $51.3 million. Our overall portfolio consisted of 155 companies with an average investment size of $15.5 million and had a weighted average yield on debt investments of 10.4%, and was invested 89% in first lien secured debt (including 10% in PSSL), less than 1% in second lien and subordinate debt and 10% in preferred and common equity (including 2% in PSSL). As of June 30, 2025, approximately 99% of the investments held by PSSL were first lien secured debt.</w:t>
      </w:r>
    </w:p>
    <w:p>
      <w:pPr>
        <w:spacing w:after="0" w:line="98" w:lineRule="exact"/>
        <w:rPr>
          <w:sz w:val="20"/>
          <w:szCs w:val="20"/>
          <w:color w:val="auto"/>
        </w:rPr>
      </w:pPr>
    </w:p>
    <w:p>
      <w:pPr>
        <w:ind w:left="60" w:right="80" w:firstLine="336"/>
        <w:spacing w:after="0" w:line="256" w:lineRule="auto"/>
        <w:rPr>
          <w:sz w:val="20"/>
          <w:szCs w:val="20"/>
          <w:color w:val="auto"/>
        </w:rPr>
      </w:pPr>
      <w:r>
        <w:rPr>
          <w:rFonts w:ascii="Times New Roman" w:cs="Times New Roman" w:eastAsia="Times New Roman" w:hAnsi="Times New Roman"/>
          <w:sz w:val="13"/>
          <w:szCs w:val="13"/>
          <w:color w:val="auto"/>
        </w:rPr>
        <w:t>As of September 30, 2024, our portfolio totaled $1,983.5 million and consisted of $1,746.7 million of first lien secured debt (including $ 237.7 million in PSSL), $2.7 million of second lien secured debt and subordinated debt and $234.1 million of preferred and common equity (including $56.5 million in PSSL). Our debt portfolio consisted of approximately 100% variable-rate investments. As of September 30, 2024, we had two portfolio companies on non-accrual, representing 0.4% and 0.2% of our overall portfolio on a cost and fair value basis, respectively. As of September 30, 2024, the portfolio had net unrealized depreciation of $11.4 million. Our overall portfolio consisted of 158 companies with an average investment size of $12.6 million, had a weighted average yield on debt investments of 11.5%, and was invested 88% in first lien secured debt (including 12% in PSSL), less than 1% in second lien secured debt and subordinated debt and 12% in preferred and common equity (including 3% in PSSL). As of September 30, 2024, over 99% of the investments held by PSSL were first lien secured debt.</w:t>
      </w:r>
    </w:p>
    <w:p>
      <w:pPr>
        <w:spacing w:after="0" w:line="132" w:lineRule="exact"/>
        <w:rPr>
          <w:sz w:val="20"/>
          <w:szCs w:val="20"/>
          <w:color w:val="auto"/>
        </w:rPr>
      </w:pPr>
    </w:p>
    <w:p>
      <w:pPr>
        <w:ind w:left="60" w:right="100" w:firstLine="336"/>
        <w:spacing w:after="0" w:line="260" w:lineRule="auto"/>
        <w:rPr>
          <w:sz w:val="20"/>
          <w:szCs w:val="20"/>
          <w:color w:val="auto"/>
        </w:rPr>
      </w:pPr>
      <w:r>
        <w:rPr>
          <w:rFonts w:ascii="Times New Roman" w:cs="Times New Roman" w:eastAsia="Times New Roman" w:hAnsi="Times New Roman"/>
          <w:sz w:val="13"/>
          <w:szCs w:val="13"/>
          <w:color w:val="auto"/>
        </w:rPr>
        <w:t>For the three months ended June 30, 2025, we invested $208.1 million in four new and 17 existing portfolio companies at a weighted average yield on debt investments of 10.1%. For the three months ended June 30, 2025, sales and repayments of investments totaled $145.8 million, including $51.8 million of sales to PSSL. For the nine months ended June 30, 2025, we invested $1,108.3 million in 18 new and 112 existing portfolio companies at a weighted average yield on debt investments of 10.2%. For the nine months ended June 30, 2025, sales and repayments of investments totaled $669.5 million, including $292.4 million of sales to PSSL.</w:t>
      </w:r>
    </w:p>
    <w:p>
      <w:pPr>
        <w:spacing w:after="0" w:line="288" w:lineRule="exact"/>
        <w:rPr>
          <w:sz w:val="20"/>
          <w:szCs w:val="20"/>
          <w:color w:val="auto"/>
        </w:rPr>
      </w:pPr>
    </w:p>
    <w:p>
      <w:pPr>
        <w:ind w:left="60" w:right="100" w:firstLine="336"/>
        <w:spacing w:after="0" w:line="262" w:lineRule="auto"/>
        <w:rPr>
          <w:sz w:val="20"/>
          <w:szCs w:val="20"/>
          <w:color w:val="auto"/>
        </w:rPr>
      </w:pPr>
      <w:r>
        <w:rPr>
          <w:rFonts w:ascii="Times New Roman" w:cs="Times New Roman" w:eastAsia="Times New Roman" w:hAnsi="Times New Roman"/>
          <w:sz w:val="13"/>
          <w:szCs w:val="13"/>
          <w:color w:val="auto"/>
        </w:rPr>
        <w:t>For the three months ended June 30, 2024, we invested $320.9 million in nine new and 45 existing portfolio companies at a weighted average yield on debt investments of 11.5%. For the three months ended June 30, 2024, sales and repayments of investments totaled $137.6 million, including $69.1 million of sales to PSSL. For the nine months ended June 30, 2024, we invested $961.8 million in 33 new and 71 existing portfolio companies at a weighted average yield on debt investments of 11.7%. For the nine months ended June 30, 2024, sales and repayments of investments totaled $386.3 million, including $209.0 million of sales to PSSL.</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65" w:lineRule="exact"/>
        <w:rPr>
          <w:sz w:val="20"/>
          <w:szCs w:val="20"/>
          <w:color w:val="auto"/>
        </w:rPr>
      </w:pPr>
    </w:p>
    <w:p>
      <w:pPr>
        <w:ind w:left="60" w:right="120" w:firstLine="336"/>
        <w:spacing w:after="0" w:line="268" w:lineRule="auto"/>
        <w:rPr>
          <w:sz w:val="20"/>
          <w:szCs w:val="20"/>
          <w:color w:val="auto"/>
        </w:rPr>
      </w:pPr>
      <w:r>
        <w:rPr>
          <w:rFonts w:ascii="Times New Roman" w:cs="Times New Roman" w:eastAsia="Times New Roman" w:hAnsi="Times New Roman"/>
          <w:sz w:val="13"/>
          <w:szCs w:val="13"/>
          <w:color w:val="auto"/>
        </w:rPr>
        <w:t>As of June 30, 2025, PSSL’s portfolio totaled $1,055.6 million and consisted of 117 companies with an average investment size of $9.0 million and at a weighted average yield on debt investments of 10.4%. As of September 30, 2024, PSSL’s portfolio totaled $913.3 million, consisted of 109 companies with an average investment size of $8.4 million and at a weighted average yield on debt investments of 11.4%.</w:t>
      </w:r>
    </w:p>
    <w:p>
      <w:pPr>
        <w:spacing w:after="0" w:line="123" w:lineRule="exact"/>
        <w:rPr>
          <w:sz w:val="20"/>
          <w:szCs w:val="20"/>
          <w:color w:val="auto"/>
        </w:rPr>
      </w:pPr>
    </w:p>
    <w:p>
      <w:pPr>
        <w:ind w:left="60" w:right="200" w:firstLine="336"/>
        <w:spacing w:after="0" w:line="262" w:lineRule="auto"/>
        <w:rPr>
          <w:sz w:val="20"/>
          <w:szCs w:val="20"/>
          <w:color w:val="auto"/>
        </w:rPr>
      </w:pPr>
      <w:r>
        <w:rPr>
          <w:rFonts w:ascii="Times New Roman" w:cs="Times New Roman" w:eastAsia="Times New Roman" w:hAnsi="Times New Roman"/>
          <w:sz w:val="13"/>
          <w:szCs w:val="13"/>
          <w:color w:val="auto"/>
        </w:rPr>
        <w:t>For the three months ended June 30, 2025, PSSL invested $52.3 million (including $51.8 million purchased from the Company) in seven new and two existing portfolio companies at a weighted average yield on debt investments of 10.8%. Sales and repayments of investments for the three months ended June 30, 2025 totaled $53.8 million. For the nine months ended June 30, 2025, PSSL invested $337.2 million (including $292.4 million purchased from the Company) in 28 new and 13 existing portfolio companies at a weighted average yield on debt investments of 10.3%. PSSL's sales and repayments for the same period totaled $177.2 million.</w:t>
      </w:r>
    </w:p>
    <w:p>
      <w:pPr>
        <w:spacing w:after="0" w:line="127" w:lineRule="exact"/>
        <w:rPr>
          <w:sz w:val="20"/>
          <w:szCs w:val="20"/>
          <w:color w:val="auto"/>
        </w:rPr>
      </w:pPr>
    </w:p>
    <w:p>
      <w:pPr>
        <w:ind w:left="60" w:right="160" w:firstLine="336"/>
        <w:spacing w:after="0" w:line="259" w:lineRule="auto"/>
        <w:rPr>
          <w:sz w:val="20"/>
          <w:szCs w:val="20"/>
          <w:color w:val="auto"/>
        </w:rPr>
      </w:pPr>
      <w:r>
        <w:rPr>
          <w:rFonts w:ascii="Times New Roman" w:cs="Times New Roman" w:eastAsia="Times New Roman" w:hAnsi="Times New Roman"/>
          <w:sz w:val="13"/>
          <w:szCs w:val="13"/>
          <w:color w:val="auto"/>
        </w:rPr>
        <w:t>For the three months ended June 30, 2024, PSSL invested $84.5 million (including $69.1 million purchased from the Company) in five new and 11 existing portfolio companies at a weighted average yield on debt investments of 11.6%. For the three months ended June 30, 2024, sales and repayments of investments totaled $47.0 million. For the nine months ended June 30, 2024, PSSL invested $240.4 million (including $209.0 million purchased from the Company) in 15 new and 20 existing portfolio companies at a weighted average yield on debt investments of 11.8%. Sales and repayments of investments for the nine months ended June 30, 2024 totaled $124.2 million.</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3"/>
          <w:szCs w:val="13"/>
          <w:b w:val="1"/>
          <w:bCs w:val="1"/>
          <w:color w:val="auto"/>
        </w:rPr>
        <w:t>At-the-Market Offering</w:t>
      </w:r>
    </w:p>
    <w:p>
      <w:pPr>
        <w:spacing w:after="0" w:line="165" w:lineRule="exact"/>
        <w:rPr>
          <w:sz w:val="20"/>
          <w:szCs w:val="20"/>
          <w:color w:val="auto"/>
        </w:rPr>
      </w:pPr>
    </w:p>
    <w:p>
      <w:pPr>
        <w:ind w:left="60" w:right="80" w:firstLine="396"/>
        <w:spacing w:after="0" w:line="254" w:lineRule="auto"/>
        <w:rPr>
          <w:sz w:val="20"/>
          <w:szCs w:val="20"/>
          <w:color w:val="auto"/>
        </w:rPr>
      </w:pPr>
      <w:r>
        <w:rPr>
          <w:rFonts w:ascii="Times New Roman" w:cs="Times New Roman" w:eastAsia="Times New Roman" w:hAnsi="Times New Roman"/>
          <w:sz w:val="13"/>
          <w:szCs w:val="13"/>
          <w:color w:val="auto"/>
        </w:rPr>
        <w:t>On July 17, 2024, we entered into equity distribution agreements (together, the "Equity Distribution Agreements") with Citizens JMP Securities, LLC, Raymond James &amp; Associates, Inc. and Truist Securities, Inc. as the sales agents (collectively the "Sales Agents" and each a "Sales Agent") in connection with the sale of our shares of common stock, with an aggregate offering price of up to $500 million under an at-the -market offering program (the "2024 ATM Program"). The Equity Distribution Agreements provide that we may offer and sell shares of our common stock from time to time through the Sales Agents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2024 ATM Program offerings, net of any commissions of the Sale Agents, will not be less than our then current NAV per share. Any such payments made by the Investment Adviser will not be subject to reimbursement by us. In connection with the entry into the Equity Distribution Agreements, the Company terminated the equity distribution agreements with each of Citizens JMP Securities LLC, Raymond James &amp; Associates, Inc. and Truist Securities, Inc. in connection with the 2022 ATM Program.</w:t>
      </w:r>
    </w:p>
    <w:p>
      <w:pPr>
        <w:spacing w:after="0" w:line="134" w:lineRule="exact"/>
        <w:rPr>
          <w:sz w:val="20"/>
          <w:szCs w:val="20"/>
          <w:color w:val="auto"/>
        </w:rPr>
      </w:pPr>
    </w:p>
    <w:p>
      <w:pPr>
        <w:ind w:left="60" w:right="100" w:firstLine="336"/>
        <w:spacing w:after="0" w:line="254" w:lineRule="auto"/>
        <w:rPr>
          <w:sz w:val="20"/>
          <w:szCs w:val="20"/>
          <w:color w:val="auto"/>
        </w:rPr>
      </w:pPr>
      <w:r>
        <w:rPr>
          <w:rFonts w:ascii="Times New Roman" w:cs="Times New Roman" w:eastAsia="Times New Roman" w:hAnsi="Times New Roman"/>
          <w:sz w:val="13"/>
          <w:szCs w:val="13"/>
          <w:color w:val="auto"/>
        </w:rPr>
        <w:t>During the three and nine months ended June 30, 2025 we issued 2,800,000 shares and 21,638,000 shares of our common stock through the 2024 ATM Program, respectively at an average price of $11.31 per share and $11.34 per share raising $31.6 million and $244.8 million of net proceeds after commissions to the Sales Agents and inclusive of proceeds from the Investment Adviser to ensure that all shares were sold at or above NAV, respectively. During the three and nine months ended June 30, 2024, we issued 8,770,000 shares and 13,263,436 shares of common stock through the 2022 ATM Program at an average price of $11.41 per share and $11.39 per share, raising $100.1 million and $150.6 million of net proceeds after commissions to the Sales Agents and inclusive of proceeds from the Investment Adviser to ensure that all shares were sold at or above NAV, respectively. During the three and nine months ended June 30, 2025, in connection with the share issuance, we incurred $0.1 million and $0.3 million of deferred offering costs incurred related to establishing the 2024 ATM Program to additional paid in capital, respectively. During the three and nine months ended June 30, 2024, we incurred zero and $0.5 million of deferred offering costs related to establishing the 2022 ATM Program to additional paid in capital, respectively.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165" w:lineRule="exact"/>
        <w:rPr>
          <w:sz w:val="20"/>
          <w:szCs w:val="20"/>
          <w:color w:val="auto"/>
        </w:rPr>
      </w:pPr>
    </w:p>
    <w:p>
      <w:pPr>
        <w:ind w:left="60" w:right="120" w:firstLine="336"/>
        <w:spacing w:after="0" w:line="254"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2024 Annual Report on Form 10-K. There have been no significant changes in our critical accounting estimates during the nine months from those disclosed in our 2024 Annual Report on Form 10-K.</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Valuations</w:t>
      </w:r>
    </w:p>
    <w:p>
      <w:pPr>
        <w:spacing w:after="0" w:line="167" w:lineRule="exact"/>
        <w:rPr>
          <w:sz w:val="20"/>
          <w:szCs w:val="20"/>
          <w:color w:val="auto"/>
        </w:rPr>
      </w:pPr>
    </w:p>
    <w:p>
      <w:pPr>
        <w:ind w:left="60" w:right="80" w:firstLine="336"/>
        <w:spacing w:after="0" w:line="255"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34" w:lineRule="exact"/>
        <w:rPr>
          <w:sz w:val="20"/>
          <w:szCs w:val="20"/>
          <w:color w:val="auto"/>
        </w:rPr>
      </w:pPr>
    </w:p>
    <w:p>
      <w:pPr>
        <w:ind w:left="60" w:right="320" w:firstLine="336"/>
        <w:spacing w:after="0" w:line="268"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3" w:lineRule="exact"/>
        <w:rPr>
          <w:sz w:val="20"/>
          <w:szCs w:val="20"/>
          <w:color w:val="auto"/>
        </w:rPr>
      </w:pPr>
    </w:p>
    <w:p>
      <w:pPr>
        <w:ind w:left="400" w:right="28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our Investment Adviser;</w:t>
      </w:r>
    </w:p>
    <w:p>
      <w:pPr>
        <w:spacing w:after="0" w:line="163" w:lineRule="exact"/>
        <w:rPr>
          <w:sz w:val="20"/>
          <w:szCs w:val="20"/>
          <w:color w:val="auto"/>
        </w:rPr>
      </w:pPr>
    </w:p>
    <w:p>
      <w:pPr>
        <w:jc w:val="both"/>
        <w:ind w:left="400" w:right="320"/>
        <w:spacing w:after="0" w:line="262"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7" w:lineRule="exact"/>
        <w:rPr>
          <w:sz w:val="20"/>
          <w:szCs w:val="20"/>
          <w:color w:val="auto"/>
        </w:rPr>
      </w:pPr>
    </w:p>
    <w:p>
      <w:pPr>
        <w:ind w:left="400" w:right="12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3" w:lineRule="exact"/>
        <w:rPr>
          <w:sz w:val="20"/>
          <w:szCs w:val="20"/>
          <w:color w:val="auto"/>
        </w:rPr>
      </w:pPr>
    </w:p>
    <w:p>
      <w:pPr>
        <w:ind w:left="400" w:right="36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2" w:lineRule="exact"/>
        <w:rPr>
          <w:sz w:val="20"/>
          <w:szCs w:val="20"/>
          <w:color w:val="auto"/>
        </w:rPr>
      </w:pPr>
    </w:p>
    <w:p>
      <w:pPr>
        <w:ind w:left="60" w:right="120" w:firstLine="336"/>
        <w:spacing w:after="0" w:line="259"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88" w:right="1440" w:bottom="1440" w:gutter="0" w:footer="0" w:header="0"/>
        </w:sectPr>
      </w:pPr>
    </w:p>
    <w:bookmarkStart w:id="55" w:name="page56"/>
    <w:bookmarkEnd w:id="55"/>
    <w:p>
      <w:pPr>
        <w:ind w:left="60" w:right="120" w:firstLine="336"/>
        <w:spacing w:after="0" w:line="257"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63" w:lineRule="exact"/>
        <w:rPr>
          <w:sz w:val="20"/>
          <w:szCs w:val="20"/>
          <w:color w:val="auto"/>
        </w:rPr>
      </w:pPr>
    </w:p>
    <w:p>
      <w:pPr>
        <w:ind w:left="660" w:right="120" w:hanging="263"/>
        <w:spacing w:after="0" w:line="268"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3" w:lineRule="exact"/>
        <w:rPr>
          <w:sz w:val="20"/>
          <w:szCs w:val="20"/>
          <w:color w:val="auto"/>
        </w:rPr>
      </w:pPr>
    </w:p>
    <w:p>
      <w:pPr>
        <w:ind w:left="660" w:right="100" w:hanging="263"/>
        <w:spacing w:after="0" w:line="286" w:lineRule="auto"/>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12" w:lineRule="exact"/>
        <w:rPr>
          <w:sz w:val="20"/>
          <w:szCs w:val="20"/>
          <w:color w:val="auto"/>
        </w:rPr>
      </w:pPr>
    </w:p>
    <w:p>
      <w:pPr>
        <w:ind w:left="60" w:right="200" w:firstLine="336"/>
        <w:spacing w:after="0" w:line="259"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2031 Asset-Backed Debt, 2036 Asset-Backed Debt, 2036-R Asset- Backed Debt, 2037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0" w:lineRule="exact"/>
        <w:rPr>
          <w:sz w:val="20"/>
          <w:szCs w:val="20"/>
          <w:color w:val="auto"/>
        </w:rPr>
      </w:pPr>
    </w:p>
    <w:p>
      <w:pPr>
        <w:ind w:left="60" w:right="140" w:firstLine="336"/>
        <w:spacing w:after="0" w:line="256" w:lineRule="auto"/>
        <w:rPr>
          <w:sz w:val="20"/>
          <w:szCs w:val="20"/>
          <w:color w:val="auto"/>
        </w:rPr>
      </w:pPr>
      <w:r>
        <w:rPr>
          <w:rFonts w:ascii="Times New Roman" w:cs="Times New Roman" w:eastAsia="Times New Roman" w:hAnsi="Times New Roman"/>
          <w:sz w:val="13"/>
          <w:szCs w:val="13"/>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boards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 -5 under the 1940 Act before the compliance date. While our board of directors has not elected to designate the Investment Adviser as the valuation designee as of the date of this report, we have adopted certain revisions to our valuation policies and procedures in order comply with the applicable requirements of Rule 2a-5 under the 1940 Act.</w:t>
      </w:r>
    </w:p>
    <w:p>
      <w:pPr>
        <w:spacing w:after="0" w:line="132" w:lineRule="exact"/>
        <w:rPr>
          <w:sz w:val="20"/>
          <w:szCs w:val="20"/>
          <w:color w:val="auto"/>
        </w:rPr>
      </w:pPr>
    </w:p>
    <w:p>
      <w:pPr>
        <w:ind w:left="60" w:right="140" w:firstLine="336"/>
        <w:spacing w:after="0" w:line="262"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2026 Notes, our 2031 Asset -Backed Debt, our 2036 Asset-Backed Debt, our 2036 -R Asset-Backed Debt, our 2037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27" w:lineRule="exact"/>
        <w:rPr>
          <w:sz w:val="20"/>
          <w:szCs w:val="20"/>
          <w:color w:val="auto"/>
        </w:rPr>
      </w:pPr>
    </w:p>
    <w:p>
      <w:pPr>
        <w:ind w:left="60" w:right="80" w:firstLine="336"/>
        <w:spacing w:after="0" w:line="254"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ASC Subtopic 825-10, Financial Instruments, or ASC 825-10, which provides companies with an option to report selected financial assets and liabilities at fair value, and made an irrevocable election to apply ASC 825-10 to the Credit Facility.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$2.9 million and $3.3 million of expenses relating to amendment costs on the Credit Facility during the three and nine months ended June 30, 2025 and we incurred less than $0.1 million of expenses relating to amendment costs on the Credit Facility during the three and nine months ended, June 30, 2024.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825- 10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including the 2026 Notes, the 2031 Asset-Backed Debt, the 2036 Asset-Backed Debt, the 2036-R Asset-Backed Debt, and the 2037 Asset-Backed Debt.</w:t>
      </w:r>
    </w:p>
    <w:p>
      <w:pPr>
        <w:spacing w:after="0" w:line="132" w:lineRule="exact"/>
        <w:rPr>
          <w:sz w:val="20"/>
          <w:szCs w:val="20"/>
          <w:color w:val="auto"/>
        </w:rPr>
      </w:pPr>
    </w:p>
    <w:p>
      <w:pPr>
        <w:ind w:left="60" w:right="120" w:firstLine="336"/>
        <w:spacing w:after="0" w:line="257" w:lineRule="auto"/>
        <w:rPr>
          <w:sz w:val="20"/>
          <w:szCs w:val="20"/>
          <w:color w:val="auto"/>
        </w:rPr>
      </w:pPr>
      <w:r>
        <w:rPr>
          <w:rFonts w:ascii="Times New Roman" w:cs="Times New Roman" w:eastAsia="Times New Roman" w:hAnsi="Times New Roman"/>
          <w:sz w:val="13"/>
          <w:szCs w:val="13"/>
          <w:color w:val="auto"/>
        </w:rPr>
        <w:t>For the three and nine months ended June 30, 2025, the Credit Facility had a net change in unrealized appreciation (depreciation) of (0.1) million and less than $0.1 million, respectively . For the three and nine months ended June 30, 2024, the Credit Facility had a net change in unrealized appreciation (depreciation) of less than $0.1 million and less than $(0.1) million, respectively. As of June 30, 2025 and September 30, 2024, the net unrealized appreciation (depreciation) on the Credit Facility totaled approximately less than $ (0.1) million and zero, respectively. We use a nationally recognized independent valuation service to measure the fair value of the Credit Facility in a manner consistent with the valuation process that our board of directors uses to value our investments. Our 2023 Notes traded on the TASE and were fully paid off during in December 2023.</w:t>
      </w:r>
    </w:p>
    <w:p>
      <w:pPr>
        <w:spacing w:after="0" w:line="132" w:lineRule="exact"/>
        <w:rPr>
          <w:sz w:val="20"/>
          <w:szCs w:val="20"/>
          <w:color w:val="auto"/>
        </w:rPr>
      </w:pPr>
    </w:p>
    <w:p>
      <w:pPr>
        <w:ind w:left="60" w:right="140" w:firstLine="336"/>
        <w:spacing w:after="0" w:line="268" w:lineRule="auto"/>
        <w:rPr>
          <w:sz w:val="20"/>
          <w:szCs w:val="20"/>
          <w:color w:val="auto"/>
        </w:rPr>
      </w:pPr>
      <w:r>
        <w:rPr>
          <w:rFonts w:ascii="Times New Roman" w:cs="Times New Roman" w:eastAsia="Times New Roman" w:hAnsi="Times New Roman"/>
          <w:sz w:val="13"/>
          <w:szCs w:val="13"/>
          <w:color w:val="auto"/>
        </w:rPr>
        <w:t>On February 7, 2024, the Company filed a notice with the Israel Securities Authority and “TASE” voluntarily requesting to delist the Company’s common stock from trading on the TASE. The last day of trading on the TASE was May 6, 2024 and the delisting of the Company’s common stock from the TASE took effect on May 8, 2024.</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67" w:lineRule="exact"/>
        <w:rPr>
          <w:sz w:val="20"/>
          <w:szCs w:val="20"/>
          <w:color w:val="auto"/>
        </w:rPr>
      </w:pPr>
    </w:p>
    <w:p>
      <w:pPr>
        <w:ind w:left="60" w:right="80" w:firstLine="336"/>
        <w:spacing w:after="0" w:line="253"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 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90"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 and Net Change in Unrealized Appreciation or Depreciation</w:t>
      </w:r>
    </w:p>
    <w:p>
      <w:pPr>
        <w:spacing w:after="0" w:line="167" w:lineRule="exact"/>
        <w:rPr>
          <w:sz w:val="20"/>
          <w:szCs w:val="20"/>
          <w:color w:val="auto"/>
        </w:rPr>
      </w:pPr>
    </w:p>
    <w:p>
      <w:pPr>
        <w:ind w:left="60" w:right="140" w:firstLine="336"/>
        <w:spacing w:after="0" w:line="262" w:lineRule="auto"/>
        <w:rPr>
          <w:sz w:val="20"/>
          <w:szCs w:val="20"/>
          <w:color w:val="auto"/>
        </w:rPr>
      </w:pPr>
      <w:r>
        <w:rPr>
          <w:rFonts w:ascii="Times New Roman" w:cs="Times New Roman" w:eastAsia="Times New Roman" w:hAnsi="Times New Roman"/>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during the reporting period, including any reversal of previously recorded unrealized appreciation or depreciation, when gains or losses are realized.</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jc w:val="both"/>
        <w:ind w:left="60" w:right="200" w:firstLine="336"/>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Payment -in-kind, or PIK Interest</w:t>
      </w:r>
    </w:p>
    <w:p>
      <w:pPr>
        <w:spacing w:after="0" w:line="167" w:lineRule="exact"/>
        <w:rPr>
          <w:sz w:val="20"/>
          <w:szCs w:val="20"/>
          <w:color w:val="auto"/>
        </w:rPr>
      </w:pPr>
    </w:p>
    <w:p>
      <w:pPr>
        <w:ind w:left="60" w:right="100" w:firstLine="336"/>
        <w:spacing w:after="0" w:line="268" w:lineRule="auto"/>
        <w:rPr>
          <w:sz w:val="20"/>
          <w:szCs w:val="20"/>
          <w:color w:val="auto"/>
        </w:rPr>
      </w:pPr>
      <w:r>
        <w:rPr>
          <w:rFonts w:ascii="Times New Roman" w:cs="Times New Roman" w:eastAsia="Times New Roman" w:hAnsi="Times New Roman"/>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Federal Income Taxes</w:t>
      </w:r>
    </w:p>
    <w:p>
      <w:pPr>
        <w:spacing w:after="0" w:line="167" w:lineRule="exact"/>
        <w:rPr>
          <w:sz w:val="20"/>
          <w:szCs w:val="20"/>
          <w:color w:val="auto"/>
        </w:rPr>
      </w:pPr>
    </w:p>
    <w:p>
      <w:pPr>
        <w:ind w:left="60" w:right="180" w:firstLine="336"/>
        <w:spacing w:after="0" w:line="259"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 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30" w:lineRule="exact"/>
        <w:rPr>
          <w:sz w:val="20"/>
          <w:szCs w:val="20"/>
          <w:color w:val="auto"/>
        </w:rPr>
      </w:pPr>
    </w:p>
    <w:p>
      <w:pPr>
        <w:ind w:left="60" w:right="120" w:firstLine="336"/>
        <w:spacing w:after="0" w:line="255"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34" w:lineRule="exact"/>
        <w:rPr>
          <w:sz w:val="20"/>
          <w:szCs w:val="20"/>
          <w:color w:val="auto"/>
        </w:rPr>
      </w:pPr>
    </w:p>
    <w:p>
      <w:pPr>
        <w:ind w:left="60" w:right="180" w:firstLine="336"/>
        <w:spacing w:after="0" w:line="262"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27" w:lineRule="exact"/>
        <w:rPr>
          <w:sz w:val="20"/>
          <w:szCs w:val="20"/>
          <w:color w:val="auto"/>
        </w:rPr>
      </w:pPr>
    </w:p>
    <w:p>
      <w:pPr>
        <w:ind w:left="60" w:right="200" w:firstLine="369"/>
        <w:spacing w:after="0" w:line="268" w:lineRule="auto"/>
        <w:rPr>
          <w:sz w:val="20"/>
          <w:szCs w:val="20"/>
          <w:color w:val="auto"/>
        </w:rPr>
      </w:pPr>
      <w:r>
        <w:rPr>
          <w:rFonts w:ascii="Times New Roman" w:cs="Times New Roman" w:eastAsia="Times New Roman" w:hAnsi="Times New Roman"/>
          <w:sz w:val="13"/>
          <w:szCs w:val="13"/>
          <w:color w:val="auto"/>
        </w:rPr>
        <w:t>For the three and nine months ended June 30, 2025, we recorded a provision for taxes on net investment income of $0.2 million and $0.7 million, respectively, pertaining to federal excise tax. For the three and nine months ended June 30, 2024, we recorded a provision for taxes on net investment income of $0.2 million and $0.9 million, respectively, pertaining to federal excise tax.</w:t>
      </w:r>
    </w:p>
    <w:p>
      <w:pPr>
        <w:spacing w:after="0" w:line="123" w:lineRule="exact"/>
        <w:rPr>
          <w:sz w:val="20"/>
          <w:szCs w:val="20"/>
          <w:color w:val="auto"/>
        </w:rPr>
      </w:pPr>
    </w:p>
    <w:p>
      <w:pPr>
        <w:ind w:left="60" w:right="180" w:firstLine="336"/>
        <w:spacing w:after="0" w:line="261" w:lineRule="auto"/>
        <w:rPr>
          <w:sz w:val="20"/>
          <w:szCs w:val="20"/>
          <w:color w:val="auto"/>
        </w:rPr>
      </w:pPr>
      <w:r>
        <w:rPr>
          <w:rFonts w:ascii="Times New Roman" w:cs="Times New Roman" w:eastAsia="Times New Roman" w:hAnsi="Times New Roman"/>
          <w:sz w:val="13"/>
          <w:szCs w:val="13"/>
          <w:color w:val="auto"/>
        </w:rPr>
        <w:t>On February 4, 2022, we formed PFLT Investment Holdings II, LLC, a Delaware limited liability company (“Holdings II”), as a wholly owned subsidiary. On December 31, 2022, we contributed 100% of our interests in PFLT Investment Holdings, LLC ( “Holdings”) to Holdings II. Effective as of January 1, 2024, Holdings</w:t>
      </w:r>
    </w:p>
    <w:p>
      <w:pPr>
        <w:spacing w:after="0" w:line="1" w:lineRule="exact"/>
        <w:rPr>
          <w:sz w:val="20"/>
          <w:szCs w:val="20"/>
          <w:color w:val="auto"/>
        </w:rPr>
      </w:pPr>
    </w:p>
    <w:p>
      <w:pPr>
        <w:ind w:left="60" w:right="160" w:firstLine="6"/>
        <w:spacing w:after="0" w:line="257" w:lineRule="auto"/>
        <w:tabs>
          <w:tab w:leader="none" w:pos="18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elected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left="60" w:right="160" w:firstLine="336"/>
        <w:spacing w:after="0" w:line="254" w:lineRule="auto"/>
        <w:rPr>
          <w:sz w:val="20"/>
          <w:szCs w:val="20"/>
          <w:color w:val="auto"/>
        </w:rPr>
      </w:pPr>
      <w:r>
        <w:rPr>
          <w:rFonts w:ascii="Times New Roman" w:cs="Times New Roman" w:eastAsia="Times New Roman" w:hAnsi="Times New Roman"/>
          <w:sz w:val="13"/>
          <w:szCs w:val="13"/>
          <w:color w:val="auto"/>
        </w:rPr>
        <w:t>For the three and nine months ended June 30, 2025, the Company recorded a provision for taxes of $(0.3) million and $0.8 million on unrealized appreciation (depreciation) on investments by the Taxable Subsidiary. For the three and nine months ended June 30, 2024, the Company recorded a provision for taxes of zero and $0.2 million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June 30, 2025, and September 30, 2024, $0.9 million and $1.7 million, respectively, was accrued as a deferred tax liability on the Consolidated Statements of Assets and Liabilities relating to unrealized gain on investments held by the Taxable Subsidiary. During the three and nine months ended June 30, 2025, the Company recorded a provision for taxes of less than $0.1 million and $(0.1) million relating to realized gain (loss) on investments held by the Taxable Subsidiary. During the three and nine months ended June 30, 2024, the Company did not record a provision for taxes relating to realized gain on investments held by the Taxable Subsidiary. During the three and nine months ended June 30, 2025, the Company paid $0.1 million in taxes on realized gains on the sale of investments held by the Taxable Subsidiary. During the three and nine months ended June 30, 2024, the Company paid zero in taxes on realized gains on the sale of investments held by the Taxable Subsidiary.</w:t>
      </w:r>
    </w:p>
    <w:p>
      <w:pPr>
        <w:spacing w:after="0" w:line="290" w:lineRule="exact"/>
        <w:rPr>
          <w:sz w:val="20"/>
          <w:szCs w:val="20"/>
          <w:color w:val="auto"/>
        </w:rPr>
      </w:pPr>
    </w:p>
    <w:p>
      <w:pPr>
        <w:ind w:left="60" w:right="180" w:firstLine="336"/>
        <w:spacing w:after="0" w:line="262"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27" w:lineRule="exact"/>
        <w:rPr>
          <w:sz w:val="20"/>
          <w:szCs w:val="20"/>
          <w:color w:val="auto"/>
        </w:rPr>
      </w:pPr>
    </w:p>
    <w:p>
      <w:pPr>
        <w:ind w:left="60" w:right="160" w:firstLine="336"/>
        <w:spacing w:after="0" w:line="268" w:lineRule="auto"/>
        <w:rPr>
          <w:sz w:val="20"/>
          <w:szCs w:val="20"/>
          <w:color w:val="auto"/>
        </w:rPr>
      </w:pPr>
      <w:r>
        <w:rPr>
          <w:rFonts w:ascii="Times New Roman" w:cs="Times New Roman" w:eastAsia="Times New Roman" w:hAnsi="Times New Roman"/>
          <w:sz w:val="13"/>
          <w:szCs w:val="13"/>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86"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Set forth below are the results of operations for the three and nine months ended June 30, 2025 and 2024.</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67" w:lineRule="exact"/>
        <w:rPr>
          <w:sz w:val="20"/>
          <w:szCs w:val="20"/>
          <w:color w:val="auto"/>
        </w:rPr>
      </w:pPr>
    </w:p>
    <w:p>
      <w:pPr>
        <w:ind w:left="60" w:right="160" w:firstLine="336"/>
        <w:spacing w:after="0" w:line="259" w:lineRule="auto"/>
        <w:rPr>
          <w:sz w:val="20"/>
          <w:szCs w:val="20"/>
          <w:color w:val="auto"/>
        </w:rPr>
      </w:pPr>
      <w:r>
        <w:rPr>
          <w:rFonts w:ascii="Times New Roman" w:cs="Times New Roman" w:eastAsia="Times New Roman" w:hAnsi="Times New Roman"/>
          <w:sz w:val="13"/>
          <w:szCs w:val="13"/>
          <w:color w:val="auto"/>
        </w:rPr>
        <w:t>For the three and nine months ended June 30, 2025, investment income was $63.5 million and $192.4 million, respectively, which was attributable to $57.9 million and $175.1 million from first lien secured debt and $5.6 million and $17.3 million from other investments, respectively. For the three and nine months ended June 30, 2024, investment income was $ 48.5 million and $130.8 million, respectively, which was attributable to $42.7 million and $114.9 million from first lien secured debt and $5.8 million and $15.9 million from other investments, respectively. The increase in investment income for the three and nine months ended June 30, 2025, was primarily due to the increase in the size of our debt portfolio.</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ind w:left="60" w:right="120" w:firstLine="336"/>
        <w:spacing w:after="0" w:line="255" w:lineRule="auto"/>
        <w:rPr>
          <w:sz w:val="20"/>
          <w:szCs w:val="20"/>
          <w:color w:val="auto"/>
        </w:rPr>
      </w:pPr>
      <w:r>
        <w:rPr>
          <w:rFonts w:ascii="Times New Roman" w:cs="Times New Roman" w:eastAsia="Times New Roman" w:hAnsi="Times New Roman"/>
          <w:sz w:val="13"/>
          <w:szCs w:val="13"/>
          <w:color w:val="auto"/>
        </w:rPr>
        <w:t>For the three and nine months ended June 30, 2025, expenses totaled $38.9 million and $112.8 million, respectively and were comprised of: $22.5 million and $67.4 million of debt related interest and expenses, $5.9 million and $16.8 million of base management fees, $5.4 million and $ 19.1 million of performance-based incentive fees, and $2.0 million and $ 5.5 million of general and administrative expenses, $0.2 million and $0.7 million of taxes and $2.9 million and $3.3 million in Credit Facility amendment costs. For the three and nine months ended June 30, 2024, expenses totaled $27.3 million and $71.1 million, respectively and were comprised of; $16.3 million and $39.9 million of debt related interest and expenses, $3.9 million and $10.3 million of base management fee, $5.3 million and $14.9 million of performance-based incentive fee, $1.5 million and $5.0 million of general and administrative expenses, $0.2 million and $0.9 million of taxes, and $0.1 million and $0.1 million of Credit Facility amendment costs. The increase in expenses for the three and nine months ended June 30, 2025, was primarily due to the increase in interest expense from increased borrowings and an increase in base management fee and incentive fee as a result of the increase in our investment portfolio.</w:t>
      </w:r>
    </w:p>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Net Investment Income</w:t>
      </w:r>
    </w:p>
    <w:p>
      <w:pPr>
        <w:spacing w:after="0" w:line="167" w:lineRule="exact"/>
        <w:rPr>
          <w:sz w:val="20"/>
          <w:szCs w:val="20"/>
          <w:color w:val="auto"/>
        </w:rPr>
      </w:pPr>
    </w:p>
    <w:p>
      <w:pPr>
        <w:ind w:left="60" w:right="160" w:firstLine="336"/>
        <w:spacing w:after="0" w:line="262" w:lineRule="auto"/>
        <w:rPr>
          <w:sz w:val="20"/>
          <w:szCs w:val="20"/>
          <w:color w:val="auto"/>
        </w:rPr>
      </w:pPr>
      <w:r>
        <w:rPr>
          <w:rFonts w:ascii="Times New Roman" w:cs="Times New Roman" w:eastAsia="Times New Roman" w:hAnsi="Times New Roman"/>
          <w:sz w:val="13"/>
          <w:szCs w:val="13"/>
          <w:color w:val="auto"/>
        </w:rPr>
        <w:t>For the three and nine months ended June 30, 2025, net investment income totaled $24.6 million or $0.25 per share, and $79.6 million or $0.88 per share, respectively. For the three and nine months ended June 30, 2024, net investment income totaled $ 21.2 million or $0.31 per share, and $59.7 million or $0.95 per share, respectively. The increase in net investment income for the three and nine months ended June 30, 2025, was primarily due to an increase in investment income partially offset by an increase in expenses.</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w:t>
      </w:r>
    </w:p>
    <w:p>
      <w:pPr>
        <w:spacing w:after="0" w:line="167" w:lineRule="exact"/>
        <w:rPr>
          <w:sz w:val="20"/>
          <w:szCs w:val="20"/>
          <w:color w:val="auto"/>
        </w:rPr>
      </w:pPr>
    </w:p>
    <w:p>
      <w:pPr>
        <w:ind w:left="60" w:right="300" w:firstLine="336"/>
        <w:spacing w:after="0" w:line="268" w:lineRule="auto"/>
        <w:rPr>
          <w:sz w:val="20"/>
          <w:szCs w:val="20"/>
          <w:color w:val="auto"/>
        </w:rPr>
      </w:pPr>
      <w:r>
        <w:rPr>
          <w:rFonts w:ascii="Times New Roman" w:cs="Times New Roman" w:eastAsia="Times New Roman" w:hAnsi="Times New Roman"/>
          <w:sz w:val="13"/>
          <w:szCs w:val="13"/>
          <w:color w:val="auto"/>
        </w:rPr>
        <w:t>For the three and nine months ended June 30, 2025, net realized gains (losses) totaled $(14.8) million and $8.4 million, respectively. For the three and nine months ended June 30, 2024, net realized gains (losses) totaled $(0.4) million and $ 0.6 million, respectively. The change in net realized gains (losses) was primarily due to changes in the market conditions of our investments and the values at which they were realized.</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Unrealized Appreciation or Depreciation on Investments and Debt</w:t>
      </w:r>
    </w:p>
    <w:p>
      <w:pPr>
        <w:spacing w:after="0" w:line="323" w:lineRule="exact"/>
        <w:rPr>
          <w:sz w:val="20"/>
          <w:szCs w:val="20"/>
          <w:color w:val="auto"/>
        </w:rPr>
      </w:pPr>
    </w:p>
    <w:p>
      <w:pPr>
        <w:ind w:left="60" w:right="160" w:firstLine="336"/>
        <w:spacing w:after="0" w:line="259" w:lineRule="auto"/>
        <w:rPr>
          <w:sz w:val="20"/>
          <w:szCs w:val="20"/>
          <w:color w:val="auto"/>
        </w:rPr>
      </w:pPr>
      <w:r>
        <w:rPr>
          <w:rFonts w:ascii="Times New Roman" w:cs="Times New Roman" w:eastAsia="Times New Roman" w:hAnsi="Times New Roman"/>
          <w:sz w:val="13"/>
          <w:szCs w:val="13"/>
          <w:color w:val="auto"/>
        </w:rPr>
        <w:t>For the three and nine months ended June 30, 2025, we reported net change in unrealized appreciation (depreciation) on investments of $9.9 million and $(39.9) million, respectively. For the three and nine months ended June 30, 2024, we reported net change in unrealized appreciation (depreciation) on investments of $(4.0) million and $10.0 million, respectively. As of June 30, 2025 and September 30, 2024, our net unrealized appreciation (depreciation) on investments totaled $(51.3) million and $(11.4) million, respectively. The net change in unrealized appreciation (depreciation) on our investments was primarily due to the operating performance of the portfolio companies within our portfolio, changes in the capital market conditions of our investments and realization of investments.</w:t>
      </w:r>
    </w:p>
    <w:p>
      <w:pPr>
        <w:spacing w:after="0" w:line="130" w:lineRule="exact"/>
        <w:rPr>
          <w:sz w:val="20"/>
          <w:szCs w:val="20"/>
          <w:color w:val="auto"/>
        </w:rPr>
      </w:pPr>
    </w:p>
    <w:p>
      <w:pPr>
        <w:ind w:left="60" w:right="80" w:firstLine="336"/>
        <w:spacing w:after="0" w:line="259" w:lineRule="auto"/>
        <w:rPr>
          <w:sz w:val="20"/>
          <w:szCs w:val="20"/>
          <w:color w:val="auto"/>
        </w:rPr>
      </w:pPr>
      <w:r>
        <w:rPr>
          <w:rFonts w:ascii="Times New Roman" w:cs="Times New Roman" w:eastAsia="Times New Roman" w:hAnsi="Times New Roman"/>
          <w:sz w:val="13"/>
          <w:szCs w:val="13"/>
          <w:color w:val="auto"/>
        </w:rPr>
        <w:t>For the three and nine months ended June 30, 2025, our Credit Facility had a net change in unrealized appreciation (depreciation) of $(0.1) million and less than $0.1 million, respectively. For the three and nine months ended June 30, 2024, our Credit Facility had a net change in unrealized appreciation (depreciation) of less than $0.1 million and less than $(0.1) million. As of June 30, 2025 and September 30, 2024, the net unrealized appreciation (depreciation) on the Credit Facility totaled approximately less than $(0.1) million and zero, respectively. The net change in net unrealized (appreciation) or depreciation was primarily due to changes in the capital markets.</w:t>
      </w: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Net Change in Net Assets Resulting from Operations</w:t>
      </w:r>
    </w:p>
    <w:p>
      <w:pPr>
        <w:spacing w:after="0" w:line="167" w:lineRule="exact"/>
        <w:rPr>
          <w:sz w:val="20"/>
          <w:szCs w:val="20"/>
          <w:color w:val="auto"/>
        </w:rPr>
      </w:pPr>
    </w:p>
    <w:p>
      <w:pPr>
        <w:ind w:left="60" w:right="280" w:firstLine="336"/>
        <w:spacing w:after="0" w:line="259" w:lineRule="auto"/>
        <w:rPr>
          <w:sz w:val="20"/>
          <w:szCs w:val="20"/>
          <w:color w:val="auto"/>
        </w:rPr>
      </w:pPr>
      <w:r>
        <w:rPr>
          <w:rFonts w:ascii="Times New Roman" w:cs="Times New Roman" w:eastAsia="Times New Roman" w:hAnsi="Times New Roman"/>
          <w:sz w:val="13"/>
          <w:szCs w:val="13"/>
          <w:color w:val="auto"/>
        </w:rPr>
        <w:t>For the three and nine months ended June 30, 2025, net increase (decrease) in net assets resulting from operations totaled $19.3 million or $0.19 per share and $48.9 million or $0.54 per share, respectively. For the three and nine months ended June 30, 2024, net increase (decrease) in net assets resulting from operations totaled $16.9 million or $0.25 per share and $70.5 million, or $1.12 per share, respectively. The net increase or (decrease) from operations for the three and nine months ended June 30, 2025, was primarily due to operating performance of our portfolio and changes in capital market conditions of our investments along with change in size and cost yield of our debt portfolio and costs of financing.</w:t>
      </w:r>
    </w:p>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65" w:lineRule="exact"/>
        <w:rPr>
          <w:sz w:val="20"/>
          <w:szCs w:val="20"/>
          <w:color w:val="auto"/>
        </w:rPr>
      </w:pPr>
    </w:p>
    <w:p>
      <w:pPr>
        <w:ind w:left="60" w:right="60" w:firstLine="336"/>
        <w:spacing w:after="0" w:line="259" w:lineRule="auto"/>
        <w:rPr>
          <w:sz w:val="20"/>
          <w:szCs w:val="20"/>
          <w:color w:val="auto"/>
        </w:rPr>
      </w:pPr>
      <w:r>
        <w:rPr>
          <w:rFonts w:ascii="Times New Roman" w:cs="Times New Roman" w:eastAsia="Times New Roman" w:hAnsi="Times New Roman"/>
          <w:sz w:val="13"/>
          <w:szCs w:val="13"/>
          <w:color w:val="auto"/>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 As of June 30, 2025, in accordance with the 1940 Act, with certain limited exceptions, we are only allowed to borrow amounts such that we are in compliance with a 150% asset coverage ratio requirement after such borrowing.</w:t>
      </w:r>
    </w:p>
    <w:p>
      <w:pPr>
        <w:spacing w:after="0" w:line="130" w:lineRule="exact"/>
        <w:rPr>
          <w:sz w:val="20"/>
          <w:szCs w:val="20"/>
          <w:color w:val="auto"/>
        </w:rPr>
      </w:pPr>
    </w:p>
    <w:p>
      <w:pPr>
        <w:ind w:left="60" w:right="140" w:firstLine="336"/>
        <w:spacing w:after="0" w:line="259"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2025 and September 30, 2024, our asset coverage ratio, as computed in accordance with the 1940 Act, was 177% and 174%, respectively.</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88" w:right="1440" w:bottom="1440" w:gutter="0" w:footer="0" w:header="0"/>
        </w:sectPr>
      </w:pPr>
    </w:p>
    <w:bookmarkStart w:id="58" w:name="page59"/>
    <w:bookmarkEnd w:id="58"/>
    <w:p>
      <w:pPr>
        <w:jc w:val="both"/>
        <w:ind w:left="60" w:right="140" w:firstLine="336"/>
        <w:spacing w:after="0" w:line="268" w:lineRule="auto"/>
        <w:rPr>
          <w:sz w:val="20"/>
          <w:szCs w:val="20"/>
          <w:color w:val="auto"/>
        </w:rPr>
      </w:pPr>
      <w:r>
        <w:rPr>
          <w:rFonts w:ascii="Times New Roman" w:cs="Times New Roman" w:eastAsia="Times New Roman" w:hAnsi="Times New Roman"/>
          <w:sz w:val="13"/>
          <w:szCs w:val="13"/>
          <w:color w:val="auto"/>
        </w:rPr>
        <w:t>For the nine months ended June 30, 2025 and 2024, the annualized weighted average cost of debt, inclusive of the fee on the undrawn commitment on the Credit Facility, amendment costs and debt issuance costs, was 6.9% and 7.3%, respectively. As of June 30, 2025 and September 30, 2024, we had $419.1 million and $192.1 million of unused borrowing capacity under the Credit Facility, respectively, subject to leverage and borrowing base restrictions.</w:t>
      </w:r>
    </w:p>
    <w:p>
      <w:pPr>
        <w:spacing w:after="0" w:line="123" w:lineRule="exact"/>
        <w:rPr>
          <w:sz w:val="20"/>
          <w:szCs w:val="20"/>
          <w:color w:val="auto"/>
        </w:rPr>
      </w:pPr>
    </w:p>
    <w:p>
      <w:pPr>
        <w:ind w:left="60" w:right="220" w:firstLine="336"/>
        <w:spacing w:after="0" w:line="262" w:lineRule="auto"/>
        <w:rPr>
          <w:sz w:val="20"/>
          <w:szCs w:val="20"/>
          <w:color w:val="auto"/>
        </w:rPr>
      </w:pPr>
      <w:r>
        <w:rPr>
          <w:rFonts w:ascii="Times New Roman" w:cs="Times New Roman" w:eastAsia="Times New Roman" w:hAnsi="Times New Roman"/>
          <w:sz w:val="13"/>
          <w:szCs w:val="13"/>
          <w:color w:val="auto"/>
        </w:rPr>
        <w:t>In April 2025, the Credit Facility was amended. The terms of the amendment decreased the aggregate commitment amounts of the lenders party to the Credit Facility from $736.0 million to $ 718.0 million, decreased pricing under the Credit Facility to SOFR plus 200 basis points from SOFR plus 225 basis points, extended the reinvestment period one year to August 2028 from August 2027, extended the maturity date one year to August 2030 from August 2029, and increased the maximum first lien advance rate to 72.5% from 70.0%.</w:t>
      </w:r>
    </w:p>
    <w:p>
      <w:pPr>
        <w:spacing w:after="0" w:line="127" w:lineRule="exact"/>
        <w:rPr>
          <w:sz w:val="20"/>
          <w:szCs w:val="20"/>
          <w:color w:val="auto"/>
        </w:rPr>
      </w:pPr>
    </w:p>
    <w:p>
      <w:pPr>
        <w:ind w:left="60" w:right="200" w:firstLine="336"/>
        <w:spacing w:after="0" w:line="259" w:lineRule="auto"/>
        <w:rPr>
          <w:sz w:val="20"/>
          <w:szCs w:val="20"/>
          <w:color w:val="auto"/>
        </w:rPr>
      </w:pPr>
      <w:r>
        <w:rPr>
          <w:rFonts w:ascii="Times New Roman" w:cs="Times New Roman" w:eastAsia="Times New Roman" w:hAnsi="Times New Roman"/>
          <w:sz w:val="13"/>
          <w:szCs w:val="13"/>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2025, we were in compliance with the covenants relating to our Credit Facility.</w:t>
      </w:r>
    </w:p>
    <w:p>
      <w:pPr>
        <w:spacing w:after="0" w:line="130" w:lineRule="exact"/>
        <w:rPr>
          <w:sz w:val="20"/>
          <w:szCs w:val="20"/>
          <w:color w:val="auto"/>
        </w:rPr>
      </w:pPr>
    </w:p>
    <w:p>
      <w:pPr>
        <w:ind w:left="60" w:right="120" w:firstLine="336"/>
        <w:spacing w:after="0" w:line="286" w:lineRule="auto"/>
        <w:rPr>
          <w:sz w:val="20"/>
          <w:szCs w:val="20"/>
          <w:color w:val="auto"/>
        </w:rPr>
      </w:pPr>
      <w:r>
        <w:rPr>
          <w:rFonts w:ascii="Times New Roman" w:cs="Times New Roman" w:eastAsia="Times New Roman" w:hAnsi="Times New Roman"/>
          <w:sz w:val="13"/>
          <w:szCs w:val="13"/>
          <w:color w:val="auto"/>
        </w:rPr>
        <w:t>We own 100% of the equity interest in Funding I and treat the indebtedness of Funding I as our leverage. Our Investment Adviser serves as collateral manager to Funding I under the Credit Facility.</w:t>
      </w:r>
    </w:p>
    <w:p>
      <w:pPr>
        <w:spacing w:after="0" w:line="112" w:lineRule="exact"/>
        <w:rPr>
          <w:sz w:val="20"/>
          <w:szCs w:val="20"/>
          <w:color w:val="auto"/>
        </w:rPr>
      </w:pPr>
    </w:p>
    <w:p>
      <w:pPr>
        <w:ind w:left="60" w:right="140" w:firstLine="336"/>
        <w:spacing w:after="0" w:line="257" w:lineRule="auto"/>
        <w:rPr>
          <w:sz w:val="20"/>
          <w:szCs w:val="20"/>
          <w:color w:val="auto"/>
        </w:rPr>
      </w:pPr>
      <w:r>
        <w:rPr>
          <w:rFonts w:ascii="Times New Roman" w:cs="Times New Roman" w:eastAsia="Times New Roman" w:hAnsi="Times New Roman"/>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32" w:lineRule="exact"/>
        <w:rPr>
          <w:sz w:val="20"/>
          <w:szCs w:val="20"/>
          <w:color w:val="auto"/>
        </w:rPr>
      </w:pPr>
    </w:p>
    <w:p>
      <w:pPr>
        <w:ind w:left="60" w:right="180" w:firstLine="336"/>
        <w:spacing w:after="0" w:line="255" w:lineRule="auto"/>
        <w:rPr>
          <w:sz w:val="20"/>
          <w:szCs w:val="20"/>
          <w:color w:val="auto"/>
        </w:rPr>
      </w:pPr>
      <w:r>
        <w:rPr>
          <w:rFonts w:ascii="Times New Roman" w:cs="Times New Roman" w:eastAsia="Times New Roman" w:hAnsi="Times New Roman"/>
          <w:sz w:val="13"/>
          <w:szCs w:val="13"/>
          <w:color w:val="auto"/>
        </w:rPr>
        <w:t>In March 2021 and in October 2021, we issued $100.0 million and $85.0 million, respectively, in aggregate principal amount of our 2026 Notes at a public offering price per note of 99.4% and 101.5%, respectively. Interest on the 2026 Notes is paid semi-annually on April 1 and October 1 of each year, at a rate of 4.25% per year, commencing October 1, 2021. The effective interest rate is 4.15%. The 2026 Notes mature on April 1, 2026 and may be redeemed in whole or in part at our option subject to a make -whole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4" w:lineRule="exact"/>
        <w:rPr>
          <w:sz w:val="20"/>
          <w:szCs w:val="20"/>
          <w:color w:val="auto"/>
        </w:rPr>
      </w:pPr>
    </w:p>
    <w:p>
      <w:pPr>
        <w:ind w:left="60" w:right="120" w:firstLine="336"/>
        <w:spacing w:after="0" w:line="157" w:lineRule="exact"/>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 -1 Senior Secured Floating Rate Notes maturing 2031, which bear interest at the three- month SOFR plus 1.8%, (ii) $15.0 million Class A-2 Senior Secured Fixed Rate Notes due 2031, which bear interest at 3.7%, (iii) $14.0 million Class B-1 Senior Secured Floating Rate Notes due 2031, which bear interest at the three -month SOFR plus 2.9%, (iv) $ 16.0 million Class B-2 Senior Secured Fixed Rate Notes due 2031, which bear interest at 4.3%, (v) $19.0 million Class C</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Secured Deferrable Floating Rate Notes due 2031, which bear interest at the three-month SOFR plus 4.0%, (vi) $8.0 million Class C-2 Secured Deferrable Fixed Rate Notes due 2031, which bear interest at 5.4%, and (vii) $18.0 million Class D Secured Deferrable Floating Rate Notes due 2031, which bear interest at the three-month SOFR plus 4.8% and (B) the borrowing of $77.5 million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Loans due 2031, which bear interest at the three-month SOFR plus 1.8%, under a credit agreement by and among the Securitization Issuers, as borrowers, various financial institutions, as lenders, and U.S. Bank National Association, as collateral agent and as loan agent. The 2031 Asset-Backed Debt is scheduled to mature on October 15, 2031. As of June 30, 2025 and September 30, 2024, the Company had zero of 2031 Asset-Backed Debt outstanding.</w:t>
      </w:r>
    </w:p>
    <w:p>
      <w:pPr>
        <w:spacing w:after="0" w:line="146" w:lineRule="exact"/>
        <w:rPr>
          <w:sz w:val="20"/>
          <w:szCs w:val="20"/>
          <w:color w:val="auto"/>
        </w:rPr>
      </w:pPr>
    </w:p>
    <w:p>
      <w:pPr>
        <w:ind w:left="60" w:right="80" w:firstLine="336"/>
        <w:spacing w:after="0" w:line="262" w:lineRule="auto"/>
        <w:rPr>
          <w:sz w:val="20"/>
          <w:szCs w:val="20"/>
          <w:color w:val="auto"/>
        </w:rPr>
      </w:pPr>
      <w:r>
        <w:rPr>
          <w:rFonts w:ascii="Times New Roman" w:cs="Times New Roman" w:eastAsia="Times New Roman" w:hAnsi="Times New Roman"/>
          <w:sz w:val="13"/>
          <w:szCs w:val="13"/>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27" w:lineRule="exact"/>
        <w:rPr>
          <w:sz w:val="20"/>
          <w:szCs w:val="20"/>
          <w:color w:val="auto"/>
        </w:rPr>
      </w:pPr>
    </w:p>
    <w:p>
      <w:pPr>
        <w:ind w:left="60" w:right="340" w:firstLine="336"/>
        <w:spacing w:after="0" w:line="268"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23" w:lineRule="exact"/>
        <w:rPr>
          <w:sz w:val="20"/>
          <w:szCs w:val="20"/>
          <w:color w:val="auto"/>
        </w:rPr>
      </w:pPr>
    </w:p>
    <w:p>
      <w:pPr>
        <w:ind w:left="60" w:right="120" w:firstLine="330"/>
        <w:spacing w:after="0" w:line="253" w:lineRule="auto"/>
        <w:rPr>
          <w:sz w:val="20"/>
          <w:szCs w:val="20"/>
          <w:color w:val="auto"/>
        </w:rPr>
      </w:pPr>
      <w:r>
        <w:rPr>
          <w:rFonts w:ascii="Times New Roman" w:cs="Times New Roman" w:eastAsia="Times New Roman" w:hAnsi="Times New Roman"/>
          <w:sz w:val="13"/>
          <w:szCs w:val="13"/>
          <w:color w:val="auto"/>
        </w:rPr>
        <w:t>In July 2024, the 2031 Asset -Backed Debt was refinanced through a $351.0 million debt securitization in the form of a collateralized loan obligation, or the "2036-R Asset -Backed Debt". The Company retained $85.0 million of the debt securitization. The 2036-R Asset-Backed Debt was executed through: (A) the issuance by the 2036-R Securitization Issuers of the following classes of notes pursuant that certain indenture, dated September 19, 2019, by and among the 2036 -R Securitization Issuers and U.S. Bank Trust Company, National Association, as amended by the second supplemental indenture, dated June 25, 2024): (i) $203 million of A-1-R Notes, which bear interest at the three-month SOFR plus 1.75%, (ii) $10.5 million of A-2-R Notes, which bear interest at three- month SOFR plus 1.90%, (iii) $12 million of Class B-R Notes, which bear interest at three-month SOFR plus 2.05%, (iv) $28 million of C-R Notes, which bear interest at three-month SOFR plus 2.75% and (v) $21 million of D-R Notes, which bear interest at three-month SOFR plus 4.30%, (B) the issuance by the issuer of $ 64 million of subordinated notes pursuant to the Indenture and (C) the borrowing by one of the 2036-R Securitization Issuers of $12.5 million of Class B- R Loans, which bear interest at three-month SOFR plus 2.05%, pursuant to a credit agreement, by and among the 2036-R Securitization Issuers, the various financial institutions and other persons party thereto, as lenders and U.S. Bank Trust Company, National Association, as loan agent and as trustee. The 2036 -R Asset-Backed Debt matures in July 2036. As of June 30, 2025 and September 30, 2024, the Company had $266.0 million, respectively, 2036-R Asset-Backed Debt outstanding with a weighted average interest rate of 6.2% and 7.2%, respectively. As of June 30, 2025 and September 30, 2024, the unamortized fees on the 2036-R Asset-Backed Debt were $0.7 million and $0.8 million, respectively.</w:t>
      </w:r>
    </w:p>
    <w:p>
      <w:pPr>
        <w:spacing w:after="0" w:line="294" w:lineRule="exact"/>
        <w:rPr>
          <w:sz w:val="20"/>
          <w:szCs w:val="20"/>
          <w:color w:val="auto"/>
        </w:rPr>
      </w:pPr>
    </w:p>
    <w:p>
      <w:pPr>
        <w:ind w:left="60" w:right="120" w:firstLine="336"/>
        <w:spacing w:after="0" w:line="253" w:lineRule="auto"/>
        <w:rPr>
          <w:sz w:val="20"/>
          <w:szCs w:val="20"/>
          <w:color w:val="auto"/>
        </w:rPr>
      </w:pPr>
      <w:r>
        <w:rPr>
          <w:rFonts w:ascii="Times New Roman" w:cs="Times New Roman" w:eastAsia="Times New Roman" w:hAnsi="Times New Roman"/>
          <w:sz w:val="13"/>
          <w:szCs w:val="13"/>
          <w:color w:val="auto"/>
        </w:rPr>
        <w:t>In February 2024, the Company completed the $350.6 million term debt securitization. Term debt securitizations, also known as CLOs, are a form of secured financing incurred by the Company, which is consolidated by the Company and subject to the Company’s asset coverage requirements. The 2036 Asset-Backed Debt was issued by the 2036 Securitization Issuer. The 2036 Asset-Backed Debt is secured by the middle market loans, participation interests in middle market loans and other assets of the 2036 Securitization Issuer. The Debt Securitization was executed through (A) a private placement of: (i) $139.5 million of AAA(sf) Class A -1 Notes, which bear interest at the three-month secured overnight financing rate published by the Federal Reserve Bank of New York (“SOFR”) plus 2.30%, (ii) $14 million of AAA(sf) Class A-2 Notes, which bear interest at three-month SOFR plus 2.70%, (iii) $24.5 million of AA(sf) Class B Notes, which bear interest at three-month SOFR plus 2.90%, (iv) $28 million of A(sf) Class C Notes, which bear interest at three-month SOFR plus 3.90%, (v) $21 million of BBB-(sf) Class D Notes, which bear interest at three-month SOFR plus 5.90%, (together, the “Secured Notes”), and (vi) $63.6 million of subordinated notes (“Subordinated Notes”) and (B) the borrowing of $60.0 million AAA(sf) Class A-1 Senior Secured Floating Rate Loans (the “Class A-1 Loans” and together with the Secured Notes and Subordinated Notes, the “Debt”), which bear interest at three-month SOFR plus 2.30%, under a credit agreement (the “Credit Agreement”), dated as of the Closing Date, by and among the Issuer, as borrower, various financial institutions, as lenders, and Wilmington Trust, National Association, as collateral agent and as loan agent. The Debt is scheduled to mature on April 18, 2036.</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90" w:right="1440" w:bottom="1440" w:gutter="0" w:footer="0" w:header="0"/>
        </w:sectPr>
      </w:pPr>
    </w:p>
    <w:bookmarkStart w:id="59" w:name="page60"/>
    <w:bookmarkEnd w:id="59"/>
    <w:p>
      <w:pPr>
        <w:ind w:left="60" w:right="240" w:firstLine="336"/>
        <w:spacing w:after="0" w:line="262" w:lineRule="auto"/>
        <w:rPr>
          <w:sz w:val="20"/>
          <w:szCs w:val="20"/>
          <w:color w:val="auto"/>
        </w:rPr>
      </w:pPr>
      <w:r>
        <w:rPr>
          <w:rFonts w:ascii="Times New Roman" w:cs="Times New Roman" w:eastAsia="Times New Roman" w:hAnsi="Times New Roman"/>
          <w:sz w:val="13"/>
          <w:szCs w:val="13"/>
          <w:color w:val="auto"/>
        </w:rPr>
        <w:t>The 2036 Asset-Backed Debt is included in the Consolidated Statement of Assets and Liabilities as debt of the Company and the Preferred Shares of the 2036-Securitization Issuer were eliminated in consolidation. As of June 30, 2025 and September 30, 2024, the Company had $287.0 million of 2036 Asset- Backed Debt outstanding with a weighted average interest rate of 7.1% and 8.1%, respectively .As of June 30, 2025, and September 30, 2024 the unamortized fees on the 2036 Asset- Backed Debt were $2.5 million and $2.9 million, respectively.</w:t>
      </w:r>
    </w:p>
    <w:p>
      <w:pPr>
        <w:spacing w:after="0" w:line="127" w:lineRule="exact"/>
        <w:rPr>
          <w:sz w:val="20"/>
          <w:szCs w:val="20"/>
          <w:color w:val="auto"/>
        </w:rPr>
      </w:pPr>
    </w:p>
    <w:p>
      <w:pPr>
        <w:ind w:left="60" w:right="340" w:firstLine="336"/>
        <w:spacing w:after="0" w:line="268"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2036-Securitization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23" w:lineRule="exact"/>
        <w:rPr>
          <w:sz w:val="20"/>
          <w:szCs w:val="20"/>
          <w:color w:val="auto"/>
        </w:rPr>
      </w:pPr>
    </w:p>
    <w:p>
      <w:pPr>
        <w:ind w:left="60" w:right="140" w:firstLine="336"/>
        <w:spacing w:after="0" w:line="252" w:lineRule="auto"/>
        <w:rPr>
          <w:sz w:val="20"/>
          <w:szCs w:val="20"/>
          <w:color w:val="auto"/>
        </w:rPr>
      </w:pPr>
      <w:r>
        <w:rPr>
          <w:rFonts w:ascii="Times New Roman" w:cs="Times New Roman" w:eastAsia="Times New Roman" w:hAnsi="Times New Roman"/>
          <w:sz w:val="13"/>
          <w:szCs w:val="13"/>
          <w:color w:val="auto"/>
        </w:rPr>
        <w:t>In February 2025, we completed the $474.6 million term debt securitization (the “2037 Debt Securitization”). The notes offered in the 2037 Debt Securitization were issued by the 2037 Securitization Issuer and are backed by a portfolio of collateral obligations consisting of middle market loans and participation interests in middle market loans as well as by other assets of the 2037 Securitization Issuer. The Company retained $113.6 million of the debt securitization issued by the 2037 Securitization Issuer. The transaction was executed through (A) a private placement of $220.5 million of AAA(sf) Class A -1 Notes, which bear interest at the three-month SOFR plus 1.49% (the “2037 Class A-1 Notes”), (ii) $19.0 million of AAA(sf) Class A-2 Notes, which bear interest at three-month SOFR plus 1.60% (the “2037 Class A-2 Notes”), (iii) $28.5 million of AA(sf) Class B Notes, which bear interest at three-month SOFR plus 1.75% (the “2037 Class B Notes”), (iv) $38.0 million of A(sf) Class C Notes, which bear interest at three-month SOFR plus 2.20% (the “2037 Class C Notes”), (v) $28.5 million of BBB-(sf) Class D Notes, which bear interest at three-month SOFR plus 3.60%, (the “2037 Class D Notes” and, collectively with the 2037 Class A-2 Notes, the 2037 Class B Notes and the 2037 Class D Notes, the “2037 Secured Notes”), and (vi) $85.1 million of subordinated notes (the “2037 Subordinated Notes”) and (B) the borrowing by 2037 Securitization Issuer of $10.0 million under AAA(sf) Class A-1L-A floating rate loans (the “2037 Class A-1L-A Loans”) and $45.0 million under AAA(sf) Class A -1L -B floating rate loans ( the “2037 Class A-1L-B Loans” and, together with the 2037 Class A-1L-A Loans, the “2037 Asset-Backed Loans,” and collectively with the 2037 Notes, the “2037 Asset-Backed Debt”), which bear interest at three-month SOFR plus 1.49%. The 2037 Class A-1 Loans and the 2037 Secured Notes are secured by the middle market loans, participation interests in middle market loans and other assets of the 2037 Securitization Issuer. The 2037 Asset -Backed Debt is scheduled to mature on April 20, 2037. The 2037 Asset -Backed Debt is included in the Consolidated Statement of Assets and Liabilities as debt of the Company and the 2037 Class D Notes and the 2037 Subordinated Notes of the 2037 Securitization Issuer were eliminated in consolidation. The Company will continue to retain the 2037 Class D Notes and the 2037 Subordinated Notes. A portion of the proceeds received by the 2037 Securitization Issuer from the loans securing the 2037 Class A-1 Loans and the 2037 Secured Notes may be used to purchase additional middle market loans under the direction of the Investment Adviser through April 20, 2029. As of June 30, 2025 and September 30, 2024, the Company had $361.0 million and zero of 2037 Asset-Backed Debt outstanding with a weighted average interest rate of 5.9% and zero, respectively. As of June 30, 2025 and September 30, 2024, the unamortized fees on the 2037 Asset-Backed Debt were $2.8 million and zero, respectively.</w:t>
      </w:r>
    </w:p>
    <w:p>
      <w:pPr>
        <w:spacing w:after="0" w:line="139" w:lineRule="exact"/>
        <w:rPr>
          <w:sz w:val="20"/>
          <w:szCs w:val="20"/>
          <w:color w:val="auto"/>
        </w:rPr>
      </w:pPr>
    </w:p>
    <w:p>
      <w:pPr>
        <w:ind w:left="60" w:right="360" w:firstLine="336"/>
        <w:spacing w:after="0" w:line="268"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2037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23" w:lineRule="exact"/>
        <w:rPr>
          <w:sz w:val="20"/>
          <w:szCs w:val="20"/>
          <w:color w:val="auto"/>
        </w:rPr>
      </w:pPr>
    </w:p>
    <w:p>
      <w:pPr>
        <w:ind w:left="60" w:right="120" w:firstLine="336"/>
        <w:spacing w:after="0" w:line="254" w:lineRule="auto"/>
        <w:rPr>
          <w:sz w:val="20"/>
          <w:szCs w:val="20"/>
          <w:color w:val="auto"/>
        </w:rPr>
      </w:pPr>
      <w:r>
        <w:rPr>
          <w:rFonts w:ascii="Times New Roman" w:cs="Times New Roman" w:eastAsia="Times New Roman" w:hAnsi="Times New Roman"/>
          <w:sz w:val="13"/>
          <w:szCs w:val="13"/>
          <w:color w:val="auto"/>
        </w:rPr>
        <w:t>On July 17, 2024, we entered into equity distribution agreements (together, the "Equity Distribution Agreements") with Citizens JMP Securities, LLC, Raymond James &amp; Associates, Inc. and Truist Securities, Inc. as the sales agents (collectively the "Sales Agents" and each a "Sales Agent") in connection with the sale of our shares of common stock, with an aggregate offering price of up to $500 million under an at-the-market offering program (the "2024 ATM Program"). The Equity Distribution Agreements provide that we may offer and sell shares of our common stock from time to time through the Sales Agents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2024 ATM Program offerings, net of any commissions of the Sale Agents, will not be less than our then current NAV per share. Any such payments made by the Investment Adviser will not be subject to reimbursement by us. In connection with the entry into the Equity Distribution Agreements, the Company terminated the equity distribution agreements with each of Citizens JMP Securities LLC, Raymond James &amp; Associates, Inc. and Truist Securities, Inc. in connection with the 2022 ATM Program.</w:t>
      </w:r>
    </w:p>
    <w:p>
      <w:pPr>
        <w:spacing w:after="0" w:line="134" w:lineRule="exact"/>
        <w:rPr>
          <w:sz w:val="20"/>
          <w:szCs w:val="20"/>
          <w:color w:val="auto"/>
        </w:rPr>
      </w:pPr>
    </w:p>
    <w:p>
      <w:pPr>
        <w:ind w:left="60" w:right="100" w:firstLine="336"/>
        <w:spacing w:after="0" w:line="254" w:lineRule="auto"/>
        <w:rPr>
          <w:sz w:val="20"/>
          <w:szCs w:val="20"/>
          <w:color w:val="auto"/>
        </w:rPr>
      </w:pPr>
      <w:r>
        <w:rPr>
          <w:rFonts w:ascii="Times New Roman" w:cs="Times New Roman" w:eastAsia="Times New Roman" w:hAnsi="Times New Roman"/>
          <w:sz w:val="13"/>
          <w:szCs w:val="13"/>
          <w:color w:val="auto"/>
        </w:rPr>
        <w:t>During the three and nine months ended June 30, 2025 we issued 2,800,000 shares and 21,638,000 shares of our common stock through the 2024 ATM Program, respectively at an average price of $11.31 per share and $11.34 per share raising $31.6 million and $244.8 million of net proceeds after commissions to the Sales Agents and inclusive of proceeds from the Investment Adviser to ensure that all shares were sold at or above NAV, respectively. During the three and nine months ended June 30, 2024, we issued 8,770,000 shares and 13,263,436 shares of common stock through the 2022 ATM Program at an average price of $11.41 per share and $11.39 per share, raising $100.1 million and $150.6 million of net proceeds after commissions to the Sales Agents and inclusive of proceeds from the Investment Adviser to ensure that all shares were sold at or above NAV, respectively. During the three and nine months ended June 30, 2025, in connection with the share issuance, we incurred $0.1 million and $0.3 million of deferred offering costs incurred related to establishing the 2024 ATM Program to additional paid in capital, respectively. During the three and nine months ended June 30, 2024, we incurred zero and $0.5 million of deferred offering costs related to establishing the 2022 ATM Program to additional paid in capital, respectively.</w:t>
      </w:r>
    </w:p>
    <w:p>
      <w:pPr>
        <w:spacing w:after="0" w:line="137" w:lineRule="exact"/>
        <w:rPr>
          <w:sz w:val="20"/>
          <w:szCs w:val="20"/>
          <w:color w:val="auto"/>
        </w:rPr>
      </w:pPr>
    </w:p>
    <w:p>
      <w:pPr>
        <w:ind w:left="60" w:right="120" w:firstLine="336"/>
        <w:spacing w:after="0" w:line="262" w:lineRule="auto"/>
        <w:rPr>
          <w:sz w:val="20"/>
          <w:szCs w:val="20"/>
          <w:color w:val="auto"/>
        </w:rPr>
      </w:pPr>
      <w:r>
        <w:rPr>
          <w:rFonts w:ascii="Times New Roman" w:cs="Times New Roman" w:eastAsia="Times New Roman" w:hAnsi="Times New Roman"/>
          <w:sz w:val="13"/>
          <w:szCs w:val="13"/>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27" w:lineRule="exact"/>
        <w:rPr>
          <w:sz w:val="20"/>
          <w:szCs w:val="20"/>
          <w:color w:val="auto"/>
        </w:rPr>
      </w:pPr>
    </w:p>
    <w:p>
      <w:pPr>
        <w:ind w:left="60" w:right="120" w:firstLine="336"/>
        <w:spacing w:after="0" w:line="262" w:lineRule="auto"/>
        <w:rPr>
          <w:sz w:val="20"/>
          <w:szCs w:val="20"/>
          <w:color w:val="auto"/>
        </w:rPr>
      </w:pPr>
      <w:r>
        <w:rPr>
          <w:rFonts w:ascii="Times New Roman" w:cs="Times New Roman" w:eastAsia="Times New Roman" w:hAnsi="Times New Roman"/>
          <w:sz w:val="13"/>
          <w:szCs w:val="13"/>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May 2025,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27" w:lineRule="exact"/>
        <w:rPr>
          <w:sz w:val="20"/>
          <w:szCs w:val="20"/>
          <w:color w:val="auto"/>
        </w:rPr>
      </w:pPr>
    </w:p>
    <w:p>
      <w:pPr>
        <w:ind w:left="60" w:right="180" w:firstLine="363"/>
        <w:spacing w:after="0" w:line="257" w:lineRule="auto"/>
        <w:rPr>
          <w:sz w:val="20"/>
          <w:szCs w:val="20"/>
          <w:color w:val="auto"/>
        </w:rPr>
      </w:pPr>
      <w:r>
        <w:rPr>
          <w:rFonts w:ascii="Times New Roman" w:cs="Times New Roman" w:eastAsia="Times New Roman" w:hAnsi="Times New Roman"/>
          <w:sz w:val="13"/>
          <w:szCs w:val="13"/>
          <w:color w:val="auto"/>
        </w:rPr>
        <w:t>Under our Administration Agreement, which was most recently reapproved by our board of directors, including a majority of our directors who are not interested persons of us, in May 2025, the Administrator furnishes us with office facilities and administrative services necessary to conduct our day -to- 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Financial Officer, Chief Compliance Officer, Corporate Counsel and their respective staffs.</w:t>
      </w:r>
    </w:p>
    <w:p>
      <w:pPr>
        <w:spacing w:after="0" w:line="288" w:lineRule="exact"/>
        <w:rPr>
          <w:sz w:val="20"/>
          <w:szCs w:val="20"/>
          <w:color w:val="auto"/>
        </w:rPr>
      </w:pPr>
    </w:p>
    <w:p>
      <w:pPr>
        <w:ind w:left="60" w:right="180" w:firstLine="336"/>
        <w:spacing w:after="0" w:line="268" w:lineRule="auto"/>
        <w:rPr>
          <w:sz w:val="20"/>
          <w:szCs w:val="20"/>
          <w:color w:val="auto"/>
        </w:rPr>
      </w:pPr>
      <w:r>
        <w:rPr>
          <w:rFonts w:ascii="Times New Roman" w:cs="Times New Roman" w:eastAsia="Times New Roman" w:hAnsi="Times New Roman"/>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90" w:right="1440" w:bottom="1440" w:gutter="0" w:footer="0" w:header="0"/>
        </w:sectPr>
      </w:pPr>
    </w:p>
    <w:bookmarkStart w:id="60" w:name="page61"/>
    <w:bookmarkEnd w:id="60"/>
    <w:p>
      <w:pPr>
        <w:ind w:left="60" w:right="240" w:firstLine="336"/>
        <w:spacing w:after="0" w:line="286" w:lineRule="auto"/>
        <w:rPr>
          <w:sz w:val="20"/>
          <w:szCs w:val="20"/>
          <w:color w:val="auto"/>
        </w:rPr>
      </w:pPr>
      <w:r>
        <w:rPr>
          <w:rFonts w:ascii="Times New Roman" w:cs="Times New Roman" w:eastAsia="Times New Roman" w:hAnsi="Times New Roman"/>
          <w:sz w:val="13"/>
          <w:szCs w:val="13"/>
          <w:color w:val="auto"/>
        </w:rPr>
        <w:t>As of June 30, 2025 and September 30, 2024, we had cash and cash equivalents of $ 102.7 million and $112.1 million, respectively, available for investing and general corporate purposes. We believe our liquidity and capital resources are sufficient to take advantage of market opportunities.</w:t>
      </w:r>
    </w:p>
    <w:p>
      <w:pPr>
        <w:spacing w:after="0" w:line="112" w:lineRule="exact"/>
        <w:rPr>
          <w:sz w:val="20"/>
          <w:szCs w:val="20"/>
          <w:color w:val="auto"/>
        </w:rPr>
      </w:pPr>
    </w:p>
    <w:p>
      <w:pPr>
        <w:ind w:left="60" w:right="200" w:firstLine="336"/>
        <w:spacing w:after="0" w:line="268" w:lineRule="auto"/>
        <w:rPr>
          <w:sz w:val="20"/>
          <w:szCs w:val="20"/>
          <w:color w:val="auto"/>
        </w:rPr>
      </w:pPr>
      <w:r>
        <w:rPr>
          <w:rFonts w:ascii="Times New Roman" w:cs="Times New Roman" w:eastAsia="Times New Roman" w:hAnsi="Times New Roman"/>
          <w:sz w:val="13"/>
          <w:szCs w:val="13"/>
          <w:color w:val="auto"/>
        </w:rPr>
        <w:t>For the nine months ended June 30, 2025, our operating activities used cash of $386.1 million and our financing activities provided cash of $376.7 million. Our operating activities used cash primarily due to our investment activities and our financing activities provided cash primarily due to proceeds from the 2037 Asset-Backed debt and proceeds from public offerings under our 2024 ATM Program partially offset by repayments of our Credit Facility.</w:t>
      </w:r>
    </w:p>
    <w:p>
      <w:pPr>
        <w:spacing w:after="0" w:line="123" w:lineRule="exact"/>
        <w:rPr>
          <w:sz w:val="20"/>
          <w:szCs w:val="20"/>
          <w:color w:val="auto"/>
        </w:rPr>
      </w:pPr>
    </w:p>
    <w:p>
      <w:pPr>
        <w:ind w:left="60" w:right="200" w:firstLine="336"/>
        <w:spacing w:after="0" w:line="262" w:lineRule="auto"/>
        <w:rPr>
          <w:sz w:val="20"/>
          <w:szCs w:val="20"/>
          <w:color w:val="auto"/>
        </w:rPr>
      </w:pPr>
      <w:r>
        <w:rPr>
          <w:rFonts w:ascii="Times New Roman" w:cs="Times New Roman" w:eastAsia="Times New Roman" w:hAnsi="Times New Roman"/>
          <w:sz w:val="13"/>
          <w:szCs w:val="13"/>
          <w:color w:val="auto"/>
        </w:rPr>
        <w:t>For the nine months ended June 30, 2024, our operating activities used cash of $509.6 million and our financing activities provided cash of $493.7 million. Our operating activities used cash primarily due to our investment activities and our financing activities provided cash primarily due to borrowings under our Credit Facility, proceeds from the public offering under our ATM program and proceeds from the 2036 Asset-Backed Debt partially offset by the repayment of the 2023 Notes.</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consistent with our strategy. PSSL was formed as a Delaware limited liability company. As of June 30, 2025 and September 30, 2024, PSSL had total assets of</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$1,108.4 million and $988.1 million, respectively, and its investment portfolio consisted of investments in 117 and 109 portfolio companies, respectively. As of June</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30, 2025, at fair value, the largest investment in a single portfolio company in PSSL was $21.0 million and the five largest investments totaled $98.0 million. As of</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September 30, 2024, at fair value, the largest investment in a single portfolio company in PSSL was $21.3 million and the five largest investments totaled $97.3</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million. PSSL invests in portfolio companies in the same industries in which we may directly invest.</w:t>
      </w:r>
    </w:p>
    <w:p>
      <w:pPr>
        <w:spacing w:after="0" w:line="149" w:lineRule="exact"/>
        <w:rPr>
          <w:sz w:val="20"/>
          <w:szCs w:val="20"/>
          <w:color w:val="auto"/>
        </w:rPr>
      </w:pPr>
    </w:p>
    <w:p>
      <w:pPr>
        <w:ind w:left="60" w:right="120" w:firstLine="336"/>
        <w:spacing w:after="0" w:line="262" w:lineRule="auto"/>
        <w:rPr>
          <w:sz w:val="20"/>
          <w:szCs w:val="20"/>
          <w:color w:val="auto"/>
        </w:rPr>
      </w:pPr>
      <w:r>
        <w:rPr>
          <w:rFonts w:ascii="Times New Roman" w:cs="Times New Roman" w:eastAsia="Times New Roman" w:hAnsi="Times New Roman"/>
          <w:sz w:val="13"/>
          <w:szCs w:val="13"/>
          <w:color w:val="auto"/>
        </w:rPr>
        <w:t>We and Kemper provide capital to PSSL in the form of first lien secured debt and equity interests. As of June 30, 2025 and September 30, 2024, we and Kemper owned 87.5% and 12.5%, respectively, of each of the outstanding first lien secured debt and equity interests. As of the same dates, our investment in PSSL consisted of first lien secured debt of $237.7 million (zero remaining unfunded) and $237.7 million (zero remaining unfunded), respectively, and equity interests of $123.7 million ($65.6 million remaining unfunded) and $101.9 million (zero remaining unfunded), respectively.</w:t>
      </w:r>
    </w:p>
    <w:p>
      <w:pPr>
        <w:spacing w:after="0" w:line="127" w:lineRule="exact"/>
        <w:rPr>
          <w:sz w:val="20"/>
          <w:szCs w:val="20"/>
          <w:color w:val="auto"/>
        </w:rPr>
      </w:pPr>
    </w:p>
    <w:p>
      <w:pPr>
        <w:ind w:left="60" w:right="100" w:firstLine="336"/>
        <w:spacing w:after="0" w:line="256" w:lineRule="auto"/>
        <w:rPr>
          <w:sz w:val="20"/>
          <w:szCs w:val="20"/>
          <w:color w:val="auto"/>
        </w:rPr>
      </w:pPr>
      <w:r>
        <w:rPr>
          <w:rFonts w:ascii="Times New Roman" w:cs="Times New Roman" w:eastAsia="Times New Roman" w:hAnsi="Times New Roman"/>
          <w:sz w:val="13"/>
          <w:szCs w:val="13"/>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292" w:lineRule="exact"/>
        <w:rPr>
          <w:sz w:val="20"/>
          <w:szCs w:val="20"/>
          <w:color w:val="auto"/>
        </w:rPr>
      </w:pPr>
    </w:p>
    <w:p>
      <w:pPr>
        <w:ind w:left="60" w:right="120" w:firstLine="336"/>
        <w:spacing w:after="0" w:line="268" w:lineRule="auto"/>
        <w:rPr>
          <w:sz w:val="20"/>
          <w:szCs w:val="20"/>
          <w:color w:val="auto"/>
        </w:rPr>
      </w:pPr>
      <w:r>
        <w:rPr>
          <w:rFonts w:ascii="Times New Roman" w:cs="Times New Roman" w:eastAsia="Times New Roman" w:hAnsi="Times New Roman"/>
          <w:sz w:val="13"/>
          <w:szCs w:val="13"/>
          <w:color w:val="auto"/>
        </w:rPr>
        <w:t>In December 2024, PSSL entered into a $325.0 million (increased from $260.0 million) senior secured revolving credit facility which bears interest at SOFR plus 225 basis points (including a spread adjustment) with Ally Bank through its wholly-owned subsidiary, PennantPark Senior Secured Loan Facility LLC II, or PSSL Subsidiary II, subject to leverage and borrowing base restrictions.</w:t>
      </w:r>
    </w:p>
    <w:p>
      <w:pPr>
        <w:spacing w:after="0" w:line="123" w:lineRule="exact"/>
        <w:rPr>
          <w:sz w:val="20"/>
          <w:szCs w:val="20"/>
          <w:color w:val="auto"/>
        </w:rPr>
      </w:pPr>
    </w:p>
    <w:p>
      <w:pPr>
        <w:ind w:left="60" w:right="140" w:firstLine="336"/>
        <w:spacing w:after="0" w:line="257" w:lineRule="auto"/>
        <w:rPr>
          <w:sz w:val="20"/>
          <w:szCs w:val="20"/>
          <w:color w:val="auto"/>
        </w:rPr>
      </w:pPr>
      <w:r>
        <w:rPr>
          <w:rFonts w:ascii="Times New Roman" w:cs="Times New Roman" w:eastAsia="Times New Roman" w:hAnsi="Times New Roman"/>
          <w:sz w:val="13"/>
          <w:szCs w:val="13"/>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32" w:lineRule="exact"/>
        <w:rPr>
          <w:sz w:val="20"/>
          <w:szCs w:val="20"/>
          <w:color w:val="auto"/>
        </w:rPr>
      </w:pPr>
    </w:p>
    <w:p>
      <w:pPr>
        <w:ind w:left="60" w:right="260" w:firstLine="336"/>
        <w:spacing w:after="0" w:line="262" w:lineRule="auto"/>
        <w:rPr>
          <w:sz w:val="20"/>
          <w:szCs w:val="20"/>
          <w:color w:val="auto"/>
        </w:rPr>
      </w:pPr>
      <w:r>
        <w:rPr>
          <w:rFonts w:ascii="Times New Roman" w:cs="Times New Roman" w:eastAsia="Times New Roman" w:hAnsi="Times New Roman"/>
          <w:sz w:val="13"/>
          <w:szCs w:val="13"/>
          <w:color w:val="auto"/>
        </w:rPr>
        <w:t>In May 2024, PSSL completed the refinancing of the 2032 Asset-Backed Debt through a $300.7 million debt securitization in the form of a collateralized loan obligation, or the "2036 PSSL Asset-Backed Debt". The 2036 PSSL Asset-Backed Debt is secured by a diversified portfolio of PennantPark CLO II, Ltd., a wholly-owned subsidiary of PSSL, consisting primarily of middle market loans and participation interest in middle market loans. The 2036 PSSL Asset-Backed Debt is scheduled to mature in April 2036. PSSL retained the preferred shares and Class E-R Notes through a consolidated subsidiary.</w:t>
      </w:r>
    </w:p>
    <w:p>
      <w:pPr>
        <w:spacing w:after="0" w:line="127" w:lineRule="exact"/>
        <w:rPr>
          <w:sz w:val="20"/>
          <w:szCs w:val="20"/>
          <w:color w:val="auto"/>
        </w:rPr>
      </w:pPr>
    </w:p>
    <w:p>
      <w:pPr>
        <w:ind w:left="60" w:right="220" w:firstLine="336"/>
        <w:spacing w:after="0" w:line="259" w:lineRule="auto"/>
        <w:rPr>
          <w:sz w:val="20"/>
          <w:szCs w:val="20"/>
          <w:color w:val="auto"/>
        </w:rPr>
      </w:pPr>
      <w:r>
        <w:rPr>
          <w:rFonts w:ascii="Times New Roman" w:cs="Times New Roman" w:eastAsia="Times New Roman" w:hAnsi="Times New Roman"/>
          <w:sz w:val="13"/>
          <w:szCs w:val="13"/>
          <w:color w:val="auto"/>
        </w:rPr>
        <w:t>In April 2023, PSSL completed a $297.8 million debt securitization in the form of a collateralized loan obligation, or the “2035 Asset-Backed Debt”. The 2035 Asset-Backed Debt is secured by a diversified portfolio of PennantPark CLO VI, LLC, a wholly -owned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w:t>
      </w:r>
    </w:p>
    <w:p>
      <w:pPr>
        <w:spacing w:after="0" w:line="130" w:lineRule="exact"/>
        <w:rPr>
          <w:sz w:val="20"/>
          <w:szCs w:val="20"/>
          <w:color w:val="auto"/>
        </w:rPr>
      </w:pPr>
    </w:p>
    <w:p>
      <w:pPr>
        <w:ind w:left="60" w:right="140" w:firstLine="336"/>
        <w:spacing w:after="0" w:line="257" w:lineRule="auto"/>
        <w:rPr>
          <w:sz w:val="20"/>
          <w:szCs w:val="20"/>
          <w:color w:val="auto"/>
        </w:rPr>
      </w:pPr>
      <w:r>
        <w:rPr>
          <w:rFonts w:ascii="Times New Roman" w:cs="Times New Roman" w:eastAsia="Times New Roman" w:hAnsi="Times New Roman"/>
          <w:sz w:val="13"/>
          <w:szCs w:val="13"/>
          <w:color w:val="auto"/>
        </w:rPr>
        <w:t>In May 2025, PSSL through its wholly-owned and consolidated subsidiary, PennantPark CLO VI, LLC closed the refinancing of the 2035 Asset -Backed Debt through a four year reinvestment period, twelve-year final maturity $315.8 million debt securitization or the "2037 -R Asset-Backed Debt." The debt in this securitization is structured in the following manner: (i) $228.0 million of Class A-R Loans, which bears interest at three- month SOFR plus 1.85%, (ii) $18.0 million of Class B-R Loans, which bears interest at three-month SOFR plus 4.50%, (iii) $18.0 million of Class C-R Loans and (iv) $51.8 million of subordinated notes. PSSL will continue to retain all of the subordinated notes and Class C-R Loans through a consolidated subsidiary. The maturity of the replacement debt and existing subordinated notes is now extended to April 2037.</w:t>
      </w:r>
    </w:p>
    <w:p>
      <w:pPr>
        <w:spacing w:after="0" w:line="132" w:lineRule="exact"/>
        <w:rPr>
          <w:sz w:val="20"/>
          <w:szCs w:val="20"/>
          <w:color w:val="auto"/>
        </w:rPr>
      </w:pPr>
    </w:p>
    <w:p>
      <w:pPr>
        <w:ind w:left="60" w:right="140" w:firstLine="336"/>
        <w:spacing w:after="0" w:line="255" w:lineRule="auto"/>
        <w:rPr>
          <w:sz w:val="20"/>
          <w:szCs w:val="20"/>
          <w:color w:val="auto"/>
        </w:rPr>
      </w:pPr>
      <w:r>
        <w:rPr>
          <w:rFonts w:ascii="Times New Roman" w:cs="Times New Roman" w:eastAsia="Times New Roman" w:hAnsi="Times New Roman"/>
          <w:sz w:val="13"/>
          <w:szCs w:val="13"/>
          <w:color w:val="auto"/>
        </w:rPr>
        <w:t>In April 2025, PSSL through its wholly- owned and consolidated subsidiary, PennantPark CLO 12, LLC closed a four-year reinvestment period, twelve -year final maturity $301 million debt securitization in the form of a collateralized loan obligation or the "2037 Asset-Backed Debt." The debt in this securitization is structured in the following manner: (i) $30.0 million of Class A- 1 Loans, which bear interest at three-month SOFR plus 1.45%, (ii) $141.0 million of Class A-1 Notes, which bear interest at three-month SOFR plus 1.45%, (iii) $ 12.0 million of Class A-2 Notes, which bear interest at a three-month SOFR plus 1.60%, (iv) $21.0 million of Class B notes, which bears interest at three-month SOFR plus 1.85%, (v) $24.0 million of Class C notes, which bears interest at three- month SOFR plus 2.30%, (vi) $18.0 million Class D notes, which bears interest at three-month SOFR plus 3.30%, (vii) $55.0 million of subordinated notes. PSSL will continue to retain all of the subordinated notes through a consolidated subsidiary. The reinvestment period for the term debt securitization ends in April 2029 and the debt is scheduled to mature in April 2037. The proceeds from the debt repaid a portion of PSSL's $325 million secured credit facility.</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90" w:right="1440"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Below is a summary of PSSL’s portfolio at fair value:</w:t>
            </w: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4"/>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 in thousands)</w:t>
            </w:r>
          </w:p>
        </w:tc>
        <w:tc>
          <w:tcPr>
            <w:tcW w:w="1520" w:type="dxa"/>
            <w:vAlign w:val="bottom"/>
          </w:tcPr>
          <w:p>
            <w:pPr>
              <w:spacing w:after="0"/>
              <w:rPr>
                <w:sz w:val="19"/>
                <w:szCs w:val="19"/>
                <w:color w:val="auto"/>
              </w:rPr>
            </w:pP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2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9"/>
              </w:rPr>
              <w:t>September 30, 2024</w:t>
            </w:r>
          </w:p>
        </w:tc>
      </w:tr>
      <w:tr>
        <w:trPr>
          <w:trHeight w:val="156"/>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investments</w:t>
            </w:r>
          </w:p>
        </w:tc>
        <w:tc>
          <w:tcPr>
            <w:tcW w:w="15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1,055,552</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913,281</w:t>
            </w:r>
          </w:p>
        </w:tc>
      </w:tr>
      <w:tr>
        <w:trPr>
          <w:trHeight w:val="156"/>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15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56"/>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Number of portfolio companies in PSSL</w:t>
            </w:r>
          </w:p>
        </w:tc>
        <w:tc>
          <w:tcPr>
            <w:tcW w:w="1520" w:type="dxa"/>
            <w:vAlign w:val="bottom"/>
            <w:shd w:val="clear" w:color="auto" w:fill="CCECFF"/>
          </w:tcPr>
          <w:p>
            <w:pPr>
              <w:spacing w:after="0"/>
              <w:rPr>
                <w:sz w:val="13"/>
                <w:szCs w:val="13"/>
                <w:color w:val="auto"/>
              </w:rPr>
            </w:pPr>
          </w:p>
        </w:tc>
        <w:tc>
          <w:tcPr>
            <w:tcW w:w="1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117</w:t>
            </w:r>
          </w:p>
        </w:tc>
        <w:tc>
          <w:tcPr>
            <w:tcW w:w="120" w:type="dxa"/>
            <w:vAlign w:val="bottom"/>
            <w:shd w:val="clear" w:color="auto" w:fill="CCECFF"/>
          </w:tcPr>
          <w:p>
            <w:pPr>
              <w:spacing w:after="0"/>
              <w:rPr>
                <w:sz w:val="13"/>
                <w:szCs w:val="13"/>
                <w:color w:val="auto"/>
              </w:rPr>
            </w:pPr>
          </w:p>
        </w:tc>
        <w:tc>
          <w:tcPr>
            <w:tcW w:w="12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109</w:t>
            </w:r>
          </w:p>
        </w:tc>
      </w:tr>
      <w:tr>
        <w:trPr>
          <w:trHeight w:val="156"/>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Largest portfolio company investment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20,954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21,274</w:t>
            </w:r>
          </w:p>
        </w:tc>
      </w:tr>
      <w:tr>
        <w:trPr>
          <w:trHeight w:val="156"/>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Total of five largest portfolio company investments</w:t>
            </w:r>
          </w:p>
        </w:tc>
        <w:tc>
          <w:tcPr>
            <w:tcW w:w="15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98,008</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97,292</w:t>
            </w:r>
          </w:p>
        </w:tc>
      </w:tr>
    </w:tbl>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62" w:name="page63"/>
    <w:bookmarkEnd w:id="62"/>
    <w:p>
      <w:pPr>
        <w:ind w:left="40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June 30, 2025 (Par and $ in thousands):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2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40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Par or Number</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ind w:left="40"/>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68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2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400" w:type="dxa"/>
            <w:vAlign w:val="bottom"/>
          </w:tcPr>
          <w:p>
            <w:pPr>
              <w:spacing w:after="0"/>
              <w:rPr>
                <w:sz w:val="10"/>
                <w:szCs w:val="10"/>
                <w:color w:val="auto"/>
              </w:rPr>
            </w:pPr>
          </w:p>
        </w:tc>
        <w:tc>
          <w:tcPr>
            <w:tcW w:w="780" w:type="dxa"/>
            <w:vAlign w:val="bottom"/>
          </w:tcPr>
          <w:p>
            <w:pPr>
              <w:jc w:val="center"/>
              <w:spacing w:after="0" w:line="120"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180" w:type="dxa"/>
            <w:vAlign w:val="bottom"/>
          </w:tcPr>
          <w:p>
            <w:pPr>
              <w:spacing w:after="0"/>
              <w:rPr>
                <w:sz w:val="10"/>
                <w:szCs w:val="10"/>
                <w:color w:val="auto"/>
              </w:rPr>
            </w:pP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60" w:type="dxa"/>
            <w:vAlign w:val="bottom"/>
            <w:gridSpan w:val="2"/>
          </w:tcPr>
          <w:p>
            <w:pPr>
              <w:jc w:val="right"/>
              <w:ind w:right="72"/>
              <w:spacing w:after="0" w:line="120"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2"/>
                <w:szCs w:val="12"/>
                <w:b w:val="1"/>
                <w:bCs w:val="1"/>
                <w:color w:val="auto"/>
                <w:vertAlign w:val="superscript"/>
              </w:rPr>
              <w:t>(2)</w:t>
            </w:r>
          </w:p>
        </w:tc>
      </w:tr>
      <w:tr>
        <w:trPr>
          <w:trHeight w:val="122"/>
        </w:trPr>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- 1,707.4%</w:t>
            </w:r>
          </w:p>
        </w:tc>
        <w:tc>
          <w:tcPr>
            <w:tcW w:w="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A1 Garage Merger Sub,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12/22/2028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8.83%</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SOFR+450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2,881</w:t>
            </w:r>
          </w:p>
        </w:tc>
        <w:tc>
          <w:tcPr>
            <w:tcW w:w="1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2,841</w:t>
            </w:r>
          </w:p>
        </w:tc>
        <w:tc>
          <w:tcPr>
            <w:tcW w:w="2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2,881</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ACP Avenu Buyer,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9.05%</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SOFR+475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9,850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9,718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9,752</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Falcon Buyer,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18,620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18,339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18,806</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Ad.net Acquisition,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10.56%</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SOFR+626</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8,640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8,613</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8,640</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Aechelon Technology,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10.83%</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11,760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11,760</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11,760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AFC Dell Holding Corp</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4/9/2027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7,615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7,581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7,577</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11/30/2026</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10.48%</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SOFR+610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13,154</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12,991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9,208</w:t>
            </w:r>
          </w:p>
        </w:tc>
      </w:tr>
      <w:tr>
        <w:trPr>
          <w:trHeight w:val="120"/>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20" w:type="dxa"/>
            <w:vAlign w:val="bottom"/>
            <w:gridSpan w:val="2"/>
          </w:tcPr>
          <w:p>
            <w:pPr>
              <w:jc w:val="right"/>
              <w:ind w:right="132"/>
              <w:spacing w:after="0"/>
              <w:rPr>
                <w:sz w:val="20"/>
                <w:szCs w:val="20"/>
                <w:color w:val="auto"/>
              </w:rPr>
            </w:pPr>
            <w:r>
              <w:rPr>
                <w:rFonts w:ascii="Times New Roman" w:cs="Times New Roman" w:eastAsia="Times New Roman" w:hAnsi="Times New Roman"/>
                <w:sz w:val="10"/>
                <w:szCs w:val="10"/>
                <w:color w:val="auto"/>
              </w:rPr>
              <w:t>(PIK 7.92%)</w:t>
            </w: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10.20%</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4,505</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4,404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4,505</w:t>
            </w:r>
          </w:p>
        </w:tc>
      </w:tr>
      <w:tr>
        <w:trPr>
          <w:trHeight w:val="121"/>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10.20%</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4,438</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4,415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4,438</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Arcfield Acquisition Corp.</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9.28%</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5,970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5,961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5,940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Archer Lewis,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8/28/2029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10.05%</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9,925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9,844</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9,925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ARGANO,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9/13/2029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10.07%</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9,925</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9,842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9,836</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Azureon,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6/26/2029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10.05%</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4,987</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4,873</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4,873</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Services,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6/21/2029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12,780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12,624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12,652</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11/8/2029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11.05%</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9,878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9,826</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10.05%</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4,803</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4,753</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Big Top Holdings,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14,710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14,488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14,710</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BioDerm,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10.82%</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8,747</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8,710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9/17/2026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SOFR+540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14,855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14,721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14,670</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BLC Holding Company,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11/20/2030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8.80%</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SOFR+450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4,987</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4,964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4,987</w:t>
            </w:r>
          </w:p>
        </w:tc>
      </w:tr>
      <w:tr>
        <w:trPr>
          <w:trHeight w:val="121"/>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Independent Power and</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Boss Industries, LLC - Term Loan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12/27/2030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Renewable Electricity Producers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9.30%</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4,987</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4,915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4,987</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7/25/2029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9.65%</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SOFR+535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439</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373</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11/16/2026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10.79%</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SOFR+647</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12,562</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12,549</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12,562</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C5MI Holdco,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10.30%</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14,888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14,701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14,888</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Carisk Buyer, Inc - Amendment No.1 Term Loan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12/1/2029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9.30%</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9,885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9,950</w:t>
            </w:r>
          </w:p>
        </w:tc>
      </w:tr>
      <w:tr>
        <w:trPr>
          <w:trHeight w:val="121"/>
        </w:trPr>
        <w:tc>
          <w:tcPr>
            <w:tcW w:w="26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Carnegie Dartlet,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2/7/2030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Publishing</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15,128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14,932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14,977</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Cartessa Aesthetics,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10.32%</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9,465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9,377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9,465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Case Works,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10/1/2029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14,925</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14,818</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14,582</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CF512,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10.74%</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SOFR+644</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6,500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6,458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6,435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Commercial Fire Protection Holdings,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9/23/2030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8.80%</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SOFR+450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14,888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14,794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14,888</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Confluent Health,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11/30/2028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8.44%</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SOFR+400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6,655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6,487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6,322</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Connatix Buyer,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SOFR+561</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3,745</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3,715</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3,745</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Crane 1 Services,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9.69%</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SOFR+536</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2,052</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2,038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2,036</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 Squatch,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9.65%</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SOFR+535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14,450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14,314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14,450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DRI Holding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12/21/2028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SOFR+535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2,580</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2,426</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2,543</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9.58%</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4,639</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4,636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4,606</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Duggal Acquisition,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Marketing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9.05%</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SOFR+475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4,963</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4,921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4,963</w:t>
            </w:r>
          </w:p>
        </w:tc>
      </w:tr>
      <w:tr>
        <w:trPr>
          <w:trHeight w:val="120"/>
        </w:trPr>
        <w:tc>
          <w:tcPr>
            <w:tcW w:w="26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Dynata, LLC - First Out Term Loan </w:t>
            </w:r>
            <w:r>
              <w:rPr>
                <w:rFonts w:ascii="Times New Roman" w:cs="Times New Roman" w:eastAsia="Times New Roman" w:hAnsi="Times New Roman"/>
                <w:sz w:val="12"/>
                <w:szCs w:val="12"/>
                <w:color w:val="auto"/>
                <w:vertAlign w:val="superscript"/>
              </w:rPr>
              <w:t>(5)</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7/17/2028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9.59%</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SOFR+526</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1,271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1,341</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10/16/2028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10.09%</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SOFR+576</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8,376</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8,376</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7,367</w:t>
            </w:r>
          </w:p>
        </w:tc>
      </w:tr>
      <w:tr>
        <w:trPr>
          <w:trHeight w:val="121"/>
        </w:trPr>
        <w:tc>
          <w:tcPr>
            <w:tcW w:w="26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EDS Buyer,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Instruments, and Components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10.05%</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8,798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8,712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8,820</w:t>
            </w:r>
          </w:p>
        </w:tc>
      </w:tr>
      <w:tr>
        <w:trPr>
          <w:trHeight w:val="121"/>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Emergency Care Partners,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10/18/2027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5,955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5,924</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5,955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Exigo Intermediate II,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10.68%</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SOFR+635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12,449</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12,358</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12,449</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ETE Intermediate II,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12,155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11,970</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12,155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Eval Home Solutions Intermediate,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5/10/2030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10.08%</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9,022</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8,899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9,022</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GGG MIDCO,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9/27/2030</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9.30%</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9,925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9,841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9,925</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9.92%</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SOFR+560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3,514</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3,510</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3,374</w:t>
            </w:r>
          </w:p>
        </w:tc>
      </w:tr>
      <w:tr>
        <w:trPr>
          <w:trHeight w:val="121"/>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Trading Companies &amp;</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9.93%</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SOFR+560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3,694</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3,667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3,620</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Halo Buyer,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8/7/2029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10.33%</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6,484</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6,356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6,289</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12/31/2026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9.90%</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SOFR+560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2,112</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2,098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2,102</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Harris &amp; Co.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8/9/2030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9.33%</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19,850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19,699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19,850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HEC Purchaser Corp</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9.72%</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3,663</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3,626</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3,663</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Hills Distribution, Inc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11/8/2029</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10.32%</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8,890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8,780</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8,890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5/10/2026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10.20%</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SOFR+590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3,441</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3,426</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3,441</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Acquisitionco,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11/15/2027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9.42%</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SOFR+510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9,084</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8,977</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9,061</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12/28/2028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10.30%</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5,983</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5,900</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5,983</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Inovex Information Systems Incorporated</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12/17/2030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SOFR+525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8,164</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8,107</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8,164</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11.94%</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SOFR+761</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8,102</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8,062</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8,102</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11/10/2027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10.45%</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SOFR+615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13,492</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13,332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12,817</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12.13%</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SOFR+785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15,308</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15,184</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15,002</w:t>
            </w:r>
          </w:p>
        </w:tc>
      </w:tr>
      <w:tr>
        <w:trPr>
          <w:trHeight w:val="120"/>
        </w:trPr>
        <w:tc>
          <w:tcPr>
            <w:tcW w:w="26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56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5.10%)</w:t>
            </w:r>
          </w:p>
        </w:tc>
        <w:tc>
          <w:tcPr>
            <w:tcW w:w="78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66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(4)(5)</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10/31/2025</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0.00%</w:t>
            </w:r>
          </w:p>
        </w:tc>
        <w:tc>
          <w:tcPr>
            <w:tcW w:w="780" w:type="dxa"/>
            <w:vAlign w:val="bottom"/>
          </w:tcPr>
          <w:p>
            <w:pPr>
              <w:spacing w:after="0"/>
              <w:rPr>
                <w:sz w:val="10"/>
                <w:szCs w:val="10"/>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15,789</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15,466</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11,826</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LAV Gear Holdings, Inc. - Incremental TL</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10/31/2025</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10.00%</w:t>
            </w:r>
          </w:p>
        </w:tc>
        <w:tc>
          <w:tcPr>
            <w:tcW w:w="78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1,018</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970</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1,272</w:t>
            </w:r>
          </w:p>
        </w:tc>
      </w:tr>
      <w:tr>
        <w:trPr>
          <w:trHeight w:val="121"/>
        </w:trPr>
        <w:tc>
          <w:tcPr>
            <w:tcW w:w="2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9.05%</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SOFR+475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11,273</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11,230</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11,273</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2/1/2030</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Environmental Industries</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9.07%</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SOFR+475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2,540</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2,502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2,540</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5/31/2028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7,354</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7,257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7,317</w:t>
            </w:r>
          </w:p>
        </w:tc>
      </w:tr>
      <w:tr>
        <w:trPr>
          <w:trHeight w:val="120"/>
        </w:trPr>
        <w:tc>
          <w:tcPr>
            <w:tcW w:w="26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 First-Out Term Loan </w:t>
            </w:r>
            <w:r>
              <w:rPr>
                <w:rFonts w:ascii="Times New Roman" w:cs="Times New Roman" w:eastAsia="Times New Roman" w:hAnsi="Times New Roman"/>
                <w:sz w:val="12"/>
                <w:szCs w:val="12"/>
                <w:color w:val="auto"/>
                <w:vertAlign w:val="superscript"/>
              </w:rPr>
              <w:t>(5)</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10/2/2028</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90"/>
              </w:rPr>
              <w:t>11.96%</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SOFR+765</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257</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257</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257</w:t>
            </w:r>
          </w:p>
        </w:tc>
      </w:tr>
      <w:tr>
        <w:trPr>
          <w:trHeight w:val="120"/>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11.96%</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SOFR+765</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525</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525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439</w:t>
            </w:r>
          </w:p>
        </w:tc>
      </w:tr>
      <w:tr>
        <w:trPr>
          <w:trHeight w:val="120"/>
        </w:trPr>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MAG DS Corp</w:t>
            </w:r>
          </w:p>
        </w:tc>
        <w:tc>
          <w:tcPr>
            <w:tcW w:w="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0"/>
                <w:szCs w:val="10"/>
                <w:color w:val="auto"/>
              </w:rPr>
            </w:pPr>
          </w:p>
        </w:tc>
        <w:tc>
          <w:tcPr>
            <w:tcW w:w="4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9.90%</w:t>
            </w:r>
          </w:p>
        </w:tc>
        <w:tc>
          <w:tcPr>
            <w:tcW w:w="7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0"/>
                <w:szCs w:val="10"/>
                <w:color w:val="auto"/>
              </w:rPr>
              <w:t>SOFR+560</w:t>
            </w:r>
          </w:p>
        </w:tc>
        <w:tc>
          <w:tcPr>
            <w:tcW w:w="8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2,199</w:t>
            </w: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2,146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2,111</w:t>
            </w:r>
          </w:p>
        </w:tc>
      </w:tr>
      <w:tr>
        <w:trPr>
          <w:trHeight w:val="124"/>
        </w:trPr>
        <w:tc>
          <w:tcPr>
            <w:tcW w:w="2660" w:type="dxa"/>
            <w:vAlign w:val="bottom"/>
          </w:tcPr>
          <w:p>
            <w:pPr>
              <w:spacing w:after="0"/>
              <w:rPr>
                <w:sz w:val="20"/>
                <w:szCs w:val="20"/>
                <w:color w:val="auto"/>
              </w:rPr>
            </w:pPr>
            <w:r>
              <w:rPr>
                <w:rFonts w:ascii="Times New Roman" w:cs="Times New Roman" w:eastAsia="Times New Roman" w:hAnsi="Times New Roman"/>
                <w:sz w:val="10"/>
                <w:szCs w:val="10"/>
                <w:color w:val="auto"/>
              </w:rPr>
              <w:t>Magenta Buyer, LLC - First-Out Term Loan</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tcPr>
          <w:p>
            <w:pPr>
              <w:spacing w:after="0"/>
              <w:rPr>
                <w:sz w:val="10"/>
                <w:szCs w:val="10"/>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0"/>
              </w:rPr>
              <w:t>11.29%</w:t>
            </w:r>
          </w:p>
        </w:tc>
        <w:tc>
          <w:tcPr>
            <w:tcW w:w="78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SOFR+701</w:t>
            </w: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18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298</w:t>
            </w:r>
          </w:p>
        </w:tc>
      </w:tr>
    </w:tbl>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90" w:right="1440" w:bottom="1440" w:gutter="0" w:footer="0" w:header="0"/>
        </w:sectPr>
      </w:pPr>
    </w:p>
    <w:bookmarkStart w:id="63" w:name="page64"/>
    <w:bookmarkEnd w:id="63"/>
    <w:tbl>
      <w:tblPr>
        <w:tblLayout w:type="fixed"/>
        <w:tblInd w:w="6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420" w:type="dxa"/>
            <w:vAlign w:val="bottom"/>
          </w:tcPr>
          <w:p>
            <w:pPr>
              <w:spacing w:after="0"/>
              <w:rPr>
                <w:sz w:val="10"/>
                <w:szCs w:val="1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Spread Above</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Par or Number</w:t>
            </w: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60" w:type="dxa"/>
            <w:vAlign w:val="bottom"/>
          </w:tcPr>
          <w:p>
            <w:pPr>
              <w:ind w:left="2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70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420" w:type="dxa"/>
            <w:vAlign w:val="bottom"/>
          </w:tcPr>
          <w:p>
            <w:pPr>
              <w:spacing w:after="0"/>
              <w:rPr>
                <w:sz w:val="10"/>
                <w:szCs w:val="10"/>
                <w:color w:val="auto"/>
              </w:rPr>
            </w:pPr>
          </w:p>
        </w:tc>
        <w:tc>
          <w:tcPr>
            <w:tcW w:w="76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2"/>
                <w:szCs w:val="12"/>
                <w:b w:val="1"/>
                <w:bCs w:val="1"/>
                <w:color w:val="auto"/>
                <w:vertAlign w:val="superscript"/>
              </w:rPr>
              <w:t>(1)</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of Shares</w:t>
            </w:r>
          </w:p>
        </w:tc>
        <w:tc>
          <w:tcPr>
            <w:tcW w:w="66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40" w:type="dxa"/>
            <w:vAlign w:val="bottom"/>
          </w:tcPr>
          <w:p>
            <w:pPr>
              <w:jc w:val="right"/>
              <w:ind w:right="72"/>
              <w:spacing w:after="0" w:line="122"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Magenta Buyer, LLC - Second-Out Term Loan</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7/31/2028</w:t>
            </w: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11.54%</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SOFR+726</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467</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gridSpan w:val="2"/>
          </w:tcPr>
          <w:p>
            <w:pPr>
              <w:jc w:val="right"/>
              <w:ind w:right="152"/>
              <w:spacing w:after="0"/>
              <w:rPr>
                <w:sz w:val="20"/>
                <w:szCs w:val="20"/>
                <w:color w:val="auto"/>
              </w:rPr>
            </w:pPr>
            <w:r>
              <w:rPr>
                <w:rFonts w:ascii="Times New Roman" w:cs="Times New Roman" w:eastAsia="Times New Roman" w:hAnsi="Times New Roman"/>
                <w:sz w:val="10"/>
                <w:szCs w:val="10"/>
                <w:color w:val="auto"/>
              </w:rPr>
              <w:t>(PIK 6.25%)</w:t>
            </w: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Magenta Buyer, LLC - Third-Out Term Loan </w:t>
            </w:r>
            <w:r>
              <w:rPr>
                <w:rFonts w:ascii="Times New Roman" w:cs="Times New Roman" w:eastAsia="Times New Roman" w:hAnsi="Times New Roman"/>
                <w:sz w:val="12"/>
                <w:szCs w:val="12"/>
                <w:color w:val="auto"/>
                <w:vertAlign w:val="superscript"/>
              </w:rPr>
              <w:t>(7)</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7/31/2028</w:t>
            </w: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6.04%</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1,742</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1,742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404</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Marketplace Events Acquisitions,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12/19/2030</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9.47%</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16,958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16,809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16,958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MBS Holdings,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4/16/2027</w:t>
            </w: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9.35%</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SOFR+510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8,266</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8,202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8,266</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MDI Buyer,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7/25/2028</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9.05%</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6,268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6,193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6,205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2,330</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2,306</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2,295</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Medina Health,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5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10.57%</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18,833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18,600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18,880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Electronic Equipment,</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Instruments, and Components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9.80%</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15,553</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15,358</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14,356</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MOREGroup Holdings,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1/16/2030</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9.57%</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12,968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12,815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12,968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10/1/2027</w:t>
            </w: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Distributors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9.45%</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3,369</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3,338</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3,369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&amp;</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NBH Group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8/19/2026</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Childcare</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9.92%</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SOFR+560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10,379</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10,320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10,379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NORA Acquisition,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8/31/2029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10.65%</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21,113</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20,797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20,954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Omnia Exterior Solutions, LLC - Second Amendment Term Loan</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12,904</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12,808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12,775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One Stop Mailing,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10.69%</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SOFR+636</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15,525</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15,386</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15,525</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ORL Acquisitions,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13.70%</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SOFR+940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2,220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2,207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1,998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7.50%)</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12/15/2029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10.07%</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9,925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9,796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9,766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12.71%</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SOFR+843</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821</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821</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821</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5/30/2028</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10.96%</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SOFR+668</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Pacific Purchaser,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10/2/2028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10.42%</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11,848</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11,689</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11,717</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PAR Excellence Holdings,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9/3/2030</w:t>
            </w:r>
          </w:p>
        </w:tc>
        <w:tc>
          <w:tcPr>
            <w:tcW w:w="15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9.32%</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10,960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10,860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10,850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Midco,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10.05%</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3,842</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3,795</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3,861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Textiles, Apparel and Luxury</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PL Acquisitionco,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11/9/2027</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Goods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11.50%</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SOFR+725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8,213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8,174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5,092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7.00%)</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Pragmatic Institute,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9.80%</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4,108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4,108</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3,646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Project Granite Buyer,Inc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12/31/2030</w:t>
            </w: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10.05%</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6,484</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6,389</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6,549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Rancho Health MSO,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6/20/2029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18,845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18,780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18,845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Recteq,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1/29/2026</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10.72%</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SOFR+640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4,788</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4,776</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4,764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Healthcare Providers and</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Ro Health,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1/17/2031</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9.30%</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11,300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11,224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RRA Corporate,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8/15/2029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4,963</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4,922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4,922</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5/3/2029</w:t>
            </w:r>
          </w:p>
        </w:tc>
        <w:tc>
          <w:tcPr>
            <w:tcW w:w="15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10.07%</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9,900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9,777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9,726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6/15/2029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9.92%</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4,303</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4,242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4,194</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Sabel Systems Technology Solutions,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10/31/2030</w:t>
            </w:r>
          </w:p>
        </w:tc>
        <w:tc>
          <w:tcPr>
            <w:tcW w:w="15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10.07%</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5,970</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5,919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5,970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Safe Haven Defense US,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5/23/2029</w:t>
            </w: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9.57%</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9,892</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9,768</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9,891</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Sales Benchmark Index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7/7/2026</w:t>
            </w:r>
          </w:p>
        </w:tc>
        <w:tc>
          <w:tcPr>
            <w:tcW w:w="15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10.50%</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SOFR+620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9,213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9,197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9,213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Sath Industries,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12/17/2029</w:t>
            </w: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Event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9.80%</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10,332</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10,236</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10,332</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7/21/2025</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9.80%</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12,828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12,827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12,186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0.50%)</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6/13/2029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10.47%</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4,863</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4,812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4,583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12/20/2027</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11.47%</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18,161</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17,892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18,160</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Smile Brands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10/12/2027</w:t>
            </w:r>
          </w:p>
        </w:tc>
        <w:tc>
          <w:tcPr>
            <w:tcW w:w="15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10.43%</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SOFR+610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12,202</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10,445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1.50%)</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15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9.45%</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4,039</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4,039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SV-Aero Holdings,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11/1/2030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9.30%</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14,813</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14,750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14,813</w:t>
            </w:r>
          </w:p>
        </w:tc>
        <w:tc>
          <w:tcPr>
            <w:tcW w:w="0" w:type="dxa"/>
            <w:vAlign w:val="bottom"/>
          </w:tcPr>
          <w:p>
            <w:pPr>
              <w:spacing w:after="0"/>
              <w:rPr>
                <w:sz w:val="1"/>
                <w:szCs w:val="1"/>
                <w:color w:val="auto"/>
              </w:rPr>
            </w:pPr>
          </w:p>
        </w:tc>
      </w:tr>
      <w:tr>
        <w:trPr>
          <w:trHeight w:val="121"/>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9"/>
              </w:rPr>
              <w:t>System Planning and Analysis, Inc. (f/k/a Management Consulting</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&amp; Research,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8.92%</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14,475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14,374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14,359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w w:val="99"/>
              </w:rPr>
              <w:t>STG Distribution, LLC (fka Reception Purchaser) - First Out New</w:t>
            </w: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Money Term Loans</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10/3/2029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12.67%</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SOFR+835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1,924</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1,616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gridSpan w:val="2"/>
          </w:tcPr>
          <w:p>
            <w:pPr>
              <w:jc w:val="right"/>
              <w:ind w:right="152"/>
              <w:spacing w:after="0"/>
              <w:rPr>
                <w:sz w:val="20"/>
                <w:szCs w:val="20"/>
                <w:color w:val="auto"/>
              </w:rPr>
            </w:pPr>
            <w:r>
              <w:rPr>
                <w:rFonts w:ascii="Times New Roman" w:cs="Times New Roman" w:eastAsia="Times New Roman" w:hAnsi="Times New Roman"/>
                <w:sz w:val="10"/>
                <w:szCs w:val="10"/>
                <w:color w:val="auto"/>
              </w:rPr>
              <w:t>(PIK 7.25%)</w:t>
            </w: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STG Distribution, LLC (fka Reception Purchaser) - Second Out</w:t>
            </w: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Term Loans </w:t>
            </w:r>
            <w:r>
              <w:rPr>
                <w:rFonts w:ascii="Times New Roman" w:cs="Times New Roman" w:eastAsia="Times New Roman" w:hAnsi="Times New Roman"/>
                <w:sz w:val="12"/>
                <w:szCs w:val="12"/>
                <w:color w:val="auto"/>
                <w:vertAlign w:val="superscript"/>
              </w:rPr>
              <w:t>(7)</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10/3/2029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5.42%</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4,458</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1,337</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TCG 3.0 Jogger Acquisitionco</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10.82%</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SOFR+650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19,478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19,213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19,477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12/20/2027</w:t>
            </w: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9.43%</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5,328</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5,123</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5,296</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Teneo Holdings,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3/13/2031</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9.08%</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5,431</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5,379</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Bluebird Group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7/28/2026</w:t>
            </w:r>
          </w:p>
        </w:tc>
        <w:tc>
          <w:tcPr>
            <w:tcW w:w="15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10.20%</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8,431</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8,375</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8,431</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Vertex Companies,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8/31/2028</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9.43%</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SOFR+510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17,527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17,337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17,492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TPC US Parent,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10.20%</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SOFR+590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16,397</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16,357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16,381</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Transgo,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5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Automotive</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10.07%</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16,548</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16,345</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16,631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Tyto Athene,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9.19%</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SOFR+490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14,604</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14,530</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14,253</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6/15/2027</w:t>
            </w:r>
          </w:p>
        </w:tc>
        <w:tc>
          <w:tcPr>
            <w:tcW w:w="15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9.80%</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6,771</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6,723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6,744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VRS Buyer, Inc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11/22/2030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Road and Rail</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9.08%</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6,454</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6,413</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6,422</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(4)(5)</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0.00%</w:t>
            </w:r>
          </w:p>
        </w:tc>
        <w:tc>
          <w:tcPr>
            <w:tcW w:w="760" w:type="dxa"/>
            <w:vAlign w:val="bottom"/>
          </w:tcPr>
          <w:p>
            <w:pPr>
              <w:spacing w:after="0"/>
              <w:rPr>
                <w:sz w:val="10"/>
                <w:szCs w:val="10"/>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6,105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5,069</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w w:val="98"/>
              </w:rPr>
              <w:t>Walker Edison Furniture Company LLC - Junior Revolving Credit</w:t>
            </w: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Facility </w:t>
            </w:r>
            <w:r>
              <w:rPr>
                <w:rFonts w:ascii="Times New Roman" w:cs="Times New Roman" w:eastAsia="Times New Roman" w:hAnsi="Times New Roman"/>
                <w:sz w:val="12"/>
                <w:szCs w:val="12"/>
                <w:color w:val="auto"/>
                <w:vertAlign w:val="superscript"/>
              </w:rPr>
              <w:t>(4)(5)</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0.00%</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167</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Watchtower Buyer,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0"/>
              </w:rPr>
              <w:t>10.30%</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12,097</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11,936</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12,085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Systems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3/31/2028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9.78%</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5,720</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5,827</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5,834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1,060,592</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1,039,849</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Subordinate Debt</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04/15/30</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0.00%</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1,877</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1,615</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1,605</w:t>
            </w:r>
          </w:p>
        </w:tc>
        <w:tc>
          <w:tcPr>
            <w:tcW w:w="0" w:type="dxa"/>
            <w:vAlign w:val="bottom"/>
          </w:tcPr>
          <w:p>
            <w:pPr>
              <w:spacing w:after="0"/>
              <w:rPr>
                <w:sz w:val="1"/>
                <w:szCs w:val="1"/>
                <w:color w:val="auto"/>
              </w:rPr>
            </w:pPr>
          </w:p>
        </w:tc>
      </w:tr>
      <w:tr>
        <w:trPr>
          <w:trHeight w:val="120"/>
        </w:trPr>
        <w:tc>
          <w:tcPr>
            <w:tcW w:w="26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04/15/33</w:t>
            </w:r>
          </w:p>
        </w:tc>
        <w:tc>
          <w:tcPr>
            <w:tcW w:w="15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20" w:type="dxa"/>
            <w:vAlign w:val="bottom"/>
          </w:tcPr>
          <w:p>
            <w:pPr>
              <w:spacing w:after="0"/>
              <w:rPr>
                <w:sz w:val="10"/>
                <w:szCs w:val="1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0.00%</w:t>
            </w:r>
          </w:p>
        </w:tc>
        <w:tc>
          <w:tcPr>
            <w:tcW w:w="760" w:type="dxa"/>
            <w:vAlign w:val="bottom"/>
          </w:tcPr>
          <w:p>
            <w:pPr>
              <w:spacing w:after="0"/>
              <w:rPr>
                <w:sz w:val="10"/>
                <w:szCs w:val="10"/>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4,275</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1,977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Systems LLC</w:t>
            </w:r>
          </w:p>
        </w:tc>
        <w:tc>
          <w:tcPr>
            <w:tcW w:w="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07/30/28</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0"/>
              </w:rPr>
              <w:t>12.00%</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3,815</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3,815</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3,815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7,407</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7,397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6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5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Equity Securities - 13.6%</w:t>
            </w: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48Forty Intermediate Holdings, Inc.- Common Equity</w:t>
            </w:r>
          </w:p>
        </w:tc>
        <w:tc>
          <w:tcPr>
            <w:tcW w:w="7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520" w:type="dxa"/>
            <w:vAlign w:val="bottom"/>
            <w:shd w:val="clear" w:color="auto" w:fill="CCECFF"/>
          </w:tcPr>
          <w:p>
            <w:pPr>
              <w:spacing w:after="0"/>
              <w:rPr>
                <w:sz w:val="10"/>
                <w:szCs w:val="10"/>
                <w:color w:val="auto"/>
              </w:rPr>
            </w:pPr>
          </w:p>
        </w:tc>
        <w:tc>
          <w:tcPr>
            <w:tcW w:w="42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1,722</w:t>
            </w:r>
          </w:p>
        </w:tc>
        <w:tc>
          <w:tcPr>
            <w:tcW w:w="6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411480</wp:posOffset>
            </wp:positionV>
            <wp:extent cx="62604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24" w:right="1440" w:bottom="1440" w:gutter="0" w:footer="0" w:header="0"/>
        </w:sectPr>
      </w:pPr>
    </w:p>
    <w:bookmarkStart w:id="64" w:name="page65"/>
    <w:bookmarkEnd w:id="64"/>
    <w:tbl>
      <w:tblPr>
        <w:tblLayout w:type="fixed"/>
        <w:tblInd w:w="60" w:type="dxa"/>
        <w:tblCellMar>
          <w:top w:w="0" w:type="dxa"/>
          <w:left w:w="0" w:type="dxa"/>
          <w:bottom w:w="0" w:type="dxa"/>
          <w:right w:w="0" w:type="dxa"/>
        </w:tblCellMar>
      </w:tblPr>
      <w:tr>
        <w:trPr>
          <w:trHeight w:val="120"/>
        </w:trPr>
        <w:tc>
          <w:tcPr>
            <w:tcW w:w="2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60" w:type="dxa"/>
            <w:vAlign w:val="bottom"/>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380" w:type="dxa"/>
            <w:vAlign w:val="bottom"/>
          </w:tcPr>
          <w:p>
            <w:pPr>
              <w:spacing w:after="0"/>
              <w:rPr>
                <w:sz w:val="10"/>
                <w:szCs w:val="1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Spread Above</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Par or Number</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2500" w:type="dxa"/>
            <w:vAlign w:val="bottom"/>
          </w:tcPr>
          <w:p>
            <w:pPr>
              <w:ind w:left="40"/>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(6)</w:t>
            </w:r>
          </w:p>
        </w:tc>
        <w:tc>
          <w:tcPr>
            <w:tcW w:w="90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50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6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380" w:type="dxa"/>
            <w:vAlign w:val="bottom"/>
          </w:tcPr>
          <w:p>
            <w:pPr>
              <w:spacing w:after="0"/>
              <w:rPr>
                <w:sz w:val="10"/>
                <w:szCs w:val="10"/>
                <w:color w:val="auto"/>
              </w:rPr>
            </w:pPr>
          </w:p>
        </w:tc>
        <w:tc>
          <w:tcPr>
            <w:tcW w:w="76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2"/>
                <w:szCs w:val="12"/>
                <w:b w:val="1"/>
                <w:bCs w:val="1"/>
                <w:color w:val="auto"/>
                <w:vertAlign w:val="superscript"/>
              </w:rPr>
              <w:t>(1)</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of Shares</w:t>
            </w:r>
          </w:p>
        </w:tc>
        <w:tc>
          <w:tcPr>
            <w:tcW w:w="46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6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0"/>
                <w:szCs w:val="10"/>
                <w:b w:val="1"/>
                <w:bCs w:val="1"/>
                <w:color w:val="auto"/>
                <w:w w:val="97"/>
              </w:rPr>
              <w:t>Fair Value</w:t>
            </w:r>
            <w:r>
              <w:rPr>
                <w:rFonts w:ascii="Times New Roman" w:cs="Times New Roman" w:eastAsia="Times New Roman" w:hAnsi="Times New Roman"/>
                <w:sz w:val="12"/>
                <w:szCs w:val="12"/>
                <w:b w:val="1"/>
                <w:bCs w:val="1"/>
                <w:color w:val="auto"/>
                <w:w w:val="97"/>
                <w:vertAlign w:val="superscript"/>
              </w:rPr>
              <w:t>(2)</w:t>
            </w:r>
          </w:p>
        </w:tc>
      </w:tr>
      <w:tr>
        <w:trPr>
          <w:trHeight w:val="120"/>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New Insight Holdings, Inc.</w:t>
            </w: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56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116,055</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2,027</w:t>
            </w:r>
          </w:p>
        </w:tc>
        <w:tc>
          <w:tcPr>
            <w:tcW w:w="80" w:type="dxa"/>
            <w:vAlign w:val="bottom"/>
          </w:tcPr>
          <w:p>
            <w:pPr>
              <w:spacing w:after="0"/>
              <w:rPr>
                <w:sz w:val="10"/>
                <w:szCs w:val="10"/>
                <w:color w:val="auto"/>
              </w:rPr>
            </w:pPr>
          </w:p>
        </w:tc>
      </w:tr>
      <w:tr>
        <w:trPr>
          <w:trHeight w:val="120"/>
        </w:trPr>
        <w:tc>
          <w:tcPr>
            <w:tcW w:w="25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Lucky Bucks, LLC</w:t>
            </w: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56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73,870</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2,062</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334</w:t>
            </w:r>
          </w:p>
        </w:tc>
        <w:tc>
          <w:tcPr>
            <w:tcW w:w="80" w:type="dxa"/>
            <w:vAlign w:val="bottom"/>
            <w:shd w:val="clear" w:color="auto" w:fill="CCECFF"/>
          </w:tcPr>
          <w:p>
            <w:pPr>
              <w:spacing w:after="0"/>
              <w:rPr>
                <w:sz w:val="10"/>
                <w:szCs w:val="10"/>
                <w:color w:val="auto"/>
              </w:rPr>
            </w:pPr>
          </w:p>
        </w:tc>
      </w:tr>
      <w:tr>
        <w:trPr>
          <w:trHeight w:val="120"/>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Output Services Group, Inc</w:t>
            </w: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6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126,324</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1,372</w:t>
            </w:r>
          </w:p>
        </w:tc>
        <w:tc>
          <w:tcPr>
            <w:tcW w:w="80" w:type="dxa"/>
            <w:vAlign w:val="bottom"/>
          </w:tcPr>
          <w:p>
            <w:pPr>
              <w:spacing w:after="0"/>
              <w:rPr>
                <w:sz w:val="10"/>
                <w:szCs w:val="10"/>
                <w:color w:val="auto"/>
              </w:rPr>
            </w:pPr>
          </w:p>
        </w:tc>
      </w:tr>
      <w:tr>
        <w:trPr>
          <w:trHeight w:val="120"/>
        </w:trPr>
        <w:tc>
          <w:tcPr>
            <w:tcW w:w="25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Pragmatic Holdco, Inc.</w:t>
            </w: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8"/>
              </w:rPr>
              <w:t>Education</w:t>
            </w:r>
          </w:p>
        </w:tc>
        <w:tc>
          <w:tcPr>
            <w:tcW w:w="56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134</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90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Wholesale</w:t>
            </w:r>
          </w:p>
        </w:tc>
        <w:tc>
          <w:tcPr>
            <w:tcW w:w="560" w:type="dxa"/>
            <w:vAlign w:val="bottom"/>
          </w:tcPr>
          <w:p>
            <w:pPr>
              <w:spacing w:after="0"/>
              <w:rPr>
                <w:sz w:val="10"/>
                <w:szCs w:val="10"/>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36,458</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5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Wash &amp; Wax Systems LLC - Class A Common Equity</w:t>
            </w:r>
          </w:p>
        </w:tc>
        <w:tc>
          <w:tcPr>
            <w:tcW w:w="9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Automobiles</w:t>
            </w:r>
          </w:p>
        </w:tc>
        <w:tc>
          <w:tcPr>
            <w:tcW w:w="56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2,493</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4,449</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4,573</w:t>
            </w:r>
          </w:p>
        </w:tc>
        <w:tc>
          <w:tcPr>
            <w:tcW w:w="80" w:type="dxa"/>
            <w:vAlign w:val="bottom"/>
            <w:shd w:val="clear" w:color="auto" w:fill="CCECFF"/>
          </w:tcPr>
          <w:p>
            <w:pPr>
              <w:spacing w:after="0"/>
              <w:rPr>
                <w:sz w:val="10"/>
                <w:szCs w:val="10"/>
                <w:color w:val="auto"/>
              </w:rPr>
            </w:pPr>
          </w:p>
        </w:tc>
      </w:tr>
      <w:tr>
        <w:trPr>
          <w:trHeight w:val="120"/>
        </w:trPr>
        <w:tc>
          <w:tcPr>
            <w:tcW w:w="25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12,994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8,306</w:t>
            </w:r>
          </w:p>
        </w:tc>
        <w:tc>
          <w:tcPr>
            <w:tcW w:w="80" w:type="dxa"/>
            <w:vAlign w:val="bottom"/>
          </w:tcPr>
          <w:p>
            <w:pPr>
              <w:spacing w:after="0"/>
              <w:rPr>
                <w:sz w:val="10"/>
                <w:szCs w:val="10"/>
                <w:color w:val="auto"/>
              </w:rPr>
            </w:pPr>
          </w:p>
        </w:tc>
      </w:tr>
      <w:tr>
        <w:trPr>
          <w:trHeight w:val="120"/>
        </w:trPr>
        <w:tc>
          <w:tcPr>
            <w:tcW w:w="250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Total Investments - 1,733.20% </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0"/>
                <w:szCs w:val="10"/>
                <w:color w:val="auto"/>
              </w:rPr>
            </w:pPr>
          </w:p>
        </w:tc>
        <w:tc>
          <w:tcPr>
            <w:tcW w:w="150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1,080,993</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1,055,552</w:t>
            </w:r>
          </w:p>
        </w:tc>
        <w:tc>
          <w:tcPr>
            <w:tcW w:w="80" w:type="dxa"/>
            <w:vAlign w:val="bottom"/>
            <w:shd w:val="clear" w:color="auto" w:fill="CCECFF"/>
          </w:tcPr>
          <w:p>
            <w:pPr>
              <w:spacing w:after="0"/>
              <w:rPr>
                <w:sz w:val="10"/>
                <w:szCs w:val="10"/>
                <w:color w:val="auto"/>
              </w:rPr>
            </w:pPr>
          </w:p>
        </w:tc>
      </w:tr>
      <w:tr>
        <w:trPr>
          <w:trHeight w:val="120"/>
        </w:trPr>
        <w:tc>
          <w:tcPr>
            <w:tcW w:w="25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- 75.1%</w:t>
            </w:r>
          </w:p>
        </w:tc>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5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BlackRock Federal FD Institutional 81</w:t>
            </w:r>
          </w:p>
        </w:tc>
        <w:tc>
          <w:tcPr>
            <w:tcW w:w="900" w:type="dxa"/>
            <w:vAlign w:val="bottom"/>
            <w:shd w:val="clear" w:color="auto" w:fill="CCECFF"/>
          </w:tcPr>
          <w:p>
            <w:pPr>
              <w:spacing w:after="0"/>
              <w:rPr>
                <w:sz w:val="10"/>
                <w:szCs w:val="10"/>
                <w:color w:val="auto"/>
              </w:rPr>
            </w:pPr>
          </w:p>
        </w:tc>
        <w:tc>
          <w:tcPr>
            <w:tcW w:w="150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2"/>
              </w:rPr>
              <w:t>4.19%</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18,771</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18,771</w:t>
            </w:r>
          </w:p>
        </w:tc>
        <w:tc>
          <w:tcPr>
            <w:tcW w:w="80" w:type="dxa"/>
            <w:vAlign w:val="bottom"/>
            <w:shd w:val="clear" w:color="auto" w:fill="CCECFF"/>
          </w:tcPr>
          <w:p>
            <w:pPr>
              <w:spacing w:after="0"/>
              <w:rPr>
                <w:sz w:val="10"/>
                <w:szCs w:val="10"/>
                <w:color w:val="auto"/>
              </w:rPr>
            </w:pPr>
          </w:p>
        </w:tc>
      </w:tr>
      <w:tr>
        <w:trPr>
          <w:trHeight w:val="120"/>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Blackrock Liquidity Fed Fund Inst</w:t>
            </w:r>
          </w:p>
        </w:tc>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2"/>
              </w:rPr>
              <w:t>4.24%</w:t>
            </w: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2,693</w:t>
            </w:r>
          </w:p>
        </w:tc>
        <w:tc>
          <w:tcPr>
            <w:tcW w:w="80" w:type="dxa"/>
            <w:vAlign w:val="bottom"/>
          </w:tcPr>
          <w:p>
            <w:pPr>
              <w:spacing w:after="0"/>
              <w:rPr>
                <w:sz w:val="10"/>
                <w:szCs w:val="10"/>
                <w:color w:val="auto"/>
              </w:rPr>
            </w:pPr>
          </w:p>
        </w:tc>
      </w:tr>
      <w:tr>
        <w:trPr>
          <w:trHeight w:val="120"/>
        </w:trPr>
        <w:tc>
          <w:tcPr>
            <w:tcW w:w="25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JP Morgan USD Liquidity Inst</w:t>
            </w:r>
          </w:p>
        </w:tc>
        <w:tc>
          <w:tcPr>
            <w:tcW w:w="900" w:type="dxa"/>
            <w:vAlign w:val="bottom"/>
            <w:shd w:val="clear" w:color="auto" w:fill="CCECFF"/>
          </w:tcPr>
          <w:p>
            <w:pPr>
              <w:spacing w:after="0"/>
              <w:rPr>
                <w:sz w:val="10"/>
                <w:szCs w:val="10"/>
                <w:color w:val="auto"/>
              </w:rPr>
            </w:pPr>
          </w:p>
        </w:tc>
        <w:tc>
          <w:tcPr>
            <w:tcW w:w="150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2"/>
              </w:rPr>
              <w:t>4.28%</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6,051</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6,051</w:t>
            </w:r>
          </w:p>
        </w:tc>
        <w:tc>
          <w:tcPr>
            <w:tcW w:w="80" w:type="dxa"/>
            <w:vAlign w:val="bottom"/>
            <w:shd w:val="clear" w:color="auto" w:fill="CCECFF"/>
          </w:tcPr>
          <w:p>
            <w:pPr>
              <w:spacing w:after="0"/>
              <w:rPr>
                <w:sz w:val="10"/>
                <w:szCs w:val="10"/>
                <w:color w:val="auto"/>
              </w:rPr>
            </w:pPr>
          </w:p>
        </w:tc>
      </w:tr>
      <w:tr>
        <w:trPr>
          <w:trHeight w:val="120"/>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JP Morgan US Government Fund</w:t>
            </w:r>
          </w:p>
        </w:tc>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2"/>
              </w:rPr>
              <w:t>4.09%</w:t>
            </w: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2,997</w:t>
            </w:r>
          </w:p>
        </w:tc>
        <w:tc>
          <w:tcPr>
            <w:tcW w:w="80" w:type="dxa"/>
            <w:vAlign w:val="bottom"/>
          </w:tcPr>
          <w:p>
            <w:pPr>
              <w:spacing w:after="0"/>
              <w:rPr>
                <w:sz w:val="10"/>
                <w:szCs w:val="10"/>
                <w:color w:val="auto"/>
              </w:rPr>
            </w:pPr>
          </w:p>
        </w:tc>
      </w:tr>
      <w:tr>
        <w:trPr>
          <w:trHeight w:val="120"/>
        </w:trPr>
        <w:tc>
          <w:tcPr>
            <w:tcW w:w="25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Goldman Sachs Financial Square Government Fund</w:t>
            </w:r>
          </w:p>
        </w:tc>
        <w:tc>
          <w:tcPr>
            <w:tcW w:w="900" w:type="dxa"/>
            <w:vAlign w:val="bottom"/>
            <w:shd w:val="clear" w:color="auto" w:fill="CCECFF"/>
          </w:tcPr>
          <w:p>
            <w:pPr>
              <w:spacing w:after="0"/>
              <w:rPr>
                <w:sz w:val="10"/>
                <w:szCs w:val="10"/>
                <w:color w:val="auto"/>
              </w:rPr>
            </w:pPr>
          </w:p>
        </w:tc>
        <w:tc>
          <w:tcPr>
            <w:tcW w:w="150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92"/>
              </w:rPr>
              <w:t>4.18%</w:t>
            </w: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6,178</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6,178</w:t>
            </w:r>
          </w:p>
        </w:tc>
        <w:tc>
          <w:tcPr>
            <w:tcW w:w="80" w:type="dxa"/>
            <w:vAlign w:val="bottom"/>
            <w:shd w:val="clear" w:color="auto" w:fill="CCECFF"/>
          </w:tcPr>
          <w:p>
            <w:pPr>
              <w:spacing w:after="0"/>
              <w:rPr>
                <w:sz w:val="10"/>
                <w:szCs w:val="10"/>
                <w:color w:val="auto"/>
              </w:rPr>
            </w:pPr>
          </w:p>
        </w:tc>
      </w:tr>
      <w:tr>
        <w:trPr>
          <w:trHeight w:val="120"/>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Non-Money Market Cash</w:t>
            </w:r>
          </w:p>
        </w:tc>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9,038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9,038</w:t>
            </w:r>
          </w:p>
        </w:tc>
        <w:tc>
          <w:tcPr>
            <w:tcW w:w="80" w:type="dxa"/>
            <w:vAlign w:val="bottom"/>
          </w:tcPr>
          <w:p>
            <w:pPr>
              <w:spacing w:after="0"/>
              <w:rPr>
                <w:sz w:val="10"/>
                <w:szCs w:val="10"/>
                <w:color w:val="auto"/>
              </w:rPr>
            </w:pPr>
          </w:p>
        </w:tc>
      </w:tr>
      <w:tr>
        <w:trPr>
          <w:trHeight w:val="120"/>
        </w:trPr>
        <w:tc>
          <w:tcPr>
            <w:tcW w:w="25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shd w:val="clear" w:color="auto" w:fill="CCECFF"/>
          </w:tcPr>
          <w:p>
            <w:pPr>
              <w:spacing w:after="0"/>
              <w:rPr>
                <w:sz w:val="10"/>
                <w:szCs w:val="10"/>
                <w:color w:val="auto"/>
              </w:rPr>
            </w:pPr>
          </w:p>
        </w:tc>
        <w:tc>
          <w:tcPr>
            <w:tcW w:w="150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45,728</w:t>
            </w:r>
          </w:p>
        </w:tc>
        <w:tc>
          <w:tcPr>
            <w:tcW w:w="1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45,728</w:t>
            </w:r>
          </w:p>
        </w:tc>
        <w:tc>
          <w:tcPr>
            <w:tcW w:w="80" w:type="dxa"/>
            <w:vAlign w:val="bottom"/>
            <w:shd w:val="clear" w:color="auto" w:fill="CCECFF"/>
          </w:tcPr>
          <w:p>
            <w:pPr>
              <w:spacing w:after="0"/>
              <w:rPr>
                <w:sz w:val="10"/>
                <w:szCs w:val="10"/>
                <w:color w:val="auto"/>
              </w:rPr>
            </w:pPr>
          </w:p>
        </w:tc>
      </w:tr>
      <w:tr>
        <w:trPr>
          <w:trHeight w:val="120"/>
        </w:trPr>
        <w:tc>
          <w:tcPr>
            <w:tcW w:w="2500" w:type="dxa"/>
            <w:vAlign w:val="bottom"/>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—1,808.0%</w:t>
            </w:r>
          </w:p>
        </w:tc>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1,126,721</w:t>
            </w: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1,101,280</w:t>
            </w:r>
          </w:p>
        </w:tc>
        <w:tc>
          <w:tcPr>
            <w:tcW w:w="80" w:type="dxa"/>
            <w:vAlign w:val="bottom"/>
          </w:tcPr>
          <w:p>
            <w:pPr>
              <w:spacing w:after="0"/>
              <w:rPr>
                <w:sz w:val="10"/>
                <w:szCs w:val="10"/>
                <w:color w:val="auto"/>
              </w:rPr>
            </w:pPr>
          </w:p>
        </w:tc>
      </w:tr>
      <w:tr>
        <w:trPr>
          <w:trHeight w:val="20"/>
        </w:trPr>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2500" w:type="dxa"/>
            <w:vAlign w:val="bottom"/>
            <w:shd w:val="clear" w:color="auto" w:fill="CCECFF"/>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(1,708.0)%</w:t>
            </w:r>
          </w:p>
        </w:tc>
        <w:tc>
          <w:tcPr>
            <w:tcW w:w="900" w:type="dxa"/>
            <w:vAlign w:val="bottom"/>
            <w:shd w:val="clear" w:color="auto" w:fill="CCECFF"/>
          </w:tcPr>
          <w:p>
            <w:pPr>
              <w:spacing w:after="0"/>
              <w:rPr>
                <w:sz w:val="8"/>
                <w:szCs w:val="8"/>
                <w:color w:val="auto"/>
              </w:rPr>
            </w:pPr>
          </w:p>
        </w:tc>
        <w:tc>
          <w:tcPr>
            <w:tcW w:w="150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76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60" w:type="dxa"/>
            <w:vAlign w:val="bottom"/>
            <w:gridSpan w:val="2"/>
            <w:shd w:val="clear" w:color="auto" w:fill="CCECFF"/>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(1,040,378)</w:t>
            </w:r>
          </w:p>
        </w:tc>
      </w:tr>
      <w:tr>
        <w:trPr>
          <w:trHeight w:val="120"/>
        </w:trPr>
        <w:tc>
          <w:tcPr>
            <w:tcW w:w="2500" w:type="dxa"/>
            <w:vAlign w:val="bottom"/>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60,902</w:t>
            </w:r>
          </w:p>
        </w:tc>
        <w:tc>
          <w:tcPr>
            <w:tcW w:w="80" w:type="dxa"/>
            <w:vAlign w:val="bottom"/>
          </w:tcPr>
          <w:p>
            <w:pPr>
              <w:spacing w:after="0"/>
              <w:rPr>
                <w:sz w:val="10"/>
                <w:szCs w:val="10"/>
                <w:color w:val="auto"/>
              </w:rPr>
            </w:pPr>
          </w:p>
        </w:tc>
      </w:tr>
      <w:tr>
        <w:trPr>
          <w:trHeight w:val="20"/>
        </w:trPr>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8" w:lineRule="exact"/>
        <w:rPr>
          <w:sz w:val="20"/>
          <w:szCs w:val="20"/>
          <w:color w:val="auto"/>
        </w:rPr>
      </w:pPr>
    </w:p>
    <w:p>
      <w:pPr>
        <w:ind w:left="60" w:right="280"/>
        <w:spacing w:after="0" w:line="233"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ind w:left="60"/>
        <w:spacing w:after="0" w:line="218"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PSSL’s accounting policy.</w:t>
      </w:r>
    </w:p>
    <w:p>
      <w:pPr>
        <w:ind w:left="60"/>
        <w:spacing w:after="0" w:line="211" w:lineRule="auto"/>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ind w:left="60"/>
        <w:spacing w:after="0" w:line="211" w:lineRule="auto"/>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Non-accrual security.</w:t>
      </w:r>
    </w:p>
    <w:p>
      <w:pPr>
        <w:ind w:left="60" w:right="420"/>
        <w:spacing w:after="0" w:line="219" w:lineRule="auto"/>
        <w:rPr>
          <w:sz w:val="20"/>
          <w:szCs w:val="20"/>
          <w:color w:val="auto"/>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0"/>
          <w:szCs w:val="10"/>
          <w:color w:val="auto"/>
        </w:rPr>
        <w:t>The securities, or a portion thereof, are not 1) pledged as collateral under the Credit Facility and held through Funding I; or, 2) securing the 2037-R Asset-Backed Debt and held through PennantPark CLO VI, LLC, or, 3) securing the 2036 Asset-Backed Debt and held through PennantPark CLO II, Ltd. or, 4) securing the 2037 Asset-Backed Debt held through PennantPark CLO 12, LLC.</w:t>
      </w:r>
    </w:p>
    <w:p>
      <w:pPr>
        <w:ind w:left="60"/>
        <w:spacing w:after="0" w:line="219" w:lineRule="auto"/>
        <w:rPr>
          <w:sz w:val="20"/>
          <w:szCs w:val="20"/>
          <w:color w:val="auto"/>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0"/>
          <w:szCs w:val="10"/>
          <w:color w:val="auto"/>
        </w:rPr>
        <w:t>All investments are in U.S. companies unless noted otherwise.</w:t>
      </w:r>
    </w:p>
    <w:p>
      <w:pPr>
        <w:ind w:left="60"/>
        <w:spacing w:after="0" w:line="205" w:lineRule="auto"/>
        <w:rPr>
          <w:sz w:val="20"/>
          <w:szCs w:val="20"/>
          <w:color w:val="auto"/>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0"/>
          <w:szCs w:val="10"/>
          <w:color w:val="auto"/>
        </w:rPr>
        <w:t>Partial PIK non-accrual security</w:t>
      </w: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408305</wp:posOffset>
            </wp:positionV>
            <wp:extent cx="62604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24" w:right="1440" w:bottom="1440" w:gutter="0" w:footer="0" w:header="0"/>
        </w:sectPr>
      </w:pPr>
    </w:p>
    <w:bookmarkStart w:id="65" w:name="page66"/>
    <w:bookmarkEnd w:id="65"/>
    <w:p>
      <w:pPr>
        <w:ind w:left="40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2024 (Par and $ in thousands):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20"/>
        </w:trPr>
        <w:tc>
          <w:tcPr>
            <w:tcW w:w="2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Par or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9"/>
              </w:rPr>
              <w:t>Spread Above</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80" w:type="dxa"/>
            <w:vAlign w:val="bottom"/>
          </w:tcPr>
          <w:p>
            <w:pPr>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68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60" w:type="dxa"/>
            <w:vAlign w:val="bottom"/>
          </w:tcPr>
          <w:p>
            <w:pPr>
              <w:jc w:val="right"/>
              <w:ind w:right="212"/>
              <w:spacing w:after="0" w:line="120"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2"/>
                <w:szCs w:val="12"/>
                <w:b w:val="1"/>
                <w:bCs w:val="1"/>
                <w:color w:val="auto"/>
                <w:vertAlign w:val="superscript"/>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Pr>
          <w:p>
            <w:pPr>
              <w:spacing w:after="0"/>
              <w:rPr>
                <w:sz w:val="10"/>
                <w:szCs w:val="10"/>
                <w:color w:val="auto"/>
              </w:rPr>
            </w:pP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760" w:type="dxa"/>
            <w:vAlign w:val="bottom"/>
            <w:gridSpan w:val="2"/>
          </w:tcPr>
          <w:p>
            <w:pPr>
              <w:jc w:val="right"/>
              <w:ind w:right="72"/>
              <w:spacing w:after="0" w:line="120"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2"/>
                <w:szCs w:val="12"/>
                <w:b w:val="1"/>
                <w:bCs w:val="1"/>
                <w:color w:val="auto"/>
                <w:vertAlign w:val="superscript"/>
              </w:rPr>
              <w:t>(2)</w:t>
            </w:r>
          </w:p>
        </w:tc>
      </w:tr>
      <w:tr>
        <w:trPr>
          <w:trHeight w:val="122"/>
        </w:trPr>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First Lien Secured Debt - 1,404.5%</w:t>
            </w:r>
          </w:p>
        </w:tc>
        <w:tc>
          <w:tcPr>
            <w:tcW w:w="6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A1 Garage Merger Sub,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12/22/2028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10.95%</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2,903</w:t>
            </w:r>
          </w:p>
        </w:tc>
        <w:tc>
          <w:tcPr>
            <w:tcW w:w="20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2,855</w:t>
            </w:r>
          </w:p>
        </w:tc>
        <w:tc>
          <w:tcPr>
            <w:tcW w:w="28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2,903</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ACP Avenu Buyer, LLC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10/2/2029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10.58%</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9,925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9,771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9,602</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ACP Falcon Buyer, Inc.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8/1/2029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18,762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18,434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18,837</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Ad.net Acquisition, LLC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5/7/2026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SOFR+626</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8,708</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8,658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8,708</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Aeronix, Inc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12/18/2028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9.85%</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15,880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15,665</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15,880</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11/30/2026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SOFR+610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12,722</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12,481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12,213</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6/30/2026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Advertising, Printing &amp; Publishing</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4,717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4,613</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4,717</w:t>
            </w:r>
          </w:p>
        </w:tc>
      </w:tr>
      <w:tr>
        <w:trPr>
          <w:trHeight w:val="121"/>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Anteriad, LLC (f/k/a MeritDirect, LLC) - Incremental Term</w:t>
            </w:r>
          </w:p>
        </w:tc>
        <w:tc>
          <w:tcPr>
            <w:tcW w:w="6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Loan</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6/30/2026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Advertising, Printing &amp; Publishing</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4,625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4,584</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4,625</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12/29/2026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11,155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11,058</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10,988</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Arcfield Acquisition Corp.</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8/3/2029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11.56%</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SOFR+625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11,115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10,967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11,059</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Beacon Behavioral Services,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6/21/2029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9.85%</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9,975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9,836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9,825</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7/1/2029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4,900</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4,828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4,753</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Big Top Holdings,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2/28/2030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11.18%</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SOFR+625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15,423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15,167</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15,423</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BioDerm,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1/31/2028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SOFR+650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8,888</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8,797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8,776</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9/17/2026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SOFR+640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14,974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14,779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14,718</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10/31/2025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5,546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5,523</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5,435</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Broder Bros., Co.</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12/4/2025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10.97%</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SOFR+611</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2,274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2,274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2,274</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9/26/2029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SOFR+535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442</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416</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5/16/2025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12.18%</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SOFR+698</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13,084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13,059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13,084</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Carnegie Dartlet, LLC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2/7/2030</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Advertising, Printing &amp; Publishing</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15,243</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15,025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15,015</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Cartessa Aesthetics,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6/14/2028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10.35%</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9,539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9,431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9,539</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CF512,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8/20/2026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11.21%</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SOFR+619</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6,751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6,682</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6,649</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Confluent Health,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10/28/2028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8.96%</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SOFR+400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6,708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6,506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6,540</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Connatix Buyer,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7/13/2027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10.53%</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SOFR+561</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3,775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3,734</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3,775</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Crane 1 Services, Inc.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8/16/2027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10.71%</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SOFR+586</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2,068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2,051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2,052</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Dr. Squatch, LLC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8/31/2027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SOFR+535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14,562</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14,398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14,562</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DRI Holding Inc.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12/21/2028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SOFR+535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2,600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2,420</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2,509</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DRS Holdings III,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11/3/2025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13,805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13,788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13,694</w:t>
            </w:r>
          </w:p>
        </w:tc>
      </w:tr>
      <w:tr>
        <w:trPr>
          <w:trHeight w:val="120"/>
        </w:trPr>
        <w:tc>
          <w:tcPr>
            <w:tcW w:w="24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Dynata, LLC - First Out Term Loan </w:t>
            </w:r>
            <w:r>
              <w:rPr>
                <w:rFonts w:ascii="Times New Roman" w:cs="Times New Roman" w:eastAsia="Times New Roman" w:hAnsi="Times New Roman"/>
                <w:sz w:val="12"/>
                <w:szCs w:val="12"/>
                <w:color w:val="auto"/>
                <w:vertAlign w:val="superscript"/>
              </w:rPr>
              <w:t>(6)</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7/15/2028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10.38%</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SOFR+526</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1,358</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Dynata, LLC - Last Out Term Loan</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10/15/2028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10.88%</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SOFR+576</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8,439</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8,439</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7,769</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ECL Entertainment,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8/31/2030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8.85%</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SOFR+400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4,963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4,894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4,973</w:t>
            </w:r>
          </w:p>
        </w:tc>
      </w:tr>
      <w:tr>
        <w:trPr>
          <w:trHeight w:val="121"/>
        </w:trPr>
        <w:tc>
          <w:tcPr>
            <w:tcW w:w="2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EDS Buyer, LLC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1/10/2029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8,865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8,763</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8,732</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Exigo Intermediate II,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3/15/2027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11.20%</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12,546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12,418</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12,484</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ETE Intermediate II, LLC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5/29/2029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11.56%</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SOFR+650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12,249</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12,032</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12,249</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Eval Home Solutions Intermediate,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5/10/2030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10.60%</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9,268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9,132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9,176</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Fairbanks More Defense</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6/17/2028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SOFR+450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10,117</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10,071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10,128</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3/16/2026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11.43%</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3,696</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3,689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3,511</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8/10/2027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SOFR+560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3,723</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3,686</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3,685</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12/31/2026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SOFR+560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2,153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2,131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2,110</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HEC Purchaser Corp</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6/17/2029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3,691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3,648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3,665</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Hills Distribution, Inc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11/8/2029</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11.11%</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8,957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8,835</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8,868</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5/10/2026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11.18%</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3,486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3,475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3,486</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Imagine Acquisitionco,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11/15/2027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SOFR+510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9,154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9,018</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9,108</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12/28/2028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SOFR+685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6,029</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5,932</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6,089</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Integrative Nutrition,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1/31/2025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11.75%</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SOFR+715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11,287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11,274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9,707</w:t>
            </w:r>
          </w:p>
        </w:tc>
      </w:tr>
      <w:tr>
        <w:trPr>
          <w:trHeight w:val="120"/>
        </w:trPr>
        <w:tc>
          <w:tcPr>
            <w:tcW w:w="2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(PIK 2.25%)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6/30/2025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12.46%</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SOFR+761</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8,164</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8,094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8,041</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ITI Holdings,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3/3/2028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10.58%</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SOFR+565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3,900</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3,855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3,900</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11/10/2027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13,492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13,289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13,492</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2/18/2027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12.94%</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SOFR+785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14,731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14,539</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14,584</w:t>
            </w:r>
          </w:p>
        </w:tc>
      </w:tr>
      <w:tr>
        <w:trPr>
          <w:trHeight w:val="120"/>
        </w:trPr>
        <w:tc>
          <w:tcPr>
            <w:tcW w:w="2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(PIK 5.10%)</w:t>
            </w:r>
          </w:p>
        </w:tc>
        <w:tc>
          <w:tcPr>
            <w:tcW w:w="7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4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LAV Gear Holdings, Inc. </w:t>
            </w:r>
            <w:r>
              <w:rPr>
                <w:rFonts w:ascii="Times New Roman" w:cs="Times New Roman" w:eastAsia="Times New Roman" w:hAnsi="Times New Roman"/>
                <w:sz w:val="12"/>
                <w:szCs w:val="12"/>
                <w:color w:val="auto"/>
                <w:vertAlign w:val="superscript"/>
              </w:rPr>
              <w:t>(6)</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10/31/2025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11.42%</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SOFR+643</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12,125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12,102</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11,907</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LAV Gear Holdings, Inc. - Term Loan Incremental</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10/31/2025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11.64%</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SOFR+640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2,861</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2,856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2,810</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2/3/2026</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SOFR+535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11,330</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11,258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11,330</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1/31/2030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Environmental Industries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10.48%</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2,559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2,516</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2,559</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5/31/2028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SOFR+650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7,407</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7,288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7,296</w:t>
            </w:r>
          </w:p>
        </w:tc>
      </w:tr>
      <w:tr>
        <w:trPr>
          <w:trHeight w:val="120"/>
        </w:trPr>
        <w:tc>
          <w:tcPr>
            <w:tcW w:w="24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Lucky Bucks, LLC - First-Out Term Loan </w:t>
            </w:r>
            <w:r>
              <w:rPr>
                <w:rFonts w:ascii="Times New Roman" w:cs="Times New Roman" w:eastAsia="Times New Roman" w:hAnsi="Times New Roman"/>
                <w:sz w:val="12"/>
                <w:szCs w:val="12"/>
                <w:color w:val="auto"/>
                <w:vertAlign w:val="superscript"/>
              </w:rPr>
              <w:t>(6)</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10/2/2028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12.77%</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SOFR+765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259</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259</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10/2/2029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12.77%</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SOFR+765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518</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518</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518</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MAG DS Corp</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4/1/2027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10.20%</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2,218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2,143</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2,085</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Magenta Buyer, LLC - First-Out Term Loan</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7/31/2028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12.13%</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SOFR+701</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357</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357</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337</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Magenta Buyer, LLC - Second-Out Term Loan</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7/31/2028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SOFR+801</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452</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310</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Magenta Buyer, LLC - Third-Out Term Loan</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7/31/2028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11.63%</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SOFR+726</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1,675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1,675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490</w:t>
            </w:r>
          </w:p>
        </w:tc>
      </w:tr>
      <w:tr>
        <w:trPr>
          <w:trHeight w:val="121"/>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Marketplace Events, LLC - Super Priority First Lien Term</w:t>
            </w:r>
          </w:p>
        </w:tc>
        <w:tc>
          <w:tcPr>
            <w:tcW w:w="680" w:type="dxa"/>
            <w:vAlign w:val="bottom"/>
            <w:shd w:val="clear" w:color="auto" w:fill="CCECFF"/>
          </w:tcPr>
          <w:p>
            <w:pPr>
              <w:spacing w:after="0"/>
              <w:rPr>
                <w:sz w:val="10"/>
                <w:szCs w:val="10"/>
                <w:color w:val="auto"/>
              </w:rPr>
            </w:pPr>
          </w:p>
        </w:tc>
        <w:tc>
          <w:tcPr>
            <w:tcW w:w="19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4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Loan </w:t>
            </w:r>
            <w:r>
              <w:rPr>
                <w:rFonts w:ascii="Times New Roman" w:cs="Times New Roman" w:eastAsia="Times New Roman" w:hAnsi="Times New Roman"/>
                <w:sz w:val="12"/>
                <w:szCs w:val="12"/>
                <w:color w:val="auto"/>
                <w:vertAlign w:val="superscript"/>
              </w:rPr>
              <w:t>(6)</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9/30/2025</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10.38%</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SOFR+540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1,845</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1,845</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1,845</w:t>
            </w:r>
          </w:p>
        </w:tc>
      </w:tr>
      <w:tr>
        <w:trPr>
          <w:trHeight w:val="121"/>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w w:val="97"/>
              </w:rPr>
              <w:t>Marketplace Events, LLC - Super Priority First Lien Unfunded</w:t>
            </w:r>
          </w:p>
        </w:tc>
        <w:tc>
          <w:tcPr>
            <w:tcW w:w="6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0"/>
        </w:trPr>
        <w:tc>
          <w:tcPr>
            <w:tcW w:w="2480" w:type="dxa"/>
            <w:vAlign w:val="bottom"/>
          </w:tcPr>
          <w:p>
            <w:pPr>
              <w:spacing w:after="0" w:line="120" w:lineRule="exact"/>
              <w:rPr>
                <w:sz w:val="20"/>
                <w:szCs w:val="20"/>
                <w:color w:val="auto"/>
              </w:rPr>
            </w:pPr>
            <w:r>
              <w:rPr>
                <w:rFonts w:ascii="Times New Roman" w:cs="Times New Roman" w:eastAsia="Times New Roman" w:hAnsi="Times New Roman"/>
                <w:sz w:val="10"/>
                <w:szCs w:val="10"/>
                <w:color w:val="auto"/>
              </w:rPr>
              <w:t xml:space="preserve">Term Loan </w:t>
            </w:r>
            <w:r>
              <w:rPr>
                <w:rFonts w:ascii="Times New Roman" w:cs="Times New Roman" w:eastAsia="Times New Roman" w:hAnsi="Times New Roman"/>
                <w:sz w:val="12"/>
                <w:szCs w:val="12"/>
                <w:color w:val="auto"/>
                <w:vertAlign w:val="superscript"/>
              </w:rPr>
              <w:t>(3)(6)</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9/30/2025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0.00%</w:t>
            </w:r>
          </w:p>
        </w:tc>
        <w:tc>
          <w:tcPr>
            <w:tcW w:w="76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564</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24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Marketplace Events, LLC </w:t>
            </w:r>
            <w:r>
              <w:rPr>
                <w:rFonts w:ascii="Times New Roman" w:cs="Times New Roman" w:eastAsia="Times New Roman" w:hAnsi="Times New Roman"/>
                <w:sz w:val="12"/>
                <w:szCs w:val="12"/>
                <w:color w:val="auto"/>
                <w:vertAlign w:val="superscript"/>
              </w:rPr>
              <w:t>(6)</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9/30/2026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10.53%</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4,837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4,068</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4,837</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MBS Holdings,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4/16/2027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10.59%</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SOFR+585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7,256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7,183</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7,256</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MBS Holdings, Inc. (New Issue) - Incremental</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4/16/2027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11.34%</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SOFR+660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523</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514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528</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MBS Holdings, Inc. (New Issue) - Second Incremental</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4/16/2027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11.09%</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543</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554</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MDI Buyer, Inc.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7/25/2028</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10.60%</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4,900</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4,829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4,851</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MDI Buyer, Inc. - Incremental</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7/25/2028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1,416</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1,395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1,409</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2"/>
              </w:rPr>
              <w:t>12/10/2027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2,348</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2,319</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2,289</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Medina Health, LLC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2"/>
              </w:rPr>
              <w:t>10/20/2028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SOFR+625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19,199</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18,911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19,199</w:t>
            </w:r>
          </w:p>
        </w:tc>
      </w:tr>
      <w:tr>
        <w:trPr>
          <w:trHeight w:val="120"/>
        </w:trPr>
        <w:tc>
          <w:tcPr>
            <w:tcW w:w="248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7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3/1/2030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9.85%</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15,671</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15,453</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14,794</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3/31/2025</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SOFR+590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5,551</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5,551</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5,551</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MOREGroup Holdings, Inc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1/16/2030</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10.35%</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13,067</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12,891</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12,871</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9/28/2027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SOFR+515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3,395</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3,355</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3,395</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NBH Group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3"/>
              </w:rPr>
              <w:t>8/19/2026</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&amp; Childcare</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11.05%</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SOFR+585</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10,602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10,504</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10,284</w:t>
            </w:r>
          </w:p>
        </w:tc>
      </w:tr>
      <w:tr>
        <w:trPr>
          <w:trHeight w:val="120"/>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NORA Acquisition, LLC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3"/>
              </w:rPr>
              <w:t>8/31/2029</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10.95%</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21,274</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20,913</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21,274</w:t>
            </w:r>
          </w:p>
        </w:tc>
      </w:tr>
      <w:tr>
        <w:trPr>
          <w:trHeight w:val="120"/>
        </w:trPr>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One Stop Mailing, LLC</w:t>
            </w:r>
          </w:p>
        </w:tc>
        <w:tc>
          <w:tcPr>
            <w:tcW w:w="680" w:type="dxa"/>
            <w:vAlign w:val="bottom"/>
            <w:shd w:val="clear" w:color="auto" w:fill="CCECFF"/>
          </w:tcPr>
          <w:p>
            <w:pPr>
              <w:jc w:val="center"/>
              <w:ind w:right="52"/>
              <w:spacing w:after="0"/>
              <w:rPr>
                <w:sz w:val="20"/>
                <w:szCs w:val="20"/>
                <w:color w:val="auto"/>
              </w:rPr>
            </w:pPr>
            <w:r>
              <w:rPr>
                <w:rFonts w:ascii="Times New Roman" w:cs="Times New Roman" w:eastAsia="Times New Roman" w:hAnsi="Times New Roman"/>
                <w:sz w:val="10"/>
                <w:szCs w:val="10"/>
                <w:color w:val="auto"/>
                <w:w w:val="95"/>
              </w:rPr>
              <w:t>5/7/2027</w:t>
            </w:r>
          </w:p>
        </w:tc>
        <w:tc>
          <w:tcPr>
            <w:tcW w:w="1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Air Freight and Logistics</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11.21%</w:t>
            </w:r>
          </w:p>
        </w:tc>
        <w:tc>
          <w:tcPr>
            <w:tcW w:w="7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SOFR+636</w:t>
            </w:r>
          </w:p>
        </w:tc>
        <w:tc>
          <w:tcPr>
            <w:tcW w:w="70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15,682</w:t>
            </w:r>
          </w:p>
        </w:tc>
        <w:tc>
          <w:tcPr>
            <w:tcW w:w="200" w:type="dxa"/>
            <w:vAlign w:val="bottom"/>
            <w:shd w:val="clear" w:color="auto" w:fill="CCECFF"/>
          </w:tcPr>
          <w:p>
            <w:pPr>
              <w:spacing w:after="0"/>
              <w:rPr>
                <w:sz w:val="10"/>
                <w:szCs w:val="10"/>
                <w:color w:val="auto"/>
              </w:rPr>
            </w:pPr>
          </w:p>
        </w:tc>
        <w:tc>
          <w:tcPr>
            <w:tcW w:w="5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15,480</w:t>
            </w: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15,682</w:t>
            </w:r>
          </w:p>
        </w:tc>
      </w:tr>
      <w:tr>
        <w:trPr>
          <w:trHeight w:val="124"/>
        </w:trPr>
        <w:tc>
          <w:tcPr>
            <w:tcW w:w="2480" w:type="dxa"/>
            <w:vAlign w:val="bottom"/>
          </w:tcPr>
          <w:p>
            <w:pPr>
              <w:spacing w:after="0"/>
              <w:rPr>
                <w:sz w:val="20"/>
                <w:szCs w:val="20"/>
                <w:color w:val="auto"/>
              </w:rPr>
            </w:pPr>
            <w:r>
              <w:rPr>
                <w:rFonts w:ascii="Times New Roman" w:cs="Times New Roman" w:eastAsia="Times New Roman" w:hAnsi="Times New Roman"/>
                <w:sz w:val="10"/>
                <w:szCs w:val="10"/>
                <w:color w:val="auto"/>
              </w:rPr>
              <w:t>ORL Acquisitions, Inc.</w:t>
            </w:r>
          </w:p>
        </w:tc>
        <w:tc>
          <w:tcPr>
            <w:tcW w:w="6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9/3/2027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SOFR+940</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2,140</w:t>
            </w:r>
          </w:p>
        </w:tc>
        <w:tc>
          <w:tcPr>
            <w:tcW w:w="200" w:type="dxa"/>
            <w:vAlign w:val="bottom"/>
          </w:tcPr>
          <w:p>
            <w:pPr>
              <w:spacing w:after="0"/>
              <w:rPr>
                <w:sz w:val="10"/>
                <w:szCs w:val="10"/>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2,124</w:t>
            </w:r>
          </w:p>
        </w:tc>
        <w:tc>
          <w:tcPr>
            <w:tcW w:w="280" w:type="dxa"/>
            <w:vAlign w:val="bottom"/>
          </w:tcPr>
          <w:p>
            <w:pPr>
              <w:spacing w:after="0"/>
              <w:rPr>
                <w:sz w:val="10"/>
                <w:szCs w:val="10"/>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1,819</w:t>
            </w:r>
          </w:p>
        </w:tc>
      </w:tr>
    </w:tbl>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90" w:right="1440" w:bottom="1440" w:gutter="0" w:footer="0" w:header="0"/>
        </w:sectPr>
      </w:pPr>
    </w:p>
    <w:bookmarkStart w:id="66" w:name="page67"/>
    <w:bookmarkEnd w:id="66"/>
    <w:tbl>
      <w:tblPr>
        <w:tblLayout w:type="fixed"/>
        <w:tblInd w:w="6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8"/>
              </w:rPr>
              <w:t>Spread</w:t>
            </w: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4"/>
              </w:rPr>
              <w:t>Par or</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gridSpan w:val="2"/>
          </w:tcPr>
          <w:p>
            <w:pPr>
              <w:spacing w:after="0" w:line="122" w:lineRule="exact"/>
              <w:rPr>
                <w:sz w:val="20"/>
                <w:szCs w:val="20"/>
                <w:color w:val="auto"/>
              </w:rPr>
            </w:pPr>
            <w:r>
              <w:rPr>
                <w:rFonts w:ascii="Times New Roman" w:cs="Times New Roman" w:eastAsia="Times New Roman" w:hAnsi="Times New Roman"/>
                <w:sz w:val="10"/>
                <w:szCs w:val="10"/>
                <w:b w:val="1"/>
                <w:bCs w:val="1"/>
                <w:color w:val="auto"/>
              </w:rPr>
              <w:t xml:space="preserve">Issuer Name </w:t>
            </w:r>
            <w:r>
              <w:rPr>
                <w:rFonts w:ascii="Times New Roman" w:cs="Times New Roman" w:eastAsia="Times New Roman" w:hAnsi="Times New Roman"/>
                <w:sz w:val="12"/>
                <w:szCs w:val="12"/>
                <w:b w:val="1"/>
                <w:bCs w:val="1"/>
                <w:color w:val="auto"/>
                <w:vertAlign w:val="superscript"/>
              </w:rPr>
              <w:t>(7)</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720" w:type="dxa"/>
            <w:vAlign w:val="bottom"/>
          </w:tcPr>
          <w:p>
            <w:pPr>
              <w:jc w:val="center"/>
              <w:ind w:right="52"/>
              <w:spacing w:after="0" w:line="122"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100" w:type="dxa"/>
            <w:vAlign w:val="bottom"/>
          </w:tcPr>
          <w:p>
            <w:pPr>
              <w:spacing w:after="0"/>
              <w:rPr>
                <w:sz w:val="10"/>
                <w:szCs w:val="10"/>
                <w:color w:val="auto"/>
              </w:rPr>
            </w:pPr>
          </w:p>
        </w:tc>
        <w:tc>
          <w:tcPr>
            <w:tcW w:w="46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0"/>
                <w:szCs w:val="10"/>
                <w:color w:val="auto"/>
              </w:rPr>
            </w:pPr>
          </w:p>
        </w:tc>
        <w:tc>
          <w:tcPr>
            <w:tcW w:w="6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0"/>
                <w:szCs w:val="10"/>
                <w:b w:val="1"/>
                <w:bCs w:val="1"/>
                <w:color w:val="auto"/>
                <w:w w:val="97"/>
              </w:rPr>
              <w:t>Fair Value</w:t>
            </w:r>
            <w:r>
              <w:rPr>
                <w:rFonts w:ascii="Times New Roman" w:cs="Times New Roman" w:eastAsia="Times New Roman" w:hAnsi="Times New Roman"/>
                <w:sz w:val="12"/>
                <w:szCs w:val="12"/>
                <w:b w:val="1"/>
                <w:bCs w:val="1"/>
                <w:color w:val="auto"/>
                <w:w w:val="97"/>
                <w:vertAlign w:val="superscript"/>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(PIK 7.50%)</w:t>
            </w:r>
          </w:p>
        </w:tc>
        <w:tc>
          <w:tcPr>
            <w:tcW w:w="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13.75%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SOFR+843</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821</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5/30/2028</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12.00%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SOFR+668</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Owl Acquisition,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10.20%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SOFR+535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3,893</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3,842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Ox Two,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5/18/2026</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11.12%</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SOFR+651</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4,307</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4,307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Pacific Purchaser,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9/30/2028</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11.51%</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SOFR+625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11,938</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11,745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PCS Midco,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10.81%</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3,871</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3,818</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3,871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9/29/2025</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4"/>
              </w:rPr>
              <w:t>Wholesale</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10.17%</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SOFR+543</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9,391</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PL Acquisitionco,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11/9/2027</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11.99%</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SOFR+725</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7,816</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7,733</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6,253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4.00%)</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Pragmatic Institute, LLC </w:t>
            </w:r>
            <w:r>
              <w:rPr>
                <w:rFonts w:ascii="Times New Roman" w:cs="Times New Roman" w:eastAsia="Times New Roman" w:hAnsi="Times New Roman"/>
                <w:sz w:val="12"/>
                <w:szCs w:val="12"/>
                <w:color w:val="auto"/>
                <w:vertAlign w:val="superscript"/>
              </w:rPr>
              <w:t>(5)</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3"/>
              </w:rPr>
              <w:t>Education</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12.35%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SOFR+750</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11,855</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11,480</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7,261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12.35%)</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Quantic Electronics,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10.95%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SOFR+635</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2,775</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2,758</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2,761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Rancho Health MSO,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10.85%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SOFR+560</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1,016</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Reception Purchaser,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2/28/2028</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10.75%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SOFR+615</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4,875</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4,828</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3,656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Recteq,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1/29/2026</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11.75%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SOFR+715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4,825</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4,796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4,777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RTIC Subsidiary Holdings,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5/3/2029</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10.35%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9,975</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9,830</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9,776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6/15/2029</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10.35%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4,336</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Safe Haven Defense US,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5/23/2029</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9.85%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SOFR+525</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9,973</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9,830</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9,873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Sales Benchmark Index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10.80%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SOFR+620</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9,268</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9,260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9,268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Sargent &amp; Greenleaf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4"/>
              </w:rPr>
              <w:t>Wholesale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12.45%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SOFR+760</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4,916</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4,906</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4,916</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1.00%)</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7/14/2025</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13.20%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SOFR+835</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12,388</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12,387</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12,078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0.50%)</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6/13/2029</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10.75%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SOFR+615</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4,900</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4,842</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11.50%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SOFR+690</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18,620</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18,370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12/2/2026</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SOFR+640</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11,359</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11,206</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11,472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5/17/2028</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9.46%</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SOFR+461</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1,290</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Smartronix,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10.35%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SOFR+610</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4,863</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4,863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Smile Brands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10.20%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11,887</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11,860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(PIK 1.50%)</w:t>
            </w:r>
          </w:p>
        </w:tc>
        <w:tc>
          <w:tcPr>
            <w:tcW w:w="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Solutionreach,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7/17/2025</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12.40%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SOFR+715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4,582</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4,560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4,582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10.25%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SOFR+565</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4,070</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4,017</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4,070</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9.31%</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SOFR+425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1,777</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System Planning and Analysis, Inc. (f/k/a Management</w:t>
            </w: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Consulting &amp; Research,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8/16/2027</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10.26%</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14,588</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14,445</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14,558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TCG 3.0 Jogger Acquisitionco</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1/23/2029</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rPr>
              <w:t>Media</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11.10%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SOFR+650</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19,626</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19,312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Team Services Group,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9.95%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SOFR+500</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343</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332</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Teneo Holdings,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3/13/2031</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9.60%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SOFR+475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5,473</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5,418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Bluebird Group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07/27/26</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11.25%</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SOFR+665</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8,521</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8,427</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8,521</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Vertex Companies,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08/31/27</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10.95%</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SOFR+610</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7,636</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7,538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7,639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11/24/25</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5"/>
              </w:rPr>
              <w:t>Consumer Goods: Non-Durable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10.84%</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SOFR+565</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16,524</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16,394</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16,524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Transgo,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12/29/28</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Automotive</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10.60%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18,552</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18,293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06/16/25</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11.33%</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SOFR+640</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943</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Tyto Athene, LLC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04/01/28</w:t>
            </w:r>
          </w:p>
        </w:tc>
        <w:tc>
          <w:tcPr>
            <w:tcW w:w="20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IT Services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10.23%</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SOFR+490</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14,670</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14,585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06/15/26</w:t>
            </w:r>
          </w:p>
        </w:tc>
        <w:tc>
          <w:tcPr>
            <w:tcW w:w="20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rPr>
              <w:t>Healthcare and Pharmaceuticals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10.76%</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SOFR+550</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6,823</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6,742</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6,755</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line="120" w:lineRule="exact"/>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(4)(6)</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03/01/29</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4"/>
              </w:rPr>
              <w:t>Wholesale</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0.00%</w:t>
            </w:r>
          </w:p>
        </w:tc>
        <w:tc>
          <w:tcPr>
            <w:tcW w:w="720" w:type="dxa"/>
            <w:vAlign w:val="bottom"/>
          </w:tcPr>
          <w:p>
            <w:pPr>
              <w:spacing w:after="0"/>
              <w:rPr>
                <w:sz w:val="10"/>
                <w:szCs w:val="10"/>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5,441</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4,986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Walker Edison Furniture Company LLC - Junior Revolving</w:t>
            </w: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line="120" w:lineRule="exact"/>
              <w:rPr>
                <w:sz w:val="20"/>
                <w:szCs w:val="20"/>
                <w:color w:val="auto"/>
              </w:rPr>
            </w:pPr>
            <w:r>
              <w:rPr>
                <w:rFonts w:ascii="Times New Roman" w:cs="Times New Roman" w:eastAsia="Times New Roman" w:hAnsi="Times New Roman"/>
                <w:sz w:val="10"/>
                <w:szCs w:val="10"/>
                <w:color w:val="auto"/>
              </w:rPr>
              <w:t xml:space="preserve">Credit Facility </w:t>
            </w:r>
            <w:r>
              <w:rPr>
                <w:rFonts w:ascii="Times New Roman" w:cs="Times New Roman" w:eastAsia="Times New Roman" w:hAnsi="Times New Roman"/>
                <w:sz w:val="12"/>
                <w:szCs w:val="12"/>
                <w:color w:val="auto"/>
                <w:vertAlign w:val="superscript"/>
              </w:rPr>
              <w:t>(4)(6)</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03/01/29</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4"/>
              </w:rPr>
              <w:t>Wholesale</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0.00%</w:t>
            </w:r>
          </w:p>
        </w:tc>
        <w:tc>
          <w:tcPr>
            <w:tcW w:w="72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1,667</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500" w:type="dxa"/>
            <w:vAlign w:val="bottom"/>
            <w:gridSpan w:val="2"/>
          </w:tcPr>
          <w:p>
            <w:pPr>
              <w:spacing w:after="0" w:line="96" w:lineRule="exact"/>
              <w:rPr>
                <w:sz w:val="20"/>
                <w:szCs w:val="20"/>
                <w:color w:val="auto"/>
              </w:rPr>
            </w:pPr>
            <w:r>
              <w:rPr>
                <w:rFonts w:ascii="Times New Roman" w:cs="Times New Roman" w:eastAsia="Times New Roman" w:hAnsi="Times New Roman"/>
                <w:sz w:val="9"/>
                <w:szCs w:val="9"/>
                <w:color w:val="auto"/>
              </w:rPr>
              <w:t xml:space="preserve">Walker Edison Furniture Company LLC - DDTL - Unfunded </w:t>
            </w:r>
            <w:r>
              <w:rPr>
                <w:rFonts w:ascii="Times New Roman" w:cs="Times New Roman" w:eastAsia="Times New Roman" w:hAnsi="Times New Roman"/>
                <w:sz w:val="11"/>
                <w:szCs w:val="11"/>
                <w:color w:val="auto"/>
                <w:vertAlign w:val="superscript"/>
              </w:rPr>
              <w:t>(3)</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03/01/29</w:t>
            </w:r>
          </w:p>
        </w:tc>
        <w:tc>
          <w:tcPr>
            <w:tcW w:w="2000" w:type="dxa"/>
            <w:vAlign w:val="bottom"/>
            <w:vMerge w:val="restart"/>
          </w:tcPr>
          <w:p>
            <w:pPr>
              <w:jc w:val="center"/>
              <w:ind w:left="72"/>
              <w:spacing w:after="0"/>
              <w:rPr>
                <w:sz w:val="20"/>
                <w:szCs w:val="20"/>
                <w:color w:val="auto"/>
              </w:rPr>
            </w:pPr>
            <w:r>
              <w:rPr>
                <w:rFonts w:ascii="Times New Roman" w:cs="Times New Roman" w:eastAsia="Times New Roman" w:hAnsi="Times New Roman"/>
                <w:sz w:val="10"/>
                <w:szCs w:val="10"/>
                <w:color w:val="auto"/>
                <w:w w:val="94"/>
              </w:rPr>
              <w:t>Wholesale</w:t>
            </w:r>
          </w:p>
        </w:tc>
        <w:tc>
          <w:tcPr>
            <w:tcW w:w="86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0.00%</w:t>
            </w:r>
          </w:p>
        </w:tc>
        <w:tc>
          <w:tcPr>
            <w:tcW w:w="720" w:type="dxa"/>
            <w:vAlign w:val="bottom"/>
          </w:tcPr>
          <w:p>
            <w:pPr>
              <w:spacing w:after="0"/>
              <w:rPr>
                <w:sz w:val="8"/>
                <w:szCs w:val="8"/>
                <w:color w:val="auto"/>
              </w:rPr>
            </w:pP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color w:val="auto"/>
              </w:rPr>
              <w:t>83</w:t>
            </w:r>
          </w:p>
        </w:tc>
        <w:tc>
          <w:tcPr>
            <w:tcW w:w="10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(76)</w:t>
            </w:r>
          </w:p>
        </w:tc>
        <w:tc>
          <w:tcPr>
            <w:tcW w:w="0" w:type="dxa"/>
            <w:vAlign w:val="bottom"/>
          </w:tcPr>
          <w:p>
            <w:pPr>
              <w:spacing w:after="0"/>
              <w:rPr>
                <w:sz w:val="1"/>
                <w:szCs w:val="1"/>
                <w:color w:val="auto"/>
              </w:rPr>
            </w:pPr>
          </w:p>
        </w:tc>
      </w:tr>
      <w:tr>
        <w:trPr>
          <w:trHeight w:val="77"/>
        </w:trPr>
        <w:tc>
          <w:tcPr>
            <w:tcW w:w="2500" w:type="dxa"/>
            <w:vAlign w:val="bottom"/>
            <w:gridSpan w:val="2"/>
          </w:tcPr>
          <w:p>
            <w:pPr>
              <w:spacing w:after="0"/>
              <w:rPr>
                <w:sz w:val="20"/>
                <w:szCs w:val="20"/>
                <w:color w:val="auto"/>
              </w:rPr>
            </w:pPr>
            <w:r>
              <w:rPr>
                <w:rFonts w:ascii="Times New Roman" w:cs="Times New Roman" w:eastAsia="Times New Roman" w:hAnsi="Times New Roman"/>
                <w:sz w:val="6"/>
                <w:szCs w:val="6"/>
                <w:color w:val="auto"/>
              </w:rPr>
              <w:t>(4)(6)</w:t>
            </w:r>
          </w:p>
        </w:tc>
        <w:tc>
          <w:tcPr>
            <w:tcW w:w="60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200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Watchtower Buyer,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12/03/29</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10.60%</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12,189</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12,067</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Wildcat Buyerco, Inc.</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02/27/27</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8"/>
              </w:rPr>
              <w:t>Components</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10.60%</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16,014</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15,916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16,014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Zips Car Wash, LLC</w:t>
            </w:r>
          </w:p>
        </w:tc>
        <w:tc>
          <w:tcPr>
            <w:tcW w:w="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12/31/24</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6"/>
              </w:rPr>
              <w:t>Automobiles</w:t>
            </w:r>
          </w:p>
        </w:tc>
        <w:tc>
          <w:tcPr>
            <w:tcW w:w="86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12.46%</w:t>
            </w:r>
          </w:p>
        </w:tc>
        <w:tc>
          <w:tcPr>
            <w:tcW w:w="7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SOFR+740</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16,736</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16,722</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15,983</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(PIK 1.50%)</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920,485</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906,532</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Equity Securities - 10.5%</w:t>
            </w: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New Insight Holdings, Inc.</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116,055</w:t>
            </w: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Lucky Bucks, LLC</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73,870</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2,062</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New MPE Holdings, LLC</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ind w:left="92"/>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47</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Output Services Group, Inc</w:t>
            </w:r>
          </w:p>
        </w:tc>
        <w:tc>
          <w:tcPr>
            <w:tcW w:w="6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shd w:val="clear" w:color="auto" w:fill="CCECFF"/>
          </w:tcPr>
          <w:p>
            <w:pPr>
              <w:jc w:val="center"/>
              <w:ind w:left="92"/>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126,324</w:t>
            </w: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1,104</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6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4"/>
              </w:rPr>
              <w:t>Wholesale</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36,458</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8,498</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Investments - 1,415.0%</w:t>
            </w: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928,983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913,281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- 106.0%</w:t>
            </w: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600" w:type="dxa"/>
            <w:vAlign w:val="bottom"/>
            <w:shd w:val="clear" w:color="auto" w:fill="CCECFF"/>
          </w:tcPr>
          <w:p>
            <w:pPr>
              <w:spacing w:after="0"/>
              <w:rPr>
                <w:sz w:val="10"/>
                <w:szCs w:val="10"/>
                <w:color w:val="auto"/>
              </w:rPr>
            </w:pPr>
          </w:p>
        </w:tc>
        <w:tc>
          <w:tcPr>
            <w:tcW w:w="20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1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68,429</w:t>
            </w: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Total Investments and Cash Equivalents —1,521.0%</w:t>
            </w: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997,412</w:t>
            </w: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981,710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2480" w:type="dxa"/>
            <w:vAlign w:val="bottom"/>
            <w:shd w:val="clear" w:color="auto" w:fill="CCECFF"/>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(1,421.0)%</w:t>
            </w:r>
          </w:p>
        </w:tc>
        <w:tc>
          <w:tcPr>
            <w:tcW w:w="600" w:type="dxa"/>
            <w:vAlign w:val="bottom"/>
            <w:shd w:val="clear" w:color="auto" w:fill="CCECFF"/>
          </w:tcPr>
          <w:p>
            <w:pPr>
              <w:spacing w:after="0"/>
              <w:rPr>
                <w:sz w:val="8"/>
                <w:szCs w:val="8"/>
                <w:color w:val="auto"/>
              </w:rPr>
            </w:pPr>
          </w:p>
        </w:tc>
        <w:tc>
          <w:tcPr>
            <w:tcW w:w="200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40" w:type="dxa"/>
            <w:vAlign w:val="bottom"/>
            <w:gridSpan w:val="2"/>
            <w:shd w:val="clear" w:color="auto" w:fill="CCECFF"/>
          </w:tcPr>
          <w:p>
            <w:pPr>
              <w:jc w:val="right"/>
              <w:ind w:right="60"/>
              <w:spacing w:after="0" w:line="96" w:lineRule="exact"/>
              <w:rPr>
                <w:sz w:val="20"/>
                <w:szCs w:val="20"/>
                <w:color w:val="auto"/>
              </w:rPr>
            </w:pPr>
            <w:r>
              <w:rPr>
                <w:rFonts w:ascii="Times New Roman" w:cs="Times New Roman" w:eastAsia="Times New Roman" w:hAnsi="Times New Roman"/>
                <w:sz w:val="10"/>
                <w:szCs w:val="10"/>
                <w:color w:val="auto"/>
              </w:rPr>
              <w:t>(917,163)</w:t>
            </w:r>
          </w:p>
        </w:tc>
        <w:tc>
          <w:tcPr>
            <w:tcW w:w="0" w:type="dxa"/>
            <w:vAlign w:val="bottom"/>
          </w:tcPr>
          <w:p>
            <w:pPr>
              <w:spacing w:after="0"/>
              <w:rPr>
                <w:sz w:val="1"/>
                <w:szCs w:val="1"/>
                <w:color w:val="auto"/>
              </w:rPr>
            </w:pPr>
          </w:p>
        </w:tc>
      </w:tr>
      <w:tr>
        <w:trPr>
          <w:trHeight w:val="120"/>
        </w:trPr>
        <w:tc>
          <w:tcPr>
            <w:tcW w:w="25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Members' Equity—100.0%</w:t>
            </w:r>
          </w:p>
        </w:tc>
        <w:tc>
          <w:tcPr>
            <w:tcW w:w="6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64,547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60" w:right="280"/>
        <w:spacing w:after="0" w:line="233"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The spread may change based on the type of rate used. The terms in the Consolidated Schedule of Investments disclose the actual interest rate in effect as of the reporting period. All securities are subject to a SOFR floor where a spread is provided, unless noted. The spread provided includes PIK interest and other fee rates, if any.</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PSSL’s accounting policy.</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ind w:left="60"/>
        <w:spacing w:after="0" w:line="237" w:lineRule="auto"/>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Non-accrual security.</w:t>
      </w:r>
    </w:p>
    <w:p>
      <w:pPr>
        <w:ind w:left="60"/>
        <w:spacing w:after="0" w:line="237" w:lineRule="auto"/>
        <w:rPr>
          <w:sz w:val="20"/>
          <w:szCs w:val="20"/>
          <w:color w:val="auto"/>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0"/>
          <w:szCs w:val="10"/>
          <w:color w:val="auto"/>
        </w:rPr>
        <w:t>Partial PIK non-accrual security.</w:t>
      </w:r>
    </w:p>
    <w:p>
      <w:pPr>
        <w:spacing w:after="0" w:line="1" w:lineRule="exact"/>
        <w:rPr>
          <w:sz w:val="20"/>
          <w:szCs w:val="20"/>
          <w:color w:val="auto"/>
        </w:rPr>
      </w:pPr>
    </w:p>
    <w:p>
      <w:pPr>
        <w:ind w:left="60" w:right="160"/>
        <w:spacing w:after="0" w:line="219" w:lineRule="auto"/>
        <w:rPr>
          <w:sz w:val="20"/>
          <w:szCs w:val="20"/>
          <w:color w:val="auto"/>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0"/>
          <w:szCs w:val="10"/>
          <w:color w:val="auto"/>
        </w:rPr>
        <w:t>The securities, or a portion thereof, are not 1) pledged as collateral under the Credit Facility and held through Funding I; or, 2) securing the 2035 Asset-Backed Debt and held through PennantPark CLO VI, LLC, or, 3) securing the 2036 Asset-Backed Debt and held through PennantPark CLO II, Ltd.</w:t>
      </w:r>
    </w:p>
    <w:p>
      <w:pPr>
        <w:ind w:left="60"/>
        <w:spacing w:after="0"/>
        <w:rPr>
          <w:sz w:val="20"/>
          <w:szCs w:val="20"/>
          <w:color w:val="auto"/>
        </w:rPr>
      </w:pP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0"/>
          <w:szCs w:val="10"/>
          <w:color w:val="auto"/>
        </w:rPr>
        <w:t>All investments are in U.S. companies unless noted otherwise.</w:t>
      </w: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408305</wp:posOffset>
            </wp:positionV>
            <wp:extent cx="62604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324" w:right="1440" w:bottom="1440" w:gutter="0" w:footer="0" w:header="0"/>
        </w:sectPr>
      </w:pPr>
    </w:p>
    <w:bookmarkStart w:id="67" w:name="page68"/>
    <w:bookmarkEnd w:id="67"/>
    <w:tbl>
      <w:tblPr>
        <w:tblLayout w:type="fixed"/>
        <w:tblInd w:w="60" w:type="dxa"/>
        <w:tblCellMar>
          <w:top w:w="0" w:type="dxa"/>
          <w:left w:w="0" w:type="dxa"/>
          <w:bottom w:w="0" w:type="dxa"/>
          <w:right w:w="0" w:type="dxa"/>
        </w:tblCellMar>
      </w:tblPr>
      <w:tr>
        <w:trPr>
          <w:trHeight w:val="172"/>
        </w:trPr>
        <w:tc>
          <w:tcPr>
            <w:tcW w:w="51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PSSL ($ in thousands):</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6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56"/>
        </w:trPr>
        <w:tc>
          <w:tcPr>
            <w:tcW w:w="5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20" w:type="dxa"/>
            <w:vAlign w:val="bottom"/>
            <w:shd w:val="clear" w:color="auto" w:fill="CCECFF"/>
          </w:tcPr>
          <w:p>
            <w:pPr>
              <w:spacing w:after="0"/>
              <w:rPr>
                <w:sz w:val="13"/>
                <w:szCs w:val="13"/>
                <w:color w:val="auto"/>
              </w:rPr>
            </w:pPr>
          </w:p>
        </w:tc>
        <w:tc>
          <w:tcPr>
            <w:tcW w:w="13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56"/>
        </w:trPr>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 (amortized cost—$1,080,993 and $928,983, respectively)</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1,055,552</w:t>
            </w:r>
          </w:p>
        </w:tc>
        <w:tc>
          <w:tcPr>
            <w:tcW w:w="240" w:type="dxa"/>
            <w:vAlign w:val="bottom"/>
          </w:tcPr>
          <w:p>
            <w:pPr>
              <w:spacing w:after="0"/>
              <w:rPr>
                <w:sz w:val="13"/>
                <w:szCs w:val="13"/>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913,281</w:t>
            </w:r>
          </w:p>
        </w:tc>
        <w:tc>
          <w:tcPr>
            <w:tcW w:w="100" w:type="dxa"/>
            <w:vAlign w:val="bottom"/>
          </w:tcPr>
          <w:p>
            <w:pPr>
              <w:spacing w:after="0"/>
              <w:rPr>
                <w:sz w:val="13"/>
                <w:szCs w:val="13"/>
                <w:color w:val="auto"/>
              </w:rPr>
            </w:pPr>
          </w:p>
        </w:tc>
      </w:tr>
      <w:tr>
        <w:trPr>
          <w:trHeight w:val="156"/>
        </w:trPr>
        <w:tc>
          <w:tcPr>
            <w:tcW w:w="5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Cash and cash equivalents (cost—$45,728 and $68,429, respectively)</w:t>
            </w:r>
          </w:p>
        </w:tc>
        <w:tc>
          <w:tcPr>
            <w:tcW w:w="320" w:type="dxa"/>
            <w:vAlign w:val="bottom"/>
            <w:shd w:val="clear" w:color="auto" w:fill="CCECFF"/>
          </w:tcPr>
          <w:p>
            <w:pPr>
              <w:spacing w:after="0"/>
              <w:rPr>
                <w:sz w:val="13"/>
                <w:szCs w:val="13"/>
                <w:color w:val="auto"/>
              </w:rPr>
            </w:pP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45,728</w:t>
            </w:r>
          </w:p>
        </w:tc>
        <w:tc>
          <w:tcPr>
            <w:tcW w:w="260" w:type="dxa"/>
            <w:vAlign w:val="bottom"/>
            <w:shd w:val="clear" w:color="auto" w:fill="CCECFF"/>
          </w:tcPr>
          <w:p>
            <w:pPr>
              <w:spacing w:after="0"/>
              <w:rPr>
                <w:sz w:val="13"/>
                <w:szCs w:val="13"/>
                <w:color w:val="auto"/>
              </w:rPr>
            </w:pPr>
          </w:p>
        </w:tc>
        <w:tc>
          <w:tcPr>
            <w:tcW w:w="15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68,429</w:t>
            </w:r>
          </w:p>
        </w:tc>
      </w:tr>
      <w:tr>
        <w:trPr>
          <w:trHeight w:val="156"/>
        </w:trPr>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3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4,722</w:t>
            </w:r>
          </w:p>
        </w:tc>
        <w:tc>
          <w:tcPr>
            <w:tcW w:w="100" w:type="dxa"/>
            <w:vAlign w:val="bottom"/>
          </w:tcPr>
          <w:p>
            <w:pPr>
              <w:spacing w:after="0"/>
              <w:rPr>
                <w:sz w:val="13"/>
                <w:szCs w:val="13"/>
                <w:color w:val="auto"/>
              </w:rPr>
            </w:pPr>
          </w:p>
        </w:tc>
      </w:tr>
      <w:tr>
        <w:trPr>
          <w:trHeight w:val="156"/>
        </w:trPr>
        <w:tc>
          <w:tcPr>
            <w:tcW w:w="5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Due from affiliate</w:t>
            </w:r>
          </w:p>
        </w:tc>
        <w:tc>
          <w:tcPr>
            <w:tcW w:w="32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CFF"/>
          </w:tcPr>
          <w:p>
            <w:pPr>
              <w:spacing w:after="0"/>
              <w:rPr>
                <w:sz w:val="13"/>
                <w:szCs w:val="13"/>
                <w:color w:val="auto"/>
              </w:rPr>
            </w:pPr>
          </w:p>
        </w:tc>
      </w:tr>
      <w:tr>
        <w:trPr>
          <w:trHeight w:val="156"/>
        </w:trPr>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100" w:type="dxa"/>
            <w:vAlign w:val="bottom"/>
          </w:tcPr>
          <w:p>
            <w:pPr>
              <w:spacing w:after="0"/>
              <w:rPr>
                <w:sz w:val="13"/>
                <w:szCs w:val="13"/>
                <w:color w:val="auto"/>
              </w:rPr>
            </w:pPr>
          </w:p>
        </w:tc>
      </w:tr>
      <w:tr>
        <w:trPr>
          <w:trHeight w:val="156"/>
        </w:trPr>
        <w:tc>
          <w:tcPr>
            <w:tcW w:w="512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2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1,108,373</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100" w:type="dxa"/>
            <w:vAlign w:val="bottom"/>
            <w:shd w:val="clear" w:color="auto" w:fill="CCECFF"/>
          </w:tcPr>
          <w:p>
            <w:pPr>
              <w:spacing w:after="0"/>
              <w:rPr>
                <w:sz w:val="13"/>
                <w:szCs w:val="13"/>
                <w:color w:val="auto"/>
              </w:rPr>
            </w:pPr>
          </w:p>
        </w:tc>
      </w:tr>
      <w:tr>
        <w:trPr>
          <w:trHeight w:val="156"/>
        </w:trPr>
        <w:tc>
          <w:tcPr>
            <w:tcW w:w="5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Credit facility payable</w:t>
            </w:r>
          </w:p>
        </w:tc>
        <w:tc>
          <w:tcPr>
            <w:tcW w:w="320" w:type="dxa"/>
            <w:vAlign w:val="bottom"/>
            <w:shd w:val="clear" w:color="auto" w:fill="CCECFF"/>
          </w:tcPr>
          <w:p>
            <w:pPr>
              <w:spacing w:after="0"/>
              <w:rPr>
                <w:sz w:val="13"/>
                <w:szCs w:val="13"/>
                <w:color w:val="auto"/>
              </w:rPr>
            </w:pP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27,000</w:t>
            </w: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146,100</w:t>
            </w:r>
          </w:p>
        </w:tc>
        <w:tc>
          <w:tcPr>
            <w:tcW w:w="100" w:type="dxa"/>
            <w:vAlign w:val="bottom"/>
            <w:shd w:val="clear" w:color="auto" w:fill="CCECFF"/>
          </w:tcPr>
          <w:p>
            <w:pPr>
              <w:spacing w:after="0"/>
              <w:rPr>
                <w:sz w:val="13"/>
                <w:szCs w:val="13"/>
                <w:color w:val="auto"/>
              </w:rPr>
            </w:pPr>
          </w:p>
        </w:tc>
      </w:tr>
      <w:tr>
        <w:trPr>
          <w:trHeight w:val="144"/>
        </w:trPr>
        <w:tc>
          <w:tcPr>
            <w:tcW w:w="51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2035 Asset-backed debt, net (par—$0 and $246,000, respectively) (unamortized deferred</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financing costs of $0 and $2,066, respectively)</w:t>
            </w:r>
          </w:p>
        </w:tc>
        <w:tc>
          <w:tcPr>
            <w:tcW w:w="320" w:type="dxa"/>
            <w:vAlign w:val="bottom"/>
          </w:tcPr>
          <w:p>
            <w:pPr>
              <w:spacing w:after="0"/>
              <w:rPr>
                <w:sz w:val="14"/>
                <w:szCs w:val="14"/>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243,934</w:t>
            </w:r>
          </w:p>
        </w:tc>
        <w:tc>
          <w:tcPr>
            <w:tcW w:w="100" w:type="dxa"/>
            <w:vAlign w:val="bottom"/>
          </w:tcPr>
          <w:p>
            <w:pPr>
              <w:spacing w:after="0"/>
              <w:rPr>
                <w:sz w:val="14"/>
                <w:szCs w:val="14"/>
                <w:color w:val="auto"/>
              </w:rPr>
            </w:pPr>
          </w:p>
        </w:tc>
      </w:tr>
      <w:tr>
        <w:trPr>
          <w:trHeight w:val="144"/>
        </w:trPr>
        <w:tc>
          <w:tcPr>
            <w:tcW w:w="512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2036 Asset-backed debt, net (par—$246,000) (unamortized deferred financing costs of $1,413</w:t>
            </w:r>
          </w:p>
        </w:tc>
        <w:tc>
          <w:tcPr>
            <w:tcW w:w="320" w:type="dxa"/>
            <w:vAlign w:val="bottom"/>
            <w:shd w:val="clear" w:color="auto" w:fill="CCECFF"/>
          </w:tcPr>
          <w:p>
            <w:pPr>
              <w:spacing w:after="0"/>
              <w:rPr>
                <w:sz w:val="12"/>
                <w:szCs w:val="12"/>
                <w:color w:val="auto"/>
              </w:rPr>
            </w:pPr>
          </w:p>
        </w:tc>
        <w:tc>
          <w:tcPr>
            <w:tcW w:w="13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4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8"/>
        </w:trPr>
        <w:tc>
          <w:tcPr>
            <w:tcW w:w="5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and $1,628, respectively)</w:t>
            </w:r>
          </w:p>
        </w:tc>
        <w:tc>
          <w:tcPr>
            <w:tcW w:w="3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244,587</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244,372</w:t>
            </w:r>
          </w:p>
        </w:tc>
        <w:tc>
          <w:tcPr>
            <w:tcW w:w="100" w:type="dxa"/>
            <w:vAlign w:val="bottom"/>
            <w:shd w:val="clear" w:color="auto" w:fill="CCECFF"/>
          </w:tcPr>
          <w:p>
            <w:pPr>
              <w:spacing w:after="0"/>
              <w:rPr>
                <w:sz w:val="14"/>
                <w:szCs w:val="14"/>
                <w:color w:val="auto"/>
              </w:rPr>
            </w:pPr>
          </w:p>
        </w:tc>
      </w:tr>
      <w:tr>
        <w:trPr>
          <w:trHeight w:val="144"/>
        </w:trPr>
        <w:tc>
          <w:tcPr>
            <w:tcW w:w="51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2037 Asset-backed debt, net (par—$246,000 and $0, respectively) (unamortized deferred</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financing costs of $1,990 and $0, respectively)</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244,010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5120" w:type="dxa"/>
            <w:vAlign w:val="bottom"/>
            <w:shd w:val="clear" w:color="auto" w:fill="CCECFF"/>
          </w:tcPr>
          <w:p>
            <w:pPr>
              <w:spacing w:after="0" w:line="144" w:lineRule="exact"/>
              <w:rPr>
                <w:sz w:val="20"/>
                <w:szCs w:val="20"/>
                <w:color w:val="auto"/>
              </w:rPr>
            </w:pPr>
            <w:r>
              <w:rPr>
                <w:rFonts w:ascii="Times New Roman" w:cs="Times New Roman" w:eastAsia="Times New Roman" w:hAnsi="Times New Roman"/>
                <w:sz w:val="13"/>
                <w:szCs w:val="13"/>
                <w:color w:val="auto"/>
              </w:rPr>
              <w:t>2037-R Asset-backed debt, net (par—$246,000 and $0, respectively) (unamortized deferred</w:t>
            </w:r>
          </w:p>
        </w:tc>
        <w:tc>
          <w:tcPr>
            <w:tcW w:w="320" w:type="dxa"/>
            <w:vAlign w:val="bottom"/>
            <w:shd w:val="clear" w:color="auto" w:fill="CCECFF"/>
          </w:tcPr>
          <w:p>
            <w:pPr>
              <w:spacing w:after="0"/>
              <w:rPr>
                <w:sz w:val="12"/>
                <w:szCs w:val="12"/>
                <w:color w:val="auto"/>
              </w:rPr>
            </w:pPr>
          </w:p>
        </w:tc>
        <w:tc>
          <w:tcPr>
            <w:tcW w:w="13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4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8"/>
        </w:trPr>
        <w:tc>
          <w:tcPr>
            <w:tcW w:w="5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financing costs of $2,629 and $0, respectively)</w:t>
            </w:r>
          </w:p>
        </w:tc>
        <w:tc>
          <w:tcPr>
            <w:tcW w:w="3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243,371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Notes payable to members</w:t>
            </w:r>
          </w:p>
        </w:tc>
        <w:tc>
          <w:tcPr>
            <w:tcW w:w="3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271,600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271,600</w:t>
            </w:r>
          </w:p>
        </w:tc>
        <w:tc>
          <w:tcPr>
            <w:tcW w:w="100" w:type="dxa"/>
            <w:vAlign w:val="bottom"/>
          </w:tcPr>
          <w:p>
            <w:pPr>
              <w:spacing w:after="0"/>
              <w:rPr>
                <w:sz w:val="13"/>
                <w:szCs w:val="13"/>
                <w:color w:val="auto"/>
              </w:rPr>
            </w:pPr>
          </w:p>
        </w:tc>
      </w:tr>
      <w:tr>
        <w:trPr>
          <w:trHeight w:val="156"/>
        </w:trPr>
        <w:tc>
          <w:tcPr>
            <w:tcW w:w="5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32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8,968</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9,281</w:t>
            </w:r>
          </w:p>
        </w:tc>
        <w:tc>
          <w:tcPr>
            <w:tcW w:w="100" w:type="dxa"/>
            <w:vAlign w:val="bottom"/>
            <w:shd w:val="clear" w:color="auto" w:fill="CCECFF"/>
          </w:tcPr>
          <w:p>
            <w:pPr>
              <w:spacing w:after="0"/>
              <w:rPr>
                <w:sz w:val="13"/>
                <w:szCs w:val="13"/>
                <w:color w:val="auto"/>
              </w:rPr>
            </w:pPr>
          </w:p>
        </w:tc>
      </w:tr>
      <w:tr>
        <w:trPr>
          <w:trHeight w:val="156"/>
        </w:trPr>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20" w:type="dxa"/>
            <w:vAlign w:val="bottom"/>
          </w:tcPr>
          <w:p>
            <w:pPr>
              <w:spacing w:after="0"/>
              <w:rPr>
                <w:sz w:val="13"/>
                <w:szCs w:val="13"/>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3"/>
                <w:szCs w:val="13"/>
                <w:color w:val="auto"/>
              </w:rPr>
            </w:pPr>
          </w:p>
        </w:tc>
      </w:tr>
      <w:tr>
        <w:trPr>
          <w:trHeight w:val="156"/>
        </w:trPr>
        <w:tc>
          <w:tcPr>
            <w:tcW w:w="5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32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6,665</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7,315</w:t>
            </w:r>
          </w:p>
        </w:tc>
        <w:tc>
          <w:tcPr>
            <w:tcW w:w="100" w:type="dxa"/>
            <w:vAlign w:val="bottom"/>
            <w:shd w:val="clear" w:color="auto" w:fill="CCECFF"/>
          </w:tcPr>
          <w:p>
            <w:pPr>
              <w:spacing w:after="0"/>
              <w:rPr>
                <w:sz w:val="13"/>
                <w:szCs w:val="13"/>
                <w:color w:val="auto"/>
              </w:rPr>
            </w:pPr>
          </w:p>
        </w:tc>
      </w:tr>
      <w:tr>
        <w:trPr>
          <w:trHeight w:val="156"/>
        </w:trPr>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Accrued expenses</w:t>
            </w:r>
          </w:p>
        </w:tc>
        <w:tc>
          <w:tcPr>
            <w:tcW w:w="3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3"/>
                <w:szCs w:val="13"/>
                <w:color w:val="auto"/>
              </w:rPr>
            </w:pPr>
          </w:p>
        </w:tc>
      </w:tr>
      <w:tr>
        <w:trPr>
          <w:trHeight w:val="156"/>
        </w:trPr>
        <w:tc>
          <w:tcPr>
            <w:tcW w:w="51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Due to affiliate</w:t>
            </w:r>
          </w:p>
        </w:tc>
        <w:tc>
          <w:tcPr>
            <w:tcW w:w="320" w:type="dxa"/>
            <w:vAlign w:val="bottom"/>
            <w:shd w:val="clear" w:color="auto" w:fill="CCECFF"/>
          </w:tcPr>
          <w:p>
            <w:pPr>
              <w:spacing w:after="0"/>
              <w:rPr>
                <w:sz w:val="13"/>
                <w:szCs w:val="13"/>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CFF"/>
          </w:tcPr>
          <w:p>
            <w:pPr>
              <w:spacing w:after="0"/>
              <w:rPr>
                <w:sz w:val="13"/>
                <w:szCs w:val="13"/>
                <w:color w:val="auto"/>
              </w:rPr>
            </w:pPr>
          </w:p>
        </w:tc>
      </w:tr>
      <w:tr>
        <w:trPr>
          <w:trHeight w:val="156"/>
        </w:trPr>
        <w:tc>
          <w:tcPr>
            <w:tcW w:w="512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1,047,471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923,575</w:t>
            </w:r>
          </w:p>
        </w:tc>
        <w:tc>
          <w:tcPr>
            <w:tcW w:w="100" w:type="dxa"/>
            <w:vAlign w:val="bottom"/>
          </w:tcPr>
          <w:p>
            <w:pPr>
              <w:spacing w:after="0"/>
              <w:rPr>
                <w:sz w:val="13"/>
                <w:szCs w:val="13"/>
                <w:color w:val="auto"/>
              </w:rPr>
            </w:pPr>
          </w:p>
        </w:tc>
      </w:tr>
      <w:tr>
        <w:trPr>
          <w:trHeight w:val="156"/>
        </w:trPr>
        <w:tc>
          <w:tcPr>
            <w:tcW w:w="512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320" w:type="dxa"/>
            <w:vAlign w:val="bottom"/>
            <w:shd w:val="clear" w:color="auto" w:fill="CCECFF"/>
          </w:tcPr>
          <w:p>
            <w:pPr>
              <w:spacing w:after="0"/>
              <w:rPr>
                <w:sz w:val="13"/>
                <w:szCs w:val="13"/>
                <w:color w:val="auto"/>
              </w:rPr>
            </w:pP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60,902</w:t>
            </w:r>
          </w:p>
        </w:tc>
        <w:tc>
          <w:tcPr>
            <w:tcW w:w="260" w:type="dxa"/>
            <w:vAlign w:val="bottom"/>
            <w:shd w:val="clear" w:color="auto" w:fill="CCECFF"/>
          </w:tcPr>
          <w:p>
            <w:pPr>
              <w:spacing w:after="0"/>
              <w:rPr>
                <w:sz w:val="13"/>
                <w:szCs w:val="13"/>
                <w:color w:val="auto"/>
              </w:rPr>
            </w:pPr>
          </w:p>
        </w:tc>
        <w:tc>
          <w:tcPr>
            <w:tcW w:w="15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64,547</w:t>
            </w:r>
          </w:p>
        </w:tc>
      </w:tr>
      <w:tr>
        <w:trPr>
          <w:trHeight w:val="156"/>
        </w:trPr>
        <w:tc>
          <w:tcPr>
            <w:tcW w:w="512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1,108,373</w:t>
            </w:r>
          </w:p>
        </w:tc>
        <w:tc>
          <w:tcPr>
            <w:tcW w:w="240" w:type="dxa"/>
            <w:vAlign w:val="bottom"/>
          </w:tcPr>
          <w:p>
            <w:pPr>
              <w:spacing w:after="0"/>
              <w:rPr>
                <w:sz w:val="13"/>
                <w:szCs w:val="13"/>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988,122</w:t>
            </w:r>
          </w:p>
        </w:tc>
        <w:tc>
          <w:tcPr>
            <w:tcW w:w="100" w:type="dxa"/>
            <w:vAlign w:val="bottom"/>
          </w:tcPr>
          <w:p>
            <w:pPr>
              <w:spacing w:after="0"/>
              <w:rPr>
                <w:sz w:val="13"/>
                <w:szCs w:val="13"/>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 w:lineRule="exact"/>
        <w:rPr>
          <w:sz w:val="20"/>
          <w:szCs w:val="20"/>
          <w:color w:val="auto"/>
        </w:rPr>
      </w:pPr>
    </w:p>
    <w:p>
      <w:pPr>
        <w:ind w:left="160" w:hanging="94"/>
        <w:spacing w:after="0"/>
        <w:tabs>
          <w:tab w:leader="none" w:pos="160" w:val="left"/>
        </w:tabs>
        <w:numPr>
          <w:ilvl w:val="0"/>
          <w:numId w:val="23"/>
        </w:numPr>
        <w:rPr>
          <w:rFonts w:ascii="Times New Roman" w:cs="Times New Roman" w:eastAsia="Times New Roman" w:hAnsi="Times New Roman"/>
          <w:sz w:val="12"/>
          <w:szCs w:val="12"/>
          <w:b w:val="1"/>
          <w:bCs w:val="1"/>
          <w:color w:val="auto"/>
          <w:vertAlign w:val="superscript"/>
        </w:rPr>
      </w:pPr>
      <w:r>
        <w:rPr>
          <w:rFonts w:ascii="Times New Roman" w:cs="Times New Roman" w:eastAsia="Times New Roman" w:hAnsi="Times New Roman"/>
          <w:sz w:val="10"/>
          <w:szCs w:val="10"/>
          <w:color w:val="auto"/>
        </w:rPr>
        <w:t>As of June 30, 2025 and September 30, 2024, PSSL had unfunded commitments to fund investments of zero and $0.6 million, respectively.</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PSSL ($ in thousands):</w:t>
      </w: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00" w:type="dxa"/>
            <w:vAlign w:val="bottom"/>
          </w:tcPr>
          <w:p>
            <w:pPr>
              <w:spacing w:after="0"/>
              <w:rPr>
                <w:sz w:val="13"/>
                <w:szCs w:val="13"/>
                <w:color w:val="auto"/>
              </w:rPr>
            </w:pPr>
          </w:p>
        </w:tc>
        <w:tc>
          <w:tcPr>
            <w:tcW w:w="1920" w:type="dxa"/>
            <w:vAlign w:val="bottom"/>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Nine Months Ended June 30,</w:t>
            </w:r>
          </w:p>
        </w:tc>
      </w:tr>
      <w:tr>
        <w:trPr>
          <w:trHeight w:val="170"/>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r>
      <w:tr>
        <w:trPr>
          <w:trHeight w:val="156"/>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28,212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27,614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84,989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80,578</w:t>
            </w: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Other income</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80" w:type="dxa"/>
            <w:vAlign w:val="bottom"/>
            <w:shd w:val="clear" w:color="auto" w:fill="CCECFF"/>
          </w:tcPr>
          <w:p>
            <w:pPr>
              <w:spacing w:after="0"/>
              <w:rPr>
                <w:sz w:val="13"/>
                <w:szCs w:val="13"/>
                <w:color w:val="auto"/>
              </w:rPr>
            </w:pP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28,569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27,970</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86,134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81,499</w:t>
            </w:r>
          </w:p>
        </w:tc>
      </w:tr>
      <w:tr>
        <w:trPr>
          <w:trHeight w:val="156"/>
        </w:trPr>
        <w:tc>
          <w:tcPr>
            <w:tcW w:w="470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3"/>
                <w:szCs w:val="13"/>
                <w:b w:val="1"/>
                <w:bCs w:val="1"/>
                <w:color w:val="auto"/>
              </w:rPr>
              <w:t>Expenses:</w:t>
            </w:r>
            <w:r>
              <w:rPr>
                <w:rFonts w:ascii="Times New Roman" w:cs="Times New Roman" w:eastAsia="Times New Roman" w:hAnsi="Times New Roman"/>
                <w:sz w:val="16"/>
                <w:szCs w:val="16"/>
                <w:b w:val="1"/>
                <w:bCs w:val="1"/>
                <w:color w:val="auto"/>
                <w:vertAlign w:val="superscript"/>
              </w:rPr>
              <w:t>(1)</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and expense on credit facility and asset-backed debt</w:t>
            </w: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14,381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13,685</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42,198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40,866</w:t>
            </w: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8,427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8,646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25,674</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24,962</w:t>
            </w: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Administration fees</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w:t>
            </w:r>
          </w:p>
        </w:tc>
        <w:tc>
          <w:tcPr>
            <w:tcW w:w="80" w:type="dxa"/>
            <w:vAlign w:val="bottom"/>
          </w:tcPr>
          <w:p>
            <w:pPr>
              <w:spacing w:after="0"/>
              <w:rPr>
                <w:sz w:val="13"/>
                <w:szCs w:val="13"/>
                <w:color w:val="auto"/>
              </w:rPr>
            </w:pP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999</w:t>
            </w:r>
          </w:p>
        </w:tc>
        <w:tc>
          <w:tcPr>
            <w:tcW w:w="80" w:type="dxa"/>
            <w:vAlign w:val="bottom"/>
            <w:shd w:val="clear" w:color="auto" w:fill="CCECFF"/>
          </w:tcPr>
          <w:p>
            <w:pPr>
              <w:spacing w:after="0"/>
              <w:rPr>
                <w:sz w:val="13"/>
                <w:szCs w:val="13"/>
                <w:color w:val="auto"/>
              </w:rPr>
            </w:pP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Expenses before debt issuance costs</w:t>
            </w: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23,919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23,439</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71,274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68,564</w:t>
            </w: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Debt issuance costs</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24,119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23,439</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71,474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68,564</w:t>
            </w: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4,450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4,531</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14,660</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12,935</w:t>
            </w:r>
          </w:p>
        </w:tc>
      </w:tr>
      <w:tr>
        <w:trPr>
          <w:trHeight w:val="156"/>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00" w:type="dxa"/>
            <w:vAlign w:val="bottom"/>
            <w:shd w:val="clear" w:color="auto" w:fill="CCECFF"/>
          </w:tcPr>
          <w:p>
            <w:pPr>
              <w:spacing w:after="0"/>
              <w:rPr>
                <w:sz w:val="13"/>
                <w:szCs w:val="13"/>
                <w:color w:val="auto"/>
              </w:rPr>
            </w:pP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(10,974)</w:t>
            </w: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(17,429)</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(6,510)</w:t>
            </w: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Realized loss on debt extinguishment</w:t>
            </w: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(1,637)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(1,622)</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(1,622)</w:t>
            </w:r>
          </w:p>
        </w:tc>
      </w:tr>
      <w:tr>
        <w:trPr>
          <w:trHeight w:val="156"/>
        </w:trPr>
        <w:tc>
          <w:tcPr>
            <w:tcW w:w="47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0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5,403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(5,034)</w:t>
            </w:r>
          </w:p>
        </w:tc>
        <w:tc>
          <w:tcPr>
            <w:tcW w:w="10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(9,739)</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3,871</w:t>
            </w:r>
          </w:p>
        </w:tc>
        <w:tc>
          <w:tcPr>
            <w:tcW w:w="80" w:type="dxa"/>
            <w:vAlign w:val="bottom"/>
            <w:shd w:val="clear" w:color="auto" w:fill="CCECFF"/>
          </w:tcPr>
          <w:p>
            <w:pPr>
              <w:spacing w:after="0"/>
              <w:rPr>
                <w:sz w:val="13"/>
                <w:szCs w:val="13"/>
                <w:color w:val="auto"/>
              </w:rPr>
            </w:pPr>
          </w:p>
        </w:tc>
      </w:tr>
      <w:tr>
        <w:trPr>
          <w:trHeight w:val="156"/>
        </w:trPr>
        <w:tc>
          <w:tcPr>
            <w:tcW w:w="47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(7,208)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(6,656)</w:t>
            </w:r>
          </w:p>
        </w:tc>
        <w:tc>
          <w:tcPr>
            <w:tcW w:w="10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(28,805)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(4,261)</w:t>
            </w:r>
          </w:p>
        </w:tc>
      </w:tr>
      <w:tr>
        <w:trPr>
          <w:trHeight w:val="176"/>
        </w:trPr>
        <w:tc>
          <w:tcPr>
            <w:tcW w:w="4700" w:type="dxa"/>
            <w:vAlign w:val="bottom"/>
            <w:shd w:val="clear" w:color="auto" w:fill="CCEC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CFF"/>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(2,758</w:t>
            </w:r>
            <w:r>
              <w:rPr>
                <w:rFonts w:ascii="Times New Roman" w:cs="Times New Roman" w:eastAsia="Times New Roman" w:hAnsi="Times New Roman"/>
                <w:sz w:val="15"/>
                <w:szCs w:val="15"/>
                <w:color w:val="auto"/>
                <w:vertAlign w:val="subscript"/>
              </w:rPr>
              <w:t>)</w:t>
            </w:r>
          </w:p>
        </w:tc>
        <w:tc>
          <w:tcPr>
            <w:tcW w:w="320" w:type="dxa"/>
            <w:vAlign w:val="bottom"/>
            <w:gridSpan w:val="2"/>
            <w:shd w:val="clear" w:color="auto" w:fill="CCEC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CFF"/>
          </w:tcPr>
          <w:p>
            <w:pPr>
              <w:jc w:val="right"/>
              <w:ind w:right="160"/>
              <w:spacing w:after="0" w:line="136" w:lineRule="exact"/>
              <w:rPr>
                <w:sz w:val="20"/>
                <w:szCs w:val="20"/>
                <w:color w:val="auto"/>
              </w:rPr>
            </w:pPr>
            <w:r>
              <w:rPr>
                <w:rFonts w:ascii="Times New Roman" w:cs="Times New Roman" w:eastAsia="Times New Roman" w:hAnsi="Times New Roman"/>
                <w:sz w:val="9"/>
                <w:szCs w:val="9"/>
                <w:color w:val="auto"/>
              </w:rPr>
              <w:t>(2,125</w:t>
            </w:r>
            <w:r>
              <w:rPr>
                <w:rFonts w:ascii="Times New Roman" w:cs="Times New Roman" w:eastAsia="Times New Roman" w:hAnsi="Times New Roman"/>
                <w:sz w:val="15"/>
                <w:szCs w:val="15"/>
                <w:color w:val="auto"/>
                <w:vertAlign w:val="subscript"/>
              </w:rPr>
              <w:t>)</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CFF"/>
          </w:tcPr>
          <w:p>
            <w:pPr>
              <w:jc w:val="right"/>
              <w:ind w:right="80"/>
              <w:spacing w:after="0" w:line="136" w:lineRule="exact"/>
              <w:rPr>
                <w:sz w:val="20"/>
                <w:szCs w:val="20"/>
                <w:color w:val="auto"/>
              </w:rPr>
            </w:pPr>
            <w:r>
              <w:rPr>
                <w:rFonts w:ascii="Times New Roman" w:cs="Times New Roman" w:eastAsia="Times New Roman" w:hAnsi="Times New Roman"/>
                <w:sz w:val="9"/>
                <w:szCs w:val="9"/>
                <w:color w:val="auto"/>
              </w:rPr>
              <w:t>(14,145</w:t>
            </w:r>
            <w:r>
              <w:rPr>
                <w:rFonts w:ascii="Times New Roman" w:cs="Times New Roman" w:eastAsia="Times New Roman" w:hAnsi="Times New Roman"/>
                <w:sz w:val="15"/>
                <w:szCs w:val="15"/>
                <w:color w:val="auto"/>
                <w:vertAlign w:val="subscript"/>
              </w:rPr>
              <w:t>)</w:t>
            </w:r>
          </w:p>
        </w:tc>
        <w:tc>
          <w:tcPr>
            <w:tcW w:w="280" w:type="dxa"/>
            <w:vAlign w:val="bottom"/>
            <w:gridSpan w:val="2"/>
            <w:shd w:val="clear" w:color="auto" w:fill="CCEC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8,674</w:t>
            </w:r>
          </w:p>
        </w:tc>
        <w:tc>
          <w:tcPr>
            <w:tcW w:w="80" w:type="dxa"/>
            <w:vAlign w:val="bottom"/>
            <w:shd w:val="clear" w:color="auto" w:fill="CCECFF"/>
          </w:tcPr>
          <w:p>
            <w:pPr>
              <w:spacing w:after="0"/>
              <w:rPr>
                <w:sz w:val="15"/>
                <w:szCs w:val="15"/>
                <w:color w:val="auto"/>
              </w:rPr>
            </w:pPr>
          </w:p>
        </w:tc>
      </w:tr>
      <w:tr>
        <w:trPr>
          <w:trHeight w:val="20"/>
        </w:trPr>
        <w:tc>
          <w:tcPr>
            <w:tcW w:w="47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Currently, no management or incentive fees are payable by PSSL. If any fees were to be charged, they would be separately disclosed in the Statements of Operations.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Off-Balance Sheet Arrangements</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We currently engage in no off-balance sheet arrangements other than our funding requirements for the unfunded investments described above.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167" w:lineRule="exact"/>
        <w:rPr>
          <w:sz w:val="20"/>
          <w:szCs w:val="20"/>
          <w:color w:val="auto"/>
        </w:rPr>
      </w:pPr>
    </w:p>
    <w:p>
      <w:pPr>
        <w:ind w:left="60" w:right="240" w:firstLine="336"/>
        <w:spacing w:after="0" w:line="268" w:lineRule="auto"/>
        <w:rPr>
          <w:sz w:val="20"/>
          <w:szCs w:val="20"/>
          <w:color w:val="auto"/>
        </w:rPr>
      </w:pPr>
      <w:r>
        <w:rPr>
          <w:rFonts w:ascii="Times New Roman" w:cs="Times New Roman" w:eastAsia="Times New Roman" w:hAnsi="Times New Roman"/>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23" w:lineRule="exact"/>
        <w:rPr>
          <w:sz w:val="20"/>
          <w:szCs w:val="20"/>
          <w:color w:val="auto"/>
        </w:rPr>
      </w:pPr>
    </w:p>
    <w:p>
      <w:pPr>
        <w:ind w:left="60" w:right="240" w:firstLine="336"/>
        <w:spacing w:after="0" w:line="259"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10" w:right="1440" w:bottom="1440" w:gutter="0" w:footer="0" w:header="0"/>
        </w:sectPr>
      </w:pPr>
    </w:p>
    <w:bookmarkStart w:id="68" w:name="page69"/>
    <w:bookmarkEnd w:id="68"/>
    <w:p>
      <w:pPr>
        <w:ind w:left="60" w:right="120" w:firstLine="336"/>
        <w:spacing w:after="0" w:line="257" w:lineRule="auto"/>
        <w:rPr>
          <w:sz w:val="20"/>
          <w:szCs w:val="20"/>
          <w:color w:val="auto"/>
        </w:rPr>
      </w:pPr>
      <w:r>
        <w:rPr>
          <w:rFonts w:ascii="Times New Roman" w:cs="Times New Roman" w:eastAsia="Times New Roman" w:hAnsi="Times New Roman"/>
          <w:sz w:val="13"/>
          <w:szCs w:val="13"/>
          <w:color w:val="auto"/>
        </w:rPr>
        <w:t>During the three and nine months ended June 30, 2025, we declared distributions of $0.3075 and $0.9225 per share for total distributions of $30.5 million and $83.4 million, respectively. During the three and nine months ended June 30, 2024, we declared distributions of $0.3075 and $0.9225 per share for total distributions of $21.0 million and $57.9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We intend to continue to make monthly distributions to our stockholders. Our monthly distributions, if any, are determined by our board of directors quarterly.</w:t>
      </w:r>
    </w:p>
    <w:p>
      <w:pPr>
        <w:spacing w:after="0" w:line="163" w:lineRule="exact"/>
        <w:rPr>
          <w:sz w:val="20"/>
          <w:szCs w:val="20"/>
          <w:color w:val="auto"/>
        </w:rPr>
      </w:pPr>
    </w:p>
    <w:p>
      <w:pPr>
        <w:ind w:left="60" w:right="220" w:firstLine="336"/>
        <w:spacing w:after="0" w:line="259"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67" w:lineRule="exact"/>
        <w:rPr>
          <w:sz w:val="20"/>
          <w:szCs w:val="20"/>
          <w:color w:val="auto"/>
        </w:rPr>
      </w:pPr>
    </w:p>
    <w:p>
      <w:pPr>
        <w:ind w:left="60" w:right="160" w:firstLine="336"/>
        <w:spacing w:after="0" w:line="257" w:lineRule="auto"/>
        <w:rPr>
          <w:sz w:val="20"/>
          <w:szCs w:val="20"/>
          <w:color w:val="auto"/>
        </w:rPr>
      </w:pPr>
      <w:r>
        <w:rPr>
          <w:rFonts w:ascii="Times New Roman" w:cs="Times New Roman" w:eastAsia="Times New Roman" w:hAnsi="Times New Roman"/>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utilized the optional expedients and exceptions provided by ASU 2020-04 during the three and nine months ended June 30, 2025, the effect of which was not material to the Consolidated Financial Statements and the notes thereto.</w:t>
      </w:r>
    </w:p>
    <w:p>
      <w:pPr>
        <w:spacing w:after="0" w:line="132" w:lineRule="exact"/>
        <w:rPr>
          <w:sz w:val="20"/>
          <w:szCs w:val="20"/>
          <w:color w:val="auto"/>
        </w:rPr>
      </w:pPr>
    </w:p>
    <w:p>
      <w:pPr>
        <w:ind w:left="60" w:right="120" w:firstLine="336"/>
        <w:spacing w:after="0" w:line="256" w:lineRule="auto"/>
        <w:rPr>
          <w:sz w:val="20"/>
          <w:szCs w:val="20"/>
          <w:color w:val="auto"/>
        </w:rPr>
      </w:pPr>
      <w:r>
        <w:rPr>
          <w:rFonts w:ascii="Times New Roman" w:cs="Times New Roman" w:eastAsia="Times New Roman" w:hAnsi="Times New Roman"/>
          <w:sz w:val="13"/>
          <w:szCs w:val="13"/>
          <w:color w:val="auto"/>
        </w:rPr>
        <w:t>In June 2022, the FASB issued Accounting Standards Update 2022- 03,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has adopted the new accounting standard, the effect of which was not material to the consolidated financial statements and the notes thereto.</w:t>
      </w:r>
    </w:p>
    <w:p>
      <w:pPr>
        <w:spacing w:after="0" w:line="132" w:lineRule="exact"/>
        <w:rPr>
          <w:sz w:val="20"/>
          <w:szCs w:val="20"/>
          <w:color w:val="auto"/>
        </w:rPr>
      </w:pPr>
    </w:p>
    <w:p>
      <w:pPr>
        <w:ind w:left="60" w:right="40" w:firstLine="336"/>
        <w:spacing w:after="0" w:line="255" w:lineRule="auto"/>
        <w:rPr>
          <w:sz w:val="20"/>
          <w:szCs w:val="20"/>
          <w:color w:val="auto"/>
        </w:rPr>
      </w:pPr>
      <w:r>
        <w:rPr>
          <w:rFonts w:ascii="Times New Roman" w:cs="Times New Roman" w:eastAsia="Times New Roman" w:hAnsi="Times New Roman"/>
          <w:sz w:val="13"/>
          <w:szCs w:val="13"/>
          <w:color w:val="auto"/>
        </w:rPr>
        <w:t>In November 2023, the Financial Accounting Standards Board (FASB) issued ASU 2023 -07, Segment Reporting (Topic 280), Improvements to Reportable Segment Disclosures to improve reportable segment disclosure requirements through enhanced disclosures about significant segment expenses. ASU 2023- 07 expands public entities' segment disclosure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 after December 15, 2023, and interim periods for our fiscal years beginning December 15, 2024, and should be applied on a retrospective basis to all periods presented, noting early adoption is permitted. The Company is currently evaluating the impact of this standard on its consolidated financial statements and related disclosures.</w:t>
      </w:r>
    </w:p>
    <w:p>
      <w:pPr>
        <w:spacing w:after="0" w:line="134" w:lineRule="exact"/>
        <w:rPr>
          <w:sz w:val="20"/>
          <w:szCs w:val="20"/>
          <w:color w:val="auto"/>
        </w:rPr>
      </w:pPr>
    </w:p>
    <w:p>
      <w:pPr>
        <w:ind w:left="60" w:right="140" w:firstLine="336"/>
        <w:spacing w:after="0" w:line="262" w:lineRule="auto"/>
        <w:rPr>
          <w:sz w:val="20"/>
          <w:szCs w:val="20"/>
          <w:color w:val="auto"/>
        </w:rPr>
      </w:pPr>
      <w:r>
        <w:rPr>
          <w:rFonts w:ascii="Times New Roman" w:cs="Times New Roman" w:eastAsia="Times New Roman" w:hAnsi="Times New Roman"/>
          <w:sz w:val="13"/>
          <w:szCs w:val="13"/>
          <w:color w:val="auto"/>
        </w:rPr>
        <w:t>In December 2023, the FASB issued ASU 2023 - 09 "Improvements to Income Tax Disclosures" ("ASU 2023 - 09") .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consolidated financial statements and related disclosures.</w:t>
      </w: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165" w:lineRule="exact"/>
        <w:rPr>
          <w:sz w:val="20"/>
          <w:szCs w:val="20"/>
          <w:color w:val="auto"/>
        </w:rPr>
      </w:pPr>
    </w:p>
    <w:p>
      <w:pPr>
        <w:ind w:left="60" w:right="80" w:firstLine="336"/>
        <w:spacing w:after="0" w:line="257" w:lineRule="auto"/>
        <w:rPr>
          <w:sz w:val="20"/>
          <w:szCs w:val="20"/>
          <w:color w:val="auto"/>
        </w:rPr>
      </w:pPr>
      <w:r>
        <w:rPr>
          <w:rFonts w:ascii="Times New Roman" w:cs="Times New Roman" w:eastAsia="Times New Roman" w:hAnsi="Times New Roman"/>
          <w:sz w:val="13"/>
          <w:szCs w:val="13"/>
          <w:color w:val="auto"/>
        </w:rPr>
        <w:t>We are subject to financial market risks, including changes in interest rates. As of June 30, 2025, our debt portfolio consisted of approximately 99% variable-rate investments. The variable-rate loans are usually based on a SOFR (or an alternative risk- 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32" w:lineRule="exact"/>
        <w:rPr>
          <w:sz w:val="20"/>
          <w:szCs w:val="20"/>
          <w:color w:val="auto"/>
        </w:rPr>
      </w:pPr>
    </w:p>
    <w:p>
      <w:pPr>
        <w:ind w:left="60" w:right="220" w:firstLine="336"/>
        <w:spacing w:after="0" w:line="286" w:lineRule="auto"/>
        <w:rPr>
          <w:sz w:val="20"/>
          <w:szCs w:val="20"/>
          <w:color w:val="auto"/>
        </w:rPr>
      </w:pPr>
      <w:r>
        <w:rPr>
          <w:rFonts w:ascii="Times New Roman" w:cs="Times New Roman" w:eastAsia="Times New Roman" w:hAnsi="Times New Roman"/>
          <w:sz w:val="13"/>
          <w:szCs w:val="13"/>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580" w:type="dxa"/>
            <w:vAlign w:val="bottom"/>
          </w:tcPr>
          <w:p>
            <w:pPr>
              <w:spacing w:after="0"/>
              <w:rPr>
                <w:sz w:val="13"/>
                <w:szCs w:val="13"/>
                <w:color w:val="auto"/>
              </w:rPr>
            </w:pPr>
          </w:p>
        </w:tc>
        <w:tc>
          <w:tcPr>
            <w:tcW w:w="2700" w:type="dxa"/>
            <w:vAlign w:val="bottom"/>
          </w:tcPr>
          <w:p>
            <w:pPr>
              <w:jc w:val="center"/>
              <w:ind w:left="85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8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r>
      <w:tr>
        <w:trPr>
          <w:trHeight w:val="156"/>
        </w:trPr>
        <w:tc>
          <w:tcPr>
            <w:tcW w:w="2580" w:type="dxa"/>
            <w:vAlign w:val="bottom"/>
          </w:tcPr>
          <w:p>
            <w:pPr>
              <w:spacing w:after="0"/>
              <w:rPr>
                <w:sz w:val="13"/>
                <w:szCs w:val="13"/>
                <w:color w:val="auto"/>
              </w:rPr>
            </w:pPr>
          </w:p>
        </w:tc>
        <w:tc>
          <w:tcPr>
            <w:tcW w:w="2700" w:type="dxa"/>
            <w:vAlign w:val="bottom"/>
          </w:tcPr>
          <w:p>
            <w:pPr>
              <w:jc w:val="center"/>
              <w:ind w:left="874"/>
              <w:spacing w:after="0"/>
              <w:rPr>
                <w:sz w:val="20"/>
                <w:szCs w:val="20"/>
                <w:color w:val="auto"/>
              </w:rPr>
            </w:pPr>
            <w:r>
              <w:rPr>
                <w:rFonts w:ascii="Times New Roman" w:cs="Times New Roman" w:eastAsia="Times New Roman" w:hAnsi="Times New Roman"/>
                <w:sz w:val="13"/>
                <w:szCs w:val="13"/>
                <w:b w:val="1"/>
                <w:bCs w:val="1"/>
                <w:color w:val="auto"/>
              </w:rPr>
              <w:t>Net of Interest Expense</w:t>
            </w: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8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Net of Interest</w:t>
            </w:r>
          </w:p>
        </w:tc>
      </w:tr>
      <w:tr>
        <w:trPr>
          <w:trHeight w:val="170"/>
        </w:trPr>
        <w:tc>
          <w:tcPr>
            <w:tcW w:w="2580" w:type="dxa"/>
            <w:vAlign w:val="bottom"/>
          </w:tcPr>
          <w:p>
            <w:pPr>
              <w:jc w:val="center"/>
              <w:ind w:left="194"/>
              <w:spacing w:after="0"/>
              <w:rPr>
                <w:sz w:val="20"/>
                <w:szCs w:val="20"/>
                <w:color w:val="auto"/>
              </w:rPr>
            </w:pPr>
            <w:r>
              <w:rPr>
                <w:rFonts w:ascii="Times New Roman" w:cs="Times New Roman" w:eastAsia="Times New Roman" w:hAnsi="Times New Roman"/>
                <w:sz w:val="13"/>
                <w:szCs w:val="13"/>
                <w:b w:val="1"/>
                <w:bCs w:val="1"/>
                <w:color w:val="auto"/>
              </w:rPr>
              <w:t>Change in Interest Rates</w:t>
            </w:r>
          </w:p>
        </w:tc>
        <w:tc>
          <w:tcPr>
            <w:tcW w:w="2700" w:type="dxa"/>
            <w:vAlign w:val="bottom"/>
          </w:tcPr>
          <w:p>
            <w:pPr>
              <w:jc w:val="center"/>
              <w:ind w:left="87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8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Expense Per Share</w:t>
            </w:r>
          </w:p>
        </w:tc>
      </w:tr>
      <w:tr>
        <w:trPr>
          <w:trHeight w:val="156"/>
        </w:trPr>
        <w:tc>
          <w:tcPr>
            <w:tcW w:w="2580" w:type="dxa"/>
            <w:vAlign w:val="bottom"/>
            <w:shd w:val="clear" w:color="auto" w:fill="CCECFF"/>
          </w:tcPr>
          <w:p>
            <w:pPr>
              <w:jc w:val="center"/>
              <w:ind w:left="194"/>
              <w:spacing w:after="0"/>
              <w:rPr>
                <w:sz w:val="20"/>
                <w:szCs w:val="20"/>
                <w:color w:val="auto"/>
              </w:rPr>
            </w:pPr>
            <w:r>
              <w:rPr>
                <w:rFonts w:ascii="Times New Roman" w:cs="Times New Roman" w:eastAsia="Times New Roman" w:hAnsi="Times New Roman"/>
                <w:sz w:val="13"/>
                <w:szCs w:val="13"/>
                <w:color w:val="auto"/>
                <w:w w:val="99"/>
              </w:rPr>
              <w:t>Down 1%</w:t>
            </w:r>
          </w:p>
        </w:tc>
        <w:tc>
          <w:tcPr>
            <w:tcW w:w="2700" w:type="dxa"/>
            <w:vAlign w:val="bottom"/>
            <w:shd w:val="clear" w:color="auto" w:fill="CCECFF"/>
          </w:tcPr>
          <w:p>
            <w:pPr>
              <w:jc w:val="right"/>
              <w:ind w:right="21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(9,453)</w:t>
            </w:r>
          </w:p>
        </w:tc>
        <w:tc>
          <w:tcPr>
            <w:tcW w:w="46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(0.10)</w:t>
            </w:r>
          </w:p>
        </w:tc>
      </w:tr>
      <w:tr>
        <w:trPr>
          <w:trHeight w:val="156"/>
        </w:trPr>
        <w:tc>
          <w:tcPr>
            <w:tcW w:w="258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w w:val="98"/>
              </w:rPr>
              <w:t>Up 1%</w:t>
            </w:r>
          </w:p>
        </w:tc>
        <w:tc>
          <w:tcPr>
            <w:tcW w:w="27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9,453</w:t>
            </w:r>
          </w:p>
        </w:tc>
        <w:tc>
          <w:tcPr>
            <w:tcW w:w="460" w:type="dxa"/>
            <w:vAlign w:val="bottom"/>
          </w:tcPr>
          <w:p>
            <w:pPr>
              <w:spacing w:after="0"/>
              <w:rPr>
                <w:sz w:val="13"/>
                <w:szCs w:val="13"/>
                <w:color w:val="auto"/>
              </w:rPr>
            </w:pPr>
          </w:p>
        </w:tc>
        <w:tc>
          <w:tcPr>
            <w:tcW w:w="2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0.10</w:t>
            </w:r>
          </w:p>
        </w:tc>
      </w:tr>
      <w:tr>
        <w:trPr>
          <w:trHeight w:val="156"/>
        </w:trPr>
        <w:tc>
          <w:tcPr>
            <w:tcW w:w="2580" w:type="dxa"/>
            <w:vAlign w:val="bottom"/>
            <w:shd w:val="clear" w:color="auto" w:fill="CCECFF"/>
          </w:tcPr>
          <w:p>
            <w:pPr>
              <w:jc w:val="center"/>
              <w:ind w:left="194"/>
              <w:spacing w:after="0"/>
              <w:rPr>
                <w:sz w:val="20"/>
                <w:szCs w:val="20"/>
                <w:color w:val="auto"/>
              </w:rPr>
            </w:pPr>
            <w:r>
              <w:rPr>
                <w:rFonts w:ascii="Times New Roman" w:cs="Times New Roman" w:eastAsia="Times New Roman" w:hAnsi="Times New Roman"/>
                <w:sz w:val="13"/>
                <w:szCs w:val="13"/>
                <w:color w:val="auto"/>
                <w:w w:val="98"/>
              </w:rPr>
              <w:t>Up 2%</w:t>
            </w:r>
          </w:p>
        </w:tc>
        <w:tc>
          <w:tcPr>
            <w:tcW w:w="2700" w:type="dxa"/>
            <w:vAlign w:val="bottom"/>
            <w:shd w:val="clear" w:color="auto" w:fill="CCECFF"/>
          </w:tcPr>
          <w:p>
            <w:pPr>
              <w:spacing w:after="0"/>
              <w:rPr>
                <w:sz w:val="13"/>
                <w:szCs w:val="13"/>
                <w:color w:val="auto"/>
              </w:rPr>
            </w:pPr>
          </w:p>
        </w:tc>
        <w:tc>
          <w:tcPr>
            <w:tcW w:w="66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18,905</w:t>
            </w:r>
          </w:p>
        </w:tc>
        <w:tc>
          <w:tcPr>
            <w:tcW w:w="460" w:type="dxa"/>
            <w:vAlign w:val="bottom"/>
            <w:shd w:val="clear" w:color="auto" w:fill="CCECFF"/>
          </w:tcPr>
          <w:p>
            <w:pPr>
              <w:spacing w:after="0"/>
              <w:rPr>
                <w:sz w:val="13"/>
                <w:szCs w:val="13"/>
                <w:color w:val="auto"/>
              </w:rPr>
            </w:pPr>
          </w:p>
        </w:tc>
        <w:tc>
          <w:tcPr>
            <w:tcW w:w="248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0.19</w:t>
            </w:r>
          </w:p>
        </w:tc>
      </w:tr>
      <w:tr>
        <w:trPr>
          <w:trHeight w:val="156"/>
        </w:trPr>
        <w:tc>
          <w:tcPr>
            <w:tcW w:w="258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w w:val="98"/>
              </w:rPr>
              <w:t>Up 3%</w:t>
            </w:r>
          </w:p>
        </w:tc>
        <w:tc>
          <w:tcPr>
            <w:tcW w:w="270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28,358</w:t>
            </w:r>
          </w:p>
        </w:tc>
        <w:tc>
          <w:tcPr>
            <w:tcW w:w="460" w:type="dxa"/>
            <w:vAlign w:val="bottom"/>
          </w:tcPr>
          <w:p>
            <w:pPr>
              <w:spacing w:after="0"/>
              <w:rPr>
                <w:sz w:val="13"/>
                <w:szCs w:val="13"/>
                <w:color w:val="auto"/>
              </w:rPr>
            </w:pPr>
          </w:p>
        </w:tc>
        <w:tc>
          <w:tcPr>
            <w:tcW w:w="2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0.29</w:t>
            </w:r>
          </w:p>
        </w:tc>
      </w:tr>
      <w:tr>
        <w:trPr>
          <w:trHeight w:val="156"/>
        </w:trPr>
        <w:tc>
          <w:tcPr>
            <w:tcW w:w="2580" w:type="dxa"/>
            <w:vAlign w:val="bottom"/>
            <w:shd w:val="clear" w:color="auto" w:fill="CCECFF"/>
          </w:tcPr>
          <w:p>
            <w:pPr>
              <w:jc w:val="center"/>
              <w:ind w:left="194"/>
              <w:spacing w:after="0"/>
              <w:rPr>
                <w:sz w:val="20"/>
                <w:szCs w:val="20"/>
                <w:color w:val="auto"/>
              </w:rPr>
            </w:pPr>
            <w:r>
              <w:rPr>
                <w:rFonts w:ascii="Times New Roman" w:cs="Times New Roman" w:eastAsia="Times New Roman" w:hAnsi="Times New Roman"/>
                <w:sz w:val="13"/>
                <w:szCs w:val="13"/>
                <w:color w:val="auto"/>
                <w:w w:val="98"/>
              </w:rPr>
              <w:t>Up 4%</w:t>
            </w:r>
          </w:p>
        </w:tc>
        <w:tc>
          <w:tcPr>
            <w:tcW w:w="2700" w:type="dxa"/>
            <w:vAlign w:val="bottom"/>
            <w:shd w:val="clear" w:color="auto" w:fill="CCECFF"/>
          </w:tcPr>
          <w:p>
            <w:pPr>
              <w:spacing w:after="0"/>
              <w:rPr>
                <w:sz w:val="13"/>
                <w:szCs w:val="13"/>
                <w:color w:val="auto"/>
              </w:rPr>
            </w:pPr>
          </w:p>
        </w:tc>
        <w:tc>
          <w:tcPr>
            <w:tcW w:w="66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37,827</w:t>
            </w:r>
          </w:p>
        </w:tc>
        <w:tc>
          <w:tcPr>
            <w:tcW w:w="460" w:type="dxa"/>
            <w:vAlign w:val="bottom"/>
            <w:shd w:val="clear" w:color="auto" w:fill="CCECFF"/>
          </w:tcPr>
          <w:p>
            <w:pPr>
              <w:spacing w:after="0"/>
              <w:rPr>
                <w:sz w:val="13"/>
                <w:szCs w:val="13"/>
                <w:color w:val="auto"/>
              </w:rPr>
            </w:pPr>
          </w:p>
        </w:tc>
        <w:tc>
          <w:tcPr>
            <w:tcW w:w="248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0.38</w:t>
            </w:r>
          </w:p>
        </w:tc>
      </w:tr>
    </w:tbl>
    <w:p>
      <w:pPr>
        <w:spacing w:after="0" w:line="144" w:lineRule="exact"/>
        <w:rPr>
          <w:sz w:val="20"/>
          <w:szCs w:val="20"/>
          <w:color w:val="auto"/>
        </w:rPr>
      </w:pPr>
    </w:p>
    <w:p>
      <w:pPr>
        <w:ind w:left="60" w:right="100" w:firstLine="336"/>
        <w:spacing w:after="0" w:line="262" w:lineRule="auto"/>
        <w:rPr>
          <w:sz w:val="20"/>
          <w:szCs w:val="20"/>
          <w:color w:val="auto"/>
        </w:rPr>
      </w:pPr>
      <w:r>
        <w:rPr>
          <w:rFonts w:ascii="Times New Roman" w:cs="Times New Roman" w:eastAsia="Times New Roman" w:hAnsi="Times New Roman"/>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27" w:lineRule="exact"/>
        <w:rPr>
          <w:sz w:val="20"/>
          <w:szCs w:val="20"/>
          <w:color w:val="auto"/>
        </w:rPr>
      </w:pPr>
    </w:p>
    <w:p>
      <w:pPr>
        <w:ind w:left="60" w:right="120" w:firstLine="336"/>
        <w:spacing w:after="0" w:line="268" w:lineRule="auto"/>
        <w:rPr>
          <w:sz w:val="20"/>
          <w:szCs w:val="20"/>
          <w:color w:val="auto"/>
        </w:rPr>
      </w:pPr>
      <w:r>
        <w:rPr>
          <w:rFonts w:ascii="Times New Roman" w:cs="Times New Roman" w:eastAsia="Times New Roman" w:hAnsi="Times New Roman"/>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23" w:lineRule="exact"/>
        <w:rPr>
          <w:sz w:val="20"/>
          <w:szCs w:val="20"/>
          <w:color w:val="auto"/>
        </w:rPr>
      </w:pPr>
    </w:p>
    <w:p>
      <w:pPr>
        <w:ind w:left="60" w:right="100" w:firstLine="336"/>
        <w:spacing w:after="0" w:line="258" w:lineRule="auto"/>
        <w:rPr>
          <w:sz w:val="20"/>
          <w:szCs w:val="20"/>
          <w:color w:val="auto"/>
        </w:rPr>
      </w:pPr>
      <w:r>
        <w:rPr>
          <w:rFonts w:ascii="Times New Roman" w:cs="Times New Roman" w:eastAsia="Times New Roman" w:hAnsi="Times New Roman"/>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408940</wp:posOffset>
            </wp:positionV>
            <wp:extent cx="62604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90" w:right="1440" w:bottom="1440" w:gutter="0" w:footer="0" w:header="0"/>
        </w:sectPr>
      </w:pPr>
    </w:p>
    <w:bookmarkStart w:id="69" w:name="page70"/>
    <w:bookmarkEnd w:id="69"/>
    <w:p>
      <w:pPr>
        <w:ind w:left="60" w:right="200"/>
        <w:spacing w:after="0" w:line="268" w:lineRule="auto"/>
        <w:rPr>
          <w:sz w:val="20"/>
          <w:szCs w:val="20"/>
          <w:color w:val="auto"/>
        </w:rPr>
      </w:pPr>
      <w:r>
        <w:rPr>
          <w:rFonts w:ascii="Times New Roman" w:cs="Times New Roman" w:eastAsia="Times New Roman" w:hAnsi="Times New Roman"/>
          <w:sz w:val="13"/>
          <w:szCs w:val="13"/>
          <w:color w:val="auto"/>
        </w:rPr>
        <w:t>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90"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3"/>
          <w:szCs w:val="13"/>
          <w:b w:val="1"/>
          <w:bCs w:val="1"/>
          <w:color w:val="auto"/>
        </w:rPr>
        <w:t>Item 4. Controls and Procedures</w:t>
      </w:r>
    </w:p>
    <w:p>
      <w:pPr>
        <w:spacing w:after="0" w:line="165" w:lineRule="exact"/>
        <w:rPr>
          <w:sz w:val="20"/>
          <w:szCs w:val="20"/>
          <w:color w:val="auto"/>
        </w:rPr>
      </w:pPr>
    </w:p>
    <w:p>
      <w:pPr>
        <w:ind w:left="60" w:right="100" w:firstLine="336"/>
        <w:spacing w:after="0" w:line="255" w:lineRule="auto"/>
        <w:rPr>
          <w:sz w:val="20"/>
          <w:szCs w:val="20"/>
          <w:color w:val="auto"/>
        </w:rPr>
      </w:pPr>
      <w:r>
        <w:rPr>
          <w:rFonts w:ascii="Times New Roman" w:cs="Times New Roman" w:eastAsia="Times New Roman" w:hAnsi="Times New Roman"/>
          <w:sz w:val="13"/>
          <w:szCs w:val="13"/>
          <w:color w:val="auto"/>
        </w:rPr>
        <w:t>As of the period ended June 30, 2025,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34" w:lineRule="exact"/>
        <w:rPr>
          <w:sz w:val="20"/>
          <w:szCs w:val="20"/>
          <w:color w:val="auto"/>
        </w:rPr>
      </w:pPr>
    </w:p>
    <w:p>
      <w:pPr>
        <w:ind w:left="60" w:right="120" w:firstLine="336"/>
        <w:spacing w:after="0" w:line="286" w:lineRule="auto"/>
        <w:rPr>
          <w:sz w:val="20"/>
          <w:szCs w:val="20"/>
          <w:color w:val="auto"/>
        </w:rPr>
      </w:pPr>
      <w:r>
        <w:rPr>
          <w:rFonts w:ascii="Times New Roman" w:cs="Times New Roman" w:eastAsia="Times New Roman" w:hAnsi="Times New Roman"/>
          <w:sz w:val="13"/>
          <w:szCs w:val="13"/>
          <w:color w:val="auto"/>
        </w:rPr>
        <w:t>There have been no changes in our internal control over financial reporting that occurred during the quarter ended June 30, 2025 that have materially affected, or are reasonably likely to materially affect, our internal control over financial reporting.</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PART II – OTHER INFORMATION</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165" w:lineRule="exact"/>
        <w:rPr>
          <w:sz w:val="20"/>
          <w:szCs w:val="20"/>
          <w:color w:val="auto"/>
        </w:rPr>
      </w:pPr>
    </w:p>
    <w:p>
      <w:pPr>
        <w:ind w:left="60" w:right="140" w:firstLine="336"/>
        <w:spacing w:after="0" w:line="259" w:lineRule="auto"/>
        <w:rPr>
          <w:sz w:val="20"/>
          <w:szCs w:val="20"/>
          <w:color w:val="auto"/>
        </w:rPr>
      </w:pPr>
      <w:r>
        <w:rPr>
          <w:rFonts w:ascii="Times New Roman" w:cs="Times New Roman" w:eastAsia="Times New Roman" w:hAnsi="Times New Roman"/>
          <w:sz w:val="13"/>
          <w:szCs w:val="13"/>
          <w:color w:val="auto"/>
        </w:rPr>
        <w:t>Neither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65" w:lineRule="exact"/>
        <w:rPr>
          <w:sz w:val="20"/>
          <w:szCs w:val="20"/>
          <w:color w:val="auto"/>
        </w:rPr>
      </w:pPr>
    </w:p>
    <w:p>
      <w:pPr>
        <w:ind w:left="60" w:right="80" w:firstLine="336"/>
        <w:spacing w:after="0" w:line="259" w:lineRule="auto"/>
        <w:rPr>
          <w:sz w:val="20"/>
          <w:szCs w:val="20"/>
          <w:color w:val="auto"/>
        </w:rPr>
      </w:pPr>
      <w:r>
        <w:rPr>
          <w:rFonts w:ascii="Times New Roman" w:cs="Times New Roman" w:eastAsia="Times New Roman" w:hAnsi="Times New Roman"/>
          <w:sz w:val="13"/>
          <w:szCs w:val="13"/>
          <w:color w:val="auto"/>
        </w:rPr>
        <w:t>In addition to the other information set forth in this Report, you should consider carefully the factors discussed below, as well as in Part I “Item 1A. Risk Factors” in our Annual Report on Form 10- K for the fiscal year ended September 30, 2024 filed on November 26, 2024, which could materially affect our business, financial condition and/or operating results. The risks described as in our Annual Report on Form 10- 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Changes to U.S. tariff and import/export regulations may have a negative effect on our portfolio companies.</w:t>
      </w:r>
    </w:p>
    <w:p>
      <w:pPr>
        <w:spacing w:after="0" w:line="167" w:lineRule="exact"/>
        <w:rPr>
          <w:sz w:val="20"/>
          <w:szCs w:val="20"/>
          <w:color w:val="auto"/>
        </w:rPr>
      </w:pPr>
    </w:p>
    <w:p>
      <w:pPr>
        <w:ind w:left="60" w:right="80" w:firstLine="330"/>
        <w:spacing w:after="0" w:line="259" w:lineRule="auto"/>
        <w:rPr>
          <w:sz w:val="20"/>
          <w:szCs w:val="20"/>
          <w:color w:val="auto"/>
        </w:rPr>
      </w:pPr>
      <w:r>
        <w:rPr>
          <w:rFonts w:ascii="Times New Roman" w:cs="Times New Roman" w:eastAsia="Times New Roman" w:hAnsi="Times New Roman"/>
          <w:sz w:val="13"/>
          <w:szCs w:val="13"/>
          <w:color w:val="auto"/>
        </w:rPr>
        <w:t>There have been significant changes to U.S. trade policies, treaties and tariffs, and in the future there may be additional significant changes. Existing or new tariffs imposed on foreign goods imported by the United States or on U.S. goods imported by foreign countries could subject us or our portfolio companies to additional risks. Among other effects, tariffs may increase the cost of production for certain of our portfolio companies or reduce demand for their products, which could adversely affect their results of operations. We cannot predict whether, or to what extent, any tariff or other trade protections may affect our portfolio companies or our business, financial condition or results of operations.</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risks associated with cybersecurity and cyber incidents.</w:t>
      </w:r>
    </w:p>
    <w:p>
      <w:pPr>
        <w:spacing w:after="0" w:line="227" w:lineRule="exact"/>
        <w:rPr>
          <w:sz w:val="20"/>
          <w:szCs w:val="20"/>
          <w:color w:val="auto"/>
        </w:rPr>
      </w:pPr>
    </w:p>
    <w:p>
      <w:pPr>
        <w:ind w:left="60" w:right="180" w:firstLine="330"/>
        <w:spacing w:after="0" w:line="254" w:lineRule="auto"/>
        <w:rPr>
          <w:sz w:val="20"/>
          <w:szCs w:val="20"/>
          <w:color w:val="auto"/>
        </w:rPr>
      </w:pPr>
      <w:r>
        <w:rPr>
          <w:rFonts w:ascii="Times New Roman" w:cs="Times New Roman" w:eastAsia="Times New Roman" w:hAnsi="Times New Roman"/>
          <w:sz w:val="13"/>
          <w:szCs w:val="13"/>
          <w:color w:val="auto"/>
        </w:rPr>
        <w:t>Our internal computer systems and infrastructure and those of our Investment Adviser, strategic collaborators, vendors, contractors, consultants or regulators with whom we share confidential, protected or sensitive data or information, or upon which our business relies, are vulnerable to damage from computer viruses, unauthorized access, misuse, natural disasters, terrorism, cybersecurity threats, war and telecommunication and electrical failures, as well as security compromises or breaches, which may compromise our systems, infrastructure, data or that of those with whom we share such data or information or upon which our business relies, or lead to data compromise, misuse, misappropriation or leakage. We may experience, and from time to time have experienced, cyber attacks on our information technology systems and infrastructure by threat actors of all types (including nation states, criminal enterprises, individual actors or advanced persistent threat groups, among others). In addition to extracting sensitive information, such attacks could include the deployment of harmful malware, ransomware, digital extortion, business email compromises and denial-of-service attacks, social engineering (including phishing attacks) and other means to affect server reliability and threaten the confidentiality, integrity and availability of information, systems or infrastructure.</w:t>
      </w:r>
    </w:p>
    <w:p>
      <w:pPr>
        <w:spacing w:after="0" w:line="137" w:lineRule="exact"/>
        <w:rPr>
          <w:sz w:val="20"/>
          <w:szCs w:val="20"/>
          <w:color w:val="auto"/>
        </w:rPr>
      </w:pPr>
    </w:p>
    <w:p>
      <w:pPr>
        <w:ind w:left="60" w:right="120" w:firstLine="330"/>
        <w:spacing w:after="0" w:line="256" w:lineRule="auto"/>
        <w:rPr>
          <w:sz w:val="20"/>
          <w:szCs w:val="20"/>
          <w:color w:val="auto"/>
        </w:rPr>
      </w:pPr>
      <w:r>
        <w:rPr>
          <w:rFonts w:ascii="Times New Roman" w:cs="Times New Roman" w:eastAsia="Times New Roman" w:hAnsi="Times New Roman"/>
          <w:sz w:val="13"/>
          <w:szCs w:val="13"/>
          <w:color w:val="auto"/>
        </w:rPr>
        <w:t>As our reliance on technology has increased, so have the risks posed to our information systems, both internal and those provided by our Investment Adviser and other third-parties. We, along with our Investment Adviser, have implemented processes, procedures and internal controls to help mitigate cybersecurity risks and cyber-attacks, but these measures, as well as our increased awareness of the nature and extent of the risk of a cyber attack, may be ineffective and do not guarantee that a cyber attack will not occur or that our financial results, operations or confidential information will not be negatively impacted by such an attack. Further,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attack or breach.</w:t>
      </w:r>
    </w:p>
    <w:p>
      <w:pPr>
        <w:spacing w:after="0" w:line="132" w:lineRule="exact"/>
        <w:rPr>
          <w:sz w:val="20"/>
          <w:szCs w:val="20"/>
          <w:color w:val="auto"/>
        </w:rPr>
      </w:pPr>
    </w:p>
    <w:p>
      <w:pPr>
        <w:ind w:left="60" w:right="200" w:firstLine="297"/>
        <w:spacing w:after="0" w:line="286" w:lineRule="auto"/>
        <w:rPr>
          <w:sz w:val="20"/>
          <w:szCs w:val="20"/>
          <w:color w:val="auto"/>
        </w:rPr>
      </w:pPr>
      <w:r>
        <w:rPr>
          <w:rFonts w:ascii="Times New Roman" w:cs="Times New Roman" w:eastAsia="Times New Roman" w:hAnsi="Times New Roman"/>
          <w:sz w:val="13"/>
          <w:szCs w:val="13"/>
          <w:color w:val="auto"/>
        </w:rPr>
        <w:t>Furthermore, cybersecurity continues to be a priority for regulators around the world, and some jurisdictions have enacted laws requiring companies to notify individuals and/or regulators of data security breaches involving certain types of personal information. If we fail to comply with the relevant laws and regulations, we</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could suffer financial losses, a disruption of our businesses, liability to investors, regulatory intervention or reputational damage.</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88"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65" w:lineRule="exact"/>
        <w:rPr>
          <w:sz w:val="20"/>
          <w:szCs w:val="20"/>
          <w:color w:val="auto"/>
        </w:rPr>
      </w:pPr>
    </w:p>
    <w:p>
      <w:pPr>
        <w:jc w:val="center"/>
        <w:ind w:right="7420"/>
        <w:spacing w:after="0"/>
        <w:rPr>
          <w:sz w:val="20"/>
          <w:szCs w:val="20"/>
          <w:color w:val="auto"/>
        </w:rPr>
      </w:pPr>
      <w:r>
        <w:rPr>
          <w:rFonts w:ascii="Times New Roman" w:cs="Times New Roman" w:eastAsia="Times New Roman" w:hAnsi="Times New Roman"/>
          <w:sz w:val="13"/>
          <w:szCs w:val="13"/>
          <w:color w:val="auto"/>
        </w:rPr>
        <w:t>Not applicable.</w:t>
      </w:r>
    </w:p>
    <w:p>
      <w:pPr>
        <w:spacing w:after="0" w:line="125"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Not applicable.</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10b5-1 Disclosure</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None of the officers or directors of the Company have adopted or terminated any Rule 10b5-1 trading arrangements applicable to them (if any) or the Company.</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88"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3"/>
          <w:szCs w:val="13"/>
          <w:b w:val="1"/>
          <w:bCs w:val="1"/>
          <w:color w:val="auto"/>
        </w:rPr>
        <w:t>Item 6. Exhibits</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Unless specifically indicated otherwise, the following exhibits are incorporated by reference to exhibits previously filed with the SEC:</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6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3.1</w:t>
            </w:r>
          </w:p>
        </w:tc>
        <w:tc>
          <w:tcPr>
            <w:tcW w:w="8160" w:type="dxa"/>
            <w:vAlign w:val="bottom"/>
            <w:tcBorders>
              <w:bottom w:val="single" w:sz="8" w:color="0000EE"/>
            </w:tcBorders>
            <w:gridSpan w:val="11"/>
          </w:tcPr>
          <w:p>
            <w:pPr>
              <w:spacing w:after="0"/>
              <w:rPr>
                <w:rFonts w:ascii="Times New Roman" w:cs="Times New Roman" w:eastAsia="Times New Roman" w:hAnsi="Times New Roman"/>
                <w:sz w:val="13"/>
                <w:szCs w:val="13"/>
                <w:color w:val="0000FF"/>
              </w:rPr>
            </w:pPr>
            <w:hyperlink r:id="rId85">
              <w:r>
                <w:rPr>
                  <w:rFonts w:ascii="Times New Roman" w:cs="Times New Roman" w:eastAsia="Times New Roman" w:hAnsi="Times New Roman"/>
                  <w:sz w:val="13"/>
                  <w:szCs w:val="13"/>
                  <w:color w:val="0000FF"/>
                </w:rPr>
                <w:t>Articles of Amendment and Restatement of the Registrant (Incorporated by reference to Exhibit 99(A) to the Registrant's Pre-Effective Amendment No. 3</w:t>
              </w:r>
            </w:hyperlink>
          </w:p>
        </w:tc>
        <w:tc>
          <w:tcPr>
            <w:tcW w:w="80" w:type="dxa"/>
            <w:vAlign w:val="bottom"/>
            <w:gridSpan w:val="3"/>
          </w:tcPr>
          <w:p>
            <w:pPr>
              <w:spacing w:after="0"/>
              <w:rPr>
                <w:sz w:val="12"/>
                <w:szCs w:val="12"/>
                <w:color w:val="auto"/>
              </w:rPr>
            </w:pPr>
          </w:p>
        </w:tc>
      </w:tr>
      <w:tr>
        <w:trPr>
          <w:trHeight w:val="136"/>
        </w:trPr>
        <w:tc>
          <w:tcPr>
            <w:tcW w:w="640" w:type="dxa"/>
            <w:vAlign w:val="bottom"/>
          </w:tcPr>
          <w:p>
            <w:pPr>
              <w:spacing w:after="0"/>
              <w:rPr>
                <w:sz w:val="11"/>
                <w:szCs w:val="11"/>
                <w:color w:val="auto"/>
              </w:rPr>
            </w:pPr>
          </w:p>
        </w:tc>
        <w:tc>
          <w:tcPr>
            <w:tcW w:w="4900" w:type="dxa"/>
            <w:vAlign w:val="bottom"/>
            <w:tcBorders>
              <w:bottom w:val="single" w:sz="8" w:color="0000EE"/>
            </w:tcBorders>
            <w:gridSpan w:val="6"/>
          </w:tcPr>
          <w:p>
            <w:pPr>
              <w:spacing w:after="0" w:line="136" w:lineRule="exact"/>
              <w:rPr>
                <w:rFonts w:ascii="Times New Roman" w:cs="Times New Roman" w:eastAsia="Times New Roman" w:hAnsi="Times New Roman"/>
                <w:sz w:val="13"/>
                <w:szCs w:val="13"/>
                <w:color w:val="0000FF"/>
              </w:rPr>
            </w:pPr>
            <w:hyperlink r:id="rId85">
              <w:r>
                <w:rPr>
                  <w:rFonts w:ascii="Times New Roman" w:cs="Times New Roman" w:eastAsia="Times New Roman" w:hAnsi="Times New Roman"/>
                  <w:sz w:val="13"/>
                  <w:szCs w:val="13"/>
                  <w:color w:val="0000FF"/>
                </w:rPr>
                <w:t>to the Registration Statement on Form N-2 (File No. 333-170243), filed on March 29, 2011).</w:t>
              </w:r>
            </w:hyperlink>
          </w:p>
        </w:tc>
        <w:tc>
          <w:tcPr>
            <w:tcW w:w="3340" w:type="dxa"/>
            <w:vAlign w:val="bottom"/>
            <w:gridSpan w:val="8"/>
          </w:tcPr>
          <w:p>
            <w:pPr>
              <w:spacing w:after="0"/>
              <w:rPr>
                <w:sz w:val="11"/>
                <w:szCs w:val="11"/>
                <w:color w:val="auto"/>
              </w:rPr>
            </w:pPr>
          </w:p>
        </w:tc>
      </w:tr>
      <w:tr>
        <w:trPr>
          <w:trHeight w:val="256"/>
        </w:trPr>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3.2</w:t>
            </w:r>
          </w:p>
        </w:tc>
        <w:tc>
          <w:tcPr>
            <w:tcW w:w="8240" w:type="dxa"/>
            <w:vAlign w:val="bottom"/>
            <w:tcBorders>
              <w:bottom w:val="single" w:sz="8" w:color="0000EE"/>
            </w:tcBorders>
            <w:gridSpan w:val="14"/>
          </w:tcPr>
          <w:p>
            <w:pPr>
              <w:spacing w:after="0"/>
              <w:rPr>
                <w:rFonts w:ascii="Times New Roman" w:cs="Times New Roman" w:eastAsia="Times New Roman" w:hAnsi="Times New Roman"/>
                <w:sz w:val="13"/>
                <w:szCs w:val="13"/>
                <w:color w:val="0000FF"/>
              </w:rPr>
            </w:pPr>
            <w:hyperlink r:id="rId86">
              <w:r>
                <w:rPr>
                  <w:rFonts w:ascii="Times New Roman" w:cs="Times New Roman" w:eastAsia="Times New Roman" w:hAnsi="Times New Roman"/>
                  <w:sz w:val="13"/>
                  <w:szCs w:val="13"/>
                  <w:color w:val="0000FF"/>
                </w:rPr>
                <w:t>Articles of Amendment to Articles of Amendment and Restatement of the Registrant (Incorporated by reference to Exhibit 3.2) to the Registrant's Quarterly</w:t>
              </w:r>
            </w:hyperlink>
          </w:p>
        </w:tc>
      </w:tr>
      <w:tr>
        <w:trPr>
          <w:trHeight w:val="136"/>
        </w:trPr>
        <w:tc>
          <w:tcPr>
            <w:tcW w:w="640" w:type="dxa"/>
            <w:vAlign w:val="bottom"/>
          </w:tcPr>
          <w:p>
            <w:pPr>
              <w:spacing w:after="0"/>
              <w:rPr>
                <w:sz w:val="11"/>
                <w:szCs w:val="11"/>
                <w:color w:val="auto"/>
              </w:rPr>
            </w:pPr>
          </w:p>
        </w:tc>
        <w:tc>
          <w:tcPr>
            <w:tcW w:w="3800" w:type="dxa"/>
            <w:vAlign w:val="bottom"/>
            <w:tcBorders>
              <w:bottom w:val="single" w:sz="8" w:color="0000EE"/>
            </w:tcBorders>
            <w:gridSpan w:val="3"/>
          </w:tcPr>
          <w:p>
            <w:pPr>
              <w:spacing w:after="0" w:line="136" w:lineRule="exact"/>
              <w:rPr>
                <w:rFonts w:ascii="Times New Roman" w:cs="Times New Roman" w:eastAsia="Times New Roman" w:hAnsi="Times New Roman"/>
                <w:sz w:val="13"/>
                <w:szCs w:val="13"/>
                <w:color w:val="0000FF"/>
              </w:rPr>
            </w:pPr>
            <w:hyperlink r:id="rId86">
              <w:r>
                <w:rPr>
                  <w:rFonts w:ascii="Times New Roman" w:cs="Times New Roman" w:eastAsia="Times New Roman" w:hAnsi="Times New Roman"/>
                  <w:sz w:val="13"/>
                  <w:szCs w:val="13"/>
                  <w:color w:val="0000FF"/>
                </w:rPr>
                <w:t>Report on Form 10-Q (File No. 814-00891), filed on August 07, 2024).</w:t>
              </w:r>
            </w:hyperlink>
          </w:p>
        </w:tc>
        <w:tc>
          <w:tcPr>
            <w:tcW w:w="4440" w:type="dxa"/>
            <w:vAlign w:val="bottom"/>
            <w:gridSpan w:val="11"/>
          </w:tcPr>
          <w:p>
            <w:pPr>
              <w:spacing w:after="0"/>
              <w:rPr>
                <w:sz w:val="11"/>
                <w:szCs w:val="11"/>
                <w:color w:val="auto"/>
              </w:rPr>
            </w:pPr>
          </w:p>
        </w:tc>
      </w:tr>
      <w:tr>
        <w:trPr>
          <w:trHeight w:val="256"/>
        </w:trPr>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3.3</w:t>
            </w:r>
          </w:p>
        </w:tc>
        <w:tc>
          <w:tcPr>
            <w:tcW w:w="8200" w:type="dxa"/>
            <w:vAlign w:val="bottom"/>
            <w:tcBorders>
              <w:bottom w:val="single" w:sz="8" w:color="0000EE"/>
            </w:tcBorders>
            <w:gridSpan w:val="13"/>
          </w:tcPr>
          <w:p>
            <w:pPr>
              <w:spacing w:after="0"/>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Second Amended and Restated Bylaws of the Registrant (Incorporated by reference to Exhibit 3.2 to the Registrant's Quarterly Report on Form 10-Q (File</w:t>
              </w:r>
            </w:hyperlink>
          </w:p>
        </w:tc>
        <w:tc>
          <w:tcPr>
            <w:tcW w:w="40" w:type="dxa"/>
            <w:vAlign w:val="bottom"/>
          </w:tcPr>
          <w:p>
            <w:pPr>
              <w:spacing w:after="0"/>
              <w:rPr>
                <w:sz w:val="22"/>
                <w:szCs w:val="22"/>
                <w:color w:val="auto"/>
              </w:rPr>
            </w:pPr>
          </w:p>
        </w:tc>
      </w:tr>
      <w:tr>
        <w:trPr>
          <w:trHeight w:val="136"/>
        </w:trPr>
        <w:tc>
          <w:tcPr>
            <w:tcW w:w="640" w:type="dxa"/>
            <w:vAlign w:val="bottom"/>
          </w:tcPr>
          <w:p>
            <w:pPr>
              <w:spacing w:after="0"/>
              <w:rPr>
                <w:sz w:val="11"/>
                <w:szCs w:val="11"/>
                <w:color w:val="auto"/>
              </w:rPr>
            </w:pPr>
          </w:p>
        </w:tc>
        <w:tc>
          <w:tcPr>
            <w:tcW w:w="2220" w:type="dxa"/>
            <w:vAlign w:val="bottom"/>
            <w:tcBorders>
              <w:bottom w:val="single" w:sz="8" w:color="0000EE"/>
            </w:tcBorders>
          </w:tcPr>
          <w:p>
            <w:pPr>
              <w:spacing w:after="0" w:line="136" w:lineRule="exact"/>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No. 814-00891), filed on May 11, 2020).</w:t>
              </w:r>
            </w:hyperlink>
          </w:p>
        </w:tc>
        <w:tc>
          <w:tcPr>
            <w:tcW w:w="6020" w:type="dxa"/>
            <w:vAlign w:val="bottom"/>
            <w:gridSpan w:val="13"/>
          </w:tcPr>
          <w:p>
            <w:pPr>
              <w:spacing w:after="0"/>
              <w:rPr>
                <w:sz w:val="11"/>
                <w:szCs w:val="11"/>
                <w:color w:val="auto"/>
              </w:rPr>
            </w:pPr>
          </w:p>
        </w:tc>
      </w:tr>
      <w:tr>
        <w:trPr>
          <w:trHeight w:val="256"/>
        </w:trPr>
        <w:tc>
          <w:tcPr>
            <w:tcW w:w="6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4.1</w:t>
            </w:r>
          </w:p>
        </w:tc>
        <w:tc>
          <w:tcPr>
            <w:tcW w:w="8180" w:type="dxa"/>
            <w:vAlign w:val="bottom"/>
            <w:tcBorders>
              <w:bottom w:val="single" w:sz="8" w:color="0000EE"/>
            </w:tcBorders>
            <w:gridSpan w:val="12"/>
          </w:tcPr>
          <w:p>
            <w:pPr>
              <w:spacing w:after="0"/>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Form of Share Certificate (Incorporated by reference to Exhibit 99(D) to the Registrant's Pre-Effective Amendment No. 5 to the Registration Statement on</w:t>
              </w:r>
            </w:hyperlink>
          </w:p>
        </w:tc>
        <w:tc>
          <w:tcPr>
            <w:tcW w:w="60" w:type="dxa"/>
            <w:vAlign w:val="bottom"/>
            <w:gridSpan w:val="2"/>
          </w:tcPr>
          <w:p>
            <w:pPr>
              <w:spacing w:after="0"/>
              <w:rPr>
                <w:sz w:val="22"/>
                <w:szCs w:val="22"/>
                <w:color w:val="auto"/>
              </w:rPr>
            </w:pPr>
          </w:p>
        </w:tc>
      </w:tr>
      <w:tr>
        <w:trPr>
          <w:trHeight w:val="136"/>
        </w:trPr>
        <w:tc>
          <w:tcPr>
            <w:tcW w:w="640" w:type="dxa"/>
            <w:vAlign w:val="bottom"/>
          </w:tcPr>
          <w:p>
            <w:pPr>
              <w:spacing w:after="0"/>
              <w:rPr>
                <w:sz w:val="11"/>
                <w:szCs w:val="11"/>
                <w:color w:val="auto"/>
              </w:rPr>
            </w:pPr>
          </w:p>
        </w:tc>
        <w:tc>
          <w:tcPr>
            <w:tcW w:w="3060" w:type="dxa"/>
            <w:vAlign w:val="bottom"/>
            <w:tcBorders>
              <w:bottom w:val="single" w:sz="8" w:color="0000EE"/>
            </w:tcBorders>
            <w:gridSpan w:val="2"/>
          </w:tcPr>
          <w:p>
            <w:pPr>
              <w:spacing w:after="0" w:line="136" w:lineRule="exact"/>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Form N-2 (File No. 333-170243), filed on April 5, 2011).</w:t>
              </w:r>
            </w:hyperlink>
          </w:p>
        </w:tc>
        <w:tc>
          <w:tcPr>
            <w:tcW w:w="5180" w:type="dxa"/>
            <w:vAlign w:val="bottom"/>
            <w:gridSpan w:val="12"/>
          </w:tcPr>
          <w:p>
            <w:pPr>
              <w:spacing w:after="0"/>
              <w:rPr>
                <w:sz w:val="11"/>
                <w:szCs w:val="11"/>
                <w:color w:val="auto"/>
              </w:rPr>
            </w:pPr>
          </w:p>
        </w:tc>
      </w:tr>
      <w:tr>
        <w:trPr>
          <w:trHeight w:val="568"/>
        </w:trPr>
        <w:tc>
          <w:tcPr>
            <w:tcW w:w="64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6"/>
              </w:rPr>
              <w:t>10.1</w:t>
            </w:r>
          </w:p>
        </w:tc>
        <w:tc>
          <w:tcPr>
            <w:tcW w:w="7880" w:type="dxa"/>
            <w:vAlign w:val="bottom"/>
            <w:tcBorders>
              <w:bottom w:val="single" w:sz="8" w:color="0000EE"/>
            </w:tcBorders>
            <w:gridSpan w:val="7"/>
          </w:tcPr>
          <w:p>
            <w:pPr>
              <w:spacing w:after="0"/>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Fourth Amendment to Revolving Credit and Security Agreement, dated April 16, 2025, by and among PennantPark Floating Rate Funding I, LLC as</w:t>
              </w:r>
            </w:hyperlink>
          </w:p>
        </w:tc>
        <w:tc>
          <w:tcPr>
            <w:tcW w:w="360" w:type="dxa"/>
            <w:vAlign w:val="bottom"/>
            <w:gridSpan w:val="7"/>
          </w:tcPr>
          <w:p>
            <w:pPr>
              <w:spacing w:after="0"/>
              <w:rPr>
                <w:sz w:val="24"/>
                <w:szCs w:val="24"/>
                <w:color w:val="auto"/>
              </w:rPr>
            </w:pPr>
          </w:p>
        </w:tc>
      </w:tr>
      <w:tr>
        <w:trPr>
          <w:trHeight w:val="136"/>
        </w:trPr>
        <w:tc>
          <w:tcPr>
            <w:tcW w:w="640" w:type="dxa"/>
            <w:vAlign w:val="bottom"/>
          </w:tcPr>
          <w:p>
            <w:pPr>
              <w:spacing w:after="0"/>
              <w:rPr>
                <w:sz w:val="11"/>
                <w:szCs w:val="11"/>
                <w:color w:val="auto"/>
              </w:rPr>
            </w:pPr>
          </w:p>
        </w:tc>
        <w:tc>
          <w:tcPr>
            <w:tcW w:w="8100" w:type="dxa"/>
            <w:vAlign w:val="bottom"/>
            <w:tcBorders>
              <w:bottom w:val="single" w:sz="8" w:color="0000EE"/>
            </w:tcBorders>
            <w:gridSpan w:val="9"/>
          </w:tcPr>
          <w:p>
            <w:pPr>
              <w:spacing w:after="0" w:line="136" w:lineRule="exact"/>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borrower, PennantPark Investment Advisers, LLC as collateral manager, the lenders from time to time party thereto, Truist Bank, as administrative agent</w:t>
              </w:r>
            </w:hyperlink>
          </w:p>
        </w:tc>
        <w:tc>
          <w:tcPr>
            <w:tcW w:w="140" w:type="dxa"/>
            <w:vAlign w:val="bottom"/>
            <w:gridSpan w:val="5"/>
          </w:tcPr>
          <w:p>
            <w:pPr>
              <w:spacing w:after="0"/>
              <w:rPr>
                <w:sz w:val="11"/>
                <w:szCs w:val="11"/>
                <w:color w:val="auto"/>
              </w:rPr>
            </w:pPr>
          </w:p>
        </w:tc>
      </w:tr>
      <w:tr>
        <w:trPr>
          <w:trHeight w:val="136"/>
        </w:trPr>
        <w:tc>
          <w:tcPr>
            <w:tcW w:w="640" w:type="dxa"/>
            <w:vAlign w:val="bottom"/>
          </w:tcPr>
          <w:p>
            <w:pPr>
              <w:spacing w:after="0"/>
              <w:rPr>
                <w:sz w:val="11"/>
                <w:szCs w:val="11"/>
                <w:color w:val="auto"/>
              </w:rPr>
            </w:pPr>
          </w:p>
        </w:tc>
        <w:tc>
          <w:tcPr>
            <w:tcW w:w="7940" w:type="dxa"/>
            <w:vAlign w:val="bottom"/>
            <w:tcBorders>
              <w:bottom w:val="single" w:sz="8" w:color="0000EE"/>
            </w:tcBorders>
            <w:gridSpan w:val="8"/>
          </w:tcPr>
          <w:p>
            <w:pPr>
              <w:spacing w:after="0" w:line="136" w:lineRule="exact"/>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for the secured parties and swingline lender, Fifth Third Bank, National Association as Documentation Agent and U.S Bank Trust Company, National</w:t>
              </w:r>
            </w:hyperlink>
          </w:p>
        </w:tc>
        <w:tc>
          <w:tcPr>
            <w:tcW w:w="300" w:type="dxa"/>
            <w:vAlign w:val="bottom"/>
            <w:gridSpan w:val="6"/>
          </w:tcPr>
          <w:p>
            <w:pPr>
              <w:spacing w:after="0"/>
              <w:rPr>
                <w:sz w:val="11"/>
                <w:szCs w:val="11"/>
                <w:color w:val="auto"/>
              </w:rPr>
            </w:pPr>
          </w:p>
        </w:tc>
      </w:tr>
      <w:tr>
        <w:trPr>
          <w:trHeight w:val="136"/>
        </w:trPr>
        <w:tc>
          <w:tcPr>
            <w:tcW w:w="640" w:type="dxa"/>
            <w:vAlign w:val="bottom"/>
          </w:tcPr>
          <w:p>
            <w:pPr>
              <w:spacing w:after="0"/>
              <w:rPr>
                <w:sz w:val="11"/>
                <w:szCs w:val="11"/>
                <w:color w:val="auto"/>
              </w:rPr>
            </w:pPr>
          </w:p>
        </w:tc>
        <w:tc>
          <w:tcPr>
            <w:tcW w:w="8140" w:type="dxa"/>
            <w:vAlign w:val="bottom"/>
            <w:tcBorders>
              <w:bottom w:val="single" w:sz="8" w:color="0000EE"/>
            </w:tcBorders>
            <w:gridSpan w:val="10"/>
          </w:tcPr>
          <w:p>
            <w:pPr>
              <w:spacing w:after="0" w:line="136" w:lineRule="exact"/>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Association, as collateral agent, collateral administrator and back-up collateral administrator (Incorporated by reference to Exhibit 10.1 to the Registrant's</w:t>
              </w:r>
            </w:hyperlink>
          </w:p>
        </w:tc>
        <w:tc>
          <w:tcPr>
            <w:tcW w:w="100" w:type="dxa"/>
            <w:vAlign w:val="bottom"/>
            <w:gridSpan w:val="4"/>
          </w:tcPr>
          <w:p>
            <w:pPr>
              <w:spacing w:after="0"/>
              <w:rPr>
                <w:sz w:val="11"/>
                <w:szCs w:val="11"/>
                <w:color w:val="auto"/>
              </w:rPr>
            </w:pPr>
          </w:p>
        </w:tc>
      </w:tr>
      <w:tr>
        <w:trPr>
          <w:trHeight w:val="136"/>
        </w:trPr>
        <w:tc>
          <w:tcPr>
            <w:tcW w:w="640" w:type="dxa"/>
            <w:vAlign w:val="bottom"/>
          </w:tcPr>
          <w:p>
            <w:pPr>
              <w:spacing w:after="0"/>
              <w:rPr>
                <w:sz w:val="11"/>
                <w:szCs w:val="11"/>
                <w:color w:val="auto"/>
              </w:rPr>
            </w:pPr>
          </w:p>
        </w:tc>
        <w:tc>
          <w:tcPr>
            <w:tcW w:w="8240" w:type="dxa"/>
            <w:vAlign w:val="bottom"/>
            <w:gridSpan w:val="14"/>
          </w:tcPr>
          <w:p>
            <w:pPr>
              <w:spacing w:after="0" w:line="136" w:lineRule="exact"/>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Current Report on Form 8-K (File No. 814-00891). filed on April 22, 2025).</w:t>
              </w:r>
            </w:hyperlink>
          </w:p>
        </w:tc>
      </w:tr>
      <w:tr>
        <w:trPr>
          <w:trHeight w:val="20"/>
        </w:trPr>
        <w:tc>
          <w:tcPr>
            <w:tcW w:w="640" w:type="dxa"/>
            <w:vAlign w:val="bottom"/>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80" w:type="dxa"/>
            <w:vAlign w:val="bottom"/>
            <w:gridSpan w:val="9"/>
          </w:tcPr>
          <w:p>
            <w:pPr>
              <w:spacing w:after="0" w:line="20" w:lineRule="exact"/>
              <w:rPr>
                <w:sz w:val="1"/>
                <w:szCs w:val="1"/>
                <w:color w:val="auto"/>
              </w:rPr>
            </w:pPr>
          </w:p>
        </w:tc>
      </w:tr>
      <w:tr>
        <w:trPr>
          <w:trHeight w:val="292"/>
        </w:trPr>
        <w:tc>
          <w:tcPr>
            <w:tcW w:w="6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5"/>
              </w:rPr>
              <w:t>10.2*</w:t>
            </w:r>
          </w:p>
        </w:tc>
        <w:tc>
          <w:tcPr>
            <w:tcW w:w="7880" w:type="dxa"/>
            <w:vAlign w:val="bottom"/>
            <w:tcBorders>
              <w:bottom w:val="single" w:sz="8" w:color="0000EE"/>
            </w:tcBorders>
            <w:gridSpan w:val="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Fifth Amendment to Revolving Credit and Security Agreement, dated August 04, 2025, by and among PennantPark Floating Rate Funding I, LLC as</w:t>
              </w:r>
            </w:hyperlink>
          </w:p>
        </w:tc>
        <w:tc>
          <w:tcPr>
            <w:tcW w:w="360" w:type="dxa"/>
            <w:vAlign w:val="bottom"/>
            <w:gridSpan w:val="7"/>
          </w:tcPr>
          <w:p>
            <w:pPr>
              <w:spacing w:after="0"/>
              <w:rPr>
                <w:sz w:val="24"/>
                <w:szCs w:val="24"/>
                <w:color w:val="auto"/>
              </w:rPr>
            </w:pPr>
          </w:p>
        </w:tc>
      </w:tr>
      <w:tr>
        <w:trPr>
          <w:trHeight w:val="136"/>
        </w:trPr>
        <w:tc>
          <w:tcPr>
            <w:tcW w:w="640" w:type="dxa"/>
            <w:vAlign w:val="bottom"/>
          </w:tcPr>
          <w:p>
            <w:pPr>
              <w:spacing w:after="0"/>
              <w:rPr>
                <w:sz w:val="11"/>
                <w:szCs w:val="11"/>
                <w:color w:val="auto"/>
              </w:rPr>
            </w:pPr>
          </w:p>
        </w:tc>
        <w:tc>
          <w:tcPr>
            <w:tcW w:w="8100" w:type="dxa"/>
            <w:vAlign w:val="bottom"/>
            <w:tcBorders>
              <w:bottom w:val="single" w:sz="8" w:color="0000EE"/>
            </w:tcBorders>
            <w:gridSpan w:val="9"/>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borrower, PennantPark Investment Advisers, LLC as collateral manager, the lenders from time to time party thereto, Truist Bank, as administrative agent</w:t>
              </w:r>
            </w:hyperlink>
          </w:p>
        </w:tc>
        <w:tc>
          <w:tcPr>
            <w:tcW w:w="140" w:type="dxa"/>
            <w:vAlign w:val="bottom"/>
            <w:gridSpan w:val="5"/>
          </w:tcPr>
          <w:p>
            <w:pPr>
              <w:spacing w:after="0"/>
              <w:rPr>
                <w:sz w:val="11"/>
                <w:szCs w:val="11"/>
                <w:color w:val="auto"/>
              </w:rPr>
            </w:pPr>
          </w:p>
        </w:tc>
      </w:tr>
      <w:tr>
        <w:trPr>
          <w:trHeight w:val="136"/>
        </w:trPr>
        <w:tc>
          <w:tcPr>
            <w:tcW w:w="640" w:type="dxa"/>
            <w:vAlign w:val="bottom"/>
          </w:tcPr>
          <w:p>
            <w:pPr>
              <w:spacing w:after="0"/>
              <w:rPr>
                <w:sz w:val="11"/>
                <w:szCs w:val="11"/>
                <w:color w:val="auto"/>
              </w:rPr>
            </w:pPr>
          </w:p>
        </w:tc>
        <w:tc>
          <w:tcPr>
            <w:tcW w:w="7940" w:type="dxa"/>
            <w:vAlign w:val="bottom"/>
            <w:tcBorders>
              <w:bottom w:val="single" w:sz="8" w:color="0000EE"/>
            </w:tcBorders>
            <w:gridSpan w:val="8"/>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for the secured parties and swingline lender, Fifth Third Bank, National Association as Documentation Agent and U.S Bank Trust Company, National</w:t>
              </w:r>
            </w:hyperlink>
          </w:p>
        </w:tc>
        <w:tc>
          <w:tcPr>
            <w:tcW w:w="300" w:type="dxa"/>
            <w:vAlign w:val="bottom"/>
            <w:gridSpan w:val="6"/>
          </w:tcPr>
          <w:p>
            <w:pPr>
              <w:spacing w:after="0"/>
              <w:rPr>
                <w:sz w:val="11"/>
                <w:szCs w:val="11"/>
                <w:color w:val="auto"/>
              </w:rPr>
            </w:pPr>
          </w:p>
        </w:tc>
      </w:tr>
      <w:tr>
        <w:trPr>
          <w:trHeight w:val="136"/>
        </w:trPr>
        <w:tc>
          <w:tcPr>
            <w:tcW w:w="640" w:type="dxa"/>
            <w:vAlign w:val="bottom"/>
          </w:tcPr>
          <w:p>
            <w:pPr>
              <w:spacing w:after="0"/>
              <w:rPr>
                <w:sz w:val="11"/>
                <w:szCs w:val="11"/>
                <w:color w:val="auto"/>
              </w:rPr>
            </w:pPr>
          </w:p>
        </w:tc>
        <w:tc>
          <w:tcPr>
            <w:tcW w:w="8240" w:type="dxa"/>
            <w:vAlign w:val="bottom"/>
            <w:gridSpan w:val="14"/>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Association, as collateral agent, collateral administrator and back-up collateral administrator</w:t>
              </w:r>
              <w:r>
                <w:rPr>
                  <w:rFonts w:ascii="Times New Roman" w:cs="Times New Roman" w:eastAsia="Times New Roman" w:hAnsi="Times New Roman"/>
                  <w:sz w:val="13"/>
                  <w:szCs w:val="13"/>
                  <w:color w:val="000000"/>
                </w:rPr>
                <w:t>.</w:t>
              </w:r>
            </w:hyperlink>
          </w:p>
        </w:tc>
      </w:tr>
      <w:tr>
        <w:trPr>
          <w:trHeight w:val="20"/>
        </w:trPr>
        <w:tc>
          <w:tcPr>
            <w:tcW w:w="64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-1920240</wp:posOffset>
            </wp:positionV>
            <wp:extent cx="762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tabs>
          <w:tab w:leader="none" w:pos="68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31.1*</w:t>
      </w:r>
      <w:r>
        <w:rPr>
          <w:sz w:val="20"/>
          <w:szCs w:val="20"/>
          <w:color w:val="auto"/>
        </w:rPr>
        <w:tab/>
      </w:r>
      <w:hyperlink w:anchor="page1">
        <w:r>
          <w:rPr>
            <w:rFonts w:ascii="Times New Roman" w:cs="Times New Roman" w:eastAsia="Times New Roman" w:hAnsi="Times New Roman"/>
            <w:sz w:val="13"/>
            <w:szCs w:val="13"/>
            <w:color w:val="0000FF"/>
          </w:rPr>
          <w:t>Certification of Chief Executive Officer pursuant to Rule 13a-14 of the Securities Exchange Act of 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-3175</wp:posOffset>
            </wp:positionV>
            <wp:extent cx="396367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3963670" cy="7620"/>
                    </a:xfrm>
                    <a:prstGeom prst="rect">
                      <a:avLst/>
                    </a:prstGeom>
                    <a:noFill/>
                  </pic:spPr>
                </pic:pic>
              </a:graphicData>
            </a:graphic>
          </wp:anchor>
        </w:drawing>
      </w:r>
    </w:p>
    <w:p>
      <w:pPr>
        <w:spacing w:after="0" w:line="107" w:lineRule="exact"/>
        <w:rPr>
          <w:sz w:val="20"/>
          <w:szCs w:val="20"/>
          <w:color w:val="auto"/>
        </w:rPr>
      </w:pPr>
    </w:p>
    <w:p>
      <w:pPr>
        <w:ind w:left="60"/>
        <w:spacing w:after="0"/>
        <w:tabs>
          <w:tab w:leader="none" w:pos="68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31.2*</w:t>
      </w:r>
      <w:r>
        <w:rPr>
          <w:sz w:val="20"/>
          <w:szCs w:val="20"/>
          <w:color w:val="auto"/>
        </w:rPr>
        <w:tab/>
      </w:r>
      <w:hyperlink w:anchor="page1">
        <w:r>
          <w:rPr>
            <w:rFonts w:ascii="Times New Roman" w:cs="Times New Roman" w:eastAsia="Times New Roman" w:hAnsi="Times New Roman"/>
            <w:sz w:val="13"/>
            <w:szCs w:val="13"/>
            <w:color w:val="0000FF"/>
          </w:rPr>
          <w:t>Certification of Chief Financial Officer pursuant to Rule 13a-14 of the Securities Exchange Act of 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-3175</wp:posOffset>
            </wp:positionV>
            <wp:extent cx="39408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3940810" cy="7620"/>
                    </a:xfrm>
                    <a:prstGeom prst="rect">
                      <a:avLst/>
                    </a:prstGeom>
                    <a:noFill/>
                  </pic:spPr>
                </pic:pic>
              </a:graphicData>
            </a:graphic>
          </wp:anchor>
        </w:drawing>
      </w:r>
    </w:p>
    <w:p>
      <w:pPr>
        <w:spacing w:after="0" w:line="107" w:lineRule="exact"/>
        <w:rPr>
          <w:sz w:val="20"/>
          <w:szCs w:val="20"/>
          <w:color w:val="auto"/>
        </w:rPr>
      </w:pPr>
    </w:p>
    <w:p>
      <w:pPr>
        <w:ind w:left="60"/>
        <w:spacing w:after="0"/>
        <w:tabs>
          <w:tab w:leader="none" w:pos="68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32.1*</w:t>
      </w:r>
      <w:r>
        <w:rPr>
          <w:sz w:val="20"/>
          <w:szCs w:val="20"/>
          <w:color w:val="auto"/>
        </w:rPr>
        <w:tab/>
      </w: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-3175</wp:posOffset>
            </wp:positionV>
            <wp:extent cx="337629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3376295" cy="7620"/>
                    </a:xfrm>
                    <a:prstGeom prst="rect">
                      <a:avLst/>
                    </a:prstGeom>
                    <a:noFill/>
                  </pic:spPr>
                </pic:pic>
              </a:graphicData>
            </a:graphic>
          </wp:anchor>
        </w:drawing>
      </w:r>
    </w:p>
    <w:p>
      <w:pPr>
        <w:spacing w:after="0" w:line="107" w:lineRule="exact"/>
        <w:rPr>
          <w:sz w:val="20"/>
          <w:szCs w:val="20"/>
          <w:color w:val="auto"/>
        </w:rPr>
      </w:pPr>
    </w:p>
    <w:p>
      <w:pPr>
        <w:ind w:left="60"/>
        <w:spacing w:after="0"/>
        <w:tabs>
          <w:tab w:leader="none" w:pos="68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32.2*</w:t>
      </w:r>
      <w:r>
        <w:rPr>
          <w:sz w:val="20"/>
          <w:szCs w:val="20"/>
          <w:color w:val="auto"/>
        </w:rPr>
        <w:tab/>
      </w: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-3175</wp:posOffset>
            </wp:positionV>
            <wp:extent cx="33534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107" w:lineRule="exact"/>
        <w:rPr>
          <w:sz w:val="20"/>
          <w:szCs w:val="20"/>
          <w:color w:val="auto"/>
        </w:rPr>
      </w:pPr>
    </w:p>
    <w:p>
      <w:pPr>
        <w:ind w:left="700" w:right="160" w:hanging="623"/>
        <w:spacing w:after="0" w:line="286" w:lineRule="auto"/>
        <w:tabs>
          <w:tab w:leader="none" w:pos="680" w:val="left"/>
        </w:tabs>
        <w:rPr>
          <w:rFonts w:ascii="Times New Roman" w:cs="Times New Roman" w:eastAsia="Times New Roman" w:hAnsi="Times New Roman"/>
          <w:sz w:val="13"/>
          <w:szCs w:val="13"/>
          <w:color w:val="0000FF"/>
        </w:rPr>
      </w:pPr>
      <w:r>
        <w:rPr>
          <w:rFonts w:ascii="Times New Roman" w:cs="Times New Roman" w:eastAsia="Times New Roman" w:hAnsi="Times New Roman"/>
          <w:sz w:val="13"/>
          <w:szCs w:val="13"/>
          <w:color w:val="auto"/>
        </w:rPr>
        <w:t>99.1</w:t>
      </w:r>
      <w:r>
        <w:rPr>
          <w:sz w:val="20"/>
          <w:szCs w:val="20"/>
          <w:color w:val="auto"/>
        </w:rPr>
        <w:tab/>
      </w:r>
      <w:hyperlink r:id="rId95">
        <w:r>
          <w:rPr>
            <w:rFonts w:ascii="Times New Roman" w:cs="Times New Roman" w:eastAsia="Times New Roman" w:hAnsi="Times New Roman"/>
            <w:sz w:val="13"/>
            <w:szCs w:val="13"/>
            <w:color w:val="0000FF"/>
          </w:rPr>
          <w:t>Privacy Policy of the Registrant (Incorporated by reference to Exhibit 99.1 to the Registrant’s Annual Report on Form 10-K (File No. 814-00891), filed on</w:t>
        </w:r>
      </w:hyperlink>
      <w:r>
        <w:rPr>
          <w:rFonts w:ascii="Times New Roman" w:cs="Times New Roman" w:eastAsia="Times New Roman" w:hAnsi="Times New Roman"/>
          <w:sz w:val="13"/>
          <w:szCs w:val="13"/>
          <w:color w:val="0000FF"/>
        </w:rPr>
        <w:t xml:space="preserve"> </w:t>
      </w:r>
      <w:hyperlink r:id="rId95">
        <w:r>
          <w:rPr>
            <w:rFonts w:ascii="Times New Roman" w:cs="Times New Roman" w:eastAsia="Times New Roman" w:hAnsi="Times New Roman"/>
            <w:sz w:val="13"/>
            <w:szCs w:val="13"/>
            <w:color w:val="0000FF"/>
          </w:rPr>
          <w:t>November 17,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-134620</wp:posOffset>
            </wp:positionV>
            <wp:extent cx="521335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5213350" cy="762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-35560</wp:posOffset>
            </wp:positionV>
            <wp:extent cx="71628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6280" cy="7620"/>
                    </a:xfrm>
                    <a:prstGeom prst="rect">
                      <a:avLst/>
                    </a:prstGeom>
                    <a:noFill/>
                  </pic:spPr>
                </pic:pic>
              </a:graphicData>
            </a:graphic>
          </wp:anchor>
        </w:drawing>
      </w:r>
    </w:p>
    <w:p>
      <w:pPr>
        <w:spacing w:after="0" w:line="56" w:lineRule="exact"/>
        <w:rPr>
          <w:sz w:val="20"/>
          <w:szCs w:val="20"/>
          <w:color w:val="auto"/>
        </w:rPr>
      </w:pPr>
    </w:p>
    <w:p>
      <w:pPr>
        <w:ind w:left="700" w:right="60" w:hanging="623"/>
        <w:spacing w:after="0" w:line="286" w:lineRule="auto"/>
        <w:tabs>
          <w:tab w:leader="none" w:pos="680" w:val="left"/>
        </w:tabs>
        <w:rPr>
          <w:sz w:val="20"/>
          <w:szCs w:val="20"/>
          <w:color w:val="auto"/>
        </w:rPr>
      </w:pPr>
      <w:r>
        <w:rPr>
          <w:rFonts w:ascii="Times New Roman" w:cs="Times New Roman" w:eastAsia="Times New Roman" w:hAnsi="Times New Roman"/>
          <w:sz w:val="13"/>
          <w:szCs w:val="13"/>
          <w:color w:val="auto"/>
        </w:rPr>
        <w:t>101.INS*</w:t>
        <w:tab/>
        <w:t>Inline XBRL Instance Document-the instance document does not appear in the Interactive Data File as its XBRL tags are embedded within the Inline XBRL document</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101.SCH* Inline XBRL Taxonomy Extension Schema With Embedded Linkbase Documents</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101.CAL* Inline XBRL Taxonomy Extension Calculation Linkbase Document</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101.DEF* Inline XBRL Taxonomy Extension Definition Linkbase Document</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101.LAB* Inline XBRL Taxonomy Extension Label Linkbase Document</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101.PRE*  Inline XBRL Taxonomy Extension Presentation Linkbase Document</w:t>
      </w:r>
    </w:p>
    <w:p>
      <w:pPr>
        <w:spacing w:after="0" w:line="127" w:lineRule="exact"/>
        <w:rPr>
          <w:sz w:val="20"/>
          <w:szCs w:val="20"/>
          <w:color w:val="auto"/>
        </w:rPr>
      </w:pPr>
    </w:p>
    <w:p>
      <w:pPr>
        <w:ind w:left="60" w:right="4740" w:firstLine="6"/>
        <w:spacing w:after="0" w:line="519" w:lineRule="auto"/>
        <w:tabs>
          <w:tab w:leader="none" w:pos="684"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formatted as Inline XBRL and contained in Exhibit 101 * Filed herewith.</w:t>
      </w:r>
    </w:p>
    <w:p>
      <w:pPr>
        <w:jc w:val="center"/>
        <w:ind w:right="2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88" w:right="1440"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261" w:lineRule="exact"/>
        <w:rPr>
          <w:sz w:val="20"/>
          <w:szCs w:val="20"/>
          <w:color w:val="auto"/>
        </w:rPr>
      </w:pPr>
    </w:p>
    <w:p>
      <w:pPr>
        <w:ind w:left="60" w:right="260" w:firstLine="336"/>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on Form 10-Q to be signed on its behalf by the undersigned, thereunto duly authorized.</w:t>
      </w:r>
    </w:p>
    <w:p>
      <w:pPr>
        <w:sectPr>
          <w:pgSz w:w="11900" w:h="16840" w:orient="portrait"/>
          <w:cols w:equalWidth="0" w:num="1">
            <w:col w:w="9020"/>
          </w:cols>
          <w:pgMar w:left="1440" w:top="12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Date: August 11,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Date: August 11,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PENNANTPARK FLOATING RATE CAPITAL LTD.</w:t>
      </w:r>
    </w:p>
    <w:p>
      <w:pPr>
        <w:spacing w:after="0" w:line="1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11430</wp:posOffset>
            </wp:positionV>
            <wp:extent cx="255333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2553335" cy="7620"/>
                    </a:xfrm>
                    <a:prstGeom prst="rect">
                      <a:avLst/>
                    </a:prstGeom>
                    <a:noFill/>
                  </pic:spPr>
                </pic:pic>
              </a:graphicData>
            </a:graphic>
          </wp:anchor>
        </w:drawing>
      </w: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Arthur H. Penn</w:t>
      </w:r>
    </w:p>
    <w:p>
      <w:pPr>
        <w:spacing w:after="0" w:line="17" w:lineRule="exact"/>
        <w:rPr>
          <w:sz w:val="20"/>
          <w:szCs w:val="20"/>
          <w:color w:val="auto"/>
        </w:rPr>
      </w:pPr>
    </w:p>
    <w:p>
      <w:pPr>
        <w:jc w:val="center"/>
        <w:ind w:right="280"/>
        <w:spacing w:after="0" w:line="263" w:lineRule="auto"/>
        <w:rPr>
          <w:sz w:val="20"/>
          <w:szCs w:val="20"/>
          <w:color w:val="auto"/>
        </w:rPr>
      </w:pPr>
      <w:r>
        <w:rPr>
          <w:rFonts w:ascii="Times New Roman" w:cs="Times New Roman" w:eastAsia="Times New Roman" w:hAnsi="Times New Roman"/>
          <w:sz w:val="13"/>
          <w:szCs w:val="13"/>
          <w:b w:val="1"/>
          <w:bCs w:val="1"/>
          <w:color w:val="auto"/>
        </w:rPr>
        <w:t>Chief Executive Officer and Chairman of the Board of Directors (Principal Executive Officer)</w:t>
      </w:r>
    </w:p>
    <w:p>
      <w:pPr>
        <w:spacing w:after="0" w:line="1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11430</wp:posOffset>
            </wp:positionV>
            <wp:extent cx="255333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2553335" cy="7620"/>
                    </a:xfrm>
                    <a:prstGeom prst="rect">
                      <a:avLst/>
                    </a:prstGeom>
                    <a:noFill/>
                  </pic:spPr>
                </pic:pic>
              </a:graphicData>
            </a:graphic>
          </wp:anchor>
        </w:drawing>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Richard T. Allorto, Jr.</w:t>
      </w:r>
    </w:p>
    <w:p>
      <w:pPr>
        <w:spacing w:after="0" w:line="1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Chief Financial Officer and Treasurer</w:t>
      </w:r>
    </w:p>
    <w:p>
      <w:pPr>
        <w:spacing w:after="0" w:line="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(Principal Financial and Accounting Officer)</w:t>
      </w:r>
    </w:p>
    <w:p>
      <w:pPr>
        <w:spacing w:after="0" w:line="171" w:lineRule="exact"/>
        <w:rPr>
          <w:sz w:val="20"/>
          <w:szCs w:val="20"/>
          <w:color w:val="auto"/>
        </w:rPr>
      </w:pPr>
    </w:p>
    <w:p>
      <w:pPr>
        <w:sectPr>
          <w:pgSz w:w="11900" w:h="16840" w:orient="portrait"/>
          <w:cols w:equalWidth="0" w:num="3">
            <w:col w:w="3920" w:space="720"/>
            <w:col w:w="200" w:space="280"/>
            <w:col w:w="3900"/>
          </w:cols>
          <w:pgMar w:left="1440" w:top="1288" w:right="1440"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419735</wp:posOffset>
            </wp:positionV>
            <wp:extent cx="626046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288" w:right="1440" w:bottom="1440" w:gutter="0" w:footer="0" w:header="0"/>
          <w:type w:val="continuous"/>
        </w:sectPr>
      </w:pPr>
    </w:p>
    <w:bookmarkStart w:id="74" w:name="page75"/>
    <w:bookmarkEnd w:id="74"/>
    <w:p>
      <w:pPr>
        <w:ind w:left="7100"/>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Fifth Amendment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Revolving Credit and Security Agreement</w:t>
      </w:r>
    </w:p>
    <w:p>
      <w:pPr>
        <w:spacing w:after="0" w:line="204" w:lineRule="exact"/>
        <w:rPr>
          <w:sz w:val="20"/>
          <w:szCs w:val="20"/>
          <w:color w:val="auto"/>
        </w:rPr>
      </w:pPr>
    </w:p>
    <w:p>
      <w:pPr>
        <w:ind w:left="760" w:right="860" w:firstLine="576"/>
        <w:spacing w:after="0" w:line="252" w:lineRule="auto"/>
        <w:rPr>
          <w:sz w:val="20"/>
          <w:szCs w:val="20"/>
          <w:color w:val="auto"/>
        </w:rPr>
      </w:pPr>
      <w:r>
        <w:rPr>
          <w:rFonts w:ascii="Times New Roman" w:cs="Times New Roman" w:eastAsia="Times New Roman" w:hAnsi="Times New Roman"/>
          <w:sz w:val="19"/>
          <w:szCs w:val="19"/>
          <w:color w:val="auto"/>
        </w:rPr>
        <w:t xml:space="preserve">This Fifth Amendment to Revolving Credit and Security Agreement, dated as of August 4, 2025 (the </w:t>
      </w:r>
      <w:r>
        <w:rPr>
          <w:rFonts w:ascii="Times New Roman" w:cs="Times New Roman" w:eastAsia="Times New Roman" w:hAnsi="Times New Roman"/>
          <w:sz w:val="19"/>
          <w:szCs w:val="19"/>
          <w:i w:val="1"/>
          <w:iCs w:val="1"/>
          <w:color w:val="auto"/>
        </w:rPr>
        <w:t>“Amendment”</w:t>
      </w:r>
      <w:r>
        <w:rPr>
          <w:rFonts w:ascii="Times New Roman" w:cs="Times New Roman" w:eastAsia="Times New Roman" w:hAnsi="Times New Roman"/>
          <w:sz w:val="19"/>
          <w:szCs w:val="19"/>
          <w:color w:val="auto"/>
        </w:rPr>
        <w:t xml:space="preserve">), is made pursuant to that certain Revolving Credit and Security Agreement dated as of August 12, 2021 (as renewed, amended or restated from time to time, the </w:t>
      </w:r>
      <w:r>
        <w:rPr>
          <w:rFonts w:ascii="Times New Roman" w:cs="Times New Roman" w:eastAsia="Times New Roman" w:hAnsi="Times New Roman"/>
          <w:sz w:val="19"/>
          <w:szCs w:val="19"/>
          <w:i w:val="1"/>
          <w:iCs w:val="1"/>
          <w:color w:val="auto"/>
        </w:rPr>
        <w:t>“Credit Agreement”</w:t>
      </w:r>
      <w:r>
        <w:rPr>
          <w:rFonts w:ascii="Times New Roman" w:cs="Times New Roman" w:eastAsia="Times New Roman" w:hAnsi="Times New Roman"/>
          <w:sz w:val="19"/>
          <w:szCs w:val="19"/>
          <w:color w:val="auto"/>
        </w:rPr>
        <w:t>), among PennantPark Floating Rate Funding I, LLC, a Delaware limited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liability company, as borrower (together with its permitted successors and assigns,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PennantPark Investment Advisers, LLC, a Delaware limited liability company,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collateral manager (together with its permitted successors and assigns, the </w:t>
      </w:r>
      <w:r>
        <w:rPr>
          <w:rFonts w:ascii="Times New Roman" w:cs="Times New Roman" w:eastAsia="Times New Roman" w:hAnsi="Times New Roman"/>
          <w:sz w:val="19"/>
          <w:szCs w:val="19"/>
          <w:i w:val="1"/>
          <w:iCs w:val="1"/>
          <w:color w:val="auto"/>
        </w:rPr>
        <w:t>“Collateral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Manager”</w:t>
      </w:r>
      <w:r>
        <w:rPr>
          <w:rFonts w:ascii="Times New Roman" w:cs="Times New Roman" w:eastAsia="Times New Roman" w:hAnsi="Times New Roman"/>
          <w:sz w:val="19"/>
          <w:szCs w:val="19"/>
          <w:color w:val="auto"/>
        </w:rPr>
        <w:t>), the Lenders from time to time party hereto; Truist Bank, as administrative agent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Secured Parties (as hereinafter defined) (in such capacity, together with its successors and assigns, the </w:t>
      </w: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 Truist Bank, as the swingline lender (the “</w:t>
      </w:r>
      <w:r>
        <w:rPr>
          <w:rFonts w:ascii="Times New Roman" w:cs="Times New Roman" w:eastAsia="Times New Roman" w:hAnsi="Times New Roman"/>
          <w:sz w:val="19"/>
          <w:szCs w:val="19"/>
          <w:i w:val="1"/>
          <w:iCs w:val="1"/>
          <w:color w:val="auto"/>
        </w:rPr>
        <w:t>Swingline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U.S. Bank Trust Company, National Association, as successor in interest to U.S. Bank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National Association, as collateral agent for the Secured Parties (as hereinafter defined) (in such capacity, together with its successors and assigns, the </w:t>
      </w:r>
      <w:r>
        <w:rPr>
          <w:rFonts w:ascii="Times New Roman" w:cs="Times New Roman" w:eastAsia="Times New Roman" w:hAnsi="Times New Roman"/>
          <w:sz w:val="19"/>
          <w:szCs w:val="19"/>
          <w:i w:val="1"/>
          <w:iCs w:val="1"/>
          <w:color w:val="auto"/>
        </w:rPr>
        <w:t>“Collateral Agent”</w:t>
      </w:r>
      <w:r>
        <w:rPr>
          <w:rFonts w:ascii="Times New Roman" w:cs="Times New Roman" w:eastAsia="Times New Roman" w:hAnsi="Times New Roman"/>
          <w:sz w:val="19"/>
          <w:szCs w:val="19"/>
          <w:color w:val="auto"/>
        </w:rPr>
        <w:t xml:space="preserve">); U.S. Bank National Association, as custodian (in such capacity, together with its successors and assigns, the </w:t>
      </w:r>
      <w:r>
        <w:rPr>
          <w:rFonts w:ascii="Times New Roman" w:cs="Times New Roman" w:eastAsia="Times New Roman" w:hAnsi="Times New Roman"/>
          <w:sz w:val="19"/>
          <w:szCs w:val="19"/>
          <w:i w:val="1"/>
          <w:iCs w:val="1"/>
          <w:color w:val="auto"/>
        </w:rPr>
        <w:t>“Custodian”</w:t>
      </w:r>
      <w:r>
        <w:rPr>
          <w:rFonts w:ascii="Times New Roman" w:cs="Times New Roman" w:eastAsia="Times New Roman" w:hAnsi="Times New Roman"/>
          <w:sz w:val="19"/>
          <w:szCs w:val="19"/>
          <w:color w:val="auto"/>
        </w:rPr>
        <w:t>); U.S. Bank Trust Company, National Association, as successor in interest to 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Bank National Association, as collateral administrator (in such capacity, together with its successors and assigns, the </w:t>
      </w:r>
      <w:r>
        <w:rPr>
          <w:rFonts w:ascii="Times New Roman" w:cs="Times New Roman" w:eastAsia="Times New Roman" w:hAnsi="Times New Roman"/>
          <w:sz w:val="19"/>
          <w:szCs w:val="19"/>
          <w:i w:val="1"/>
          <w:iCs w:val="1"/>
          <w:color w:val="auto"/>
        </w:rPr>
        <w:t>“Collateral Administrator”</w:t>
      </w:r>
      <w:r>
        <w:rPr>
          <w:rFonts w:ascii="Times New Roman" w:cs="Times New Roman" w:eastAsia="Times New Roman" w:hAnsi="Times New Roman"/>
          <w:sz w:val="19"/>
          <w:szCs w:val="19"/>
          <w:color w:val="auto"/>
        </w:rPr>
        <w:t xml:space="preserve">); and U.S. Bank Trust Company, National Association, as successor in interest to U.S. Bank National Association, as backup collateral manager (in such capacity, together with its successors and assigns, the </w:t>
      </w:r>
      <w:r>
        <w:rPr>
          <w:rFonts w:ascii="Times New Roman" w:cs="Times New Roman" w:eastAsia="Times New Roman" w:hAnsi="Times New Roman"/>
          <w:sz w:val="19"/>
          <w:szCs w:val="19"/>
          <w:i w:val="1"/>
          <w:iCs w:val="1"/>
          <w:color w:val="auto"/>
        </w:rPr>
        <w:t>“Backup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Collateral Manager”</w:t>
      </w:r>
      <w:r>
        <w:rPr>
          <w:rFonts w:ascii="Times New Roman" w:cs="Times New Roman" w:eastAsia="Times New Roman" w:hAnsi="Times New Roman"/>
          <w:sz w:val="19"/>
          <w:szCs w:val="19"/>
          <w:color w:val="auto"/>
        </w:rPr>
        <w: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 i t n e s s e t h:</w:t>
      </w:r>
    </w:p>
    <w:p>
      <w:pPr>
        <w:spacing w:after="0" w:line="228" w:lineRule="exact"/>
        <w:rPr>
          <w:sz w:val="20"/>
          <w:szCs w:val="20"/>
          <w:color w:val="auto"/>
        </w:rPr>
      </w:pPr>
    </w:p>
    <w:p>
      <w:pPr>
        <w:ind w:left="760" w:right="840" w:firstLine="576"/>
        <w:spacing w:after="0" w:line="268" w:lineRule="auto"/>
        <w:rPr>
          <w:sz w:val="20"/>
          <w:szCs w:val="20"/>
          <w:color w:val="auto"/>
        </w:rPr>
      </w:pPr>
      <w:r>
        <w:rPr>
          <w:rFonts w:ascii="Times New Roman" w:cs="Times New Roman" w:eastAsia="Times New Roman" w:hAnsi="Times New Roman"/>
          <w:sz w:val="19"/>
          <w:szCs w:val="19"/>
          <w:color w:val="auto"/>
        </w:rPr>
        <w:t>Whereas, the Borrower, the Collateral Manager, the Lenders, the Administrative Agent, the Collateral Agent, the Custodian, and the Backup Collateral Manager have previously entered into and are currently party the Credit Agreement; and;</w:t>
      </w:r>
    </w:p>
    <w:p>
      <w:pPr>
        <w:spacing w:after="0" w:line="168" w:lineRule="exact"/>
        <w:rPr>
          <w:sz w:val="20"/>
          <w:szCs w:val="20"/>
          <w:color w:val="auto"/>
        </w:rPr>
      </w:pPr>
    </w:p>
    <w:p>
      <w:pPr>
        <w:ind w:left="760" w:right="920" w:firstLine="576"/>
        <w:spacing w:after="0" w:line="286" w:lineRule="auto"/>
        <w:rPr>
          <w:sz w:val="20"/>
          <w:szCs w:val="20"/>
          <w:color w:val="auto"/>
        </w:rPr>
      </w:pPr>
      <w:r>
        <w:rPr>
          <w:rFonts w:ascii="Times New Roman" w:cs="Times New Roman" w:eastAsia="Times New Roman" w:hAnsi="Times New Roman"/>
          <w:sz w:val="19"/>
          <w:szCs w:val="19"/>
          <w:color w:val="auto"/>
        </w:rPr>
        <w:t>Whereas, the parties hereto desire to make certain amendments to the Credit Agreement pursuant to the terms and conditions set forth herein.</w:t>
      </w:r>
    </w:p>
    <w:p>
      <w:pPr>
        <w:spacing w:after="0" w:line="151" w:lineRule="exact"/>
        <w:rPr>
          <w:sz w:val="20"/>
          <w:szCs w:val="20"/>
          <w:color w:val="auto"/>
        </w:rPr>
      </w:pPr>
    </w:p>
    <w:p>
      <w:pPr>
        <w:ind w:left="760" w:right="760" w:firstLine="576"/>
        <w:spacing w:after="0" w:line="268" w:lineRule="auto"/>
        <w:rPr>
          <w:sz w:val="20"/>
          <w:szCs w:val="20"/>
          <w:color w:val="auto"/>
        </w:rPr>
      </w:pPr>
      <w:r>
        <w:rPr>
          <w:rFonts w:ascii="Times New Roman" w:cs="Times New Roman" w:eastAsia="Times New Roman" w:hAnsi="Times New Roman"/>
          <w:sz w:val="19"/>
          <w:szCs w:val="19"/>
          <w:color w:val="auto"/>
        </w:rPr>
        <w:t>Now, Therefore, for good and valuable consideration, the receipt and sufficiency of which are hereby acknowledged, and subject to the terms hereof, the Credit Agreement is hereby amended as follows:</w:t>
      </w:r>
    </w:p>
    <w:p>
      <w:pPr>
        <w:spacing w:after="0" w:line="166" w:lineRule="exact"/>
        <w:rPr>
          <w:sz w:val="20"/>
          <w:szCs w:val="20"/>
          <w:color w:val="auto"/>
        </w:rPr>
      </w:pPr>
    </w:p>
    <w:p>
      <w:pPr>
        <w:ind w:left="760" w:right="102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Section 1. Defined Terms. </w:t>
      </w:r>
      <w:r>
        <w:rPr>
          <w:rFonts w:ascii="Times New Roman" w:cs="Times New Roman" w:eastAsia="Times New Roman" w:hAnsi="Times New Roman"/>
          <w:sz w:val="19"/>
          <w:szCs w:val="19"/>
          <w:color w:val="auto"/>
        </w:rPr>
        <w:t>Unless otherwise amended by the terms of this Amendment, terms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used in this Amendment shall have the meanings assigned in the Credit Agreement.</w:t>
      </w:r>
    </w:p>
    <w:p>
      <w:pPr>
        <w:spacing w:after="0" w:line="148" w:lineRule="exact"/>
        <w:rPr>
          <w:sz w:val="20"/>
          <w:szCs w:val="20"/>
          <w:color w:val="auto"/>
        </w:rPr>
      </w:pPr>
    </w:p>
    <w:p>
      <w:pPr>
        <w:ind w:left="760" w:right="780" w:firstLine="48"/>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Section 2. </w:t>
      </w:r>
      <w:r>
        <w:rPr>
          <w:rFonts w:ascii="Times New Roman" w:cs="Times New Roman" w:eastAsia="Times New Roman" w:hAnsi="Times New Roman"/>
          <w:sz w:val="19"/>
          <w:szCs w:val="19"/>
          <w:color w:val="auto"/>
        </w:rPr>
        <w:t>Subject to the satisfaction of the conditions precedent set forth in Section 3 below,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Credit Agreement shall be amended with text marked in underline (e.g., </w:t>
      </w:r>
      <w:r>
        <w:rPr>
          <w:rFonts w:ascii="Times New Roman" w:cs="Times New Roman" w:eastAsia="Times New Roman" w:hAnsi="Times New Roman"/>
          <w:sz w:val="19"/>
          <w:szCs w:val="19"/>
          <w:color w:val="2F5496"/>
        </w:rPr>
        <w:t>addition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color w:val="70AD47"/>
        </w:rPr>
        <w:t>addition</w:t>
      </w:r>
      <w:r>
        <w:rPr>
          <w:rFonts w:ascii="Times New Roman" w:cs="Times New Roman" w:eastAsia="Times New Roman" w:hAnsi="Times New Roman"/>
          <w:sz w:val="19"/>
          <w:szCs w:val="19"/>
          <w:color w:val="auto"/>
        </w:rPr>
        <w:t xml:space="preserve">) indicating additions to the Credit Agreement and with text marked in strikethrough (e.g., </w:t>
      </w:r>
      <w:r>
        <w:rPr>
          <w:rFonts w:ascii="Times New Roman" w:cs="Times New Roman" w:eastAsia="Times New Roman" w:hAnsi="Times New Roman"/>
          <w:sz w:val="19"/>
          <w:szCs w:val="19"/>
          <w:color w:val="FF0000"/>
          <w:strike w:val="1"/>
        </w:rPr>
        <w:t>deletion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color w:val="70AD47"/>
          <w:strike w:val="1"/>
        </w:rPr>
        <w:t>deletion</w:t>
      </w:r>
      <w:r>
        <w:rPr>
          <w:rFonts w:ascii="Times New Roman" w:cs="Times New Roman" w:eastAsia="Times New Roman" w:hAnsi="Times New Roman"/>
          <w:sz w:val="19"/>
          <w:szCs w:val="19"/>
          <w:color w:val="auto"/>
        </w:rPr>
        <w:t>) indicating deletions to the Credit Agreement as set forth in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917575</wp:posOffset>
            </wp:positionV>
            <wp:extent cx="62604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1" w:right="1440" w:bottom="1440" w:gutter="0" w:footer="0" w:header="0"/>
        </w:sectPr>
      </w:pPr>
    </w:p>
    <w:bookmarkStart w:id="75" w:name="page76"/>
    <w:bookmarkEnd w:id="75"/>
    <w:p>
      <w:pPr>
        <w:spacing w:after="0" w:line="200" w:lineRule="exact"/>
        <w:rPr>
          <w:sz w:val="20"/>
          <w:szCs w:val="20"/>
          <w:color w:val="auto"/>
        </w:rPr>
      </w:pPr>
    </w:p>
    <w:p>
      <w:pPr>
        <w:spacing w:after="0" w:line="271" w:lineRule="exact"/>
        <w:rPr>
          <w:sz w:val="20"/>
          <w:szCs w:val="20"/>
          <w:color w:val="auto"/>
        </w:rPr>
      </w:pPr>
    </w:p>
    <w:p>
      <w:pPr>
        <w:ind w:left="760" w:right="96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Section 3 Conditions Precedent. </w:t>
      </w:r>
      <w:r>
        <w:rPr>
          <w:rFonts w:ascii="Times New Roman" w:cs="Times New Roman" w:eastAsia="Times New Roman" w:hAnsi="Times New Roman"/>
          <w:sz w:val="19"/>
          <w:szCs w:val="19"/>
          <w:color w:val="auto"/>
        </w:rPr>
        <w:t>This Amendment shall become effective upon satisfaction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following:</w:t>
      </w:r>
    </w:p>
    <w:p>
      <w:pPr>
        <w:spacing w:after="0" w:line="150" w:lineRule="exact"/>
        <w:rPr>
          <w:sz w:val="20"/>
          <w:szCs w:val="20"/>
          <w:color w:val="auto"/>
        </w:rPr>
      </w:pPr>
    </w:p>
    <w:p>
      <w:pPr>
        <w:ind w:left="1340" w:right="1140" w:firstLine="48"/>
        <w:spacing w:after="0" w:line="286" w:lineRule="auto"/>
        <w:rPr>
          <w:sz w:val="20"/>
          <w:szCs w:val="20"/>
          <w:color w:val="auto"/>
        </w:rPr>
      </w:pPr>
      <w:r>
        <w:rPr>
          <w:rFonts w:ascii="Times New Roman" w:cs="Times New Roman" w:eastAsia="Times New Roman" w:hAnsi="Times New Roman"/>
          <w:sz w:val="19"/>
          <w:szCs w:val="19"/>
          <w:color w:val="auto"/>
        </w:rPr>
        <w:t>3.1 the Borrower, the Collateral Manager, the Lenders and the Administrative Agent shall have executed and delivered this Amendment.</w:t>
      </w:r>
    </w:p>
    <w:p>
      <w:pPr>
        <w:spacing w:after="0" w:line="149" w:lineRule="exact"/>
        <w:rPr>
          <w:sz w:val="20"/>
          <w:szCs w:val="20"/>
          <w:color w:val="auto"/>
        </w:rPr>
      </w:pPr>
    </w:p>
    <w:p>
      <w:pPr>
        <w:ind w:left="760" w:right="88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4. Condition Subsequent. </w:t>
      </w:r>
      <w:r>
        <w:rPr>
          <w:rFonts w:ascii="Times New Roman" w:cs="Times New Roman" w:eastAsia="Times New Roman" w:hAnsi="Times New Roman"/>
          <w:sz w:val="19"/>
          <w:szCs w:val="19"/>
          <w:color w:val="auto"/>
        </w:rPr>
        <w:t>On the date that is seventy-five (75) calendar days after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Fifth Amendment Participation Pool Acquisition Date (as defined in Exhibit A attached hereto), the Borrower shall deliver to the Administrative Agent an updated Schedule 5 to the Credit Agreement specifying which Participation Interests in the Fifth Amendment Participation Pool have been elevated to Collateral Loans and which no longer constitute Participation Interests (which the Administrative Agent shall promptly deliver to the Lenders).</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5. Representations.</w:t>
      </w:r>
    </w:p>
    <w:p>
      <w:pPr>
        <w:spacing w:after="0" w:line="228" w:lineRule="exact"/>
        <w:rPr>
          <w:sz w:val="20"/>
          <w:szCs w:val="20"/>
          <w:color w:val="auto"/>
        </w:rPr>
      </w:pPr>
    </w:p>
    <w:p>
      <w:pPr>
        <w:ind w:left="760" w:right="780" w:firstLine="48"/>
        <w:spacing w:after="0" w:line="252" w:lineRule="auto"/>
        <w:rPr>
          <w:sz w:val="20"/>
          <w:szCs w:val="20"/>
          <w:color w:val="auto"/>
        </w:rPr>
      </w:pPr>
      <w:r>
        <w:rPr>
          <w:rFonts w:ascii="Times New Roman" w:cs="Times New Roman" w:eastAsia="Times New Roman" w:hAnsi="Times New Roman"/>
          <w:sz w:val="19"/>
          <w:szCs w:val="19"/>
          <w:color w:val="auto"/>
        </w:rPr>
        <w:t>5.1 In order to induce the Administrative Agent and the Lenders to execute and deliver this Amendment, each of the Borrower and the Collateral Manager hereby represents to the Administrative Agent and the Lenders that as of the date hereof the representations and warranties of the Borrowers contained in Credit Agreement (as amended by this Amendment) and in the other Facility Documents are true and correct in all material respects (except for representations and warranties already qualified by materiality or Material Adverse Effect, which shall be true and correct) as though made on and as of the date hereof (except to the extent such representations and warranties relate to an earlier date, in which case they were true and correct as of such date) and that no Default or Event of Default has occurred and is continuing under the Credit Agreement or shall result after giving effect to this Amendment. The execution, delivery, and performance by the Borrower and the Collateral Manager in connection with this Amendment has been duly authorized by all requisite action by or on behalf of the Borrower and the Collateral Manager, and this Amendment has been duly executed and delivered on behalf of the Borrower and the Collateral Manager. This Amendment is enforceable against each of the Borrower and the Collateral Manager in accordance with its terms, except as enforceability may be limited by applicable debtor relief laws and general principles of equity.</w:t>
      </w:r>
    </w:p>
    <w:p>
      <w:pPr>
        <w:spacing w:after="0" w:line="193" w:lineRule="exact"/>
        <w:rPr>
          <w:sz w:val="20"/>
          <w:szCs w:val="20"/>
          <w:color w:val="auto"/>
        </w:rPr>
      </w:pPr>
    </w:p>
    <w:p>
      <w:pPr>
        <w:ind w:left="760" w:right="78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Section 6. Agreement in Full Force and Effect. </w:t>
      </w:r>
      <w:r>
        <w:rPr>
          <w:rFonts w:ascii="Times New Roman" w:cs="Times New Roman" w:eastAsia="Times New Roman" w:hAnsi="Times New Roman"/>
          <w:sz w:val="19"/>
          <w:szCs w:val="19"/>
          <w:color w:val="auto"/>
        </w:rPr>
        <w:t>Except as specifically amended herein,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Credit Agreement shall continue in full force and effect in accordance with its original terms, and the Liens created and provided for by the Facility Documents remain in full force and effect and continue to secure, among other things, the performance of all of the Borrower’s Obligations under the Facility Documents and the Credit Agreement as amended hereby. Reference to this specific Amendment need not be made in the Credit Agreement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179" w:lineRule="exact"/>
        <w:rPr>
          <w:sz w:val="20"/>
          <w:szCs w:val="20"/>
          <w:color w:val="auto"/>
        </w:rPr>
      </w:pPr>
    </w:p>
    <w:p>
      <w:pPr>
        <w:ind w:left="760" w:right="920" w:firstLine="48"/>
        <w:spacing w:after="0" w:line="234" w:lineRule="exact"/>
        <w:rPr>
          <w:sz w:val="20"/>
          <w:szCs w:val="20"/>
          <w:color w:val="auto"/>
        </w:rPr>
      </w:pPr>
      <w:r>
        <w:rPr>
          <w:rFonts w:ascii="Times New Roman" w:cs="Times New Roman" w:eastAsia="Times New Roman" w:hAnsi="Times New Roman"/>
          <w:sz w:val="19"/>
          <w:szCs w:val="19"/>
          <w:i w:val="1"/>
          <w:iCs w:val="1"/>
          <w:color w:val="auto"/>
        </w:rPr>
        <w:t xml:space="preserve">Section 7. Execution in Counterparts. </w:t>
      </w:r>
      <w:r>
        <w:rPr>
          <w:rFonts w:ascii="Times New Roman" w:cs="Times New Roman" w:eastAsia="Times New Roman" w:hAnsi="Times New Roman"/>
          <w:sz w:val="19"/>
          <w:szCs w:val="19"/>
          <w:color w:val="auto"/>
        </w:rPr>
        <w:t>Delivery of an executed counterpart hereof by facsimile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transmission or by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transmission of an electronic signature (including, without limitation, any .pdf file, .jpeg file, or any other electronic or image file, or any “electronic signature” as defined under the U.S. Electronic Signatures in Global and National Commerce Act</w:t>
      </w: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643255</wp:posOffset>
            </wp:positionV>
            <wp:extent cx="62604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76" w:name="page77"/>
    <w:bookmarkEnd w:id="76"/>
    <w:p>
      <w:pPr>
        <w:spacing w:after="0" w:line="200" w:lineRule="exact"/>
        <w:rPr>
          <w:sz w:val="20"/>
          <w:szCs w:val="20"/>
          <w:color w:val="auto"/>
        </w:rPr>
      </w:pPr>
    </w:p>
    <w:p>
      <w:pPr>
        <w:spacing w:after="0" w:line="273" w:lineRule="exact"/>
        <w:rPr>
          <w:sz w:val="20"/>
          <w:szCs w:val="20"/>
          <w:color w:val="auto"/>
        </w:rPr>
      </w:pPr>
    </w:p>
    <w:p>
      <w:pPr>
        <w:ind w:left="760" w:right="800"/>
        <w:spacing w:after="0" w:line="268" w:lineRule="auto"/>
        <w:rPr>
          <w:sz w:val="20"/>
          <w:szCs w:val="20"/>
          <w:color w:val="auto"/>
        </w:rPr>
      </w:pPr>
      <w:r>
        <w:rPr>
          <w:rFonts w:ascii="Times New Roman" w:cs="Times New Roman" w:eastAsia="Times New Roman" w:hAnsi="Times New Roman"/>
          <w:sz w:val="19"/>
          <w:szCs w:val="19"/>
          <w:color w:val="auto"/>
        </w:rPr>
        <w:t>or the New York Electronic Signatures and Records Act, which includes any electronic signature provided using Orbit, Adobe Sign, or DocuSign) shall be effective as delivery of a manually executed counterpart hereof.</w:t>
      </w:r>
    </w:p>
    <w:p>
      <w:pPr>
        <w:spacing w:after="0" w:line="166" w:lineRule="exact"/>
        <w:rPr>
          <w:sz w:val="20"/>
          <w:szCs w:val="20"/>
          <w:color w:val="auto"/>
        </w:rPr>
      </w:pPr>
    </w:p>
    <w:p>
      <w:pPr>
        <w:ind w:left="760" w:right="880" w:firstLine="48"/>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Section 8. Governing Law. </w:t>
      </w:r>
      <w:r>
        <w:rPr>
          <w:rFonts w:ascii="Times New Roman" w:cs="Times New Roman" w:eastAsia="Times New Roman" w:hAnsi="Times New Roman"/>
          <w:sz w:val="19"/>
          <w:szCs w:val="19"/>
          <w:color w:val="auto"/>
        </w:rPr>
        <w:t>This Amendment and the rights and obligations of the parties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this Amendment and any claim, controversy, dispute or cause of action (whether in contract or tort or otherwise) based upon, arising out of or relating to this Amendment or any other facility document (except, as to any other facility document, as expressly set forth therein) and the transactions contemplated hereby and thereby shall be governed by and construed in accordance with the law of the State of New York, except the conflict of law principles thereof which would have the effect of applying the law of any other jurisdiction.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657225</wp:posOffset>
            </wp:positionV>
            <wp:extent cx="62604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77" w:name="page78"/>
    <w:bookmarkEnd w:id="77"/>
    <w:p>
      <w:pPr>
        <w:spacing w:after="0" w:line="269" w:lineRule="exact"/>
        <w:rPr>
          <w:sz w:val="20"/>
          <w:szCs w:val="20"/>
          <w:color w:val="auto"/>
        </w:rPr>
      </w:pPr>
    </w:p>
    <w:p>
      <w:pPr>
        <w:jc w:val="both"/>
        <w:ind w:left="760" w:right="1060" w:firstLine="576"/>
        <w:spacing w:after="0" w:line="268" w:lineRule="auto"/>
        <w:rPr>
          <w:sz w:val="20"/>
          <w:szCs w:val="20"/>
          <w:color w:val="auto"/>
        </w:rPr>
      </w:pPr>
      <w:r>
        <w:rPr>
          <w:rFonts w:ascii="Times New Roman" w:cs="Times New Roman" w:eastAsia="Times New Roman" w:hAnsi="Times New Roman"/>
          <w:sz w:val="19"/>
          <w:szCs w:val="19"/>
          <w:color w:val="auto"/>
        </w:rPr>
        <w:t>In Witness Whereof, the Administrative Agent has caused this Fourth Amendment to Revolving Credit and Security Agreement to be executed and delivered by its duly authorized officers as of the date set forth above.</w:t>
      </w:r>
    </w:p>
    <w:p>
      <w:pPr>
        <w:spacing w:after="0" w:line="1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color w:val="auto"/>
        </w:rPr>
        <w:t>PennantPark Floating Rate Funding I, LLC, as</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Borrower</w:t>
      </w:r>
    </w:p>
    <w:p>
      <w:pPr>
        <w:spacing w:after="0" w:line="204"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9"/>
          <w:szCs w:val="19"/>
          <w:color w:val="auto"/>
        </w:rPr>
        <w:t>By: PennantPark Floating Rate Capital Ltd., as</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Designated Manager</w:t>
      </w:r>
    </w:p>
    <w:p>
      <w:pPr>
        <w:spacing w:after="0" w:line="200" w:lineRule="exact"/>
        <w:rPr>
          <w:sz w:val="20"/>
          <w:szCs w:val="20"/>
          <w:color w:val="auto"/>
        </w:rPr>
      </w:pPr>
    </w:p>
    <w:p>
      <w:pPr>
        <w:spacing w:after="0" w:line="2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By: /s/ Jeffrey S. Sion</w:t>
      </w:r>
    </w:p>
    <w:p>
      <w:pPr>
        <w:spacing w:after="0" w:line="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9"/>
          <w:szCs w:val="19"/>
          <w:color w:val="auto"/>
        </w:rPr>
        <w:t>Name: Jeffrey S. Sion</w:t>
      </w:r>
    </w:p>
    <w:p>
      <w:pPr>
        <w:spacing w:after="0" w:line="10" w:lineRule="exact"/>
        <w:rPr>
          <w:sz w:val="20"/>
          <w:szCs w:val="20"/>
          <w:color w:val="auto"/>
        </w:rPr>
      </w:pPr>
    </w:p>
    <w:p>
      <w:pPr>
        <w:ind w:left="4660"/>
        <w:spacing w:after="0"/>
        <w:tabs>
          <w:tab w:leader="none" w:pos="5240" w:val="left"/>
        </w:tabs>
        <w:rPr>
          <w:sz w:val="20"/>
          <w:szCs w:val="20"/>
          <w:color w:val="auto"/>
        </w:rPr>
      </w:pPr>
      <w:r>
        <w:rPr>
          <w:rFonts w:ascii="Times New Roman" w:cs="Times New Roman" w:eastAsia="Times New Roman" w:hAnsi="Times New Roman"/>
          <w:sz w:val="19"/>
          <w:szCs w:val="19"/>
          <w:color w:val="auto"/>
        </w:rPr>
        <w:t>Title:</w:t>
        <w:tab/>
        <w:t>Authorized Signatory</w:t>
      </w:r>
    </w:p>
    <w:p>
      <w:pPr>
        <w:spacing w:after="0" w:line="20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PennantPark Investment Advisers, LLC, as</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Collateral Manager</w:t>
      </w:r>
    </w:p>
    <w:p>
      <w:pPr>
        <w:sectPr>
          <w:pgSz w:w="11900" w:h="16840" w:orient="portrait"/>
          <w:cols w:equalWidth="0" w:num="1">
            <w:col w:w="9020"/>
          </w:cols>
          <w:pgMar w:left="1440" w:top="1440"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w:t>
      </w:r>
    </w:p>
    <w:p>
      <w:pPr>
        <w:spacing w:after="0" w:line="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/s/ Jeffrey S. Sion</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Jeffrey S. Sion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Authorized Signatory</w:t>
      </w:r>
    </w:p>
    <w:p>
      <w:pPr>
        <w:spacing w:after="0" w:line="168" w:lineRule="exact"/>
        <w:rPr>
          <w:sz w:val="20"/>
          <w:szCs w:val="20"/>
          <w:color w:val="auto"/>
        </w:rPr>
      </w:pPr>
    </w:p>
    <w:p>
      <w:pPr>
        <w:sectPr>
          <w:pgSz w:w="11900" w:h="16840" w:orient="portrait"/>
          <w:cols w:equalWidth="0" w:num="2">
            <w:col w:w="5060" w:space="60"/>
            <w:col w:w="3900"/>
          </w:cols>
          <w:pgMar w:left="1440" w:top="1440" w:right="1440"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 Page to Fifth Amendment to Revolving Credit and Security Agreement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559435</wp:posOffset>
            </wp:positionV>
            <wp:extent cx="626046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type w:val="continuous"/>
        </w:sectPr>
      </w:pPr>
    </w:p>
    <w:bookmarkStart w:id="78" w:name="page79"/>
    <w:bookmarkEnd w:id="78"/>
    <w:p>
      <w:pPr>
        <w:spacing w:after="0" w:line="200" w:lineRule="exact"/>
        <w:rPr>
          <w:sz w:val="20"/>
          <w:szCs w:val="20"/>
          <w:color w:val="auto"/>
        </w:rPr>
      </w:pPr>
    </w:p>
    <w:p>
      <w:pPr>
        <w:spacing w:after="0" w:line="2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Truist Bank, as Administrative Agent</w:t>
      </w:r>
    </w:p>
    <w:p>
      <w:pPr>
        <w:spacing w:after="0" w:line="200" w:lineRule="exact"/>
        <w:rPr>
          <w:sz w:val="20"/>
          <w:szCs w:val="20"/>
          <w:color w:val="auto"/>
        </w:rPr>
      </w:pPr>
    </w:p>
    <w:p>
      <w:pPr>
        <w:spacing w:after="0" w:line="2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  /s/ Richard T. Zull</w:t>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Name: Richard T. Zull</w:t>
      </w:r>
    </w:p>
    <w:p>
      <w:pPr>
        <w:spacing w:after="0" w:line="10" w:lineRule="exact"/>
        <w:rPr>
          <w:sz w:val="20"/>
          <w:szCs w:val="20"/>
          <w:color w:val="auto"/>
        </w:rPr>
      </w:pPr>
    </w:p>
    <w:p>
      <w:pPr>
        <w:ind w:left="4800"/>
        <w:spacing w:after="0"/>
        <w:tabs>
          <w:tab w:leader="none" w:pos="5380" w:val="left"/>
        </w:tabs>
        <w:rPr>
          <w:sz w:val="20"/>
          <w:szCs w:val="20"/>
          <w:color w:val="auto"/>
        </w:rPr>
      </w:pPr>
      <w:r>
        <w:rPr>
          <w:rFonts w:ascii="Times New Roman" w:cs="Times New Roman" w:eastAsia="Times New Roman" w:hAnsi="Times New Roman"/>
          <w:sz w:val="19"/>
          <w:szCs w:val="19"/>
          <w:color w:val="auto"/>
        </w:rPr>
        <w:t>Title:</w:t>
        <w:tab/>
        <w:t>Director</w:t>
      </w:r>
    </w:p>
    <w:p>
      <w:pPr>
        <w:spacing w:after="0" w:line="204"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9"/>
          <w:szCs w:val="19"/>
          <w:color w:val="auto"/>
        </w:rPr>
        <w:t>Truist Bank, as Lender and Swingline Lender</w:t>
      </w:r>
    </w:p>
    <w:p>
      <w:pPr>
        <w:spacing w:after="0" w:line="200" w:lineRule="exact"/>
        <w:rPr>
          <w:sz w:val="20"/>
          <w:szCs w:val="20"/>
          <w:color w:val="auto"/>
        </w:rPr>
      </w:pPr>
    </w:p>
    <w:p>
      <w:pPr>
        <w:spacing w:after="0" w:line="254" w:lineRule="exact"/>
        <w:rPr>
          <w:sz w:val="20"/>
          <w:szCs w:val="20"/>
          <w:color w:val="auto"/>
        </w:rPr>
      </w:pPr>
    </w:p>
    <w:p>
      <w:pPr>
        <w:ind w:left="4560"/>
        <w:spacing w:after="0"/>
        <w:tabs>
          <w:tab w:leader="none" w:pos="5000" w:val="left"/>
        </w:tabs>
        <w:rPr>
          <w:sz w:val="20"/>
          <w:szCs w:val="20"/>
          <w:color w:val="auto"/>
        </w:rPr>
      </w:pPr>
      <w:r>
        <w:rPr>
          <w:rFonts w:ascii="Times New Roman" w:cs="Times New Roman" w:eastAsia="Times New Roman" w:hAnsi="Times New Roman"/>
          <w:sz w:val="19"/>
          <w:szCs w:val="19"/>
          <w:color w:val="auto"/>
        </w:rPr>
        <w:t>By:</w:t>
        <w:tab/>
        <w:t>/s/ Richard T. Zull</w:t>
      </w:r>
    </w:p>
    <w:p>
      <w:pPr>
        <w:spacing w:after="0" w:line="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color w:val="auto"/>
        </w:rPr>
        <w:t>Name: Richard T. Zull</w:t>
      </w:r>
    </w:p>
    <w:p>
      <w:pPr>
        <w:spacing w:after="0" w:line="10" w:lineRule="exact"/>
        <w:rPr>
          <w:sz w:val="20"/>
          <w:szCs w:val="20"/>
          <w:color w:val="auto"/>
        </w:rPr>
      </w:pPr>
    </w:p>
    <w:p>
      <w:pPr>
        <w:ind w:left="4700"/>
        <w:spacing w:after="0"/>
        <w:tabs>
          <w:tab w:leader="none" w:pos="5300" w:val="left"/>
        </w:tabs>
        <w:rPr>
          <w:sz w:val="20"/>
          <w:szCs w:val="20"/>
          <w:color w:val="auto"/>
        </w:rPr>
      </w:pPr>
      <w:r>
        <w:rPr>
          <w:rFonts w:ascii="Times New Roman" w:cs="Times New Roman" w:eastAsia="Times New Roman" w:hAnsi="Times New Roman"/>
          <w:sz w:val="19"/>
          <w:szCs w:val="19"/>
          <w:color w:val="auto"/>
        </w:rPr>
        <w:t>Title:</w:t>
        <w:tab/>
        <w:t>Director</w:t>
      </w: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 Page to Fifth Amendment to Revolving Credit and Security Agreement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559435</wp:posOffset>
            </wp:positionV>
            <wp:extent cx="62604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79" w:name="page80"/>
    <w:bookmarkEnd w:id="79"/>
    <w:p>
      <w:pPr>
        <w:spacing w:after="0" w:line="200" w:lineRule="exact"/>
        <w:rPr>
          <w:sz w:val="20"/>
          <w:szCs w:val="20"/>
          <w:color w:val="auto"/>
        </w:rPr>
      </w:pPr>
    </w:p>
    <w:p>
      <w:pPr>
        <w:spacing w:after="0" w:line="2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Western Alliance Bank, as a Lender</w:t>
      </w:r>
    </w:p>
    <w:p>
      <w:pPr>
        <w:spacing w:after="0" w:line="200" w:lineRule="exact"/>
        <w:rPr>
          <w:sz w:val="20"/>
          <w:szCs w:val="20"/>
          <w:color w:val="auto"/>
        </w:rPr>
      </w:pPr>
    </w:p>
    <w:p>
      <w:pPr>
        <w:spacing w:after="0" w:line="2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By: /s/ Tyler Peterson</w:t>
      </w:r>
    </w:p>
    <w:p>
      <w:pPr>
        <w:spacing w:after="0" w:line="32" w:lineRule="exact"/>
        <w:rPr>
          <w:sz w:val="20"/>
          <w:szCs w:val="20"/>
          <w:color w:val="auto"/>
        </w:rPr>
      </w:pPr>
    </w:p>
    <w:p>
      <w:pPr>
        <w:ind w:left="4840"/>
        <w:spacing w:after="0"/>
        <w:tabs>
          <w:tab w:leader="none" w:pos="5480" w:val="left"/>
        </w:tabs>
        <w:rPr>
          <w:sz w:val="20"/>
          <w:szCs w:val="20"/>
          <w:color w:val="auto"/>
        </w:rPr>
      </w:pPr>
      <w:r>
        <w:rPr>
          <w:rFonts w:ascii="Times New Roman" w:cs="Times New Roman" w:eastAsia="Times New Roman" w:hAnsi="Times New Roman"/>
          <w:sz w:val="19"/>
          <w:szCs w:val="19"/>
          <w:color w:val="auto"/>
        </w:rPr>
        <w:t>Name:</w:t>
        <w:tab/>
        <w:t>Tyler Peterson</w:t>
      </w:r>
    </w:p>
    <w:p>
      <w:pPr>
        <w:spacing w:after="0" w:line="10" w:lineRule="exact"/>
        <w:rPr>
          <w:sz w:val="20"/>
          <w:szCs w:val="20"/>
          <w:color w:val="auto"/>
        </w:rPr>
      </w:pPr>
    </w:p>
    <w:p>
      <w:pPr>
        <w:ind w:left="4840"/>
        <w:spacing w:after="0"/>
        <w:tabs>
          <w:tab w:leader="none" w:pos="5480" w:val="left"/>
        </w:tabs>
        <w:rPr>
          <w:sz w:val="20"/>
          <w:szCs w:val="20"/>
          <w:color w:val="auto"/>
        </w:rPr>
      </w:pPr>
      <w:r>
        <w:rPr>
          <w:rFonts w:ascii="Times New Roman" w:cs="Times New Roman" w:eastAsia="Times New Roman" w:hAnsi="Times New Roman"/>
          <w:sz w:val="19"/>
          <w:szCs w:val="19"/>
          <w:color w:val="auto"/>
        </w:rPr>
        <w:t>Title:</w:t>
        <w:tab/>
        <w:t>Director</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 Page to Fifth Amendment to Revolving Credit and Security Agreement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559435</wp:posOffset>
            </wp:positionV>
            <wp:extent cx="626046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0" w:name="page81"/>
    <w:bookmarkEnd w:id="80"/>
    <w:p>
      <w:pPr>
        <w:spacing w:after="0" w:line="200" w:lineRule="exact"/>
        <w:rPr>
          <w:sz w:val="20"/>
          <w:szCs w:val="20"/>
          <w:color w:val="auto"/>
        </w:rPr>
      </w:pPr>
    </w:p>
    <w:p>
      <w:pPr>
        <w:spacing w:after="0" w:line="285"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9"/>
          <w:szCs w:val="19"/>
          <w:color w:val="auto"/>
        </w:rPr>
        <w:t>Capital One, National Association, as a Lender</w:t>
      </w:r>
    </w:p>
    <w:p>
      <w:pPr>
        <w:spacing w:after="0" w:line="200" w:lineRule="exact"/>
        <w:rPr>
          <w:sz w:val="20"/>
          <w:szCs w:val="20"/>
          <w:color w:val="auto"/>
        </w:rPr>
      </w:pPr>
    </w:p>
    <w:p>
      <w:pPr>
        <w:spacing w:after="0" w:line="2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By: /s/ Troy Pierce</w:t>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Name: Troy Pierce</w:t>
      </w:r>
    </w:p>
    <w:p>
      <w:pPr>
        <w:spacing w:after="0" w:line="10" w:lineRule="exact"/>
        <w:rPr>
          <w:sz w:val="20"/>
          <w:szCs w:val="20"/>
          <w:color w:val="auto"/>
        </w:rPr>
      </w:pPr>
    </w:p>
    <w:p>
      <w:pPr>
        <w:ind w:left="4900"/>
        <w:spacing w:after="0"/>
        <w:tabs>
          <w:tab w:leader="none" w:pos="5440" w:val="left"/>
        </w:tabs>
        <w:rPr>
          <w:sz w:val="20"/>
          <w:szCs w:val="20"/>
          <w:color w:val="auto"/>
        </w:rPr>
      </w:pPr>
      <w:r>
        <w:rPr>
          <w:rFonts w:ascii="Times New Roman" w:cs="Times New Roman" w:eastAsia="Times New Roman" w:hAnsi="Times New Roman"/>
          <w:sz w:val="19"/>
          <w:szCs w:val="19"/>
          <w:color w:val="auto"/>
        </w:rPr>
        <w:t>Title:</w:t>
        <w:tab/>
        <w:t>Director</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 Page to Fifth Amendment to Revolving Credit and Security Agreement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559435</wp:posOffset>
            </wp:positionV>
            <wp:extent cx="62604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1" w:name="page82"/>
    <w:bookmarkEnd w:id="81"/>
    <w:p>
      <w:pPr>
        <w:spacing w:after="0" w:line="200" w:lineRule="exact"/>
        <w:rPr>
          <w:sz w:val="20"/>
          <w:szCs w:val="20"/>
          <w:color w:val="auto"/>
        </w:rPr>
      </w:pP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Fifth Third Bank, National Association,</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Documentation Agent and as a Lender</w:t>
      </w: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 /s/ Joseph Sandy</w:t>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Name: Joseph Sandy</w:t>
      </w:r>
    </w:p>
    <w:p>
      <w:pPr>
        <w:spacing w:after="0" w:line="10" w:lineRule="exact"/>
        <w:rPr>
          <w:sz w:val="20"/>
          <w:szCs w:val="20"/>
          <w:color w:val="auto"/>
        </w:rPr>
      </w:pPr>
    </w:p>
    <w:p>
      <w:pPr>
        <w:ind w:left="4800"/>
        <w:spacing w:after="0"/>
        <w:tabs>
          <w:tab w:leader="none" w:pos="5380" w:val="left"/>
        </w:tabs>
        <w:rPr>
          <w:sz w:val="20"/>
          <w:szCs w:val="20"/>
          <w:color w:val="auto"/>
        </w:rPr>
      </w:pPr>
      <w:r>
        <w:rPr>
          <w:rFonts w:ascii="Times New Roman" w:cs="Times New Roman" w:eastAsia="Times New Roman" w:hAnsi="Times New Roman"/>
          <w:sz w:val="19"/>
          <w:szCs w:val="19"/>
          <w:color w:val="auto"/>
        </w:rPr>
        <w:t>Title:</w:t>
        <w:tab/>
        <w:t>Officer</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 Page to Fifth Amendment to Revolving Credit and Security Agreement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559435</wp:posOffset>
            </wp:positionV>
            <wp:extent cx="626046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2" w:name="page83"/>
    <w:bookmarkEnd w:id="82"/>
    <w:p>
      <w:pPr>
        <w:spacing w:after="0" w:line="200" w:lineRule="exact"/>
        <w:rPr>
          <w:sz w:val="20"/>
          <w:szCs w:val="20"/>
          <w:color w:val="auto"/>
        </w:rPr>
      </w:pP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City National Bank, as a Lender</w:t>
      </w:r>
    </w:p>
    <w:p>
      <w:pPr>
        <w:spacing w:after="0" w:line="200" w:lineRule="exact"/>
        <w:rPr>
          <w:sz w:val="20"/>
          <w:szCs w:val="20"/>
          <w:color w:val="auto"/>
        </w:rPr>
      </w:pPr>
    </w:p>
    <w:p>
      <w:pPr>
        <w:spacing w:after="0" w:line="2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 /s/ Jeffrey Feinberg</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Name: Jeffrey Feinberg</w:t>
      </w:r>
    </w:p>
    <w:p>
      <w:pPr>
        <w:spacing w:after="0" w:line="10" w:lineRule="exact"/>
        <w:rPr>
          <w:sz w:val="20"/>
          <w:szCs w:val="20"/>
          <w:color w:val="auto"/>
        </w:rPr>
      </w:pPr>
    </w:p>
    <w:p>
      <w:pPr>
        <w:ind w:left="4560"/>
        <w:spacing w:after="0"/>
        <w:tabs>
          <w:tab w:leader="none" w:pos="5100" w:val="left"/>
        </w:tabs>
        <w:rPr>
          <w:sz w:val="20"/>
          <w:szCs w:val="20"/>
          <w:color w:val="auto"/>
        </w:rPr>
      </w:pPr>
      <w:r>
        <w:rPr>
          <w:rFonts w:ascii="Times New Roman" w:cs="Times New Roman" w:eastAsia="Times New Roman" w:hAnsi="Times New Roman"/>
          <w:sz w:val="19"/>
          <w:szCs w:val="19"/>
          <w:color w:val="auto"/>
        </w:rPr>
        <w:t>Title:</w:t>
        <w:tab/>
        <w:t>SVP</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 Page to Fifth Amendment to Revolving Credit and Security Agreement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559435</wp:posOffset>
            </wp:positionV>
            <wp:extent cx="626046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3" w:name="page84"/>
    <w:bookmarkEnd w:id="83"/>
    <w:p>
      <w:pPr>
        <w:spacing w:after="0" w:line="200" w:lineRule="exact"/>
        <w:rPr>
          <w:sz w:val="20"/>
          <w:szCs w:val="20"/>
          <w:color w:val="auto"/>
        </w:rPr>
      </w:pP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Stifel Bank &amp; Trust, as a Lender</w:t>
      </w:r>
    </w:p>
    <w:p>
      <w:pPr>
        <w:spacing w:after="0" w:line="200" w:lineRule="exact"/>
        <w:rPr>
          <w:sz w:val="20"/>
          <w:szCs w:val="20"/>
          <w:color w:val="auto"/>
        </w:rPr>
      </w:pPr>
    </w:p>
    <w:p>
      <w:pPr>
        <w:spacing w:after="0" w:line="2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By: /s/ Matthew L. Diehl</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Name: Matthew L. Diehl</w:t>
      </w:r>
    </w:p>
    <w:p>
      <w:pPr>
        <w:spacing w:after="0" w:line="10" w:lineRule="exact"/>
        <w:rPr>
          <w:sz w:val="20"/>
          <w:szCs w:val="20"/>
          <w:color w:val="auto"/>
        </w:rPr>
      </w:pPr>
    </w:p>
    <w:p>
      <w:pPr>
        <w:ind w:left="4560"/>
        <w:spacing w:after="0"/>
        <w:tabs>
          <w:tab w:leader="none" w:pos="514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 Page to Fifth Amendment to Revolving Credit and Security Agreement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559435</wp:posOffset>
            </wp:positionV>
            <wp:extent cx="62604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4" w:name="page85"/>
    <w:bookmarkEnd w:id="84"/>
    <w:p>
      <w:pPr>
        <w:spacing w:after="0" w:line="200" w:lineRule="exact"/>
        <w:rPr>
          <w:sz w:val="20"/>
          <w:szCs w:val="20"/>
          <w:color w:val="auto"/>
        </w:rPr>
      </w:pP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Raymond James Bank, as a Lender</w:t>
      </w:r>
    </w:p>
    <w:p>
      <w:pPr>
        <w:spacing w:after="0" w:line="200" w:lineRule="exact"/>
        <w:rPr>
          <w:sz w:val="20"/>
          <w:szCs w:val="20"/>
          <w:color w:val="auto"/>
        </w:rPr>
      </w:pPr>
    </w:p>
    <w:p>
      <w:pPr>
        <w:spacing w:after="0" w:line="2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By: /s/ Camilo Rincon</w:t>
      </w:r>
    </w:p>
    <w:p>
      <w:pPr>
        <w:spacing w:after="0" w:line="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color w:val="auto"/>
        </w:rPr>
        <w:t>Name: Camilo Rincon</w:t>
      </w:r>
    </w:p>
    <w:p>
      <w:pPr>
        <w:spacing w:after="0" w:line="10" w:lineRule="exact"/>
        <w:rPr>
          <w:sz w:val="20"/>
          <w:szCs w:val="20"/>
          <w:color w:val="auto"/>
        </w:rPr>
      </w:pPr>
    </w:p>
    <w:p>
      <w:pPr>
        <w:ind w:left="4700"/>
        <w:spacing w:after="0"/>
        <w:tabs>
          <w:tab w:leader="none" w:pos="5240" w:val="left"/>
        </w:tabs>
        <w:rPr>
          <w:sz w:val="20"/>
          <w:szCs w:val="20"/>
          <w:color w:val="auto"/>
        </w:rPr>
      </w:pPr>
      <w:r>
        <w:rPr>
          <w:rFonts w:ascii="Times New Roman" w:cs="Times New Roman" w:eastAsia="Times New Roman" w:hAnsi="Times New Roman"/>
          <w:sz w:val="19"/>
          <w:szCs w:val="19"/>
          <w:color w:val="auto"/>
        </w:rPr>
        <w:t>Title:</w:t>
        <w:tab/>
        <w:t>Vice President</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 Page to Fifth Amendment to Revolving Credit and Security Agreement</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(PennantPark)]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559435</wp:posOffset>
            </wp:positionV>
            <wp:extent cx="62604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5" w:name="page86"/>
    <w:bookmarkEnd w:id="85"/>
    <w:p>
      <w:pPr>
        <w:spacing w:after="0" w:line="200" w:lineRule="exact"/>
        <w:rPr>
          <w:sz w:val="20"/>
          <w:szCs w:val="20"/>
          <w:color w:val="auto"/>
        </w:rPr>
      </w:pPr>
    </w:p>
    <w:p>
      <w:pPr>
        <w:spacing w:after="0" w:line="3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Sumitomo Mitsui Trust Bank, Limited, New</w:t>
      </w:r>
    </w:p>
    <w:p>
      <w:pPr>
        <w:spacing w:after="0" w:line="3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York Branch, as a Lender</w:t>
      </w:r>
    </w:p>
    <w:p>
      <w:pPr>
        <w:spacing w:after="0" w:line="200" w:lineRule="exact"/>
        <w:rPr>
          <w:sz w:val="20"/>
          <w:szCs w:val="20"/>
          <w:color w:val="auto"/>
        </w:rPr>
      </w:pPr>
    </w:p>
    <w:p>
      <w:pPr>
        <w:spacing w:after="0" w:line="2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By: /s/ Tomomi Hayashi</w:t>
      </w:r>
    </w:p>
    <w:p>
      <w:pPr>
        <w:spacing w:after="0" w:line="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color w:val="auto"/>
        </w:rPr>
        <w:t>Name: Tomomi Hayashi</w:t>
      </w:r>
    </w:p>
    <w:p>
      <w:pPr>
        <w:spacing w:after="0" w:line="10" w:lineRule="exact"/>
        <w:rPr>
          <w:sz w:val="20"/>
          <w:szCs w:val="20"/>
          <w:color w:val="auto"/>
        </w:rPr>
      </w:pPr>
    </w:p>
    <w:p>
      <w:pPr>
        <w:ind w:left="4700"/>
        <w:spacing w:after="0"/>
        <w:tabs>
          <w:tab w:leader="none" w:pos="5300" w:val="left"/>
        </w:tabs>
        <w:rPr>
          <w:sz w:val="20"/>
          <w:szCs w:val="20"/>
          <w:color w:val="auto"/>
        </w:rPr>
      </w:pPr>
      <w:r>
        <w:rPr>
          <w:rFonts w:ascii="Times New Roman" w:cs="Times New Roman" w:eastAsia="Times New Roman" w:hAnsi="Times New Roman"/>
          <w:sz w:val="19"/>
          <w:szCs w:val="19"/>
          <w:color w:val="auto"/>
        </w:rPr>
        <w:t>Title:</w:t>
        <w:tab/>
        <w:t>Head of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1108075</wp:posOffset>
            </wp:positionV>
            <wp:extent cx="62604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6" w:name="page87"/>
    <w:bookmarkEnd w:id="86"/>
    <w:p>
      <w:pPr>
        <w:spacing w:after="0" w:line="200" w:lineRule="exact"/>
        <w:rPr>
          <w:sz w:val="20"/>
          <w:szCs w:val="20"/>
          <w:color w:val="auto"/>
        </w:rPr>
      </w:pPr>
    </w:p>
    <w:p>
      <w:pPr>
        <w:spacing w:after="0" w:line="38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color w:val="auto"/>
        </w:rPr>
        <w:t>CIBC Bank USA, as a Lender</w:t>
      </w:r>
    </w:p>
    <w:p>
      <w:pPr>
        <w:spacing w:after="0" w:line="200" w:lineRule="exact"/>
        <w:rPr>
          <w:sz w:val="20"/>
          <w:szCs w:val="20"/>
          <w:color w:val="auto"/>
        </w:rPr>
      </w:pPr>
    </w:p>
    <w:p>
      <w:pPr>
        <w:spacing w:after="0" w:line="25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color w:val="auto"/>
        </w:rPr>
        <w:t>By: /s/ Nick Koziak</w:t>
      </w:r>
    </w:p>
    <w:p>
      <w:pPr>
        <w:spacing w:after="0" w:line="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Name: Nick Koziak</w:t>
      </w:r>
    </w:p>
    <w:p>
      <w:pPr>
        <w:spacing w:after="0" w:line="10" w:lineRule="exact"/>
        <w:rPr>
          <w:sz w:val="20"/>
          <w:szCs w:val="20"/>
          <w:color w:val="auto"/>
        </w:rPr>
      </w:pPr>
    </w:p>
    <w:p>
      <w:pPr>
        <w:jc w:val="right"/>
        <w:ind w:right="2000"/>
        <w:spacing w:after="0"/>
        <w:tabs>
          <w:tab w:leader="none" w:pos="1440" w:val="left"/>
        </w:tabs>
        <w:rPr>
          <w:sz w:val="20"/>
          <w:szCs w:val="20"/>
          <w:color w:val="auto"/>
        </w:rPr>
      </w:pPr>
      <w:r>
        <w:rPr>
          <w:rFonts w:ascii="Times New Roman" w:cs="Times New Roman" w:eastAsia="Times New Roman" w:hAnsi="Times New Roman"/>
          <w:sz w:val="19"/>
          <w:szCs w:val="19"/>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1108075</wp:posOffset>
            </wp:positionV>
            <wp:extent cx="626046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87" w:name="page88"/>
    <w:bookmarkEnd w:id="87"/>
    <w:p>
      <w:pPr>
        <w:jc w:val="right"/>
        <w:ind w:right="760"/>
        <w:spacing w:after="0"/>
        <w:rPr>
          <w:sz w:val="20"/>
          <w:szCs w:val="20"/>
          <w:color w:val="auto"/>
        </w:rPr>
      </w:pPr>
      <w:r>
        <w:rPr>
          <w:rFonts w:ascii="Times New Roman" w:cs="Times New Roman" w:eastAsia="Times New Roman" w:hAnsi="Times New Roman"/>
          <w:sz w:val="19"/>
          <w:szCs w:val="19"/>
          <w:color w:val="auto"/>
        </w:rPr>
        <w:t xml:space="preserve">Conformed through </w:t>
      </w:r>
      <w:r>
        <w:rPr>
          <w:rFonts w:ascii="Times New Roman" w:cs="Times New Roman" w:eastAsia="Times New Roman" w:hAnsi="Times New Roman"/>
          <w:sz w:val="19"/>
          <w:szCs w:val="19"/>
          <w:color w:val="FF0000"/>
          <w:strike w:val="1"/>
        </w:rPr>
        <w:t>Fourth</w:t>
      </w:r>
      <w:r>
        <w:rPr>
          <w:rFonts w:ascii="Times New Roman" w:cs="Times New Roman" w:eastAsia="Times New Roman" w:hAnsi="Times New Roman"/>
          <w:sz w:val="19"/>
          <w:szCs w:val="19"/>
          <w:color w:val="0000FF"/>
        </w:rPr>
        <w:t>Fifth</w:t>
      </w:r>
      <w:r>
        <w:rPr>
          <w:rFonts w:ascii="Times New Roman" w:cs="Times New Roman" w:eastAsia="Times New Roman" w:hAnsi="Times New Roman"/>
          <w:sz w:val="19"/>
          <w:szCs w:val="19"/>
          <w:color w:val="auto"/>
        </w:rPr>
        <w:t xml:space="preserve"> Amendment Dated as of </w:t>
      </w:r>
      <w:r>
        <w:rPr>
          <w:rFonts w:ascii="Times New Roman" w:cs="Times New Roman" w:eastAsia="Times New Roman" w:hAnsi="Times New Roman"/>
          <w:sz w:val="19"/>
          <w:szCs w:val="19"/>
          <w:color w:val="FF0000"/>
          <w:strike w:val="1"/>
        </w:rPr>
        <w:t>April</w:t>
      </w:r>
      <w:r>
        <w:rPr>
          <w:rFonts w:ascii="Times New Roman" w:cs="Times New Roman" w:eastAsia="Times New Roman" w:hAnsi="Times New Roman"/>
          <w:sz w:val="19"/>
          <w:szCs w:val="19"/>
          <w:color w:val="0000FF"/>
        </w:rPr>
        <w:t>August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16</w:t>
      </w:r>
      <w:r>
        <w:rPr>
          <w:rFonts w:ascii="Times New Roman" w:cs="Times New Roman" w:eastAsia="Times New Roman" w:hAnsi="Times New Roman"/>
          <w:sz w:val="19"/>
          <w:szCs w:val="19"/>
          <w:color w:val="0000FF"/>
        </w:rPr>
        <w:t>4</w:t>
      </w:r>
      <w:r>
        <w:rPr>
          <w:rFonts w:ascii="Times New Roman" w:cs="Times New Roman" w:eastAsia="Times New Roman" w:hAnsi="Times New Roman"/>
          <w:sz w:val="19"/>
          <w:szCs w:val="19"/>
          <w:color w:val="auto"/>
        </w:rPr>
        <w:t>, 2025</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305435</wp:posOffset>
            </wp:positionV>
            <wp:extent cx="475615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4756150" cy="7620"/>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320675</wp:posOffset>
            </wp:positionV>
            <wp:extent cx="475615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47561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Revolving Credit and Security Agreement</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among</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PennantPark Floating Rate Funding I, LLC,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as Borrower,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PennantPark Investment Advisers, LLC,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Collateral Manager,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Lenders from time to time parties hereto,</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Truist Securities,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Lead Arranger,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Fifth Third Bank, National Association,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Documentation Agent,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Bank Trust Company, National Association,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Collateral Agent,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Bank Trust Company, National Association,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Collateral Administrator,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Bank Trust Company, National Association,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Backup Collateral Manager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U.S. Bank National Association,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Custodian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Dated as of August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128905</wp:posOffset>
            </wp:positionV>
            <wp:extent cx="475615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4756150" cy="7620"/>
                    </a:xfrm>
                    <a:prstGeom prst="rect">
                      <a:avLst/>
                    </a:prstGeom>
                    <a:noFill/>
                  </pic:spPr>
                </pic:pic>
              </a:graphicData>
            </a:graphic>
          </wp:anchor>
        </w:drawing>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FF0000"/>
          <w:strike w:val="1"/>
        </w:rPr>
        <w:t>4930-0167-0440</w:t>
      </w:r>
      <w:r>
        <w:rPr>
          <w:rFonts w:ascii="Times New Roman" w:cs="Times New Roman" w:eastAsia="Times New Roman" w:hAnsi="Times New Roman"/>
          <w:sz w:val="14"/>
          <w:szCs w:val="14"/>
          <w:color w:val="0000FF"/>
        </w:rPr>
        <w:t>4931-1054-0631</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v</w:t>
      </w:r>
      <w:r>
        <w:rPr>
          <w:rFonts w:ascii="Times New Roman" w:cs="Times New Roman" w:eastAsia="Times New Roman" w:hAnsi="Times New Roman"/>
          <w:sz w:val="14"/>
          <w:szCs w:val="14"/>
          <w:color w:val="FF0000"/>
          <w:strike w:val="1"/>
        </w:rPr>
        <w:t>7</w:t>
      </w:r>
      <w:r>
        <w:rPr>
          <w:rFonts w:ascii="Times New Roman" w:cs="Times New Roman" w:eastAsia="Times New Roman" w:hAnsi="Times New Roman"/>
          <w:sz w:val="14"/>
          <w:szCs w:val="14"/>
          <w:color w:val="0000FF"/>
        </w:rPr>
        <w:t>6</w:t>
      </w:r>
      <w:r>
        <w:rPr>
          <w:rFonts w:ascii="Times New Roman" w:cs="Times New Roman" w:eastAsia="Times New Roman" w:hAnsi="Times New Roman"/>
          <w:sz w:val="14"/>
          <w:szCs w:val="14"/>
          <w:color w:val="000000"/>
        </w:rPr>
        <w:t>.doc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-101600</wp:posOffset>
            </wp:positionV>
            <wp:extent cx="475615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4756150" cy="762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4359360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568960</wp:posOffset>
            </wp:positionV>
            <wp:extent cx="626046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133" w:right="1440" w:bottom="1440" w:gutter="0" w:footer="0" w:header="0"/>
        </w:sectPr>
      </w:pPr>
    </w:p>
    <w:bookmarkStart w:id="88" w:name="page89"/>
    <w:bookmarkEnd w:id="88"/>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40" w:type="dxa"/>
            <w:vAlign w:val="bottom"/>
          </w:tcPr>
          <w:p>
            <w:pPr>
              <w:ind w:left="418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2080" w:type="dxa"/>
            <w:vAlign w:val="bottom"/>
          </w:tcPr>
          <w:p>
            <w:pPr>
              <w:spacing w:after="0"/>
              <w:rPr>
                <w:sz w:val="22"/>
                <w:szCs w:val="22"/>
                <w:color w:val="auto"/>
              </w:rPr>
            </w:pPr>
          </w:p>
        </w:tc>
      </w:tr>
      <w:tr>
        <w:trPr>
          <w:trHeight w:val="444"/>
        </w:trPr>
        <w:tc>
          <w:tcPr>
            <w:tcW w:w="774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Section Heading Page</w:t>
            </w:r>
          </w:p>
        </w:tc>
        <w:tc>
          <w:tcPr>
            <w:tcW w:w="2080" w:type="dxa"/>
            <w:vAlign w:val="bottom"/>
          </w:tcPr>
          <w:p>
            <w:pPr>
              <w:spacing w:after="0"/>
              <w:rPr>
                <w:sz w:val="24"/>
                <w:szCs w:val="24"/>
                <w:color w:val="auto"/>
              </w:rPr>
            </w:pPr>
          </w:p>
        </w:tc>
      </w:tr>
      <w:tr>
        <w:trPr>
          <w:trHeight w:val="468"/>
        </w:trPr>
        <w:tc>
          <w:tcPr>
            <w:tcW w:w="774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Article I Definitions; Rules of Construction; Computations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1</w:t>
            </w:r>
          </w:p>
        </w:tc>
      </w:tr>
      <w:tr>
        <w:trPr>
          <w:trHeight w:val="301"/>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1.01. Definitions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1</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1.02. Rules of Construction</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61</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1.03. Computation of Time Periods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62</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1.04. Collateral Value Calculation Procedures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62</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1.05. Classification of Loans and Borrowings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64</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1.06. Currencies Generally</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64</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1.07. Calculation of Borrowing Base</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65</w:t>
            </w:r>
          </w:p>
        </w:tc>
      </w:tr>
      <w:tr>
        <w:trPr>
          <w:trHeight w:val="251"/>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1.08. Rates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65</w:t>
            </w:r>
          </w:p>
        </w:tc>
      </w:tr>
      <w:tr>
        <w:trPr>
          <w:trHeight w:val="444"/>
        </w:trPr>
        <w:tc>
          <w:tcPr>
            <w:tcW w:w="774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Article II Advances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65</w:t>
            </w:r>
          </w:p>
        </w:tc>
      </w:tr>
      <w:tr>
        <w:trPr>
          <w:trHeight w:val="301"/>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2.01. Revolving Credit Facility</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65</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2.02. Making of the Advances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66</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2.03. Evidence of Indebtedness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68</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2.04. Payment of Principal and Interest</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69</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2.05. Prepayment of Advances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70</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2.06. Changes of Commitments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72</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2.07. Maximum Lawful Rate</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72</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2.08. Several Obligations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72</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2.09. Increased Costs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72</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2.10. Compensation; Breakage Payments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74</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2.11. Inability to Determine Rates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74</w:t>
            </w:r>
          </w:p>
        </w:tc>
      </w:tr>
      <w:tr>
        <w:trPr>
          <w:trHeight w:val="209"/>
        </w:trPr>
        <w:tc>
          <w:tcPr>
            <w:tcW w:w="7740" w:type="dxa"/>
            <w:vAlign w:val="bottom"/>
          </w:tcPr>
          <w:p>
            <w:pPr>
              <w:ind w:left="1600"/>
              <w:spacing w:after="0" w:line="209" w:lineRule="exact"/>
              <w:rPr>
                <w:sz w:val="20"/>
                <w:szCs w:val="20"/>
                <w:color w:val="auto"/>
              </w:rPr>
            </w:pPr>
            <w:r>
              <w:rPr>
                <w:rFonts w:ascii="Times New Roman" w:cs="Times New Roman" w:eastAsia="Times New Roman" w:hAnsi="Times New Roman"/>
                <w:sz w:val="19"/>
                <w:szCs w:val="19"/>
                <w:color w:val="auto"/>
              </w:rPr>
              <w:t>Section 2.12. Rescission or Return of Payment</w:t>
            </w:r>
          </w:p>
        </w:tc>
        <w:tc>
          <w:tcPr>
            <w:tcW w:w="2080" w:type="dxa"/>
            <w:vAlign w:val="bottom"/>
          </w:tcPr>
          <w:p>
            <w:pPr>
              <w:jc w:val="right"/>
              <w:ind w:right="1064"/>
              <w:spacing w:after="0" w:line="209" w:lineRule="exact"/>
              <w:rPr>
                <w:sz w:val="20"/>
                <w:szCs w:val="20"/>
                <w:color w:val="auto"/>
              </w:rPr>
            </w:pPr>
            <w:r>
              <w:rPr>
                <w:rFonts w:ascii="Times New Roman" w:cs="Times New Roman" w:eastAsia="Times New Roman" w:hAnsi="Times New Roman"/>
                <w:sz w:val="19"/>
                <w:szCs w:val="19"/>
                <w:color w:val="auto"/>
              </w:rPr>
              <w:t>82</w:t>
            </w:r>
          </w:p>
        </w:tc>
      </w:tr>
      <w:tr>
        <w:trPr>
          <w:trHeight w:val="247"/>
        </w:trPr>
        <w:tc>
          <w:tcPr>
            <w:tcW w:w="7740" w:type="dxa"/>
            <w:vAlign w:val="bottom"/>
          </w:tcPr>
          <w:p>
            <w:pPr>
              <w:ind w:left="1600"/>
              <w:spacing w:after="0" w:line="219" w:lineRule="exact"/>
              <w:rPr>
                <w:sz w:val="20"/>
                <w:szCs w:val="20"/>
                <w:color w:val="auto"/>
              </w:rPr>
            </w:pPr>
            <w:r>
              <w:rPr>
                <w:rFonts w:ascii="Times New Roman" w:cs="Times New Roman" w:eastAsia="Times New Roman" w:hAnsi="Times New Roman"/>
                <w:sz w:val="19"/>
                <w:szCs w:val="19"/>
                <w:color w:val="auto"/>
              </w:rPr>
              <w:t>Section 2.13. Post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 Interest</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82</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2.14. Payments Generally</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82</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2.15. Increase in Facility Amount</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83</w:t>
            </w:r>
          </w:p>
        </w:tc>
      </w:tr>
      <w:tr>
        <w:trPr>
          <w:trHeight w:val="251"/>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2.16. Defaulting Lenders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84</w:t>
            </w:r>
          </w:p>
        </w:tc>
      </w:tr>
      <w:tr>
        <w:trPr>
          <w:trHeight w:val="444"/>
        </w:trPr>
        <w:tc>
          <w:tcPr>
            <w:tcW w:w="774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Article III Conditions Precedent</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86</w:t>
            </w:r>
          </w:p>
        </w:tc>
      </w:tr>
      <w:tr>
        <w:trPr>
          <w:trHeight w:val="301"/>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3.01. Conditions Precedent to Initial Borrowing</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86</w:t>
            </w:r>
          </w:p>
        </w:tc>
      </w:tr>
      <w:tr>
        <w:trPr>
          <w:trHeight w:val="251"/>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3.02. Conditions Precedent to Each Borrowing</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88</w:t>
            </w:r>
          </w:p>
        </w:tc>
      </w:tr>
      <w:tr>
        <w:trPr>
          <w:trHeight w:val="444"/>
        </w:trPr>
        <w:tc>
          <w:tcPr>
            <w:tcW w:w="774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Article IV Representations and Warranties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89</w:t>
            </w:r>
          </w:p>
        </w:tc>
      </w:tr>
      <w:tr>
        <w:trPr>
          <w:trHeight w:val="301"/>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4.01. Representations and Warranties of the Borrower</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89</w:t>
            </w:r>
          </w:p>
        </w:tc>
      </w:tr>
      <w:tr>
        <w:trPr>
          <w:trHeight w:val="251"/>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4.02. Representations and Warranties of the Collateral Manager</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93</w:t>
            </w:r>
          </w:p>
        </w:tc>
      </w:tr>
      <w:tr>
        <w:trPr>
          <w:trHeight w:val="444"/>
        </w:trPr>
        <w:tc>
          <w:tcPr>
            <w:tcW w:w="774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Article V Covenants</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96</w:t>
            </w:r>
          </w:p>
        </w:tc>
      </w:tr>
      <w:tr>
        <w:trPr>
          <w:trHeight w:val="301"/>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5.01. Affirmative Covenants of the Borrower</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96</w:t>
            </w:r>
          </w:p>
        </w:tc>
      </w:tr>
      <w:tr>
        <w:trPr>
          <w:trHeight w:val="228"/>
        </w:trPr>
        <w:tc>
          <w:tcPr>
            <w:tcW w:w="774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Section 5.02. Negative Covenants of the Borrower</w:t>
            </w:r>
          </w:p>
        </w:tc>
        <w:tc>
          <w:tcPr>
            <w:tcW w:w="2080" w:type="dxa"/>
            <w:vAlign w:val="bottom"/>
          </w:tcPr>
          <w:p>
            <w:pPr>
              <w:jc w:val="right"/>
              <w:ind w:right="1064"/>
              <w:spacing w:after="0"/>
              <w:rPr>
                <w:sz w:val="20"/>
                <w:szCs w:val="20"/>
                <w:color w:val="auto"/>
              </w:rPr>
            </w:pPr>
            <w:r>
              <w:rPr>
                <w:rFonts w:ascii="Times New Roman" w:cs="Times New Roman" w:eastAsia="Times New Roman" w:hAnsi="Times New Roman"/>
                <w:sz w:val="19"/>
                <w:szCs w:val="19"/>
                <w:color w:val="auto"/>
              </w:rPr>
              <w:t>101</w:t>
            </w:r>
          </w:p>
        </w:tc>
      </w:tr>
      <w:tr>
        <w:trPr>
          <w:trHeight w:val="209"/>
        </w:trPr>
        <w:tc>
          <w:tcPr>
            <w:tcW w:w="7740" w:type="dxa"/>
            <w:vAlign w:val="bottom"/>
          </w:tcPr>
          <w:p>
            <w:pPr>
              <w:ind w:left="1600"/>
              <w:spacing w:after="0" w:line="209" w:lineRule="exact"/>
              <w:rPr>
                <w:sz w:val="20"/>
                <w:szCs w:val="20"/>
                <w:color w:val="auto"/>
              </w:rPr>
            </w:pPr>
            <w:r>
              <w:rPr>
                <w:rFonts w:ascii="Times New Roman" w:cs="Times New Roman" w:eastAsia="Times New Roman" w:hAnsi="Times New Roman"/>
                <w:sz w:val="19"/>
                <w:szCs w:val="19"/>
                <w:color w:val="auto"/>
              </w:rPr>
              <w:t>Section 5.03. Affirmative Covenants of the Collateral Manager</w:t>
            </w:r>
          </w:p>
        </w:tc>
        <w:tc>
          <w:tcPr>
            <w:tcW w:w="2080" w:type="dxa"/>
            <w:vAlign w:val="bottom"/>
          </w:tcPr>
          <w:p>
            <w:pPr>
              <w:jc w:val="right"/>
              <w:ind w:right="1064"/>
              <w:spacing w:after="0" w:line="209" w:lineRule="exact"/>
              <w:rPr>
                <w:sz w:val="20"/>
                <w:szCs w:val="20"/>
                <w:color w:val="auto"/>
              </w:rPr>
            </w:pPr>
            <w:r>
              <w:rPr>
                <w:rFonts w:ascii="Times New Roman" w:cs="Times New Roman" w:eastAsia="Times New Roman" w:hAnsi="Times New Roman"/>
                <w:sz w:val="19"/>
                <w:szCs w:val="19"/>
                <w:color w:val="auto"/>
              </w:rPr>
              <w:t>105</w:t>
            </w:r>
          </w:p>
        </w:tc>
      </w:tr>
      <w:tr>
        <w:trPr>
          <w:trHeight w:val="278"/>
        </w:trPr>
        <w:tc>
          <w:tcPr>
            <w:tcW w:w="7740" w:type="dxa"/>
            <w:vAlign w:val="bottom"/>
          </w:tcPr>
          <w:p>
            <w:pPr>
              <w:ind w:left="482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w:t>
            </w:r>
            <w:r>
              <w:rPr>
                <w:rFonts w:ascii="MS PGothic" w:cs="MS PGothic" w:eastAsia="MS PGothic" w:hAnsi="MS PGothic"/>
                <w:sz w:val="19"/>
                <w:szCs w:val="19"/>
                <w:color w:val="auto"/>
              </w:rPr>
              <w:t>‑</w:t>
            </w:r>
          </w:p>
        </w:tc>
        <w:tc>
          <w:tcPr>
            <w:tcW w:w="2080" w:type="dxa"/>
            <w:vAlign w:val="bottom"/>
          </w:tcPr>
          <w:p>
            <w:pPr>
              <w:spacing w:after="0"/>
              <w:rPr>
                <w:sz w:val="24"/>
                <w:szCs w:val="24"/>
                <w:color w:val="auto"/>
              </w:rPr>
            </w:pPr>
          </w:p>
        </w:tc>
      </w:tr>
      <w:tr>
        <w:trPr>
          <w:trHeight w:val="1014"/>
        </w:trPr>
        <w:tc>
          <w:tcPr>
            <w:tcW w:w="7740" w:type="dxa"/>
            <w:vAlign w:val="bottom"/>
            <w:tcBorders>
              <w:bottom w:val="single" w:sz="8" w:color="EEEEEE"/>
            </w:tcBorders>
          </w:tcPr>
          <w:p>
            <w:pPr>
              <w:spacing w:after="0"/>
              <w:rPr>
                <w:sz w:val="24"/>
                <w:szCs w:val="24"/>
                <w:color w:val="auto"/>
              </w:rPr>
            </w:pPr>
          </w:p>
        </w:tc>
        <w:tc>
          <w:tcPr>
            <w:tcW w:w="20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626046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820"/>
          </w:cols>
          <w:pgMar w:left="1040" w:top="1440" w:right="1040" w:bottom="1440" w:gutter="0" w:footer="0" w:header="0"/>
        </w:sectPr>
      </w:pPr>
    </w:p>
    <w:bookmarkStart w:id="89" w:name="page90"/>
    <w:bookmarkEnd w:id="89"/>
    <w:p>
      <w:pPr>
        <w:spacing w:after="0" w:line="293" w:lineRule="exact"/>
        <w:rPr>
          <w:sz w:val="20"/>
          <w:szCs w:val="20"/>
          <w:color w:val="auto"/>
        </w:rPr>
      </w:pPr>
    </w:p>
    <w:tbl>
      <w:tblPr>
        <w:tblLayout w:type="fixed"/>
        <w:tblInd w:w="760" w:type="dxa"/>
        <w:tblCellMar>
          <w:top w:w="0" w:type="dxa"/>
          <w:left w:w="0" w:type="dxa"/>
          <w:bottom w:w="0" w:type="dxa"/>
          <w:right w:w="0" w:type="dxa"/>
        </w:tblCellMar>
      </w:tblP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5.04. Negative Covenants of the Collateral Manager</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r>
      <w:tr>
        <w:trPr>
          <w:trHeight w:val="251"/>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5.05. Certain Undertakings Relating to Separateness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r>
      <w:tr>
        <w:trPr>
          <w:trHeight w:val="444"/>
        </w:trPr>
        <w:tc>
          <w:tcPr>
            <w:tcW w:w="7040" w:type="dxa"/>
            <w:vAlign w:val="bottom"/>
          </w:tcPr>
          <w:p>
            <w:pPr>
              <w:spacing w:after="0"/>
              <w:rPr>
                <w:sz w:val="20"/>
                <w:szCs w:val="20"/>
                <w:color w:val="auto"/>
              </w:rPr>
            </w:pPr>
            <w:r>
              <w:rPr>
                <w:rFonts w:ascii="Times New Roman" w:cs="Times New Roman" w:eastAsia="Times New Roman" w:hAnsi="Times New Roman"/>
                <w:sz w:val="19"/>
                <w:szCs w:val="19"/>
                <w:color w:val="auto"/>
              </w:rPr>
              <w:t>Article VI Events of Default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r>
      <w:tr>
        <w:trPr>
          <w:trHeight w:val="301"/>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6.01. Events of Default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r>
      <w:tr>
        <w:trPr>
          <w:trHeight w:val="251"/>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6.02. Collateral Manager Events of Default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w:t>
            </w:r>
          </w:p>
        </w:tc>
      </w:tr>
      <w:tr>
        <w:trPr>
          <w:trHeight w:val="444"/>
        </w:trPr>
        <w:tc>
          <w:tcPr>
            <w:tcW w:w="7040" w:type="dxa"/>
            <w:vAlign w:val="bottom"/>
          </w:tcPr>
          <w:p>
            <w:pPr>
              <w:spacing w:after="0"/>
              <w:rPr>
                <w:sz w:val="20"/>
                <w:szCs w:val="20"/>
                <w:color w:val="auto"/>
              </w:rPr>
            </w:pPr>
            <w:r>
              <w:rPr>
                <w:rFonts w:ascii="Times New Roman" w:cs="Times New Roman" w:eastAsia="Times New Roman" w:hAnsi="Times New Roman"/>
                <w:sz w:val="19"/>
                <w:szCs w:val="19"/>
                <w:color w:val="auto"/>
              </w:rPr>
              <w:t>Article VII Pledge of Collateral; Rights of the Collateral Agent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301"/>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7.01. Grant of Security</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7.02. Release of Security Interest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7.03. Rights and Remedies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7.04. Remedies Cumulative</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7.05. Related Documents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7.06. Borrower Remains Liable</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w:t>
            </w:r>
          </w:p>
        </w:tc>
      </w:tr>
      <w:tr>
        <w:trPr>
          <w:trHeight w:val="251"/>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7.07. Protection of Collateral</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w:t>
            </w:r>
          </w:p>
        </w:tc>
      </w:tr>
      <w:tr>
        <w:trPr>
          <w:trHeight w:val="444"/>
        </w:trPr>
        <w:tc>
          <w:tcPr>
            <w:tcW w:w="7040" w:type="dxa"/>
            <w:vAlign w:val="bottom"/>
          </w:tcPr>
          <w:p>
            <w:pPr>
              <w:spacing w:after="0"/>
              <w:rPr>
                <w:sz w:val="20"/>
                <w:szCs w:val="20"/>
                <w:color w:val="auto"/>
              </w:rPr>
            </w:pPr>
            <w:r>
              <w:rPr>
                <w:rFonts w:ascii="Times New Roman" w:cs="Times New Roman" w:eastAsia="Times New Roman" w:hAnsi="Times New Roman"/>
                <w:sz w:val="19"/>
                <w:szCs w:val="19"/>
                <w:color w:val="auto"/>
              </w:rPr>
              <w:t>Article VIII Accounts, Accountings and Releases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w:t>
            </w:r>
          </w:p>
        </w:tc>
      </w:tr>
      <w:tr>
        <w:trPr>
          <w:trHeight w:val="301"/>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8.01. Collection of Money</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8.02. Collection Account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8.03. Transaction Accounts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8.04. The Revolving Reserve Account; Fundings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8.05. Reinvestment of Funds in Covered Accounts; Reports by Collateral</w:t>
            </w:r>
          </w:p>
        </w:tc>
        <w:tc>
          <w:tcPr>
            <w:tcW w:w="460" w:type="dxa"/>
            <w:vAlign w:val="bottom"/>
          </w:tcPr>
          <w:p>
            <w:pPr>
              <w:spacing w:after="0"/>
              <w:rPr>
                <w:sz w:val="19"/>
                <w:szCs w:val="19"/>
                <w:color w:val="auto"/>
              </w:rPr>
            </w:pPr>
          </w:p>
        </w:tc>
      </w:tr>
      <w:tr>
        <w:trPr>
          <w:trHeight w:val="228"/>
        </w:trPr>
        <w:tc>
          <w:tcPr>
            <w:tcW w:w="7040" w:type="dxa"/>
            <w:vAlign w:val="bottom"/>
          </w:tcPr>
          <w:p>
            <w:pPr>
              <w:ind w:left="2020"/>
              <w:spacing w:after="0"/>
              <w:rPr>
                <w:sz w:val="20"/>
                <w:szCs w:val="20"/>
                <w:color w:val="auto"/>
              </w:rPr>
            </w:pPr>
            <w:r>
              <w:rPr>
                <w:rFonts w:ascii="Times New Roman" w:cs="Times New Roman" w:eastAsia="Times New Roman" w:hAnsi="Times New Roman"/>
                <w:sz w:val="19"/>
                <w:szCs w:val="19"/>
                <w:color w:val="auto"/>
              </w:rPr>
              <w:t>Agent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8.06. Accountings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8.07. Release of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8.08. Reports by Independent Accountants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r>
      <w:tr>
        <w:trPr>
          <w:trHeight w:val="251"/>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8.09. Covered Account Details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r>
      <w:tr>
        <w:trPr>
          <w:trHeight w:val="444"/>
        </w:trPr>
        <w:tc>
          <w:tcPr>
            <w:tcW w:w="7040" w:type="dxa"/>
            <w:vAlign w:val="bottom"/>
          </w:tcPr>
          <w:p>
            <w:pPr>
              <w:spacing w:after="0"/>
              <w:rPr>
                <w:sz w:val="20"/>
                <w:szCs w:val="20"/>
                <w:color w:val="auto"/>
              </w:rPr>
            </w:pPr>
            <w:r>
              <w:rPr>
                <w:rFonts w:ascii="Times New Roman" w:cs="Times New Roman" w:eastAsia="Times New Roman" w:hAnsi="Times New Roman"/>
                <w:sz w:val="19"/>
                <w:szCs w:val="19"/>
                <w:color w:val="auto"/>
              </w:rPr>
              <w:t>Article IX Application of Monies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w:t>
            </w:r>
          </w:p>
        </w:tc>
      </w:tr>
      <w:tr>
        <w:trPr>
          <w:trHeight w:val="324"/>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9.01. Disbursements of Monies from Payment Account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w:t>
            </w:r>
          </w:p>
        </w:tc>
      </w:tr>
      <w:tr>
        <w:trPr>
          <w:trHeight w:val="444"/>
        </w:trPr>
        <w:tc>
          <w:tcPr>
            <w:tcW w:w="7040" w:type="dxa"/>
            <w:vAlign w:val="bottom"/>
          </w:tcPr>
          <w:p>
            <w:pPr>
              <w:spacing w:after="0"/>
              <w:rPr>
                <w:sz w:val="20"/>
                <w:szCs w:val="20"/>
                <w:color w:val="auto"/>
              </w:rPr>
            </w:pPr>
            <w:r>
              <w:rPr>
                <w:rFonts w:ascii="Times New Roman" w:cs="Times New Roman" w:eastAsia="Times New Roman" w:hAnsi="Times New Roman"/>
                <w:sz w:val="19"/>
                <w:szCs w:val="19"/>
                <w:color w:val="auto"/>
              </w:rPr>
              <w:t>Article X Sale of Collateral Loans; Purchase of Additional Collateral Loans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w:t>
            </w:r>
          </w:p>
        </w:tc>
      </w:tr>
      <w:tr>
        <w:trPr>
          <w:trHeight w:val="301"/>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10.01. Sales of Collateral Loans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10.02. Purchase of Additional Collateral Loans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10.03. Substitution and Transfer of Loans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10.04. Conditions Applicable to All Sale and Purchase Transactions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w:t>
            </w:r>
          </w:p>
        </w:tc>
      </w:tr>
      <w:tr>
        <w:trPr>
          <w:trHeight w:val="251"/>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10.05. Additional Equity Contributions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r>
      <w:tr>
        <w:trPr>
          <w:trHeight w:val="444"/>
        </w:trPr>
        <w:tc>
          <w:tcPr>
            <w:tcW w:w="7040" w:type="dxa"/>
            <w:vAlign w:val="bottom"/>
          </w:tcPr>
          <w:p>
            <w:pPr>
              <w:spacing w:after="0"/>
              <w:rPr>
                <w:sz w:val="20"/>
                <w:szCs w:val="20"/>
                <w:color w:val="auto"/>
              </w:rPr>
            </w:pPr>
            <w:r>
              <w:rPr>
                <w:rFonts w:ascii="Times New Roman" w:cs="Times New Roman" w:eastAsia="Times New Roman" w:hAnsi="Times New Roman"/>
                <w:sz w:val="19"/>
                <w:szCs w:val="19"/>
                <w:color w:val="auto"/>
              </w:rPr>
              <w:t>Article XI Administration and Servicing of Contracts</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r>
      <w:tr>
        <w:trPr>
          <w:trHeight w:val="301"/>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11.01. Designation of the Collateral Manager</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11.02. Duties of the Collateral Manager</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r>
      <w:tr>
        <w:trPr>
          <w:trHeight w:val="228"/>
        </w:trPr>
        <w:tc>
          <w:tcPr>
            <w:tcW w:w="70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11.03. Liability of the Collateral Manager; Indemnification of the Collateral</w:t>
            </w:r>
          </w:p>
        </w:tc>
        <w:tc>
          <w:tcPr>
            <w:tcW w:w="460" w:type="dxa"/>
            <w:vAlign w:val="bottom"/>
          </w:tcPr>
          <w:p>
            <w:pPr>
              <w:spacing w:after="0"/>
              <w:rPr>
                <w:sz w:val="19"/>
                <w:szCs w:val="19"/>
                <w:color w:val="auto"/>
              </w:rPr>
            </w:pPr>
          </w:p>
        </w:tc>
      </w:tr>
      <w:tr>
        <w:trPr>
          <w:trHeight w:val="209"/>
        </w:trPr>
        <w:tc>
          <w:tcPr>
            <w:tcW w:w="7040" w:type="dxa"/>
            <w:vAlign w:val="bottom"/>
          </w:tcPr>
          <w:p>
            <w:pPr>
              <w:ind w:left="2020"/>
              <w:spacing w:after="0" w:line="209" w:lineRule="exact"/>
              <w:rPr>
                <w:sz w:val="20"/>
                <w:szCs w:val="20"/>
                <w:color w:val="auto"/>
              </w:rPr>
            </w:pPr>
            <w:r>
              <w:rPr>
                <w:rFonts w:ascii="Times New Roman" w:cs="Times New Roman" w:eastAsia="Times New Roman" w:hAnsi="Times New Roman"/>
                <w:sz w:val="19"/>
                <w:szCs w:val="19"/>
                <w:color w:val="auto"/>
              </w:rPr>
              <w:t>Manager Persons</w:t>
            </w:r>
          </w:p>
        </w:tc>
        <w:tc>
          <w:tcPr>
            <w:tcW w:w="46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136</w:t>
            </w:r>
          </w:p>
        </w:tc>
      </w:tr>
      <w:tr>
        <w:trPr>
          <w:trHeight w:val="278"/>
        </w:trPr>
        <w:tc>
          <w:tcPr>
            <w:tcW w:w="7040" w:type="dxa"/>
            <w:vAlign w:val="bottom"/>
          </w:tcPr>
          <w:p>
            <w:pPr>
              <w:ind w:left="364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ii</w:t>
            </w:r>
            <w:r>
              <w:rPr>
                <w:rFonts w:ascii="MS PGothic" w:cs="MS PGothic" w:eastAsia="MS PGothic" w:hAnsi="MS PGothic"/>
                <w:sz w:val="19"/>
                <w:szCs w:val="19"/>
                <w:color w:val="auto"/>
              </w:rPr>
              <w:t>‑</w:t>
            </w:r>
          </w:p>
        </w:tc>
        <w:tc>
          <w:tcPr>
            <w:tcW w:w="460" w:type="dxa"/>
            <w:vAlign w:val="bottom"/>
          </w:tcPr>
          <w:p>
            <w:pPr>
              <w:spacing w:after="0"/>
              <w:rPr>
                <w:sz w:val="24"/>
                <w:szCs w:val="24"/>
                <w:color w:val="auto"/>
              </w:rPr>
            </w:pPr>
          </w:p>
        </w:tc>
      </w:tr>
    </w:tbl>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0" w:name="page91"/>
    <w:bookmarkEnd w:id="90"/>
    <w:p>
      <w:pPr>
        <w:spacing w:after="0" w:line="293" w:lineRule="exact"/>
        <w:rPr>
          <w:sz w:val="20"/>
          <w:szCs w:val="20"/>
          <w:color w:val="auto"/>
        </w:rPr>
      </w:pPr>
    </w:p>
    <w:tbl>
      <w:tblPr>
        <w:tblLayout w:type="fixed"/>
        <w:tblInd w:w="760" w:type="dxa"/>
        <w:tblCellMar>
          <w:top w:w="0" w:type="dxa"/>
          <w:left w:w="0" w:type="dxa"/>
          <w:bottom w:w="0" w:type="dxa"/>
          <w:right w:w="0" w:type="dxa"/>
        </w:tblCellMar>
      </w:tblP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11.04. Authorization of the Collateral Manager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11.05. Realization Upon Defaulted Collateral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11.06. Collateral Management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11.07. Payment of Certain Expenses by Collateral Manager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11.08. The Collateral Manager Not to Resign; Assignment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w:t>
            </w:r>
          </w:p>
        </w:tc>
      </w:tr>
      <w:tr>
        <w:trPr>
          <w:trHeight w:val="251"/>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11.09. Appointment of Successor Collateral Manager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w:t>
            </w:r>
          </w:p>
        </w:tc>
      </w:tr>
      <w:tr>
        <w:trPr>
          <w:trHeight w:val="444"/>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Article XII The Agents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r>
      <w:tr>
        <w:trPr>
          <w:trHeight w:val="301"/>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12.01. Authorization and Action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12.02. Delegation of Duties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12.03. Agent’s Reliance, Etc.</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12.04. Indemnification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145</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12.05. Successor Agents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12.06. Administrative Agent’s Capacity as a Lender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w:t>
            </w:r>
          </w:p>
        </w:tc>
      </w:tr>
      <w:tr>
        <w:trPr>
          <w:trHeight w:val="251"/>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12.07. Erroneous Payments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w:t>
            </w:r>
          </w:p>
        </w:tc>
      </w:tr>
      <w:tr>
        <w:trPr>
          <w:trHeight w:val="444"/>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Article XIII The Backup Collateral Manager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w:t>
            </w:r>
          </w:p>
        </w:tc>
      </w:tr>
      <w:tr>
        <w:trPr>
          <w:trHeight w:val="301"/>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13.01. Duties of the Backup Collateral Manager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13.02. Fees of Backup Collateral Manager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13.03. Assumption of Servicing Duties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13.04. Indemnity</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13.05. Additional Provisions Applicable to Backup Collateral Manager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151</w:t>
            </w:r>
          </w:p>
        </w:tc>
      </w:tr>
      <w:tr>
        <w:trPr>
          <w:trHeight w:val="251"/>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13.06. Resignation of the Backup Collateral Manager</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w:t>
            </w:r>
          </w:p>
        </w:tc>
      </w:tr>
      <w:tr>
        <w:trPr>
          <w:trHeight w:val="444"/>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Article XIV The Custodian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w:t>
            </w:r>
          </w:p>
        </w:tc>
      </w:tr>
      <w:tr>
        <w:trPr>
          <w:trHeight w:val="301"/>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14.01. Designation of Custodian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14.02. Duties of Custodian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153</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14.03. Merger or Consolidation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14.04. Custodian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14.05. Custodian Removal</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14.06. Limitation on Liability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14.07. Resignation of the Custodian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14.08. Release of Related Documents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14.09. Return of Related Documents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14.10. Access to Certain Documentation and Information Regarding the</w:t>
            </w:r>
          </w:p>
        </w:tc>
        <w:tc>
          <w:tcPr>
            <w:tcW w:w="600" w:type="dxa"/>
            <w:vAlign w:val="bottom"/>
          </w:tcPr>
          <w:p>
            <w:pPr>
              <w:spacing w:after="0"/>
              <w:rPr>
                <w:sz w:val="19"/>
                <w:szCs w:val="19"/>
                <w:color w:val="auto"/>
              </w:rPr>
            </w:pPr>
          </w:p>
        </w:tc>
      </w:tr>
      <w:tr>
        <w:trPr>
          <w:trHeight w:val="228"/>
        </w:trPr>
        <w:tc>
          <w:tcPr>
            <w:tcW w:w="6900" w:type="dxa"/>
            <w:vAlign w:val="bottom"/>
          </w:tcPr>
          <w:p>
            <w:pPr>
              <w:ind w:left="2020"/>
              <w:spacing w:after="0"/>
              <w:rPr>
                <w:sz w:val="20"/>
                <w:szCs w:val="20"/>
                <w:color w:val="auto"/>
              </w:rPr>
            </w:pPr>
            <w:r>
              <w:rPr>
                <w:rFonts w:ascii="Times New Roman" w:cs="Times New Roman" w:eastAsia="Times New Roman" w:hAnsi="Times New Roman"/>
                <w:sz w:val="19"/>
                <w:szCs w:val="19"/>
                <w:color w:val="auto"/>
              </w:rPr>
              <w:t>Collateral; Audits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14.11. Representations and Warranties of the Custodian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w:t>
            </w:r>
          </w:p>
        </w:tc>
      </w:tr>
      <w:tr>
        <w:trPr>
          <w:trHeight w:val="251"/>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14.12. Covenants of the Custodian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w:t>
            </w:r>
          </w:p>
        </w:tc>
      </w:tr>
      <w:tr>
        <w:trPr>
          <w:trHeight w:val="444"/>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Article XV Miscellaneous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w:t>
            </w:r>
          </w:p>
        </w:tc>
      </w:tr>
      <w:tr>
        <w:trPr>
          <w:trHeight w:val="301"/>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15.01. No Waiver; Modifications in Writing</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15.02. Notices, Etc.</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15.03. Taxes</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w:t>
            </w:r>
          </w:p>
        </w:tc>
      </w:tr>
      <w:tr>
        <w:trPr>
          <w:trHeight w:val="228"/>
        </w:trPr>
        <w:tc>
          <w:tcPr>
            <w:tcW w:w="6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15.04. Costs and Expenses; Indemnification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w:t>
            </w:r>
          </w:p>
        </w:tc>
      </w:tr>
      <w:tr>
        <w:trPr>
          <w:trHeight w:val="209"/>
        </w:trPr>
        <w:tc>
          <w:tcPr>
            <w:tcW w:w="6900" w:type="dxa"/>
            <w:vAlign w:val="bottom"/>
          </w:tcPr>
          <w:p>
            <w:pPr>
              <w:ind w:left="440"/>
              <w:spacing w:after="0" w:line="209" w:lineRule="exact"/>
              <w:rPr>
                <w:sz w:val="20"/>
                <w:szCs w:val="20"/>
                <w:color w:val="auto"/>
              </w:rPr>
            </w:pPr>
            <w:r>
              <w:rPr>
                <w:rFonts w:ascii="Times New Roman" w:cs="Times New Roman" w:eastAsia="Times New Roman" w:hAnsi="Times New Roman"/>
                <w:sz w:val="19"/>
                <w:szCs w:val="19"/>
                <w:color w:val="auto"/>
              </w:rPr>
              <w:t>Section 15.05. Execution in Counterparts</w:t>
            </w:r>
          </w:p>
        </w:tc>
        <w:tc>
          <w:tcPr>
            <w:tcW w:w="60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167</w:t>
            </w:r>
          </w:p>
        </w:tc>
      </w:tr>
      <w:tr>
        <w:trPr>
          <w:trHeight w:val="278"/>
        </w:trPr>
        <w:tc>
          <w:tcPr>
            <w:tcW w:w="6900" w:type="dxa"/>
            <w:vAlign w:val="bottom"/>
          </w:tcPr>
          <w:p>
            <w:pPr>
              <w:ind w:left="360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iii</w:t>
            </w:r>
            <w:r>
              <w:rPr>
                <w:rFonts w:ascii="MS PGothic" w:cs="MS PGothic" w:eastAsia="MS PGothic" w:hAnsi="MS PGothic"/>
                <w:sz w:val="19"/>
                <w:szCs w:val="19"/>
                <w:color w:val="auto"/>
              </w:rPr>
              <w:t>‑</w:t>
            </w:r>
          </w:p>
        </w:tc>
        <w:tc>
          <w:tcPr>
            <w:tcW w:w="600" w:type="dxa"/>
            <w:vAlign w:val="bottom"/>
          </w:tcPr>
          <w:p>
            <w:pPr>
              <w:spacing w:after="0"/>
              <w:rPr>
                <w:sz w:val="24"/>
                <w:szCs w:val="24"/>
                <w:color w:val="auto"/>
              </w:rPr>
            </w:pPr>
          </w:p>
        </w:tc>
      </w:tr>
    </w:tbl>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1" w:name="page92"/>
    <w:bookmarkEnd w:id="91"/>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15.06. Assignability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167</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15.07. Governing Law</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15.08. Severability of Provisions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15.09. Confidentiality</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15.10. Merger</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15.11. Survival</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15.12. Submission to Jurisdiction; Waivers; Etc.</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15.13. Waiver of Jury Trial</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15.14. Service of Process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15.15. Waiver of Setoff</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15.16. PATRIOT Act Notice</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w:t>
            </w:r>
          </w:p>
        </w:tc>
      </w:tr>
      <w:tr>
        <w:trPr>
          <w:trHeight w:val="209"/>
        </w:trPr>
        <w:tc>
          <w:tcPr>
            <w:tcW w:w="554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Section 15.17. Legal Holidays</w:t>
            </w:r>
          </w:p>
        </w:tc>
        <w:tc>
          <w:tcPr>
            <w:tcW w:w="15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173</w:t>
            </w:r>
          </w:p>
        </w:tc>
      </w:tr>
      <w:tr>
        <w:trPr>
          <w:trHeight w:val="247"/>
        </w:trPr>
        <w:tc>
          <w:tcPr>
            <w:tcW w:w="5540" w:type="dxa"/>
            <w:vAlign w:val="bottom"/>
          </w:tcPr>
          <w:p>
            <w:pPr>
              <w:spacing w:after="0" w:line="219" w:lineRule="exact"/>
              <w:rPr>
                <w:sz w:val="20"/>
                <w:szCs w:val="20"/>
                <w:color w:val="auto"/>
              </w:rPr>
            </w:pPr>
            <w:r>
              <w:rPr>
                <w:rFonts w:ascii="Times New Roman" w:cs="Times New Roman" w:eastAsia="Times New Roman" w:hAnsi="Times New Roman"/>
                <w:sz w:val="19"/>
                <w:szCs w:val="19"/>
                <w:color w:val="auto"/>
              </w:rPr>
              <w:t>Section 15.18.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Petition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15.19. CP Conduit Provisions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15.20. Third Party Beneficiary</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174</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15.21. Reserved</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174</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15.22. No Fiduciary Duty</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174</w:t>
            </w: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15.23. Sharing of Payments by Lenders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175</w:t>
            </w:r>
          </w:p>
        </w:tc>
      </w:tr>
      <w:tr>
        <w:trPr>
          <w:trHeight w:val="250"/>
        </w:trPr>
        <w:tc>
          <w:tcPr>
            <w:tcW w:w="5540" w:type="dxa"/>
            <w:vAlign w:val="bottom"/>
          </w:tcPr>
          <w:p>
            <w:pPr>
              <w:spacing w:after="0"/>
              <w:rPr>
                <w:sz w:val="20"/>
                <w:szCs w:val="20"/>
                <w:color w:val="auto"/>
              </w:rPr>
            </w:pPr>
            <w:r>
              <w:rPr>
                <w:rFonts w:ascii="Times New Roman" w:cs="Times New Roman" w:eastAsia="Times New Roman" w:hAnsi="Times New Roman"/>
                <w:sz w:val="19"/>
                <w:szCs w:val="19"/>
                <w:color w:val="auto"/>
              </w:rPr>
              <w:t>Section 15.24. Judgment Currency</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w:t>
            </w:r>
          </w:p>
        </w:tc>
      </w:tr>
    </w:tbl>
    <w:p>
      <w:pPr>
        <w:ind w:left="1200"/>
        <w:spacing w:after="0"/>
        <w:rPr>
          <w:sz w:val="20"/>
          <w:szCs w:val="20"/>
          <w:color w:val="auto"/>
        </w:rPr>
      </w:pPr>
      <w:r>
        <w:rPr>
          <w:rFonts w:ascii="Times New Roman" w:cs="Times New Roman" w:eastAsia="Times New Roman" w:hAnsi="Times New Roman"/>
          <w:sz w:val="19"/>
          <w:szCs w:val="19"/>
          <w:color w:val="auto"/>
        </w:rPr>
        <w:t>Section 15.25. Acknowledgement and Consent to Bail-In of EEA Financial Institutions 176</w:t>
      </w:r>
    </w:p>
    <w:p>
      <w:pPr>
        <w:spacing w:after="0" w:line="27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b w:val="1"/>
          <w:bCs w:val="1"/>
          <w:color w:val="auto"/>
        </w:rPr>
        <w:t>Schedules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Schedule 1 Initial Commitments and Percentages</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Schedule 2 Forms of Monthly Report and Payment Date Report</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Schedule 3 Initial Collateral Loans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Schedule 4 S&amp;P Industry Classifications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Schedule 5 Fifth Amendment Participation Pool</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Schedule 6 Notice Information</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Schedule 7 Covered Account Details</w:t>
      </w:r>
    </w:p>
    <w:p>
      <w:pPr>
        <w:spacing w:after="0" w:line="27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b w:val="1"/>
          <w:bCs w:val="1"/>
          <w:color w:val="auto"/>
        </w:rPr>
        <w:t>Exhibits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Exhibit A Form of Excess Interest Proceeds Estimate</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Exhibit B Form of Notice of Borrowing (with attached form of Borrowing Base Calculation)</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Exhibit C Form of Notice of Prepayment</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Exhibit D Form of Assignment and Acceptance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Exhibit E Form of Account Control Agreement</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Exhibit F Form of Facility Amount Increase Request</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Exhibit G Form of Release of Related Documents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Exhibit H Closing Certificate</w:t>
      </w:r>
    </w:p>
    <w:p>
      <w:pPr>
        <w:spacing w:after="0" w:line="149"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iv</w:t>
      </w:r>
      <w:r>
        <w:rPr>
          <w:rFonts w:ascii="MS PGothic" w:cs="MS PGothic" w:eastAsia="MS PGothic" w:hAnsi="MS PGothic"/>
          <w:sz w:val="19"/>
          <w:szCs w:val="19"/>
          <w:color w:val="auto"/>
        </w:rPr>
        <w:t>‑</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2" w:name="page93"/>
    <w:bookmarkEnd w:id="92"/>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Revolving Credit And Security Agreement</w:t>
      </w:r>
    </w:p>
    <w:p>
      <w:pPr>
        <w:spacing w:after="0" w:line="228" w:lineRule="exact"/>
        <w:rPr>
          <w:sz w:val="20"/>
          <w:szCs w:val="20"/>
          <w:color w:val="auto"/>
        </w:rPr>
      </w:pPr>
    </w:p>
    <w:p>
      <w:pPr>
        <w:ind w:left="760" w:right="760" w:firstLine="576"/>
        <w:spacing w:after="0" w:line="252" w:lineRule="auto"/>
        <w:rPr>
          <w:sz w:val="20"/>
          <w:szCs w:val="20"/>
          <w:color w:val="auto"/>
        </w:rPr>
      </w:pPr>
      <w:r>
        <w:rPr>
          <w:rFonts w:ascii="Times New Roman" w:cs="Times New Roman" w:eastAsia="Times New Roman" w:hAnsi="Times New Roman"/>
          <w:sz w:val="19"/>
          <w:szCs w:val="19"/>
          <w:color w:val="auto"/>
        </w:rPr>
        <w:t xml:space="preserve">Revolving Credit and Security Agreement dated as of August 12, 2021 among PennantPark Floating Rate Funding I, LLC, a Delaware limited liability company, as borrower (together with its permitted successors and assigns,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xml:space="preserve">); PennantPark Investment Advisers, LLC, a Delaware limited liability company, as the collateral manager (together with its permitted successors and assigns, the </w:t>
      </w:r>
      <w:r>
        <w:rPr>
          <w:rFonts w:ascii="Times New Roman" w:cs="Times New Roman" w:eastAsia="Times New Roman" w:hAnsi="Times New Roman"/>
          <w:sz w:val="19"/>
          <w:szCs w:val="19"/>
          <w:i w:val="1"/>
          <w:iCs w:val="1"/>
          <w:color w:val="auto"/>
        </w:rPr>
        <w:t>“Collateral Manager”</w:t>
      </w:r>
      <w:r>
        <w:rPr>
          <w:rFonts w:ascii="Times New Roman" w:cs="Times New Roman" w:eastAsia="Times New Roman" w:hAnsi="Times New Roman"/>
          <w:sz w:val="19"/>
          <w:szCs w:val="19"/>
          <w:color w:val="auto"/>
        </w:rPr>
        <w:t xml:space="preserve">), the Lenders from time to time party hereto; Truist Bank, as administrative agent for the Secured Parties (as hereinafter defined) (in such capacity, together with its successors and assigns, the </w:t>
      </w: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 Truist Bank, as the swingline lender (the “</w:t>
      </w:r>
      <w:r>
        <w:rPr>
          <w:rFonts w:ascii="Times New Roman" w:cs="Times New Roman" w:eastAsia="Times New Roman" w:hAnsi="Times New Roman"/>
          <w:sz w:val="19"/>
          <w:szCs w:val="19"/>
          <w:i w:val="1"/>
          <w:iCs w:val="1"/>
          <w:color w:val="auto"/>
        </w:rPr>
        <w:t>Swingline Lender</w:t>
      </w:r>
      <w:r>
        <w:rPr>
          <w:rFonts w:ascii="Times New Roman" w:cs="Times New Roman" w:eastAsia="Times New Roman" w:hAnsi="Times New Roman"/>
          <w:sz w:val="19"/>
          <w:szCs w:val="19"/>
          <w:color w:val="auto"/>
        </w:rPr>
        <w:t xml:space="preserve">”), U.S. Bank Trust Company, National Association, as successor in interest to U.S. Bank National Association, as collateral agent for the Secured Parties (as hereinafter defined) (in such capacity, together with its successors and assigns, the </w:t>
      </w:r>
      <w:r>
        <w:rPr>
          <w:rFonts w:ascii="Times New Roman" w:cs="Times New Roman" w:eastAsia="Times New Roman" w:hAnsi="Times New Roman"/>
          <w:sz w:val="19"/>
          <w:szCs w:val="19"/>
          <w:i w:val="1"/>
          <w:iCs w:val="1"/>
          <w:color w:val="auto"/>
        </w:rPr>
        <w:t>“Collateral Agent”</w:t>
      </w:r>
      <w:r>
        <w:rPr>
          <w:rFonts w:ascii="Times New Roman" w:cs="Times New Roman" w:eastAsia="Times New Roman" w:hAnsi="Times New Roman"/>
          <w:sz w:val="19"/>
          <w:szCs w:val="19"/>
          <w:color w:val="auto"/>
        </w:rPr>
        <w:t xml:space="preserve"> ); U.S. Bank National Association, as custodian (in such capacity, together with its successors and assigns, the </w:t>
      </w:r>
      <w:r>
        <w:rPr>
          <w:rFonts w:ascii="Times New Roman" w:cs="Times New Roman" w:eastAsia="Times New Roman" w:hAnsi="Times New Roman"/>
          <w:sz w:val="19"/>
          <w:szCs w:val="19"/>
          <w:i w:val="1"/>
          <w:iCs w:val="1"/>
          <w:color w:val="auto"/>
        </w:rPr>
        <w:t>“Custodian”</w:t>
      </w:r>
      <w:r>
        <w:rPr>
          <w:rFonts w:ascii="Times New Roman" w:cs="Times New Roman" w:eastAsia="Times New Roman" w:hAnsi="Times New Roman"/>
          <w:sz w:val="19"/>
          <w:szCs w:val="19"/>
          <w:color w:val="auto"/>
        </w:rPr>
        <w:t xml:space="preserve">); U.S. Bank Trust Company, National Association, as successor in interest to U.S. Bank National Association, as collateral administrator (in such capacity, together with its successors and assigns, the </w:t>
      </w:r>
      <w:r>
        <w:rPr>
          <w:rFonts w:ascii="Times New Roman" w:cs="Times New Roman" w:eastAsia="Times New Roman" w:hAnsi="Times New Roman"/>
          <w:sz w:val="19"/>
          <w:szCs w:val="19"/>
          <w:i w:val="1"/>
          <w:iCs w:val="1"/>
          <w:color w:val="auto"/>
        </w:rPr>
        <w:t>“Collateral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Administrator”</w:t>
      </w:r>
      <w:r>
        <w:rPr>
          <w:rFonts w:ascii="Times New Roman" w:cs="Times New Roman" w:eastAsia="Times New Roman" w:hAnsi="Times New Roman"/>
          <w:sz w:val="19"/>
          <w:szCs w:val="19"/>
          <w:color w:val="auto"/>
        </w:rPr>
        <w:t>); and U.S. Bank Trust Company, National Association, as successor in interest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U.S. Bank National Association, as backup collateral manager (in such capacity, together with its successors and assigns, the </w:t>
      </w:r>
      <w:r>
        <w:rPr>
          <w:rFonts w:ascii="Times New Roman" w:cs="Times New Roman" w:eastAsia="Times New Roman" w:hAnsi="Times New Roman"/>
          <w:sz w:val="19"/>
          <w:szCs w:val="19"/>
          <w:i w:val="1"/>
          <w:iCs w:val="1"/>
          <w:color w:val="auto"/>
        </w:rPr>
        <w:t>“Backup Collateral Manager”</w:t>
      </w:r>
      <w:r>
        <w:rPr>
          <w:rFonts w:ascii="Times New Roman" w:cs="Times New Roman" w:eastAsia="Times New Roman" w:hAnsi="Times New Roman"/>
          <w:sz w:val="19"/>
          <w:szCs w:val="19"/>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 i t n e s s e t h:</w:t>
      </w:r>
    </w:p>
    <w:p>
      <w:pPr>
        <w:spacing w:after="0" w:line="228" w:lineRule="exact"/>
        <w:rPr>
          <w:sz w:val="20"/>
          <w:szCs w:val="20"/>
          <w:color w:val="auto"/>
        </w:rPr>
      </w:pPr>
    </w:p>
    <w:p>
      <w:pPr>
        <w:ind w:left="760" w:right="1020" w:firstLine="576"/>
        <w:spacing w:after="0" w:line="286" w:lineRule="auto"/>
        <w:rPr>
          <w:sz w:val="20"/>
          <w:szCs w:val="20"/>
          <w:color w:val="auto"/>
        </w:rPr>
      </w:pPr>
      <w:r>
        <w:rPr>
          <w:rFonts w:ascii="Times New Roman" w:cs="Times New Roman" w:eastAsia="Times New Roman" w:hAnsi="Times New Roman"/>
          <w:sz w:val="19"/>
          <w:szCs w:val="19"/>
          <w:color w:val="auto"/>
        </w:rPr>
        <w:t>Whereas, the Borrower desires that the Lenders make advances on a revolving basis to the Borrower on the terms and subject to the conditions set forth in this Agreement; and</w:t>
      </w:r>
    </w:p>
    <w:p>
      <w:pPr>
        <w:spacing w:after="0" w:line="151" w:lineRule="exact"/>
        <w:rPr>
          <w:sz w:val="20"/>
          <w:szCs w:val="20"/>
          <w:color w:val="auto"/>
        </w:rPr>
      </w:pPr>
    </w:p>
    <w:p>
      <w:pPr>
        <w:ind w:left="760" w:right="800" w:firstLine="576"/>
        <w:spacing w:after="0" w:line="286" w:lineRule="auto"/>
        <w:rPr>
          <w:sz w:val="20"/>
          <w:szCs w:val="20"/>
          <w:color w:val="auto"/>
        </w:rPr>
      </w:pPr>
      <w:r>
        <w:rPr>
          <w:rFonts w:ascii="Times New Roman" w:cs="Times New Roman" w:eastAsia="Times New Roman" w:hAnsi="Times New Roman"/>
          <w:sz w:val="19"/>
          <w:szCs w:val="19"/>
          <w:color w:val="auto"/>
        </w:rPr>
        <w:t>Whereas, each Lender is willing to make such advances to the Borrower on the terms and subject to the conditions set forth in this Agreement.</w:t>
      </w:r>
    </w:p>
    <w:p>
      <w:pPr>
        <w:spacing w:after="0" w:line="151" w:lineRule="exact"/>
        <w:rPr>
          <w:sz w:val="20"/>
          <w:szCs w:val="20"/>
          <w:color w:val="auto"/>
        </w:rPr>
      </w:pPr>
    </w:p>
    <w:p>
      <w:pPr>
        <w:ind w:left="760" w:right="1180" w:firstLine="576"/>
        <w:spacing w:after="0" w:line="286" w:lineRule="auto"/>
        <w:rPr>
          <w:sz w:val="20"/>
          <w:szCs w:val="20"/>
          <w:color w:val="auto"/>
        </w:rPr>
      </w:pPr>
      <w:r>
        <w:rPr>
          <w:rFonts w:ascii="Times New Roman" w:cs="Times New Roman" w:eastAsia="Times New Roman" w:hAnsi="Times New Roman"/>
          <w:sz w:val="19"/>
          <w:szCs w:val="19"/>
          <w:color w:val="auto"/>
        </w:rPr>
        <w:t>Now, Therefore, in consideration of the premises and of the mutual covenants herein contained, the parties hereto agree as follows: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Definitions; Rules of Construction; Computations</w:t>
      </w:r>
    </w:p>
    <w:p>
      <w:pPr>
        <w:spacing w:after="0" w:line="226" w:lineRule="exact"/>
        <w:rPr>
          <w:sz w:val="20"/>
          <w:szCs w:val="20"/>
          <w:color w:val="auto"/>
        </w:rPr>
      </w:pPr>
    </w:p>
    <w:p>
      <w:pPr>
        <w:ind w:left="760" w:right="144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Section 1.01. Definitions</w:t>
      </w:r>
      <w:r>
        <w:rPr>
          <w:rFonts w:ascii="Times New Roman" w:cs="Times New Roman" w:eastAsia="Times New Roman" w:hAnsi="Times New Roman"/>
          <w:sz w:val="19"/>
          <w:szCs w:val="19"/>
          <w:color w:val="auto"/>
        </w:rPr>
        <w:t>. As used in this Agreement, the following terms shall have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meanings indicated:</w:t>
      </w:r>
    </w:p>
    <w:p>
      <w:pPr>
        <w:spacing w:after="0" w:line="148" w:lineRule="exact"/>
        <w:rPr>
          <w:sz w:val="20"/>
          <w:szCs w:val="20"/>
          <w:color w:val="auto"/>
        </w:rPr>
      </w:pPr>
    </w:p>
    <w:p>
      <w:pPr>
        <w:ind w:left="760" w:right="114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“ABL Facility” </w:t>
      </w:r>
      <w:r>
        <w:rPr>
          <w:rFonts w:ascii="Times New Roman" w:cs="Times New Roman" w:eastAsia="Times New Roman" w:hAnsi="Times New Roman"/>
          <w:sz w:val="19"/>
          <w:szCs w:val="19"/>
          <w:color w:val="auto"/>
        </w:rPr>
        <w:t>means a lending facility pursuant to which the loans thereunder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secured by a perfected, first priority security interest in accounts receivable, inventory, machinery, equipment, or periodic revenues, where such collateral security consists of assets generated or acquired by the related Obligor in its business.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“Account Control Agreement” </w:t>
      </w:r>
      <w:r>
        <w:rPr>
          <w:rFonts w:ascii="Times New Roman" w:cs="Times New Roman" w:eastAsia="Times New Roman" w:hAnsi="Times New Roman"/>
          <w:sz w:val="19"/>
          <w:szCs w:val="19"/>
          <w:color w:val="auto"/>
        </w:rPr>
        <w:t>means an agreement in substantially the form of Exhibit E</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hereto.</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675640</wp:posOffset>
            </wp:positionV>
            <wp:extent cx="626046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3" w:name="page94"/>
    <w:bookmarkEnd w:id="93"/>
    <w:p>
      <w:pPr>
        <w:spacing w:after="0" w:line="200" w:lineRule="exact"/>
        <w:rPr>
          <w:sz w:val="20"/>
          <w:szCs w:val="20"/>
          <w:color w:val="auto"/>
        </w:rPr>
      </w:pPr>
    </w:p>
    <w:p>
      <w:pPr>
        <w:spacing w:after="0" w:line="283" w:lineRule="exact"/>
        <w:rPr>
          <w:sz w:val="20"/>
          <w:szCs w:val="20"/>
          <w:color w:val="auto"/>
        </w:rPr>
      </w:pPr>
    </w:p>
    <w:p>
      <w:pPr>
        <w:ind w:left="760" w:right="820" w:firstLine="576"/>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Adjusted Term Benchmark Rate</w:t>
      </w:r>
      <w:r>
        <w:rPr>
          <w:rFonts w:ascii="Times New Roman" w:cs="Times New Roman" w:eastAsia="Times New Roman" w:hAnsi="Times New Roman"/>
          <w:sz w:val="19"/>
          <w:szCs w:val="19"/>
          <w:color w:val="auto"/>
        </w:rPr>
        <w:t xml:space="preserve">” means (a) for the Interest Accrual Period for any Term Benchmark Borrowing denominated in Dollars, an interest rate per annum (rounded upwards, if necessary, to the next 1/100 of 1%) equal to the greater of (A) zero percent (0%) and (B) the Term Benchmark Rate for such Interest Accrual Period for Dollars, (b) for the Interest Accrual Period for any Term Benchmark Borrowing denominated in Canadian Dollars, the rate per annum equal to the greater of (A) zero percent (0%), and (B) the sum of (i) Term Benchmark Rate for such Interest Accrual Period for Canadian Dollars,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the Term CORRA Adjustment, and (c) for the Interest Accrual Period for any Term Benchmark Borrowing denominated in a Currency (other than Dollars or Canadian Dollars) an interest rate per annum (rounded upwards, if necessary, to the next 1/100 of 1%) equal to the greater of (A) zero percent (0%) and (B) the Term Benchmark Rate for such Interest Accrual Period for such Currency.</w:t>
      </w:r>
    </w:p>
    <w:p>
      <w:pPr>
        <w:spacing w:after="0" w:line="181" w:lineRule="exact"/>
        <w:rPr>
          <w:sz w:val="20"/>
          <w:szCs w:val="20"/>
          <w:color w:val="auto"/>
        </w:rPr>
      </w:pPr>
    </w:p>
    <w:p>
      <w:pPr>
        <w:ind w:left="760" w:right="8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“Administrative Agent” </w:t>
      </w:r>
      <w:r>
        <w:rPr>
          <w:rFonts w:ascii="Times New Roman" w:cs="Times New Roman" w:eastAsia="Times New Roman" w:hAnsi="Times New Roman"/>
          <w:sz w:val="19"/>
          <w:szCs w:val="19"/>
          <w:color w:val="auto"/>
        </w:rPr>
        <w:t>has the meaning assigned to such term in the introduction to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w:t>
      </w:r>
    </w:p>
    <w:p>
      <w:pPr>
        <w:spacing w:after="0" w:line="131" w:lineRule="exact"/>
        <w:rPr>
          <w:sz w:val="20"/>
          <w:szCs w:val="20"/>
          <w:color w:val="auto"/>
        </w:rPr>
      </w:pPr>
    </w:p>
    <w:p>
      <w:pPr>
        <w:ind w:left="760" w:right="840" w:firstLine="576"/>
        <w:spacing w:after="0" w:line="249" w:lineRule="exact"/>
        <w:rPr>
          <w:sz w:val="20"/>
          <w:szCs w:val="20"/>
          <w:color w:val="auto"/>
        </w:rPr>
      </w:pPr>
      <w:r>
        <w:rPr>
          <w:rFonts w:ascii="Times New Roman" w:cs="Times New Roman" w:eastAsia="Times New Roman" w:hAnsi="Times New Roman"/>
          <w:sz w:val="19"/>
          <w:szCs w:val="19"/>
          <w:i w:val="1"/>
          <w:iCs w:val="1"/>
          <w:color w:val="auto"/>
        </w:rPr>
        <w:t xml:space="preserve">“Administrative Expense Cap” </w:t>
      </w:r>
      <w:r>
        <w:rPr>
          <w:rFonts w:ascii="Times New Roman" w:cs="Times New Roman" w:eastAsia="Times New Roman" w:hAnsi="Times New Roman"/>
          <w:sz w:val="19"/>
          <w:szCs w:val="19"/>
          <w:color w:val="auto"/>
        </w:rPr>
        <w:t>means, for any rolling 12</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month period, an amount equal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$300,000.</w:t>
      </w:r>
    </w:p>
    <w:p>
      <w:pPr>
        <w:spacing w:after="0" w:line="192" w:lineRule="exact"/>
        <w:rPr>
          <w:sz w:val="20"/>
          <w:szCs w:val="20"/>
          <w:color w:val="auto"/>
        </w:rPr>
      </w:pPr>
    </w:p>
    <w:p>
      <w:pPr>
        <w:ind w:left="760" w:right="92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“Administrative Expenses” </w:t>
      </w:r>
      <w:r>
        <w:rPr>
          <w:rFonts w:ascii="Times New Roman" w:cs="Times New Roman" w:eastAsia="Times New Roman" w:hAnsi="Times New Roman"/>
          <w:sz w:val="19"/>
          <w:szCs w:val="19"/>
          <w:color w:val="auto"/>
        </w:rPr>
        <w:t>means the fees and expenses (including indemnities)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amounts of the Borrower due or accrued with respect to any Payment Date and payable in the following order:</w:t>
      </w:r>
    </w:p>
    <w:p>
      <w:pPr>
        <w:spacing w:after="0" w:line="166" w:lineRule="exact"/>
        <w:rPr>
          <w:sz w:val="20"/>
          <w:szCs w:val="20"/>
          <w:color w:val="auto"/>
        </w:rPr>
      </w:pPr>
    </w:p>
    <w:p>
      <w:pPr>
        <w:ind w:left="1340" w:right="800" w:firstLine="47"/>
        <w:spacing w:after="0" w:line="260" w:lineRule="auto"/>
        <w:tabs>
          <w:tab w:leader="none" w:pos="165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the Collateral Agent, the Collateral Administrator, the Backup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Manager, Securities Intermediary and the Custodian, any amounts payable pursuant to the Collateral Agent Fee Letter, the Backup Collateral Manager Fee Letter, the Custodian Fee Letter, the Collateral Administration Agreement, this Agreement and the other Facility Documents;</w:t>
      </w:r>
    </w:p>
    <w:p>
      <w:pPr>
        <w:spacing w:after="0" w:line="172"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to the Administrative Agent for fees and accrued expenses;</w:t>
      </w:r>
    </w:p>
    <w:p>
      <w:pPr>
        <w:spacing w:after="0" w:line="225" w:lineRule="exact"/>
        <w:rPr>
          <w:rFonts w:ascii="Times New Roman" w:cs="Times New Roman" w:eastAsia="Times New Roman" w:hAnsi="Times New Roman"/>
          <w:sz w:val="19"/>
          <w:szCs w:val="19"/>
          <w:color w:val="auto"/>
        </w:rPr>
      </w:pPr>
    </w:p>
    <w:p>
      <w:pPr>
        <w:ind w:left="1340" w:right="800" w:firstLine="47"/>
        <w:spacing w:after="0" w:line="269" w:lineRule="auto"/>
        <w:tabs>
          <w:tab w:leader="none" w:pos="165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to the Collateral Manager for expenses (including indemnities) incurred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Collateral Manager in connection with the services provided under this Agreement and as further described in Sections 11.03, 11.07 and 11.09; and</w:t>
      </w:r>
    </w:p>
    <w:p>
      <w:pPr>
        <w:spacing w:after="0" w:line="165"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on a</w:t>
      </w:r>
      <w:r>
        <w:rPr>
          <w:rFonts w:ascii="Times New Roman" w:cs="Times New Roman" w:eastAsia="Times New Roman" w:hAnsi="Times New Roman"/>
          <w:sz w:val="19"/>
          <w:szCs w:val="19"/>
          <w:i w:val="1"/>
          <w:iCs w:val="1"/>
          <w:color w:val="auto"/>
        </w:rPr>
        <w:t xml:space="preserve"> pro rata </w:t>
      </w:r>
      <w:r>
        <w:rPr>
          <w:rFonts w:ascii="Times New Roman" w:cs="Times New Roman" w:eastAsia="Times New Roman" w:hAnsi="Times New Roman"/>
          <w:sz w:val="19"/>
          <w:szCs w:val="19"/>
          <w:color w:val="auto"/>
        </w:rPr>
        <w:t>basis, to:</w:t>
      </w:r>
    </w:p>
    <w:p>
      <w:pPr>
        <w:spacing w:after="0" w:line="227" w:lineRule="exact"/>
        <w:rPr>
          <w:rFonts w:ascii="Times New Roman" w:cs="Times New Roman" w:eastAsia="Times New Roman" w:hAnsi="Times New Roman"/>
          <w:sz w:val="19"/>
          <w:szCs w:val="19"/>
          <w:color w:val="auto"/>
        </w:rPr>
      </w:pPr>
    </w:p>
    <w:p>
      <w:pPr>
        <w:ind w:left="1920" w:right="920" w:firstLine="43"/>
        <w:spacing w:after="0" w:line="268" w:lineRule="auto"/>
        <w:tabs>
          <w:tab w:leader="none" w:pos="2197"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Independent Accountants, agents (other than the Collateral Manager) and counsel of the Borrower for fees and expenses related to the Collateral and the Facility Documents;</w:t>
      </w:r>
    </w:p>
    <w:p>
      <w:pPr>
        <w:spacing w:after="0" w:line="168" w:lineRule="exact"/>
        <w:rPr>
          <w:rFonts w:ascii="Times New Roman" w:cs="Times New Roman" w:eastAsia="Times New Roman" w:hAnsi="Times New Roman"/>
          <w:sz w:val="19"/>
          <w:szCs w:val="19"/>
          <w:color w:val="auto"/>
        </w:rPr>
      </w:pPr>
    </w:p>
    <w:p>
      <w:pPr>
        <w:ind w:left="1920" w:right="780" w:firstLine="43"/>
        <w:spacing w:after="0" w:line="286" w:lineRule="auto"/>
        <w:tabs>
          <w:tab w:leader="none" w:pos="2250"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Rating Agencies for fees and expenses in connection with the rating of (or provision of credit estimates in respect of) any Collateral Loans;</w:t>
      </w:r>
    </w:p>
    <w:p>
      <w:pPr>
        <w:spacing w:after="0" w:line="151" w:lineRule="exact"/>
        <w:rPr>
          <w:rFonts w:ascii="Times New Roman" w:cs="Times New Roman" w:eastAsia="Times New Roman" w:hAnsi="Times New Roman"/>
          <w:sz w:val="19"/>
          <w:szCs w:val="19"/>
          <w:color w:val="auto"/>
        </w:rPr>
      </w:pPr>
    </w:p>
    <w:p>
      <w:pPr>
        <w:ind w:left="1920" w:right="880" w:firstLine="43"/>
        <w:spacing w:after="0" w:line="258" w:lineRule="auto"/>
        <w:tabs>
          <w:tab w:leader="none" w:pos="2304"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Person in respect of any other fees or expenses permitted under or incurred pursuant to or in connection with the Facility Documents; and</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4" w:name="page95"/>
    <w:bookmarkEnd w:id="94"/>
    <w:p>
      <w:pPr>
        <w:spacing w:after="0" w:line="200" w:lineRule="exact"/>
        <w:rPr>
          <w:sz w:val="20"/>
          <w:szCs w:val="20"/>
          <w:color w:val="auto"/>
        </w:rPr>
      </w:pPr>
    </w:p>
    <w:p>
      <w:pPr>
        <w:spacing w:after="0" w:line="285" w:lineRule="exact"/>
        <w:rPr>
          <w:sz w:val="20"/>
          <w:szCs w:val="20"/>
          <w:color w:val="auto"/>
        </w:rPr>
      </w:pPr>
    </w:p>
    <w:p>
      <w:pPr>
        <w:jc w:val="both"/>
        <w:ind w:left="1920" w:right="1520" w:firstLine="43"/>
        <w:spacing w:after="0" w:line="268" w:lineRule="auto"/>
        <w:tabs>
          <w:tab w:leader="none" w:pos="2293"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Lenders and the Agents (or related indemnified parties) for fees, expenses and other amounts payable by the Borrower under any Facility Document;</w:t>
      </w:r>
    </w:p>
    <w:p>
      <w:pPr>
        <w:spacing w:after="0" w:line="166" w:lineRule="exact"/>
        <w:rPr>
          <w:sz w:val="20"/>
          <w:szCs w:val="20"/>
          <w:color w:val="auto"/>
        </w:rPr>
      </w:pPr>
    </w:p>
    <w:p>
      <w:pPr>
        <w:ind w:left="760" w:right="780"/>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for the avoidance of doubt, amounts that are expressly payable to any Person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the Priority of Payments in respect of an amount that is stated to be payable as an amount other than as Administrative Expenses (including, without limitation, interest and principal, other amounts owing in respect of the Advances and the Commitments, the Senior Collateral Management Fees and the Subordinated Collateral Management Fees) shall not constitute Administrative Expenses.</w:t>
      </w:r>
    </w:p>
    <w:p>
      <w:pPr>
        <w:spacing w:after="0" w:line="175" w:lineRule="exact"/>
        <w:rPr>
          <w:sz w:val="20"/>
          <w:szCs w:val="20"/>
          <w:color w:val="auto"/>
        </w:rPr>
      </w:pPr>
    </w:p>
    <w:p>
      <w:pPr>
        <w:ind w:left="760" w:right="7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Advance Rate</w:t>
      </w:r>
      <w:r>
        <w:rPr>
          <w:rFonts w:ascii="Times New Roman" w:cs="Times New Roman" w:eastAsia="Times New Roman" w:hAnsi="Times New Roman"/>
          <w:sz w:val="19"/>
          <w:szCs w:val="19"/>
          <w:color w:val="auto"/>
        </w:rPr>
        <w:t>” means, with respect to any Collateral Loan, the corresponding percentage for the loan type set forth below:</w:t>
      </w:r>
    </w:p>
    <w:p>
      <w:pPr>
        <w:spacing w:after="0" w:line="1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Loan Type  Advance Rate</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First Lien Loan 72.5%</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Split First Lien Loan 72.5%</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Tier 1 Split Lien Loan 53.0%</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Tier 2 Split Lien Loan 44.0%</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Second Lien Loan 35.0%</w:t>
      </w:r>
    </w:p>
    <w:p>
      <w:pPr>
        <w:spacing w:after="0" w:line="2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“Advances” </w:t>
      </w:r>
      <w:r>
        <w:rPr>
          <w:rFonts w:ascii="Times New Roman" w:cs="Times New Roman" w:eastAsia="Times New Roman" w:hAnsi="Times New Roman"/>
          <w:sz w:val="19"/>
          <w:szCs w:val="19"/>
          <w:color w:val="auto"/>
        </w:rPr>
        <w:t>has the meaning assigned to such term in Section 2.01.</w:t>
      </w:r>
    </w:p>
    <w:p>
      <w:pPr>
        <w:spacing w:after="0" w:line="226" w:lineRule="exact"/>
        <w:rPr>
          <w:sz w:val="20"/>
          <w:szCs w:val="20"/>
          <w:color w:val="auto"/>
        </w:rPr>
      </w:pPr>
    </w:p>
    <w:p>
      <w:pPr>
        <w:ind w:left="760" w:right="114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“Affected Person” </w:t>
      </w:r>
      <w:r>
        <w:rPr>
          <w:rFonts w:ascii="Times New Roman" w:cs="Times New Roman" w:eastAsia="Times New Roman" w:hAnsi="Times New Roman"/>
          <w:sz w:val="19"/>
          <w:szCs w:val="19"/>
          <w:color w:val="auto"/>
        </w:rPr>
        <w:t>means (i) each Lender and each of its Affiliates, (ii) any Liquidity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Bank and (iii) any assignee or participant of any Lender.</w:t>
      </w:r>
    </w:p>
    <w:p>
      <w:pPr>
        <w:spacing w:after="0" w:line="148" w:lineRule="exact"/>
        <w:rPr>
          <w:sz w:val="20"/>
          <w:szCs w:val="20"/>
          <w:color w:val="auto"/>
        </w:rPr>
      </w:pPr>
    </w:p>
    <w:p>
      <w:pPr>
        <w:ind w:left="760" w:right="88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“Affiliate” </w:t>
      </w:r>
      <w:r>
        <w:rPr>
          <w:rFonts w:ascii="Times New Roman" w:cs="Times New Roman" w:eastAsia="Times New Roman" w:hAnsi="Times New Roman"/>
          <w:sz w:val="19"/>
          <w:szCs w:val="19"/>
          <w:color w:val="auto"/>
        </w:rPr>
        <w:t>means, in respect of a referenced Person, another Person Controlling,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Controlled by or under common Control with such referenced Person;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Person shall not be deemed to be an “</w:t>
      </w:r>
      <w:r>
        <w:rPr>
          <w:rFonts w:ascii="Times New Roman" w:cs="Times New Roman" w:eastAsia="Times New Roman" w:hAnsi="Times New Roman"/>
          <w:sz w:val="19"/>
          <w:szCs w:val="19"/>
          <w:i w:val="1"/>
          <w:iCs w:val="1"/>
          <w:color w:val="auto"/>
        </w:rPr>
        <w:t>Affiliate</w:t>
      </w:r>
      <w:r>
        <w:rPr>
          <w:rFonts w:ascii="Times New Roman" w:cs="Times New Roman" w:eastAsia="Times New Roman" w:hAnsi="Times New Roman"/>
          <w:sz w:val="19"/>
          <w:szCs w:val="19"/>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17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“Agents” </w:t>
      </w:r>
      <w:r>
        <w:rPr>
          <w:rFonts w:ascii="Times New Roman" w:cs="Times New Roman" w:eastAsia="Times New Roman" w:hAnsi="Times New Roman"/>
          <w:sz w:val="19"/>
          <w:szCs w:val="19"/>
          <w:color w:val="auto"/>
        </w:rPr>
        <w:t>means, collectively, the Administrative Agent and the Collateral Agent.</w:t>
      </w:r>
    </w:p>
    <w:p>
      <w:pPr>
        <w:spacing w:after="0" w:line="226" w:lineRule="exact"/>
        <w:rPr>
          <w:sz w:val="20"/>
          <w:szCs w:val="20"/>
          <w:color w:val="auto"/>
        </w:rPr>
      </w:pPr>
    </w:p>
    <w:p>
      <w:pPr>
        <w:jc w:val="both"/>
        <w:ind w:left="760" w:right="1240" w:firstLine="576"/>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“Agent’s Account”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212121"/>
        </w:rPr>
        <w:t>Truist Bank, Atlanta, GA, ABA # 053101121, Account to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212121"/>
        </w:rPr>
        <w:t>credited: Agency Services Operating Account, Account number: 1000022220783, Attn: Karen Weich, Ref: PennantPark Floating Rate Funding I, LLC</w:t>
      </w:r>
      <w:r>
        <w:rPr>
          <w:rFonts w:ascii="Times New Roman" w:cs="Times New Roman" w:eastAsia="Times New Roman" w:hAnsi="Times New Roman"/>
          <w:sz w:val="19"/>
          <w:szCs w:val="19"/>
          <w:color w:val="000000"/>
        </w:rPr>
        <w:t>.</w:t>
      </w:r>
    </w:p>
    <w:p>
      <w:pPr>
        <w:spacing w:after="0" w:line="17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“Aggregate Collateral Balance” </w:t>
      </w:r>
      <w:r>
        <w:rPr>
          <w:rFonts w:ascii="Times New Roman" w:cs="Times New Roman" w:eastAsia="Times New Roman" w:hAnsi="Times New Roman"/>
          <w:sz w:val="19"/>
          <w:szCs w:val="19"/>
          <w:color w:val="auto"/>
        </w:rPr>
        <w:t>means, at any time, the sum of:</w:t>
      </w:r>
    </w:p>
    <w:p>
      <w:pPr>
        <w:spacing w:after="0" w:line="26" w:lineRule="exact"/>
        <w:rPr>
          <w:sz w:val="20"/>
          <w:szCs w:val="20"/>
          <w:color w:val="auto"/>
        </w:rPr>
      </w:pPr>
    </w:p>
    <w:p>
      <w:pPr>
        <w:ind w:left="440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5" w:name="page96"/>
    <w:bookmarkEnd w:id="95"/>
    <w:p>
      <w:pPr>
        <w:spacing w:after="0" w:line="200" w:lineRule="exact"/>
        <w:rPr>
          <w:sz w:val="20"/>
          <w:szCs w:val="20"/>
          <w:color w:val="auto"/>
        </w:rPr>
      </w:pPr>
    </w:p>
    <w:p>
      <w:pPr>
        <w:spacing w:after="0" w:line="285" w:lineRule="exact"/>
        <w:rPr>
          <w:sz w:val="20"/>
          <w:szCs w:val="20"/>
          <w:color w:val="auto"/>
        </w:rPr>
      </w:pPr>
    </w:p>
    <w:p>
      <w:pPr>
        <w:ind w:left="1340" w:right="1040" w:firstLine="575"/>
        <w:spacing w:after="0" w:line="268" w:lineRule="auto"/>
        <w:tabs>
          <w:tab w:leader="none" w:pos="217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Principal Balance of all Eligible Collateral Loans (other than Defaulted Collateral Loans, Credit Improved Loans, Haircut Collateral Loans and Discount Collateral Loans), </w:t>
      </w:r>
      <w:r>
        <w:rPr>
          <w:rFonts w:ascii="Times New Roman" w:cs="Times New Roman" w:eastAsia="Times New Roman" w:hAnsi="Times New Roman"/>
          <w:sz w:val="19"/>
          <w:szCs w:val="19"/>
          <w:i w:val="1"/>
          <w:iCs w:val="1"/>
          <w:color w:val="auto"/>
        </w:rPr>
        <w:t>plus</w:t>
      </w:r>
    </w:p>
    <w:p>
      <w:pPr>
        <w:spacing w:after="0" w:line="166"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Defaulted Collateral Loan Balance, </w:t>
      </w:r>
      <w:r>
        <w:rPr>
          <w:rFonts w:ascii="Times New Roman" w:cs="Times New Roman" w:eastAsia="Times New Roman" w:hAnsi="Times New Roman"/>
          <w:sz w:val="19"/>
          <w:szCs w:val="19"/>
          <w:i w:val="1"/>
          <w:iCs w:val="1"/>
          <w:color w:val="auto"/>
        </w:rPr>
        <w:t>plus</w:t>
      </w:r>
    </w:p>
    <w:p>
      <w:pPr>
        <w:spacing w:after="0" w:line="227" w:lineRule="exact"/>
        <w:rPr>
          <w:rFonts w:ascii="Times New Roman" w:cs="Times New Roman" w:eastAsia="Times New Roman" w:hAnsi="Times New Roman"/>
          <w:sz w:val="19"/>
          <w:szCs w:val="19"/>
          <w:color w:val="auto"/>
        </w:rPr>
      </w:pPr>
    </w:p>
    <w:p>
      <w:pPr>
        <w:ind w:left="1340" w:right="1020" w:firstLine="575"/>
        <w:spacing w:after="0" w:line="268" w:lineRule="auto"/>
        <w:tabs>
          <w:tab w:leader="none" w:pos="217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Dollar Equivalent of the aggregate purchase price of all Discount Collateral Loans that are Eligible Collateral Loans and not Defaulted Collateral Loans, Haircut Collateral Loans or Credit Improved Loans, </w:t>
      </w:r>
      <w:r>
        <w:rPr>
          <w:rFonts w:ascii="Times New Roman" w:cs="Times New Roman" w:eastAsia="Times New Roman" w:hAnsi="Times New Roman"/>
          <w:sz w:val="19"/>
          <w:szCs w:val="19"/>
          <w:i w:val="1"/>
          <w:iCs w:val="1"/>
          <w:color w:val="auto"/>
        </w:rPr>
        <w:t>plus</w:t>
      </w:r>
    </w:p>
    <w:p>
      <w:pPr>
        <w:spacing w:after="0" w:line="168" w:lineRule="exact"/>
        <w:rPr>
          <w:rFonts w:ascii="Times New Roman" w:cs="Times New Roman" w:eastAsia="Times New Roman" w:hAnsi="Times New Roman"/>
          <w:sz w:val="19"/>
          <w:szCs w:val="19"/>
          <w:color w:val="auto"/>
        </w:rPr>
      </w:pPr>
    </w:p>
    <w:p>
      <w:pPr>
        <w:ind w:left="1340" w:right="840" w:firstLine="575"/>
        <w:spacing w:after="0" w:line="286" w:lineRule="auto"/>
        <w:tabs>
          <w:tab w:leader="none" w:pos="2188"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Revolving Exposure in respect of all Delayed Drawdown Collateral Loans and Revolving Collateral Loans that are Eligible Collateral Loans, </w:t>
      </w:r>
      <w:r>
        <w:rPr>
          <w:rFonts w:ascii="Times New Roman" w:cs="Times New Roman" w:eastAsia="Times New Roman" w:hAnsi="Times New Roman"/>
          <w:sz w:val="19"/>
          <w:szCs w:val="19"/>
          <w:i w:val="1"/>
          <w:iCs w:val="1"/>
          <w:color w:val="auto"/>
        </w:rPr>
        <w:t>plus</w:t>
      </w:r>
    </w:p>
    <w:p>
      <w:pPr>
        <w:spacing w:after="0" w:line="151" w:lineRule="exact"/>
        <w:rPr>
          <w:rFonts w:ascii="Times New Roman" w:cs="Times New Roman" w:eastAsia="Times New Roman" w:hAnsi="Times New Roman"/>
          <w:sz w:val="19"/>
          <w:szCs w:val="19"/>
          <w:color w:val="auto"/>
        </w:rPr>
      </w:pPr>
    </w:p>
    <w:p>
      <w:pPr>
        <w:ind w:left="1340" w:right="1460" w:firstLine="575"/>
        <w:spacing w:after="0" w:line="286" w:lineRule="auto"/>
        <w:tabs>
          <w:tab w:leader="none" w:pos="217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each Credit Improved Loan, an amount equal to the lower of (i) its Principal Balance and (ii) its Market Value, </w:t>
      </w:r>
      <w:r>
        <w:rPr>
          <w:rFonts w:ascii="Times New Roman" w:cs="Times New Roman" w:eastAsia="Times New Roman" w:hAnsi="Times New Roman"/>
          <w:sz w:val="19"/>
          <w:szCs w:val="19"/>
          <w:i w:val="1"/>
          <w:iCs w:val="1"/>
          <w:color w:val="auto"/>
        </w:rPr>
        <w:t>plus</w:t>
      </w:r>
    </w:p>
    <w:p>
      <w:pPr>
        <w:spacing w:after="0" w:line="151" w:lineRule="exact"/>
        <w:rPr>
          <w:rFonts w:ascii="Times New Roman" w:cs="Times New Roman" w:eastAsia="Times New Roman" w:hAnsi="Times New Roman"/>
          <w:sz w:val="19"/>
          <w:szCs w:val="19"/>
          <w:color w:val="auto"/>
        </w:rPr>
      </w:pPr>
    </w:p>
    <w:p>
      <w:pPr>
        <w:ind w:left="2160" w:hanging="245"/>
        <w:spacing w:after="0"/>
        <w:tabs>
          <w:tab w:leader="none" w:pos="216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Haircut Collateral Loan Balance;</w:t>
      </w:r>
    </w:p>
    <w:p>
      <w:pPr>
        <w:spacing w:after="0" w:line="224" w:lineRule="exact"/>
        <w:rPr>
          <w:sz w:val="20"/>
          <w:szCs w:val="20"/>
          <w:color w:val="auto"/>
        </w:rPr>
      </w:pPr>
    </w:p>
    <w:p>
      <w:pPr>
        <w:ind w:left="760" w:right="98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in calculating the Aggregate Collateral Balance, no Collateral Loans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included at a value in excess of the value of such Collateral Loan as reflected on the books and records of the Collateral Manager on such date of determination.</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“Aggregate Funded Spread” </w:t>
      </w:r>
      <w:r>
        <w:rPr>
          <w:rFonts w:ascii="Times New Roman" w:cs="Times New Roman" w:eastAsia="Times New Roman" w:hAnsi="Times New Roman"/>
          <w:sz w:val="19"/>
          <w:szCs w:val="19"/>
          <w:color w:val="auto"/>
        </w:rPr>
        <w:t>means, as of any date, the sum of:</w:t>
      </w:r>
    </w:p>
    <w:p>
      <w:pPr>
        <w:spacing w:after="0" w:line="228" w:lineRule="exact"/>
        <w:rPr>
          <w:sz w:val="20"/>
          <w:szCs w:val="20"/>
          <w:color w:val="auto"/>
        </w:rPr>
      </w:pPr>
    </w:p>
    <w:p>
      <w:pPr>
        <w:ind w:left="1340" w:right="840" w:firstLine="47"/>
        <w:spacing w:after="0" w:line="259" w:lineRule="auto"/>
        <w:tabs>
          <w:tab w:leader="none" w:pos="164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each Floating Rate Obligation (excluding any Floor Obligation) that bears interest at a spread over an index (including any London interbank offered rate based index), (i) the excess of the sum of such spread and such index </w:t>
      </w:r>
      <w:r>
        <w:rPr>
          <w:rFonts w:ascii="Times New Roman" w:cs="Times New Roman" w:eastAsia="Times New Roman" w:hAnsi="Times New Roman"/>
          <w:sz w:val="19"/>
          <w:szCs w:val="19"/>
          <w:i w:val="1"/>
          <w:iCs w:val="1"/>
          <w:color w:val="auto"/>
        </w:rPr>
        <w:t>over</w:t>
      </w:r>
      <w:r>
        <w:rPr>
          <w:rFonts w:ascii="Times New Roman" w:cs="Times New Roman" w:eastAsia="Times New Roman" w:hAnsi="Times New Roman"/>
          <w:sz w:val="19"/>
          <w:szCs w:val="19"/>
          <w:color w:val="auto"/>
        </w:rPr>
        <w:t xml:space="preserve"> Specified Rate as then in effect (which spread or excess may be expressed as a negative percentage) </w:t>
      </w:r>
      <w:r>
        <w:rPr>
          <w:rFonts w:ascii="Times New Roman" w:cs="Times New Roman" w:eastAsia="Times New Roman" w:hAnsi="Times New Roman"/>
          <w:sz w:val="19"/>
          <w:szCs w:val="19"/>
          <w:i w:val="1"/>
          <w:iCs w:val="1"/>
          <w:color w:val="auto"/>
        </w:rPr>
        <w:t xml:space="preserve">multiplied by </w:t>
      </w:r>
      <w:r>
        <w:rPr>
          <w:rFonts w:ascii="Times New Roman" w:cs="Times New Roman" w:eastAsia="Times New Roman" w:hAnsi="Times New Roman"/>
          <w:sz w:val="19"/>
          <w:szCs w:val="19"/>
          <w:color w:val="auto"/>
        </w:rPr>
        <w:t>(ii) the Principal Balance of such Collateral Loan; and</w:t>
      </w:r>
    </w:p>
    <w:p>
      <w:pPr>
        <w:spacing w:after="0" w:line="177" w:lineRule="exact"/>
        <w:rPr>
          <w:rFonts w:ascii="Times New Roman" w:cs="Times New Roman" w:eastAsia="Times New Roman" w:hAnsi="Times New Roman"/>
          <w:sz w:val="19"/>
          <w:szCs w:val="19"/>
          <w:color w:val="auto"/>
        </w:rPr>
      </w:pPr>
    </w:p>
    <w:p>
      <w:pPr>
        <w:ind w:left="1340" w:right="800" w:firstLine="47"/>
        <w:spacing w:after="0" w:line="262" w:lineRule="auto"/>
        <w:tabs>
          <w:tab w:leader="none" w:pos="166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each Floor Obligation, (i) the excess of the interest rate on such Floor Obligation (including any interest rate spread) as of such date </w:t>
      </w:r>
      <w:r>
        <w:rPr>
          <w:rFonts w:ascii="Times New Roman" w:cs="Times New Roman" w:eastAsia="Times New Roman" w:hAnsi="Times New Roman"/>
          <w:sz w:val="19"/>
          <w:szCs w:val="19"/>
          <w:i w:val="1"/>
          <w:iCs w:val="1"/>
          <w:color w:val="auto"/>
        </w:rPr>
        <w:t>over</w:t>
      </w:r>
      <w:r>
        <w:rPr>
          <w:rFonts w:ascii="Times New Roman" w:cs="Times New Roman" w:eastAsia="Times New Roman" w:hAnsi="Times New Roman"/>
          <w:sz w:val="19"/>
          <w:szCs w:val="19"/>
          <w:color w:val="auto"/>
        </w:rPr>
        <w:t xml:space="preserve"> Specified Rate as then in effect (which spread or excess may be expressed as a negative percentage) </w:t>
      </w:r>
      <w:r>
        <w:rPr>
          <w:rFonts w:ascii="Times New Roman" w:cs="Times New Roman" w:eastAsia="Times New Roman" w:hAnsi="Times New Roman"/>
          <w:sz w:val="19"/>
          <w:szCs w:val="19"/>
          <w:i w:val="1"/>
          <w:iCs w:val="1"/>
          <w:color w:val="auto"/>
        </w:rPr>
        <w:t>multiplied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by </w:t>
      </w:r>
      <w:r>
        <w:rPr>
          <w:rFonts w:ascii="Times New Roman" w:cs="Times New Roman" w:eastAsia="Times New Roman" w:hAnsi="Times New Roman"/>
          <w:sz w:val="19"/>
          <w:szCs w:val="19"/>
          <w:color w:val="auto"/>
        </w:rPr>
        <w:t>(ii) the Principal Balance of each such Collateral Loan.</w:t>
      </w:r>
    </w:p>
    <w:p>
      <w:pPr>
        <w:spacing w:after="0" w:line="172" w:lineRule="exact"/>
        <w:rPr>
          <w:sz w:val="20"/>
          <w:szCs w:val="20"/>
          <w:color w:val="auto"/>
        </w:rPr>
      </w:pPr>
    </w:p>
    <w:p>
      <w:pPr>
        <w:ind w:left="760" w:right="92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“Aggregate Principal Balance” </w:t>
      </w:r>
      <w:r>
        <w:rPr>
          <w:rFonts w:ascii="Times New Roman" w:cs="Times New Roman" w:eastAsia="Times New Roman" w:hAnsi="Times New Roman"/>
          <w:sz w:val="19"/>
          <w:szCs w:val="19"/>
          <w:color w:val="auto"/>
        </w:rPr>
        <w:t>means, when used with respect to all or a portion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Collateral Loans, the sum of the Principal Balances of all or of such portion of such Collateral Loans.</w:t>
      </w:r>
    </w:p>
    <w:p>
      <w:pPr>
        <w:spacing w:after="0" w:line="166" w:lineRule="exact"/>
        <w:rPr>
          <w:sz w:val="20"/>
          <w:szCs w:val="20"/>
          <w:color w:val="auto"/>
        </w:rPr>
      </w:pPr>
    </w:p>
    <w:p>
      <w:pPr>
        <w:ind w:left="760" w:right="80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“Aggregate Unfunded Spread” </w:t>
      </w:r>
      <w:r>
        <w:rPr>
          <w:rFonts w:ascii="Times New Roman" w:cs="Times New Roman" w:eastAsia="Times New Roman" w:hAnsi="Times New Roman"/>
          <w:sz w:val="19"/>
          <w:szCs w:val="19"/>
          <w:color w:val="auto"/>
        </w:rPr>
        <w:t>means, as of any date, the sum of the products obtained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by multiplying (a) for each Delayed Drawdown Collateral Loan and Revolving Collateral Loan, the related commitment fee or other analogous fees (expressed at a per annum rate) then in effect as of such date and (b) the undrawn commitments of each such Delayed Drawdown Collateral Loan and Revolving Collateral Loan as of such date.</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6" w:name="page97"/>
    <w:bookmarkEnd w:id="96"/>
    <w:p>
      <w:pPr>
        <w:spacing w:after="0" w:line="200" w:lineRule="exact"/>
        <w:rPr>
          <w:sz w:val="20"/>
          <w:szCs w:val="20"/>
          <w:color w:val="auto"/>
        </w:rPr>
      </w:pPr>
    </w:p>
    <w:p>
      <w:pPr>
        <w:spacing w:after="0" w:line="283" w:lineRule="exact"/>
        <w:rPr>
          <w:sz w:val="20"/>
          <w:szCs w:val="20"/>
          <w:color w:val="auto"/>
        </w:rPr>
      </w:pPr>
    </w:p>
    <w:p>
      <w:pPr>
        <w:ind w:left="760" w:right="1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“Agreed Foreign Currency” </w:t>
      </w:r>
      <w:r>
        <w:rPr>
          <w:rFonts w:ascii="Times New Roman" w:cs="Times New Roman" w:eastAsia="Times New Roman" w:hAnsi="Times New Roman"/>
          <w:sz w:val="19"/>
          <w:szCs w:val="19"/>
          <w:color w:val="auto"/>
        </w:rPr>
        <w:t>means, at any time, any of Canadian Dollars, Pounds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Sterling, Euros, and Australian Dollars.</w:t>
      </w:r>
    </w:p>
    <w:p>
      <w:pPr>
        <w:spacing w:after="0" w:line="148" w:lineRule="exact"/>
        <w:rPr>
          <w:sz w:val="20"/>
          <w:szCs w:val="20"/>
          <w:color w:val="auto"/>
        </w:rPr>
      </w:pPr>
    </w:p>
    <w:p>
      <w:pPr>
        <w:ind w:left="760" w:right="144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“Agreement” </w:t>
      </w:r>
      <w:r>
        <w:rPr>
          <w:rFonts w:ascii="Times New Roman" w:cs="Times New Roman" w:eastAsia="Times New Roman" w:hAnsi="Times New Roman"/>
          <w:sz w:val="19"/>
          <w:szCs w:val="19"/>
          <w:color w:val="auto"/>
        </w:rPr>
        <w:t>means this Revolving Credit and Security Agreement, as amended,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restated, supplemented or otherwise modified from time to time.</w:t>
      </w:r>
    </w:p>
    <w:p>
      <w:pPr>
        <w:spacing w:after="0" w:line="148" w:lineRule="exact"/>
        <w:rPr>
          <w:sz w:val="20"/>
          <w:szCs w:val="20"/>
          <w:color w:val="auto"/>
        </w:rPr>
      </w:pPr>
    </w:p>
    <w:p>
      <w:pPr>
        <w:ind w:left="760" w:right="90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Anti-Corruption Laws</w:t>
      </w:r>
      <w:r>
        <w:rPr>
          <w:rFonts w:ascii="Times New Roman" w:cs="Times New Roman" w:eastAsia="Times New Roman" w:hAnsi="Times New Roman"/>
          <w:sz w:val="19"/>
          <w:szCs w:val="19"/>
          <w:color w:val="auto"/>
        </w:rPr>
        <w:t>” means any laws, rules and regulations of any jurisdiction applicable from time to time to the Borrower concerning bribery or corruption, including the United States Foreign Corrupt Practices Act of 1977, (15 U.S.C. § 78dd-1, et seq.) and the U.K. Bribery Act 2010.</w:t>
      </w:r>
    </w:p>
    <w:p>
      <w:pPr>
        <w:spacing w:after="0" w:line="171" w:lineRule="exact"/>
        <w:rPr>
          <w:sz w:val="20"/>
          <w:szCs w:val="20"/>
          <w:color w:val="auto"/>
        </w:rPr>
      </w:pPr>
    </w:p>
    <w:p>
      <w:pPr>
        <w:jc w:val="both"/>
        <w:ind w:left="760" w:right="84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“Applicable Law” </w:t>
      </w:r>
      <w:r>
        <w:rPr>
          <w:rFonts w:ascii="Times New Roman" w:cs="Times New Roman" w:eastAsia="Times New Roman" w:hAnsi="Times New Roman"/>
          <w:sz w:val="19"/>
          <w:szCs w:val="19"/>
          <w:color w:val="auto"/>
        </w:rPr>
        <w:t>means any Law of any Governmental Authority, including all Federal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state banking or securities laws, to which the Person in question is subject or by which it or any of its assets or properties are bound.</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“Applicable Margin” </w:t>
      </w:r>
      <w:r>
        <w:rPr>
          <w:rFonts w:ascii="Times New Roman" w:cs="Times New Roman" w:eastAsia="Times New Roman" w:hAnsi="Times New Roman"/>
          <w:sz w:val="19"/>
          <w:szCs w:val="19"/>
          <w:color w:val="auto"/>
        </w:rPr>
        <w:t>has the meaning assigned to such term in the Lender Fee Letter.</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“Appraisal” </w:t>
      </w:r>
      <w:r>
        <w:rPr>
          <w:rFonts w:ascii="Times New Roman" w:cs="Times New Roman" w:eastAsia="Times New Roman" w:hAnsi="Times New Roman"/>
          <w:sz w:val="19"/>
          <w:szCs w:val="19"/>
          <w:color w:val="auto"/>
        </w:rPr>
        <w:t>means:</w:t>
      </w:r>
    </w:p>
    <w:p>
      <w:pPr>
        <w:spacing w:after="0" w:line="228" w:lineRule="exact"/>
        <w:rPr>
          <w:sz w:val="20"/>
          <w:szCs w:val="20"/>
          <w:color w:val="auto"/>
        </w:rPr>
      </w:pPr>
    </w:p>
    <w:p>
      <w:pPr>
        <w:ind w:left="1340" w:right="760" w:firstLine="47"/>
        <w:spacing w:after="0" w:line="232" w:lineRule="exact"/>
        <w:tabs>
          <w:tab w:leader="none" w:pos="164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Defaulted Collateral Loan, an appraisal of the assets securing such Defaulted Collateral Loan that is conducted by an Approved Appraisal Firm on the basis of the fair market value of such assets (that is, the price that would be paid by a willing buyer to a willing seller of such assets in an expedited sale on an arm’s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length basis), which may be in the form of an update or reaffirmation by an Approved Appraisal Firm of an Appraisal of such Defaulted Collateral Loan previously performed by an Approved Appraisal Firm; and</w:t>
      </w:r>
    </w:p>
    <w:p>
      <w:pPr>
        <w:spacing w:after="0" w:line="193" w:lineRule="exact"/>
        <w:rPr>
          <w:rFonts w:ascii="Times New Roman" w:cs="Times New Roman" w:eastAsia="Times New Roman" w:hAnsi="Times New Roman"/>
          <w:sz w:val="19"/>
          <w:szCs w:val="19"/>
          <w:color w:val="auto"/>
        </w:rPr>
      </w:pPr>
    </w:p>
    <w:p>
      <w:pPr>
        <w:ind w:left="1340" w:right="860" w:firstLine="47"/>
        <w:spacing w:after="0" w:line="259" w:lineRule="auto"/>
        <w:tabs>
          <w:tab w:leader="none" w:pos="16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Collateral Loan (other than a Defaulted Collateral Loan), an appraisal of such Collateral Loan that is conducted by an Approved Appraisal Firm, which may be in the form of an update or reaffirmation by an Approved Appraisal Firm of an Appraisal of such Collateral Loan previously performed by an Approved Appraisal Firm.</w:t>
      </w:r>
    </w:p>
    <w:p>
      <w:pPr>
        <w:spacing w:after="0" w:line="176" w:lineRule="exact"/>
        <w:rPr>
          <w:sz w:val="20"/>
          <w:szCs w:val="20"/>
          <w:color w:val="auto"/>
        </w:rPr>
      </w:pPr>
    </w:p>
    <w:p>
      <w:pPr>
        <w:ind w:left="760" w:right="7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“Approved Appraisal Firm” </w:t>
      </w:r>
      <w:r>
        <w:rPr>
          <w:rFonts w:ascii="Times New Roman" w:cs="Times New Roman" w:eastAsia="Times New Roman" w:hAnsi="Times New Roman"/>
          <w:sz w:val="19"/>
          <w:szCs w:val="19"/>
          <w:color w:val="auto"/>
        </w:rPr>
        <w:t>means (a) an independent appraisal firm recognized as being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experienced in conducting valuations of secured loans or (b) an independent financial adviser of recognized standing retained by the Borrower, the Collateral Manager or the agent or lenders under any Collateral Loan, in each case as consented to by the Administrative Agent.</w:t>
      </w:r>
    </w:p>
    <w:p>
      <w:pPr>
        <w:spacing w:after="0" w:line="171" w:lineRule="exact"/>
        <w:rPr>
          <w:sz w:val="20"/>
          <w:szCs w:val="20"/>
          <w:color w:val="auto"/>
        </w:rPr>
      </w:pPr>
    </w:p>
    <w:p>
      <w:pPr>
        <w:jc w:val="both"/>
        <w:ind w:left="760" w:right="82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“Assignment and Acceptance” </w:t>
      </w:r>
      <w:r>
        <w:rPr>
          <w:rFonts w:ascii="Times New Roman" w:cs="Times New Roman" w:eastAsia="Times New Roman" w:hAnsi="Times New Roman"/>
          <w:sz w:val="19"/>
          <w:szCs w:val="19"/>
          <w:color w:val="auto"/>
        </w:rPr>
        <w:t>means an Assignment and Acceptance in substantially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form of Exhibit D hereto, entered into by a Lender, an assignee, the Administrative Agent and, if applicable, the Borrower.</w:t>
      </w:r>
    </w:p>
    <w:p>
      <w:pPr>
        <w:spacing w:after="0" w:line="166" w:lineRule="exact"/>
        <w:rPr>
          <w:sz w:val="20"/>
          <w:szCs w:val="20"/>
          <w:color w:val="auto"/>
        </w:rPr>
      </w:pPr>
    </w:p>
    <w:p>
      <w:pPr>
        <w:ind w:left="760" w:right="90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“AUS”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“AUS$”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“Australian Dollar” </w:t>
      </w:r>
      <w:r>
        <w:rPr>
          <w:rFonts w:ascii="Times New Roman" w:cs="Times New Roman" w:eastAsia="Times New Roman" w:hAnsi="Times New Roman"/>
          <w:sz w:val="19"/>
          <w:szCs w:val="19"/>
          <w:color w:val="auto"/>
        </w:rPr>
        <w:t>means lawful money of the Commonwealth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Australia.</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7" w:name="page98"/>
    <w:bookmarkEnd w:id="97"/>
    <w:p>
      <w:pPr>
        <w:spacing w:after="0" w:line="200" w:lineRule="exact"/>
        <w:rPr>
          <w:sz w:val="20"/>
          <w:szCs w:val="20"/>
          <w:color w:val="auto"/>
        </w:rPr>
      </w:pPr>
    </w:p>
    <w:p>
      <w:pPr>
        <w:spacing w:after="0" w:line="283" w:lineRule="exact"/>
        <w:rPr>
          <w:sz w:val="20"/>
          <w:szCs w:val="20"/>
          <w:color w:val="auto"/>
        </w:rPr>
      </w:pPr>
    </w:p>
    <w:p>
      <w:pPr>
        <w:ind w:left="760" w:right="7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“Backup Collateral Manager” </w:t>
      </w:r>
      <w:r>
        <w:rPr>
          <w:rFonts w:ascii="Times New Roman" w:cs="Times New Roman" w:eastAsia="Times New Roman" w:hAnsi="Times New Roman"/>
          <w:sz w:val="19"/>
          <w:szCs w:val="19"/>
          <w:color w:val="auto"/>
        </w:rPr>
        <w:t>means U.S. Bank Trust Company, National Association,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national banking association, and any successor thereto appointed under this Agreement.</w:t>
      </w:r>
    </w:p>
    <w:p>
      <w:pPr>
        <w:spacing w:after="0" w:line="148" w:lineRule="exact"/>
        <w:rPr>
          <w:sz w:val="20"/>
          <w:szCs w:val="20"/>
          <w:color w:val="auto"/>
        </w:rPr>
      </w:pPr>
    </w:p>
    <w:p>
      <w:pPr>
        <w:ind w:left="760" w:right="8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“Backup Collateral Manager Fee Letter” </w:t>
      </w:r>
      <w:r>
        <w:rPr>
          <w:rFonts w:ascii="Times New Roman" w:cs="Times New Roman" w:eastAsia="Times New Roman" w:hAnsi="Times New Roman"/>
          <w:sz w:val="19"/>
          <w:szCs w:val="19"/>
          <w:color w:val="auto"/>
        </w:rPr>
        <w:t>means the Collateral Agent Fee Letter, setting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forth the fees payable by the Borrower, among other parties, to the Backup Collateral Manager in connection with the transactions contemplated by this Agreement, as the same may be amended or amended and restated from time to time.</w:t>
      </w:r>
    </w:p>
    <w:p>
      <w:pPr>
        <w:spacing w:after="0" w:line="171" w:lineRule="exact"/>
        <w:rPr>
          <w:sz w:val="20"/>
          <w:szCs w:val="20"/>
          <w:color w:val="auto"/>
        </w:rPr>
      </w:pPr>
    </w:p>
    <w:p>
      <w:pPr>
        <w:ind w:left="760" w:right="8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Backup Collateral Manager Indemnified Amounts</w:t>
      </w:r>
      <w:r>
        <w:rPr>
          <w:rFonts w:ascii="Times New Roman" w:cs="Times New Roman" w:eastAsia="Times New Roman" w:hAnsi="Times New Roman"/>
          <w:sz w:val="19"/>
          <w:szCs w:val="19"/>
          <w:color w:val="auto"/>
        </w:rPr>
        <w:t>” has the meaning set forth in Section 13.04 hereof.</w:t>
      </w:r>
    </w:p>
    <w:p>
      <w:pPr>
        <w:spacing w:after="0" w:line="148" w:lineRule="exact"/>
        <w:rPr>
          <w:sz w:val="20"/>
          <w:szCs w:val="20"/>
          <w:color w:val="auto"/>
        </w:rPr>
      </w:pPr>
    </w:p>
    <w:p>
      <w:pPr>
        <w:ind w:left="760" w:right="90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Bail-In Action</w:t>
      </w:r>
      <w:r>
        <w:rPr>
          <w:rFonts w:ascii="Times New Roman" w:cs="Times New Roman" w:eastAsia="Times New Roman" w:hAnsi="Times New Roman"/>
          <w:sz w:val="19"/>
          <w:szCs w:val="19"/>
          <w:color w:val="auto"/>
        </w:rPr>
        <w:t>” means the exercise of any Write-Down and Conversion Powers by the applicable EEA Resolution Authority in respect of any liability of an EEA Financial Institution.</w:t>
      </w:r>
    </w:p>
    <w:p>
      <w:pPr>
        <w:spacing w:after="0" w:line="148" w:lineRule="exact"/>
        <w:rPr>
          <w:sz w:val="20"/>
          <w:szCs w:val="20"/>
          <w:color w:val="auto"/>
        </w:rPr>
      </w:pPr>
    </w:p>
    <w:p>
      <w:pPr>
        <w:ind w:left="760" w:right="84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Bail-In Legislation</w:t>
      </w:r>
      <w:r>
        <w:rPr>
          <w:rFonts w:ascii="Times New Roman" w:cs="Times New Roman" w:eastAsia="Times New Roman" w:hAnsi="Times New Roman"/>
          <w:sz w:val="19"/>
          <w:szCs w:val="19"/>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“Bankruptcy Code” </w:t>
      </w:r>
      <w:r>
        <w:rPr>
          <w:rFonts w:ascii="Times New Roman" w:cs="Times New Roman" w:eastAsia="Times New Roman" w:hAnsi="Times New Roman"/>
          <w:sz w:val="19"/>
          <w:szCs w:val="19"/>
          <w:color w:val="auto"/>
        </w:rPr>
        <w:t>means the United States Bankruptcy Code, as amended.</w:t>
      </w:r>
    </w:p>
    <w:p>
      <w:pPr>
        <w:spacing w:after="0" w:line="226" w:lineRule="exact"/>
        <w:rPr>
          <w:sz w:val="20"/>
          <w:szCs w:val="20"/>
          <w:color w:val="auto"/>
        </w:rPr>
      </w:pPr>
    </w:p>
    <w:p>
      <w:pPr>
        <w:ind w:left="760" w:right="800" w:firstLine="576"/>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“Base Rate” </w:t>
      </w:r>
      <w:r>
        <w:rPr>
          <w:rFonts w:ascii="Times New Roman" w:cs="Times New Roman" w:eastAsia="Times New Roman" w:hAnsi="Times New Roman"/>
          <w:sz w:val="19"/>
          <w:szCs w:val="19"/>
          <w:color w:val="auto"/>
        </w:rPr>
        <w:t>means, on any date, a fluctuating interest rate</w:t>
      </w:r>
      <w:r>
        <w:rPr>
          <w:rFonts w:ascii="Times New Roman" w:cs="Times New Roman" w:eastAsia="Times New Roman" w:hAnsi="Times New Roman"/>
          <w:sz w:val="19"/>
          <w:szCs w:val="19"/>
          <w:i w:val="1"/>
          <w:iCs w:val="1"/>
          <w:color w:val="auto"/>
        </w:rPr>
        <w:t xml:space="preserve"> per annum </w:t>
      </w:r>
      <w:r>
        <w:rPr>
          <w:rFonts w:ascii="Times New Roman" w:cs="Times New Roman" w:eastAsia="Times New Roman" w:hAnsi="Times New Roman"/>
          <w:sz w:val="19"/>
          <w:szCs w:val="19"/>
          <w:color w:val="auto"/>
        </w:rPr>
        <w:t>equal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highest of (a) the Prime Rate, (b) the Federal Funds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0.50%, and (c) the sum of (i) the greater of (1) the Term SOFR Reference Rate for a tenor of one month on the day (such day, the “</w:t>
      </w:r>
      <w:r>
        <w:rPr>
          <w:rFonts w:ascii="Times New Roman" w:cs="Times New Roman" w:eastAsia="Times New Roman" w:hAnsi="Times New Roman"/>
          <w:sz w:val="19"/>
          <w:szCs w:val="19"/>
          <w:i w:val="1"/>
          <w:iCs w:val="1"/>
          <w:color w:val="auto"/>
        </w:rPr>
        <w:t>Base Rate Term SOFR Determination Day</w:t>
      </w:r>
      <w:r>
        <w:rPr>
          <w:rFonts w:ascii="Times New Roman" w:cs="Times New Roman" w:eastAsia="Times New Roman" w:hAnsi="Times New Roman"/>
          <w:sz w:val="19"/>
          <w:szCs w:val="19"/>
          <w:color w:val="auto"/>
        </w:rPr>
        <w:t xml:space="preserve">”) that is two (2) Term Benchmark Banking Days for Dollars prior to such day, as such rate is published by the Term SOFR Administrator; provided that if as of 5:00 p.m. on any Base Rate Term SOFR Determination Day the Term SOFR Reference Rate for the applicable tenor has not been published by the Term SOFR Administrator and a Benchmark Replacement Date with respect to the Term SOFR Reference Rate has not occurred, then the rate under this clause (1) will be the Term SOFR Reference Rate for such tenor as published by the Term SOFR Administrator on the first preceding Term Benchmark Banking Day for Dollars for which such Term SOFR Reference Rate for such tenor was published by the Term SOFR Administrator so long as such first preceding Term Benchmark Banking Day for Dollars is not more than three (3) Term Benchmark Banking Days for Dollars prior to such Base Rate Term SOFR Determination Day; and (2) the Floor;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solely to the extent that an Event of Default has occurred and is continuing, 1.00%. The Base Rate is a reference rate and does not necessarily represent the lowest or best rate actually charged to any customer of any Agent or any Lender. Interest calculated pursuant to clause (a) above will be determined based on a year of 365 days or 366 days, as applicable, and actual days elapsed. Interest calculated pursuant to clauses (b) and (c) above will be determined based on a year of 360 days and actual days elapsed. Any change in the Base Rate due to a change in the Prime Rate, the Federal Funds Rate or the Term SOFR Reference Rate as set forth above shall be effective from and including the effective date of such change in the Prime Rate, the Federal Funds Rate or the Term SOFR Reference Rate, respectively.</w:t>
      </w:r>
    </w:p>
    <w:p>
      <w:pPr>
        <w:spacing w:after="0" w:line="1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i w:val="1"/>
          <w:iCs w:val="1"/>
          <w:color w:val="auto"/>
        </w:rPr>
        <w:t xml:space="preserve">“BDC” </w:t>
      </w:r>
      <w:r>
        <w:rPr>
          <w:rFonts w:ascii="Times New Roman" w:cs="Times New Roman" w:eastAsia="Times New Roman" w:hAnsi="Times New Roman"/>
          <w:sz w:val="19"/>
          <w:szCs w:val="19"/>
          <w:color w:val="auto"/>
        </w:rPr>
        <w:t>means PennantPark Floating Rate Capital Ltd., a Maryland corporation.</w:t>
      </w:r>
    </w:p>
    <w:p>
      <w:pPr>
        <w:spacing w:after="0" w:line="26"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8" w:name="page99"/>
    <w:bookmarkEnd w:id="98"/>
    <w:p>
      <w:pPr>
        <w:spacing w:after="0" w:line="200" w:lineRule="exact"/>
        <w:rPr>
          <w:sz w:val="20"/>
          <w:szCs w:val="20"/>
          <w:color w:val="auto"/>
        </w:rPr>
      </w:pPr>
    </w:p>
    <w:p>
      <w:pPr>
        <w:spacing w:after="0" w:line="2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“Borrower” </w:t>
      </w:r>
      <w:r>
        <w:rPr>
          <w:rFonts w:ascii="Times New Roman" w:cs="Times New Roman" w:eastAsia="Times New Roman" w:hAnsi="Times New Roman"/>
          <w:sz w:val="19"/>
          <w:szCs w:val="19"/>
          <w:color w:val="auto"/>
        </w:rPr>
        <w:t>has the meaning assigned to such term in the introduction to this Agreement.</w:t>
      </w:r>
    </w:p>
    <w:p>
      <w:pPr>
        <w:spacing w:after="0" w:line="226" w:lineRule="exact"/>
        <w:rPr>
          <w:sz w:val="20"/>
          <w:szCs w:val="20"/>
          <w:color w:val="auto"/>
        </w:rPr>
      </w:pPr>
    </w:p>
    <w:p>
      <w:pPr>
        <w:ind w:left="760" w:right="16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“Borrower LLC Agreement” </w:t>
      </w:r>
      <w:r>
        <w:rPr>
          <w:rFonts w:ascii="Times New Roman" w:cs="Times New Roman" w:eastAsia="Times New Roman" w:hAnsi="Times New Roman"/>
          <w:sz w:val="19"/>
          <w:szCs w:val="19"/>
          <w:color w:val="auto"/>
        </w:rPr>
        <w:t>means the Limited Liability Company Operating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of the Borrower, dated as of June 23, 2011.</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“Borrowing” </w:t>
      </w:r>
      <w:r>
        <w:rPr>
          <w:rFonts w:ascii="Times New Roman" w:cs="Times New Roman" w:eastAsia="Times New Roman" w:hAnsi="Times New Roman"/>
          <w:sz w:val="19"/>
          <w:szCs w:val="19"/>
          <w:color w:val="auto"/>
        </w:rPr>
        <w:t>has the meaning assigned to such term in Section 2.01.</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“Borrowing Base” </w:t>
      </w:r>
      <w:r>
        <w:rPr>
          <w:rFonts w:ascii="Times New Roman" w:cs="Times New Roman" w:eastAsia="Times New Roman" w:hAnsi="Times New Roman"/>
          <w:sz w:val="19"/>
          <w:szCs w:val="19"/>
          <w:color w:val="auto"/>
        </w:rPr>
        <w:t>means, at any time, an amount equal to:</w:t>
      </w:r>
    </w:p>
    <w:p>
      <w:pPr>
        <w:spacing w:after="0" w:line="228" w:lineRule="exact"/>
        <w:rPr>
          <w:sz w:val="20"/>
          <w:szCs w:val="20"/>
          <w:color w:val="auto"/>
        </w:rPr>
      </w:pPr>
    </w:p>
    <w:p>
      <w:pPr>
        <w:ind w:left="1340" w:right="820" w:firstLine="575"/>
        <w:spacing w:after="0" w:line="286" w:lineRule="auto"/>
        <w:tabs>
          <w:tab w:leader="none" w:pos="2177"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Collateral Balance (excluding the Revolving Exposure pursuant to clause (d) of such definition), </w:t>
      </w:r>
      <w:r>
        <w:rPr>
          <w:rFonts w:ascii="Times New Roman" w:cs="Times New Roman" w:eastAsia="Times New Roman" w:hAnsi="Times New Roman"/>
          <w:sz w:val="19"/>
          <w:szCs w:val="19"/>
          <w:i w:val="1"/>
          <w:iCs w:val="1"/>
          <w:color w:val="auto"/>
        </w:rPr>
        <w:t>minus</w:t>
      </w:r>
    </w:p>
    <w:p>
      <w:pPr>
        <w:spacing w:after="0" w:line="151" w:lineRule="exact"/>
        <w:rPr>
          <w:rFonts w:ascii="Times New Roman" w:cs="Times New Roman" w:eastAsia="Times New Roman" w:hAnsi="Times New Roman"/>
          <w:sz w:val="19"/>
          <w:szCs w:val="19"/>
          <w:color w:val="auto"/>
        </w:rPr>
      </w:pPr>
    </w:p>
    <w:p>
      <w:pPr>
        <w:jc w:val="both"/>
        <w:ind w:left="1340" w:right="840" w:firstLine="575"/>
        <w:spacing w:after="0" w:line="268" w:lineRule="auto"/>
        <w:tabs>
          <w:tab w:leader="none" w:pos="2188"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during the Reinvestment Period, the Excess Concentration Amount and (ii) after the Reinvestment Period, the Excess Concentration Amount calculated as of the last day of the Reinvestment Period.</w:t>
      </w:r>
    </w:p>
    <w:p>
      <w:pPr>
        <w:spacing w:after="0" w:line="166" w:lineRule="exact"/>
        <w:rPr>
          <w:sz w:val="20"/>
          <w:szCs w:val="20"/>
          <w:color w:val="auto"/>
        </w:rPr>
      </w:pPr>
    </w:p>
    <w:p>
      <w:pPr>
        <w:ind w:left="760" w:right="8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“Borrowing Base Calculation Statement” </w:t>
      </w:r>
      <w:r>
        <w:rPr>
          <w:rFonts w:ascii="Times New Roman" w:cs="Times New Roman" w:eastAsia="Times New Roman" w:hAnsi="Times New Roman"/>
          <w:sz w:val="19"/>
          <w:szCs w:val="19"/>
          <w:color w:val="auto"/>
        </w:rPr>
        <w:t>means a statement in substantially the form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attached to the form of Notice of Borrowing attached hereto as Exhibit B,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17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“Borrowing Date” </w:t>
      </w:r>
      <w:r>
        <w:rPr>
          <w:rFonts w:ascii="Times New Roman" w:cs="Times New Roman" w:eastAsia="Times New Roman" w:hAnsi="Times New Roman"/>
          <w:sz w:val="19"/>
          <w:szCs w:val="19"/>
          <w:color w:val="auto"/>
        </w:rPr>
        <w:t>means the date of a Borrowing.</w:t>
      </w:r>
    </w:p>
    <w:p>
      <w:pPr>
        <w:spacing w:after="0" w:line="226" w:lineRule="exact"/>
        <w:rPr>
          <w:sz w:val="20"/>
          <w:szCs w:val="20"/>
          <w:color w:val="auto"/>
        </w:rPr>
      </w:pPr>
    </w:p>
    <w:p>
      <w:pPr>
        <w:ind w:left="760" w:right="92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“Business Day” </w:t>
      </w:r>
      <w:r>
        <w:rPr>
          <w:rFonts w:ascii="Times New Roman" w:cs="Times New Roman" w:eastAsia="Times New Roman" w:hAnsi="Times New Roman"/>
          <w:sz w:val="19"/>
          <w:szCs w:val="19"/>
          <w:color w:val="auto"/>
        </w:rPr>
        <w:t>means any day other than a Saturday or Sunday,</w:t>
      </w:r>
      <w:r>
        <w:rPr>
          <w:rFonts w:ascii="Times New Roman" w:cs="Times New Roman" w:eastAsia="Times New Roman" w:hAnsi="Times New Roman"/>
          <w:sz w:val="19"/>
          <w:szCs w:val="19"/>
          <w:i w:val="1"/>
          <w:iCs w:val="1"/>
          <w:color w:val="auto"/>
        </w:rPr>
        <w:t xml:space="preserve"> provided </w:t>
      </w:r>
      <w:r>
        <w:rPr>
          <w:rFonts w:ascii="Times New Roman" w:cs="Times New Roman" w:eastAsia="Times New Roman" w:hAnsi="Times New Roman"/>
          <w:sz w:val="19"/>
          <w:szCs w:val="19"/>
          <w:color w:val="auto"/>
        </w:rPr>
        <w:t>that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following shall not constitute Business Days (i) days on which banks are authorized or required to close in New York, New York, Minneapolis, Minnesota, Florence, South Carolina, or Charlotte, North Carolina, (ii) days on which the Depository Trust Company or commercial paper markets in the United States are closed, and (iii) if the applicable Business Day relates to the advance or continuation of, or conversion into, or payment of an Advance denominated in any Agreed Foreign Currency, days on which commercial banks and the London foreign exchange market settle payments in the Principal Financial Center are closed.</w:t>
      </w:r>
    </w:p>
    <w:p>
      <w:pPr>
        <w:spacing w:after="0" w:line="18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“Canadian Dollars”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“Cdn $” </w:t>
      </w:r>
      <w:r>
        <w:rPr>
          <w:rFonts w:ascii="Times New Roman" w:cs="Times New Roman" w:eastAsia="Times New Roman" w:hAnsi="Times New Roman"/>
          <w:sz w:val="19"/>
          <w:szCs w:val="19"/>
          <w:color w:val="auto"/>
        </w:rPr>
        <w:t>each means the lawful currency of Canada.</w:t>
      </w:r>
    </w:p>
    <w:p>
      <w:pPr>
        <w:spacing w:after="0" w:line="226" w:lineRule="exact"/>
        <w:rPr>
          <w:sz w:val="20"/>
          <w:szCs w:val="20"/>
          <w:color w:val="auto"/>
        </w:rPr>
      </w:pPr>
    </w:p>
    <w:p>
      <w:pPr>
        <w:ind w:left="760" w:right="90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“Cash” </w:t>
      </w:r>
      <w:r>
        <w:rPr>
          <w:rFonts w:ascii="Times New Roman" w:cs="Times New Roman" w:eastAsia="Times New Roman" w:hAnsi="Times New Roman"/>
          <w:sz w:val="19"/>
          <w:szCs w:val="19"/>
          <w:color w:val="auto"/>
        </w:rPr>
        <w:t>means any immediately available funds in Dollars or in any currency other than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Dollars (measured in terms of the Dollar Equivalent thereof) which is a freely convertible currency.</w:t>
      </w:r>
    </w:p>
    <w:p>
      <w:pPr>
        <w:spacing w:after="0" w:line="166" w:lineRule="exact"/>
        <w:rPr>
          <w:sz w:val="20"/>
          <w:szCs w:val="20"/>
          <w:color w:val="auto"/>
        </w:rPr>
      </w:pPr>
    </w:p>
    <w:p>
      <w:pPr>
        <w:ind w:left="760" w:right="1160" w:firstLine="576"/>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“Cause” </w:t>
      </w:r>
      <w:r>
        <w:rPr>
          <w:rFonts w:ascii="Times New Roman" w:cs="Times New Roman" w:eastAsia="Times New Roman" w:hAnsi="Times New Roman"/>
          <w:sz w:val="19"/>
          <w:szCs w:val="19"/>
          <w:color w:val="auto"/>
        </w:rPr>
        <w:t>means the indictment for or conviction of any crime of dishonesty or moral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turpitude or any act or omission that would constitute gross negligence, bad faith or willful</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misconduct.</w:t>
      </w:r>
    </w:p>
    <w:p>
      <w:pPr>
        <w:spacing w:after="0" w:line="185" w:lineRule="exact"/>
        <w:rPr>
          <w:sz w:val="20"/>
          <w:szCs w:val="20"/>
          <w:color w:val="auto"/>
        </w:rPr>
      </w:pPr>
    </w:p>
    <w:p>
      <w:pPr>
        <w:jc w:val="center"/>
        <w:ind w:right="-239"/>
        <w:spacing w:after="0" w:line="219" w:lineRule="exact"/>
        <w:rPr>
          <w:sz w:val="20"/>
          <w:szCs w:val="20"/>
          <w:color w:val="auto"/>
        </w:rPr>
      </w:pPr>
      <w:r>
        <w:rPr>
          <w:rFonts w:ascii="Times New Roman" w:cs="Times New Roman" w:eastAsia="Times New Roman" w:hAnsi="Times New Roman"/>
          <w:sz w:val="19"/>
          <w:szCs w:val="19"/>
          <w:i w:val="1"/>
          <w:iCs w:val="1"/>
          <w:color w:val="auto"/>
        </w:rPr>
        <w:t xml:space="preserve">“Certificated Security” </w:t>
      </w:r>
      <w:r>
        <w:rPr>
          <w:rFonts w:ascii="Times New Roman" w:cs="Times New Roman" w:eastAsia="Times New Roman" w:hAnsi="Times New Roman"/>
          <w:sz w:val="19"/>
          <w:szCs w:val="19"/>
          <w:color w:val="auto"/>
        </w:rPr>
        <w:t>has the meaning specified in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102(a)(4) of the UCC.</w:t>
      </w:r>
    </w:p>
    <w:p>
      <w:pPr>
        <w:spacing w:after="0" w:line="44"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99" w:name="page100"/>
    <w:bookmarkEnd w:id="99"/>
    <w:p>
      <w:pPr>
        <w:spacing w:after="0" w:line="200" w:lineRule="exact"/>
        <w:rPr>
          <w:sz w:val="20"/>
          <w:szCs w:val="20"/>
          <w:color w:val="auto"/>
        </w:rPr>
      </w:pPr>
    </w:p>
    <w:p>
      <w:pPr>
        <w:spacing w:after="0" w:line="2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“Change of Control” </w:t>
      </w:r>
      <w:r>
        <w:rPr>
          <w:rFonts w:ascii="Times New Roman" w:cs="Times New Roman" w:eastAsia="Times New Roman" w:hAnsi="Times New Roman"/>
          <w:sz w:val="19"/>
          <w:szCs w:val="19"/>
          <w:color w:val="auto"/>
        </w:rPr>
        <w:t>means, at any time, the occurrence of one of the following events:</w:t>
      </w:r>
    </w:p>
    <w:p>
      <w:pPr>
        <w:spacing w:after="0" w:line="34" w:lineRule="exact"/>
        <w:rPr>
          <w:sz w:val="20"/>
          <w:szCs w:val="20"/>
          <w:color w:val="auto"/>
        </w:rPr>
      </w:pPr>
    </w:p>
    <w:p>
      <w:pPr>
        <w:ind w:left="760" w:right="1320" w:firstLine="2"/>
        <w:spacing w:after="0" w:line="262" w:lineRule="auto"/>
        <w:tabs>
          <w:tab w:leader="none" w:pos="103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BDC fails to own 100% of the equity interests of the Borrower; or (2) PennantPark Investment Advisers, LLC is no longer the investment adviser of the BDC.</w:t>
      </w:r>
    </w:p>
    <w:p>
      <w:pPr>
        <w:spacing w:after="0" w:line="171" w:lineRule="exact"/>
        <w:rPr>
          <w:sz w:val="20"/>
          <w:szCs w:val="20"/>
          <w:color w:val="auto"/>
        </w:rPr>
      </w:pPr>
    </w:p>
    <w:p>
      <w:pPr>
        <w:ind w:left="760" w:right="104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“Class”</w:t>
      </w:r>
      <w:r>
        <w:rPr>
          <w:rFonts w:ascii="Times New Roman" w:cs="Times New Roman" w:eastAsia="Times New Roman" w:hAnsi="Times New Roman"/>
          <w:sz w:val="19"/>
          <w:szCs w:val="19"/>
          <w:color w:val="auto"/>
        </w:rPr>
        <w:t>, when used in reference to any Advance or Borrowing, refers to whether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Advance, or the Advances constituting such Borrowing, are Syndicated Dollar Advances, Syndicated Multicurrency Advances or Swingline Advances.</w:t>
      </w:r>
    </w:p>
    <w:p>
      <w:pPr>
        <w:spacing w:after="0" w:line="166" w:lineRule="exact"/>
        <w:rPr>
          <w:sz w:val="20"/>
          <w:szCs w:val="20"/>
          <w:color w:val="auto"/>
        </w:rPr>
      </w:pPr>
    </w:p>
    <w:p>
      <w:pPr>
        <w:ind w:left="760" w:right="9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“Clearing Agency” </w:t>
      </w:r>
      <w:r>
        <w:rPr>
          <w:rFonts w:ascii="Times New Roman" w:cs="Times New Roman" w:eastAsia="Times New Roman" w:hAnsi="Times New Roman"/>
          <w:sz w:val="19"/>
          <w:szCs w:val="19"/>
          <w:color w:val="auto"/>
        </w:rPr>
        <w:t>means an organization registered as a “clearing agency” pursuant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Section 17A of the Exchange Act.</w:t>
      </w:r>
    </w:p>
    <w:p>
      <w:pPr>
        <w:spacing w:after="0" w:line="148" w:lineRule="exact"/>
        <w:rPr>
          <w:sz w:val="20"/>
          <w:szCs w:val="20"/>
          <w:color w:val="auto"/>
        </w:rPr>
      </w:pPr>
    </w:p>
    <w:p>
      <w:pPr>
        <w:ind w:left="760" w:right="1160" w:firstLine="576"/>
        <w:spacing w:after="0" w:line="244" w:lineRule="exact"/>
        <w:rPr>
          <w:sz w:val="20"/>
          <w:szCs w:val="20"/>
          <w:color w:val="auto"/>
        </w:rPr>
      </w:pPr>
      <w:r>
        <w:rPr>
          <w:rFonts w:ascii="Times New Roman" w:cs="Times New Roman" w:eastAsia="Times New Roman" w:hAnsi="Times New Roman"/>
          <w:sz w:val="19"/>
          <w:szCs w:val="19"/>
          <w:i w:val="1"/>
          <w:iCs w:val="1"/>
          <w:color w:val="auto"/>
        </w:rPr>
        <w:t xml:space="preserve">“Clearing Corporation” </w:t>
      </w:r>
      <w:r>
        <w:rPr>
          <w:rFonts w:ascii="Times New Roman" w:cs="Times New Roman" w:eastAsia="Times New Roman" w:hAnsi="Times New Roman"/>
          <w:sz w:val="19"/>
          <w:szCs w:val="19"/>
          <w:color w:val="auto"/>
        </w:rPr>
        <w:t>means each entity included within the meaning of “clearing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corporation” under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102(a)(5) of the UCC.</w:t>
      </w:r>
    </w:p>
    <w:p>
      <w:pPr>
        <w:spacing w:after="0" w:line="184" w:lineRule="exact"/>
        <w:rPr>
          <w:sz w:val="20"/>
          <w:szCs w:val="20"/>
          <w:color w:val="auto"/>
        </w:rPr>
      </w:pPr>
    </w:p>
    <w:p>
      <w:pPr>
        <w:ind w:left="760" w:right="130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“Clearing Corporation Security” </w:t>
      </w:r>
      <w:r>
        <w:rPr>
          <w:rFonts w:ascii="Times New Roman" w:cs="Times New Roman" w:eastAsia="Times New Roman" w:hAnsi="Times New Roman"/>
          <w:sz w:val="19"/>
          <w:szCs w:val="19"/>
          <w:color w:val="auto"/>
        </w:rPr>
        <w:t>means securities which are in the custody of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“Closing Date” </w:t>
      </w:r>
      <w:r>
        <w:rPr>
          <w:rFonts w:ascii="Times New Roman" w:cs="Times New Roman" w:eastAsia="Times New Roman" w:hAnsi="Times New Roman"/>
          <w:sz w:val="19"/>
          <w:szCs w:val="19"/>
          <w:color w:val="auto"/>
        </w:rPr>
        <w:t>means August 12, 2021.</w:t>
      </w:r>
    </w:p>
    <w:p>
      <w:pPr>
        <w:spacing w:after="0" w:line="226" w:lineRule="exact"/>
        <w:rPr>
          <w:sz w:val="20"/>
          <w:szCs w:val="20"/>
          <w:color w:val="auto"/>
        </w:rPr>
      </w:pPr>
    </w:p>
    <w:p>
      <w:pPr>
        <w:ind w:left="760" w:right="8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“Code” </w:t>
      </w:r>
      <w:r>
        <w:rPr>
          <w:rFonts w:ascii="Times New Roman" w:cs="Times New Roman" w:eastAsia="Times New Roman" w:hAnsi="Times New Roman"/>
          <w:sz w:val="19"/>
          <w:szCs w:val="19"/>
          <w:color w:val="auto"/>
        </w:rPr>
        <w:t>means the Internal Revenue Code of 1986, as amended from time to time, 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successor statute.</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“Collateral” </w:t>
      </w:r>
      <w:r>
        <w:rPr>
          <w:rFonts w:ascii="Times New Roman" w:cs="Times New Roman" w:eastAsia="Times New Roman" w:hAnsi="Times New Roman"/>
          <w:sz w:val="19"/>
          <w:szCs w:val="19"/>
          <w:color w:val="auto"/>
        </w:rPr>
        <w:t>has the meaning assigned to such term in Section 7.01(a).</w:t>
      </w:r>
    </w:p>
    <w:p>
      <w:pPr>
        <w:spacing w:after="0" w:line="226" w:lineRule="exact"/>
        <w:rPr>
          <w:sz w:val="20"/>
          <w:szCs w:val="20"/>
          <w:color w:val="auto"/>
        </w:rPr>
      </w:pPr>
    </w:p>
    <w:p>
      <w:pPr>
        <w:ind w:left="760" w:right="114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“Collateral Administration Agreement” </w:t>
      </w:r>
      <w:r>
        <w:rPr>
          <w:rFonts w:ascii="Times New Roman" w:cs="Times New Roman" w:eastAsia="Times New Roman" w:hAnsi="Times New Roman"/>
          <w:sz w:val="19"/>
          <w:szCs w:val="19"/>
          <w:color w:val="auto"/>
        </w:rPr>
        <w:t>means that certain Collateral Administration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dated as of August 12, 2021 by and among the Collateral Administrator, the Collateral Manager and the Borrower, as amended from time to time.</w:t>
      </w:r>
    </w:p>
    <w:p>
      <w:pPr>
        <w:spacing w:after="0" w:line="166" w:lineRule="exact"/>
        <w:rPr>
          <w:sz w:val="20"/>
          <w:szCs w:val="20"/>
          <w:color w:val="auto"/>
        </w:rPr>
      </w:pPr>
    </w:p>
    <w:p>
      <w:pPr>
        <w:ind w:left="760" w:right="84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“Collateral Administrator” </w:t>
      </w:r>
      <w:r>
        <w:rPr>
          <w:rFonts w:ascii="Times New Roman" w:cs="Times New Roman" w:eastAsia="Times New Roman" w:hAnsi="Times New Roman"/>
          <w:sz w:val="19"/>
          <w:szCs w:val="19"/>
          <w:color w:val="auto"/>
        </w:rPr>
        <w:t>means U.S. Bank Trust Company, National Association,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successor thereto under the Collateral Administration Agreement.</w:t>
      </w:r>
    </w:p>
    <w:p>
      <w:pPr>
        <w:spacing w:after="0" w:line="148" w:lineRule="exact"/>
        <w:rPr>
          <w:sz w:val="20"/>
          <w:szCs w:val="20"/>
          <w:color w:val="auto"/>
        </w:rPr>
      </w:pPr>
    </w:p>
    <w:p>
      <w:pPr>
        <w:ind w:left="760" w:right="12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“Collateral Agent” </w:t>
      </w:r>
      <w:r>
        <w:rPr>
          <w:rFonts w:ascii="Times New Roman" w:cs="Times New Roman" w:eastAsia="Times New Roman" w:hAnsi="Times New Roman"/>
          <w:sz w:val="19"/>
          <w:szCs w:val="19"/>
          <w:color w:val="auto"/>
        </w:rPr>
        <w:t>has the meaning assigned to such term in the introduction to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w:t>
      </w:r>
    </w:p>
    <w:p>
      <w:pPr>
        <w:spacing w:after="0" w:line="148" w:lineRule="exact"/>
        <w:rPr>
          <w:sz w:val="20"/>
          <w:szCs w:val="20"/>
          <w:color w:val="auto"/>
        </w:rPr>
      </w:pPr>
    </w:p>
    <w:p>
      <w:pPr>
        <w:ind w:left="760" w:right="94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“Collateral Agent Fee Letter” </w:t>
      </w:r>
      <w:r>
        <w:rPr>
          <w:rFonts w:ascii="Times New Roman" w:cs="Times New Roman" w:eastAsia="Times New Roman" w:hAnsi="Times New Roman"/>
          <w:sz w:val="19"/>
          <w:szCs w:val="19"/>
          <w:color w:val="auto"/>
        </w:rPr>
        <w:t>means the fee letter, dated as of the date hereof, among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Collateral Agent, the Custodian, U.S. Bank National Association as Securities Intermediary under the Account Control Agreement, the Backup Collateral Manager, the Collateral Administrator, the Borrower and the Collateral Manager setting forth the fees payable by the Borrower to the Collateral Agent in connection with the transactions contemplated by this Agreement and other Facility Documents.</w:t>
      </w:r>
    </w:p>
    <w:p>
      <w:pPr>
        <w:spacing w:after="0" w:line="175" w:lineRule="exact"/>
        <w:rPr>
          <w:sz w:val="20"/>
          <w:szCs w:val="20"/>
          <w:color w:val="auto"/>
        </w:rPr>
      </w:pPr>
    </w:p>
    <w:p>
      <w:pPr>
        <w:ind w:left="760" w:right="94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“Collateral Interest Amount” </w:t>
      </w:r>
      <w:r>
        <w:rPr>
          <w:rFonts w:ascii="Times New Roman" w:cs="Times New Roman" w:eastAsia="Times New Roman" w:hAnsi="Times New Roman"/>
          <w:sz w:val="19"/>
          <w:szCs w:val="19"/>
          <w:color w:val="auto"/>
        </w:rPr>
        <w:t>means, as of any date of determination, without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duplication, the Dollar Equivalent of the aggregate amount of Interest Proceeds that has been received or that is expected to be received (other than Interest Proceeds expected to be received from Defaulted</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0" w:name="page101"/>
    <w:bookmarkEnd w:id="100"/>
    <w:p>
      <w:pPr>
        <w:spacing w:after="0" w:line="200" w:lineRule="exact"/>
        <w:rPr>
          <w:sz w:val="20"/>
          <w:szCs w:val="20"/>
          <w:color w:val="auto"/>
        </w:rPr>
      </w:pPr>
    </w:p>
    <w:p>
      <w:pPr>
        <w:spacing w:after="0" w:line="266" w:lineRule="exact"/>
        <w:rPr>
          <w:sz w:val="20"/>
          <w:szCs w:val="20"/>
          <w:color w:val="auto"/>
        </w:rPr>
      </w:pPr>
    </w:p>
    <w:p>
      <w:pPr>
        <w:ind w:left="760" w:right="800"/>
        <w:spacing w:after="0" w:line="239" w:lineRule="exact"/>
        <w:rPr>
          <w:sz w:val="20"/>
          <w:szCs w:val="20"/>
          <w:color w:val="auto"/>
        </w:rPr>
      </w:pPr>
      <w:r>
        <w:rPr>
          <w:rFonts w:ascii="Times New Roman" w:cs="Times New Roman" w:eastAsia="Times New Roman" w:hAnsi="Times New Roman"/>
          <w:sz w:val="19"/>
          <w:szCs w:val="19"/>
          <w:color w:val="auto"/>
        </w:rPr>
        <w:t>Collateral Loans, Ineligible Collateral Loans and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Cash Paying PIK Loans, in each case unless actually received), in each case during the Collection Period (and, if such Collection Period does not end on a Business Day, the next succeeding Business Day) in which such date of determination occurs.</w:t>
      </w:r>
    </w:p>
    <w:p>
      <w:pPr>
        <w:spacing w:after="0" w:line="191" w:lineRule="exact"/>
        <w:rPr>
          <w:sz w:val="20"/>
          <w:szCs w:val="20"/>
          <w:color w:val="auto"/>
        </w:rPr>
      </w:pPr>
    </w:p>
    <w:p>
      <w:pPr>
        <w:ind w:left="760" w:right="150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Collateral Loan</w:t>
      </w:r>
      <w:r>
        <w:rPr>
          <w:rFonts w:ascii="Times New Roman" w:cs="Times New Roman" w:eastAsia="Times New Roman" w:hAnsi="Times New Roman"/>
          <w:sz w:val="19"/>
          <w:szCs w:val="19"/>
          <w:color w:val="auto"/>
        </w:rPr>
        <w:t>” means a loan, debt obligation or debt security acquired by the Borrower (including Participation Interests).</w:t>
      </w:r>
    </w:p>
    <w:p>
      <w:pPr>
        <w:spacing w:after="0" w:line="148" w:lineRule="exact"/>
        <w:rPr>
          <w:sz w:val="20"/>
          <w:szCs w:val="20"/>
          <w:color w:val="auto"/>
        </w:rPr>
      </w:pPr>
    </w:p>
    <w:p>
      <w:pPr>
        <w:ind w:left="760" w:right="84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“Collateral Management Fees” </w:t>
      </w:r>
      <w:r>
        <w:rPr>
          <w:rFonts w:ascii="Times New Roman" w:cs="Times New Roman" w:eastAsia="Times New Roman" w:hAnsi="Times New Roman"/>
          <w:sz w:val="19"/>
          <w:szCs w:val="19"/>
          <w:color w:val="auto"/>
        </w:rPr>
        <w:t>means, collectively, Senior Collateral Management Fees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Subordinated Collateral Management Fees.</w:t>
      </w:r>
    </w:p>
    <w:p>
      <w:pPr>
        <w:spacing w:after="0" w:line="148" w:lineRule="exact"/>
        <w:rPr>
          <w:sz w:val="20"/>
          <w:szCs w:val="20"/>
          <w:color w:val="auto"/>
        </w:rPr>
      </w:pPr>
    </w:p>
    <w:p>
      <w:pPr>
        <w:ind w:left="760" w:right="800" w:firstLine="576"/>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“Collateral Management Standard” </w:t>
      </w:r>
      <w:r>
        <w:rPr>
          <w:rFonts w:ascii="Times New Roman" w:cs="Times New Roman" w:eastAsia="Times New Roman" w:hAnsi="Times New Roman"/>
          <w:sz w:val="19"/>
          <w:szCs w:val="19"/>
          <w:color w:val="auto"/>
        </w:rPr>
        <w:t>means, with respect to any Collateral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included in the Collateral, to service and administer such Collateral Loans in accordance with the Related Documents and all customary and usual servicing practices (a) which are consistent with the higher of: (i) the customary and usual servicing practices that a prudent loan investor or lender would use in servicing loans like the Collateral Loans for its own account, and (ii) the same care, skill, prudence and diligence with which the Collateral Manager services and administers loans for its own account or for the account of others; (b) to the extent not inconsistent with clause (a), with a view to maximize the value of the Collateral Loans; and (c) without regard to: (i) any relationship that the Collateral Manager or any Affiliate of the Collateral Manager may have with any Obligor or any Affiliate of any Obligor, (ii) the Collateral Manager’s obligations to incur servicing and administrative expenses with respect to a Collateral Loan, (iii) the Collateral Manager’s right to receive compensation for its services hereunder or with respect to any particular transaction, (iv) the ownership by the Collateral Manager or any Affiliate thereof of any retained interest or one or more loans of the same class as any Collateral Loans, (v) the ownership, servicing or management for others by the Collateral Manager of any other loans or property by the Collateral Manager, or (vi) any relationship that the Collateral Manager or any Affiliate of the Collateral Manager may have with any holder of other loans of the Obligor with respect to such Collateral Loans.</w:t>
      </w:r>
    </w:p>
    <w:p>
      <w:pPr>
        <w:spacing w:after="0" w:line="192" w:lineRule="exact"/>
        <w:rPr>
          <w:sz w:val="20"/>
          <w:szCs w:val="20"/>
          <w:color w:val="auto"/>
        </w:rPr>
      </w:pPr>
    </w:p>
    <w:p>
      <w:pPr>
        <w:ind w:left="760" w:right="9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“Collateral Manager” </w:t>
      </w:r>
      <w:r>
        <w:rPr>
          <w:rFonts w:ascii="Times New Roman" w:cs="Times New Roman" w:eastAsia="Times New Roman" w:hAnsi="Times New Roman"/>
          <w:sz w:val="19"/>
          <w:szCs w:val="19"/>
          <w:color w:val="auto"/>
        </w:rPr>
        <w:t>has the meaning assigned to such term in the introduction of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w:t>
      </w:r>
    </w:p>
    <w:p>
      <w:pPr>
        <w:spacing w:after="0" w:line="148" w:lineRule="exact"/>
        <w:rPr>
          <w:sz w:val="20"/>
          <w:szCs w:val="20"/>
          <w:color w:val="auto"/>
        </w:rPr>
      </w:pPr>
    </w:p>
    <w:p>
      <w:pPr>
        <w:ind w:left="760" w:right="9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“Collateral Manager Event of Default” </w:t>
      </w:r>
      <w:r>
        <w:rPr>
          <w:rFonts w:ascii="Times New Roman" w:cs="Times New Roman" w:eastAsia="Times New Roman" w:hAnsi="Times New Roman"/>
          <w:sz w:val="19"/>
          <w:szCs w:val="19"/>
          <w:color w:val="auto"/>
        </w:rPr>
        <w:t>means the occurrence of any of the events, acts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circumstances set forth in Section 6.02.</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“Collateral Manager Replacement Event” </w:t>
      </w:r>
      <w:r>
        <w:rPr>
          <w:rFonts w:ascii="Times New Roman" w:cs="Times New Roman" w:eastAsia="Times New Roman" w:hAnsi="Times New Roman"/>
          <w:sz w:val="19"/>
          <w:szCs w:val="19"/>
          <w:color w:val="auto"/>
        </w:rPr>
        <w:t>means the occurrence of the following event:</w:t>
      </w:r>
    </w:p>
    <w:p>
      <w:pPr>
        <w:spacing w:after="0" w:line="2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auto"/>
        </w:rPr>
        <w:t>(a) the Default Ratio shall exceed 10.0%.</w:t>
      </w:r>
    </w:p>
    <w:p>
      <w:pPr>
        <w:spacing w:after="0" w:line="224" w:lineRule="exact"/>
        <w:rPr>
          <w:sz w:val="20"/>
          <w:szCs w:val="20"/>
          <w:color w:val="auto"/>
        </w:rPr>
      </w:pPr>
    </w:p>
    <w:p>
      <w:pPr>
        <w:ind w:left="760" w:right="80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Collateral Quality Test</w:t>
      </w:r>
      <w:r>
        <w:rPr>
          <w:rFonts w:ascii="Times New Roman" w:cs="Times New Roman" w:eastAsia="Times New Roman" w:hAnsi="Times New Roman"/>
          <w:sz w:val="19"/>
          <w:szCs w:val="19"/>
          <w:color w:val="auto"/>
        </w:rPr>
        <w:t>” means a test that is satisfied if, as of any date of determination, in the aggregate, the Collateral Loans owned (or, in relation to a proposed purchase of a Collateral Loan, both owned and proposed to be owned) by the Borrower satisfy each of the tests set forth below, calculated, in each case, in accordance with Section 1.04:</w:t>
      </w:r>
    </w:p>
    <w:p>
      <w:pPr>
        <w:spacing w:after="0" w:line="173" w:lineRule="exact"/>
        <w:rPr>
          <w:sz w:val="20"/>
          <w:szCs w:val="20"/>
          <w:color w:val="auto"/>
        </w:rPr>
      </w:pPr>
    </w:p>
    <w:p>
      <w:pPr>
        <w:ind w:left="2180" w:hanging="265"/>
        <w:spacing w:after="0"/>
        <w:tabs>
          <w:tab w:leader="none" w:pos="218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Minimum Weighted Average Spread Test;</w:t>
      </w:r>
    </w:p>
    <w:p>
      <w:pPr>
        <w:spacing w:after="0" w:line="24" w:lineRule="exact"/>
        <w:rPr>
          <w:rFonts w:ascii="Times New Roman" w:cs="Times New Roman" w:eastAsia="Times New Roman" w:hAnsi="Times New Roman"/>
          <w:sz w:val="19"/>
          <w:szCs w:val="19"/>
          <w:color w:val="auto"/>
        </w:rPr>
      </w:pPr>
    </w:p>
    <w:p>
      <w:pPr>
        <w:ind w:left="4400"/>
        <w:spacing w:after="0" w:line="219" w:lineRule="exact"/>
        <w:rPr>
          <w:rFonts w:ascii="Times New Roman" w:cs="Times New Roman" w:eastAsia="Times New Roman" w:hAnsi="Times New Roman"/>
          <w:sz w:val="19"/>
          <w:szCs w:val="19"/>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1" w:name="page102"/>
    <w:bookmarkEnd w:id="101"/>
    <w:p>
      <w:pPr>
        <w:spacing w:after="0" w:line="200" w:lineRule="exact"/>
        <w:rPr>
          <w:sz w:val="20"/>
          <w:szCs w:val="20"/>
          <w:color w:val="auto"/>
        </w:rPr>
      </w:pPr>
    </w:p>
    <w:p>
      <w:pPr>
        <w:spacing w:after="0" w:line="285" w:lineRule="exact"/>
        <w:rPr>
          <w:sz w:val="20"/>
          <w:szCs w:val="20"/>
          <w:color w:val="auto"/>
        </w:rPr>
      </w:pPr>
    </w:p>
    <w:p>
      <w:pPr>
        <w:ind w:left="2180" w:hanging="265"/>
        <w:spacing w:after="0"/>
        <w:tabs>
          <w:tab w:leader="none" w:pos="218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Minimum Weighted Average Coupon Test; and</w:t>
      </w:r>
    </w:p>
    <w:p>
      <w:pPr>
        <w:spacing w:after="0" w:line="225"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Maximum Weighted Average Life Test.</w:t>
      </w:r>
    </w:p>
    <w:p>
      <w:pPr>
        <w:spacing w:after="0" w:line="224" w:lineRule="exact"/>
        <w:rPr>
          <w:sz w:val="20"/>
          <w:szCs w:val="20"/>
          <w:color w:val="auto"/>
        </w:rPr>
      </w:pPr>
    </w:p>
    <w:p>
      <w:pPr>
        <w:ind w:left="760" w:right="9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“Collection Account” </w:t>
      </w:r>
      <w:r>
        <w:rPr>
          <w:rFonts w:ascii="Times New Roman" w:cs="Times New Roman" w:eastAsia="Times New Roman" w:hAnsi="Times New Roman"/>
          <w:sz w:val="19"/>
          <w:szCs w:val="19"/>
          <w:color w:val="auto"/>
        </w:rPr>
        <w:t>means the trust account established pursuant to Section 8.02,</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includes each Principal Collection Subaccount and each Interest Collection Subaccount.</w:t>
      </w:r>
    </w:p>
    <w:p>
      <w:pPr>
        <w:spacing w:after="0" w:line="148" w:lineRule="exact"/>
        <w:rPr>
          <w:sz w:val="20"/>
          <w:szCs w:val="20"/>
          <w:color w:val="auto"/>
        </w:rPr>
      </w:pPr>
    </w:p>
    <w:p>
      <w:pPr>
        <w:ind w:left="760" w:right="92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“Collection Period” </w:t>
      </w:r>
      <w:r>
        <w:rPr>
          <w:rFonts w:ascii="Times New Roman" w:cs="Times New Roman" w:eastAsia="Times New Roman" w:hAnsi="Times New Roman"/>
          <w:sz w:val="19"/>
          <w:szCs w:val="19"/>
          <w:color w:val="auto"/>
        </w:rPr>
        <w:t>means, with respect to any Payment Date, the period commencing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immediately following the prior Collection Period (or on the Closing Date, in the case of the Collection Period relating to the first Payment Date) and ending on the last day of the month prior to the month in which such Payment Date occurs (or, if such last day of the month is not a Business Day, the next succeeding Business Day)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184" w:lineRule="exact"/>
        <w:rPr>
          <w:sz w:val="20"/>
          <w:szCs w:val="20"/>
          <w:color w:val="auto"/>
        </w:rPr>
      </w:pPr>
    </w:p>
    <w:p>
      <w:pPr>
        <w:ind w:left="760" w:right="80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“Collections” </w:t>
      </w:r>
      <w:r>
        <w:rPr>
          <w:rFonts w:ascii="Times New Roman" w:cs="Times New Roman" w:eastAsia="Times New Roman" w:hAnsi="Times New Roman"/>
          <w:sz w:val="19"/>
          <w:szCs w:val="19"/>
          <w:color w:val="auto"/>
        </w:rPr>
        <w:t>means all cash collections, distributions, payments and other amounts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received, and to be received by the Borrower, from any Person in respect of any Collateral Loans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173" w:lineRule="exact"/>
        <w:rPr>
          <w:sz w:val="20"/>
          <w:szCs w:val="20"/>
          <w:color w:val="auto"/>
        </w:rPr>
      </w:pPr>
    </w:p>
    <w:p>
      <w:pPr>
        <w:ind w:left="760" w:right="80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“Commitment” </w:t>
      </w:r>
      <w:r>
        <w:rPr>
          <w:rFonts w:ascii="Times New Roman" w:cs="Times New Roman" w:eastAsia="Times New Roman" w:hAnsi="Times New Roman"/>
          <w:sz w:val="19"/>
          <w:szCs w:val="19"/>
          <w:color w:val="auto"/>
        </w:rPr>
        <w:t>means, as to each Lender, the obligation of such Lender to make, on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subject to the terms and conditions hereof, Advances to the Borrower pursuant to Section 2.01. The aggregate Dollar Equivalent of the principal amount of Advances made by any Lender at any one time outstanding shall not exceed the amount set forth opposite the name of such Lender on Schedule 1 or in the Assignment and Acceptance pursuant to which such Lender shall have assumed its Commitment, as applicable, as such amount may be reduced from time to time pursuant to Section 2.06 or increased or reduced from time to time pursuant to assignments effected in accordance with Section 15.06(a).</w:t>
      </w:r>
    </w:p>
    <w:p>
      <w:pPr>
        <w:spacing w:after="0" w:line="18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“Commitment Fees” </w:t>
      </w:r>
      <w:r>
        <w:rPr>
          <w:rFonts w:ascii="Times New Roman" w:cs="Times New Roman" w:eastAsia="Times New Roman" w:hAnsi="Times New Roman"/>
          <w:sz w:val="19"/>
          <w:szCs w:val="19"/>
          <w:color w:val="auto"/>
        </w:rPr>
        <w:t>has the meaning assigned to such term in the Lender Fee Letter.</w:t>
      </w:r>
    </w:p>
    <w:p>
      <w:pPr>
        <w:spacing w:after="0" w:line="226" w:lineRule="exact"/>
        <w:rPr>
          <w:sz w:val="20"/>
          <w:szCs w:val="20"/>
          <w:color w:val="auto"/>
        </w:rPr>
      </w:pPr>
    </w:p>
    <w:p>
      <w:pPr>
        <w:ind w:left="760" w:right="7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“Commitment Termination Date” </w:t>
      </w:r>
      <w:r>
        <w:rPr>
          <w:rFonts w:ascii="Times New Roman" w:cs="Times New Roman" w:eastAsia="Times New Roman" w:hAnsi="Times New Roman"/>
          <w:sz w:val="19"/>
          <w:szCs w:val="19"/>
          <w:color w:val="auto"/>
        </w:rPr>
        <w:t>means the last day of the Reinvestment Period;</w:t>
      </w:r>
      <w:r>
        <w:rPr>
          <w:rFonts w:ascii="Times New Roman" w:cs="Times New Roman" w:eastAsia="Times New Roman" w:hAnsi="Times New Roman"/>
          <w:sz w:val="19"/>
          <w:szCs w:val="19"/>
          <w:i w:val="1"/>
          <w:iCs w:val="1"/>
          <w:color w:val="auto"/>
        </w:rPr>
        <w:t xml:space="preserve"> provided </w:t>
      </w:r>
      <w:r>
        <w:rPr>
          <w:rFonts w:ascii="Times New Roman" w:cs="Times New Roman" w:eastAsia="Times New Roman" w:hAnsi="Times New Roman"/>
          <w:sz w:val="19"/>
          <w:szCs w:val="19"/>
          <w:color w:val="auto"/>
        </w:rPr>
        <w:t>that, if the Commitment Termination Date would otherwise not be a Business Day, then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Commitment Termination Date shall be the immediately succeeding Business Day.</w:t>
      </w:r>
    </w:p>
    <w:p>
      <w:pPr>
        <w:spacing w:after="0" w:line="166" w:lineRule="exact"/>
        <w:rPr>
          <w:sz w:val="20"/>
          <w:szCs w:val="20"/>
          <w:color w:val="auto"/>
        </w:rPr>
      </w:pPr>
    </w:p>
    <w:p>
      <w:pPr>
        <w:ind w:left="760" w:right="78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“Concentration Limitations” </w:t>
      </w:r>
      <w:r>
        <w:rPr>
          <w:rFonts w:ascii="Times New Roman" w:cs="Times New Roman" w:eastAsia="Times New Roman" w:hAnsi="Times New Roman"/>
          <w:sz w:val="19"/>
          <w:szCs w:val="19"/>
          <w:color w:val="auto"/>
        </w:rPr>
        <w:t>means, as of any date of determination, the following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limitations (calculated without duplication) as applied to the Eligible Collateral Loans (including, for Delayed Drawdown Collateral Loans and Revolving Collateral Loans, the unfunded commitments thereunder) owned (or, in relation to a proposed purchase of an Eligible Collateral Loan, proposed to be owned) by the Borrower, calculated as a percentage of the Aggregate Principal Balance of all Eligible Collateral Loans (including, for Delayed Drawdown Collateral</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2" w:name="page103"/>
    <w:bookmarkEnd w:id="102"/>
    <w:p>
      <w:pPr>
        <w:spacing w:after="0" w:line="200" w:lineRule="exact"/>
        <w:rPr>
          <w:sz w:val="20"/>
          <w:szCs w:val="20"/>
          <w:color w:val="auto"/>
        </w:rPr>
      </w:pPr>
    </w:p>
    <w:p>
      <w:pPr>
        <w:spacing w:after="0" w:line="285" w:lineRule="exact"/>
        <w:rPr>
          <w:sz w:val="20"/>
          <w:szCs w:val="20"/>
          <w:color w:val="auto"/>
        </w:rPr>
      </w:pPr>
    </w:p>
    <w:p>
      <w:pPr>
        <w:ind w:left="760" w:right="1080"/>
        <w:spacing w:after="0" w:line="286" w:lineRule="auto"/>
        <w:rPr>
          <w:sz w:val="20"/>
          <w:szCs w:val="20"/>
          <w:color w:val="auto"/>
        </w:rPr>
      </w:pPr>
      <w:r>
        <w:rPr>
          <w:rFonts w:ascii="Times New Roman" w:cs="Times New Roman" w:eastAsia="Times New Roman" w:hAnsi="Times New Roman"/>
          <w:sz w:val="19"/>
          <w:szCs w:val="19"/>
          <w:color w:val="auto"/>
        </w:rPr>
        <w:t>Loans and Revolving Collateral Loans, the unfunded commitments thereunder) owned by the Borrower (after giving effect to any proposed purchase of Eligible Collateral Loans)</w:t>
      </w:r>
    </w:p>
    <w:p>
      <w:pPr>
        <w:spacing w:after="0" w:line="151" w:lineRule="exact"/>
        <w:rPr>
          <w:sz w:val="20"/>
          <w:szCs w:val="20"/>
          <w:color w:val="auto"/>
        </w:rPr>
      </w:pPr>
    </w:p>
    <w:p>
      <w:pPr>
        <w:ind w:left="1340" w:right="1360" w:firstLine="575"/>
        <w:spacing w:after="0"/>
        <w:tabs>
          <w:tab w:leader="none" w:pos="2177"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5.00% may consist of Collateral Loans that are issued by a single Obligor and its Affiliates, except that (1) up to 6.67% may consist of Collateral Loans issued by each of the three (3) largest single Obligors and their respective Affiliates and (2) up to 6.00% may consist of Collateral Loans issued by each of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and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largest single Obligors and their respective Affiliates;</w:t>
      </w:r>
    </w:p>
    <w:p>
      <w:pPr>
        <w:spacing w:after="0" w:line="193" w:lineRule="exact"/>
        <w:rPr>
          <w:rFonts w:ascii="Times New Roman" w:cs="Times New Roman" w:eastAsia="Times New Roman" w:hAnsi="Times New Roman"/>
          <w:sz w:val="19"/>
          <w:szCs w:val="19"/>
          <w:color w:val="auto"/>
        </w:rPr>
      </w:pPr>
    </w:p>
    <w:p>
      <w:pPr>
        <w:ind w:left="1340" w:right="1500" w:firstLine="575"/>
        <w:spacing w:after="0" w:line="268" w:lineRule="auto"/>
        <w:tabs>
          <w:tab w:leader="none" w:pos="218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30.00% may consist of Collateral Loans that are issued by the five (5) largest single Obligors and their respective Affiliates in the aggregate;</w:t>
      </w:r>
    </w:p>
    <w:p>
      <w:pPr>
        <w:spacing w:after="0" w:line="168" w:lineRule="exact"/>
        <w:rPr>
          <w:rFonts w:ascii="Times New Roman" w:cs="Times New Roman" w:eastAsia="Times New Roman" w:hAnsi="Times New Roman"/>
          <w:sz w:val="19"/>
          <w:szCs w:val="19"/>
          <w:color w:val="auto"/>
        </w:rPr>
      </w:pPr>
    </w:p>
    <w:p>
      <w:pPr>
        <w:ind w:left="1340" w:right="1500" w:firstLine="575"/>
        <w:spacing w:after="0" w:line="262" w:lineRule="auto"/>
        <w:tabs>
          <w:tab w:leader="none" w:pos="2177"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15.00% may consist of Collateral Loans that are issued by Obligors and their Affiliates that belong to any single S&amp;P Industry Classification, except that up to 25.00% may consist of Collateral Loans with Obligors and their Affiliates in the largest S&amp;P Industry Classification;</w:t>
      </w:r>
    </w:p>
    <w:p>
      <w:pPr>
        <w:spacing w:after="0" w:line="174" w:lineRule="exact"/>
        <w:rPr>
          <w:rFonts w:ascii="Times New Roman" w:cs="Times New Roman" w:eastAsia="Times New Roman" w:hAnsi="Times New Roman"/>
          <w:sz w:val="19"/>
          <w:szCs w:val="19"/>
          <w:color w:val="auto"/>
        </w:rPr>
      </w:pPr>
    </w:p>
    <w:p>
      <w:pPr>
        <w:ind w:left="1340" w:right="1700" w:firstLine="575"/>
        <w:spacing w:after="0" w:line="268" w:lineRule="auto"/>
        <w:tabs>
          <w:tab w:leader="none" w:pos="218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15.00% may consist of Second Lien Loans and Split Lien Loans, provided that not more than 10.00% may consist of Second Lien Loans;</w:t>
      </w:r>
    </w:p>
    <w:p>
      <w:pPr>
        <w:spacing w:after="0" w:line="168"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5.00% may consist of DIP Collateral Obligations;</w:t>
      </w:r>
    </w:p>
    <w:p>
      <w:pPr>
        <w:spacing w:after="0" w:line="225" w:lineRule="exact"/>
        <w:rPr>
          <w:rFonts w:ascii="Times New Roman" w:cs="Times New Roman" w:eastAsia="Times New Roman" w:hAnsi="Times New Roman"/>
          <w:sz w:val="19"/>
          <w:szCs w:val="19"/>
          <w:color w:val="auto"/>
        </w:rPr>
      </w:pPr>
    </w:p>
    <w:p>
      <w:pPr>
        <w:ind w:left="1340" w:right="1560" w:firstLine="575"/>
        <w:spacing w:after="0" w:line="286" w:lineRule="auto"/>
        <w:tabs>
          <w:tab w:leader="none" w:pos="215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15.00% may consist of Collateral Loans with Obligors organized or incorporated in an Eligible Foreign Country;</w:t>
      </w:r>
    </w:p>
    <w:p>
      <w:pPr>
        <w:spacing w:after="0" w:line="151"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10.00% may consist of Partial PIK Loans;</w:t>
      </w:r>
    </w:p>
    <w:p>
      <w:pPr>
        <w:spacing w:after="0" w:line="225" w:lineRule="exact"/>
        <w:rPr>
          <w:rFonts w:ascii="Times New Roman" w:cs="Times New Roman" w:eastAsia="Times New Roman" w:hAnsi="Times New Roman"/>
          <w:sz w:val="19"/>
          <w:szCs w:val="19"/>
          <w:color w:val="auto"/>
        </w:rPr>
      </w:pPr>
    </w:p>
    <w:p>
      <w:pPr>
        <w:ind w:left="1340" w:right="1560" w:firstLine="575"/>
        <w:spacing w:after="0" w:line="286" w:lineRule="auto"/>
        <w:tabs>
          <w:tab w:leader="none" w:pos="218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15.0% may consist of Revolving Collateral Loans and Delayed Drawdown Collateral Loans;</w:t>
      </w:r>
    </w:p>
    <w:p>
      <w:pPr>
        <w:spacing w:after="0" w:line="151" w:lineRule="exact"/>
        <w:rPr>
          <w:rFonts w:ascii="Times New Roman" w:cs="Times New Roman" w:eastAsia="Times New Roman" w:hAnsi="Times New Roman"/>
          <w:sz w:val="19"/>
          <w:szCs w:val="19"/>
          <w:color w:val="auto"/>
        </w:rPr>
      </w:pPr>
    </w:p>
    <w:p>
      <w:pPr>
        <w:ind w:left="2140" w:hanging="225"/>
        <w:spacing w:after="0"/>
        <w:tabs>
          <w:tab w:leader="none" w:pos="21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10.00% may consist of Discount Collateral Loans;</w:t>
      </w:r>
    </w:p>
    <w:p>
      <w:pPr>
        <w:spacing w:after="0" w:line="225" w:lineRule="exact"/>
        <w:rPr>
          <w:rFonts w:ascii="Times New Roman" w:cs="Times New Roman" w:eastAsia="Times New Roman" w:hAnsi="Times New Roman"/>
          <w:sz w:val="19"/>
          <w:szCs w:val="19"/>
          <w:color w:val="auto"/>
        </w:rPr>
      </w:pPr>
    </w:p>
    <w:p>
      <w:pPr>
        <w:ind w:left="2140" w:hanging="225"/>
        <w:spacing w:after="0"/>
        <w:tabs>
          <w:tab w:leader="none" w:pos="21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25.00% may consist of Credit Improved Loans;</w:t>
      </w:r>
    </w:p>
    <w:p>
      <w:pPr>
        <w:spacing w:after="0" w:line="225" w:lineRule="exact"/>
        <w:rPr>
          <w:rFonts w:ascii="Times New Roman" w:cs="Times New Roman" w:eastAsia="Times New Roman" w:hAnsi="Times New Roman"/>
          <w:sz w:val="19"/>
          <w:szCs w:val="19"/>
          <w:color w:val="auto"/>
        </w:rPr>
      </w:pPr>
    </w:p>
    <w:p>
      <w:pPr>
        <w:ind w:left="1340" w:right="1400" w:firstLine="575"/>
        <w:spacing w:after="0" w:line="286" w:lineRule="auto"/>
        <w:tabs>
          <w:tab w:leader="none" w:pos="218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10.00% may consist of Collateral Loans that provide for payment of interest less frequently than quarterly;</w:t>
      </w:r>
    </w:p>
    <w:p>
      <w:pPr>
        <w:spacing w:after="0" w:line="151" w:lineRule="exact"/>
        <w:rPr>
          <w:rFonts w:ascii="Times New Roman" w:cs="Times New Roman" w:eastAsia="Times New Roman" w:hAnsi="Times New Roman"/>
          <w:sz w:val="19"/>
          <w:szCs w:val="19"/>
          <w:color w:val="auto"/>
        </w:rPr>
      </w:pPr>
    </w:p>
    <w:p>
      <w:pPr>
        <w:ind w:left="1340" w:right="1700" w:firstLine="575"/>
        <w:spacing w:after="0" w:line="286" w:lineRule="auto"/>
        <w:tabs>
          <w:tab w:leader="none" w:pos="2145"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3.00% may consist of Collateral Loans with attached equity kickers;</w:t>
      </w:r>
    </w:p>
    <w:p>
      <w:pPr>
        <w:spacing w:after="0" w:line="151" w:lineRule="exact"/>
        <w:rPr>
          <w:rFonts w:ascii="Times New Roman" w:cs="Times New Roman" w:eastAsia="Times New Roman" w:hAnsi="Times New Roman"/>
          <w:sz w:val="19"/>
          <w:szCs w:val="19"/>
          <w:color w:val="auto"/>
        </w:rPr>
      </w:pPr>
    </w:p>
    <w:p>
      <w:pPr>
        <w:ind w:left="1340" w:right="1900" w:firstLine="575"/>
        <w:spacing w:after="0" w:line="262" w:lineRule="auto"/>
        <w:tabs>
          <w:tab w:leader="none" w:pos="2241"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20.00% may consist of Collateral Loans whose Obligors have an EBITDA that is less than $15,000,000 (excluding Haircut</w:t>
      </w:r>
    </w:p>
    <w:p>
      <w:pPr>
        <w:spacing w:after="0" w:line="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color w:val="auto"/>
        </w:rPr>
        <w:t>Collateral Loans); provided that not more than 5.00% may consist of Collateral</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3" w:name="page104"/>
    <w:bookmarkEnd w:id="103"/>
    <w:p>
      <w:pPr>
        <w:spacing w:after="0" w:line="200" w:lineRule="exact"/>
        <w:rPr>
          <w:sz w:val="20"/>
          <w:szCs w:val="20"/>
          <w:color w:val="auto"/>
        </w:rPr>
      </w:pPr>
    </w:p>
    <w:p>
      <w:pPr>
        <w:spacing w:after="0" w:line="285" w:lineRule="exact"/>
        <w:rPr>
          <w:sz w:val="20"/>
          <w:szCs w:val="20"/>
          <w:color w:val="auto"/>
        </w:rPr>
      </w:pPr>
    </w:p>
    <w:p>
      <w:pPr>
        <w:ind w:left="1340" w:right="1520"/>
        <w:spacing w:after="0" w:line="286" w:lineRule="auto"/>
        <w:rPr>
          <w:sz w:val="20"/>
          <w:szCs w:val="20"/>
          <w:color w:val="auto"/>
        </w:rPr>
      </w:pPr>
      <w:r>
        <w:rPr>
          <w:rFonts w:ascii="Times New Roman" w:cs="Times New Roman" w:eastAsia="Times New Roman" w:hAnsi="Times New Roman"/>
          <w:sz w:val="19"/>
          <w:szCs w:val="19"/>
          <w:color w:val="auto"/>
        </w:rPr>
        <w:t>Loans whose Obligors have an EBITDA that is at least $5,000,000 and less than $7,500,000;</w:t>
      </w:r>
    </w:p>
    <w:p>
      <w:pPr>
        <w:spacing w:after="0" w:line="151" w:lineRule="exact"/>
        <w:rPr>
          <w:sz w:val="20"/>
          <w:szCs w:val="20"/>
          <w:color w:val="auto"/>
        </w:rPr>
      </w:pPr>
    </w:p>
    <w:p>
      <w:pPr>
        <w:ind w:left="1340" w:right="1320" w:firstLine="575"/>
        <w:spacing w:after="0" w:line="253" w:lineRule="auto"/>
        <w:tabs>
          <w:tab w:leader="none" w:pos="218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20.00% may consist of Collateral Loans that exceed one or more of the following limits (excluding Haircut Collateral Loans): (i) the Obligor on such Collateral Loan is a Tier 1 Obligor and has (x) with respect to a Collateral Loan other than a Stretch Senior Loan, (A) a Senior Leverage Ratio greater than 5.00x, or (B) a Total Leverage Ratio greater than 7.00x, or (y) with respect to a Stretch Senior Loan, a Total Leverage Ratio greater than 6.00x; (ii) the Obligor on such Collateral Loan is a Tier 2 Obligor and has (x) with respect to a Collateral Loan other than a Stretch Senior Loan, (A) a Senior Leverage Ratio greater than 4.25x, or (B) a Total Leverage Ratio greater than 6.00x, or (y) with respect to a Stretch Senior Loan, a Total Leverage Ratio greater than 5.25x; or (iii) the Obligor on such Collateral Loan is a Tier 3 Obligor and has (x) with respect to a Collateral Loan other than a Stretch Senior Loan, (A) a Senior Leverage Ratio greater than 3.75x, or (B) a Total Leverage Ratio greater than 5.00x, or (y) with respect to a Stretch Senior Loan, a Total Leverage Ratio greater than 4.50x;</w:t>
      </w:r>
    </w:p>
    <w:p>
      <w:pPr>
        <w:spacing w:after="0" w:line="184" w:lineRule="exact"/>
        <w:rPr>
          <w:rFonts w:ascii="Times New Roman" w:cs="Times New Roman" w:eastAsia="Times New Roman" w:hAnsi="Times New Roman"/>
          <w:sz w:val="19"/>
          <w:szCs w:val="19"/>
          <w:color w:val="auto"/>
        </w:rPr>
      </w:pPr>
    </w:p>
    <w:p>
      <w:pPr>
        <w:ind w:left="1340" w:right="1400" w:firstLine="575"/>
        <w:spacing w:after="0" w:line="268" w:lineRule="auto"/>
        <w:tabs>
          <w:tab w:leader="none" w:pos="218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15.00% may consist of Collateral Loans that, at the time of acquisition thereof by the Borrower or the Borrower’s commitment to acquire the same, were LBO Loans;</w:t>
      </w:r>
    </w:p>
    <w:p>
      <w:pPr>
        <w:spacing w:after="0" w:line="166" w:lineRule="exact"/>
        <w:rPr>
          <w:rFonts w:ascii="Times New Roman" w:cs="Times New Roman" w:eastAsia="Times New Roman" w:hAnsi="Times New Roman"/>
          <w:sz w:val="19"/>
          <w:szCs w:val="19"/>
          <w:color w:val="auto"/>
        </w:rPr>
      </w:pPr>
    </w:p>
    <w:p>
      <w:pPr>
        <w:ind w:left="1340" w:right="1340" w:firstLine="575"/>
        <w:spacing w:after="0" w:line="256" w:lineRule="auto"/>
        <w:tabs>
          <w:tab w:leader="none" w:pos="218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5.00% may consist of Participation Interests</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0000FF"/>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0000FF"/>
        </w:rPr>
        <w:t xml:space="preserve">however, </w:t>
      </w:r>
      <w:r>
        <w:rPr>
          <w:rFonts w:ascii="Times New Roman" w:cs="Times New Roman" w:eastAsia="Times New Roman" w:hAnsi="Times New Roman"/>
          <w:sz w:val="19"/>
          <w:szCs w:val="19"/>
          <w:color w:val="0000FF"/>
        </w:rPr>
        <w:t>that the Fifth Amendment Participation Pool shall not be included in the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calculation of the Concentration Limitation set forth in this clause (p) for the period beginning on the date on which the Fifth Amendment Participation Pool is acquired (the “</w:t>
      </w:r>
      <w:r>
        <w:rPr>
          <w:rFonts w:ascii="Times New Roman" w:cs="Times New Roman" w:eastAsia="Times New Roman" w:hAnsi="Times New Roman"/>
          <w:sz w:val="19"/>
          <w:szCs w:val="19"/>
          <w:i w:val="1"/>
          <w:iCs w:val="1"/>
          <w:color w:val="0000FF"/>
        </w:rPr>
        <w:t>Fifth Amendment Participation Pool Acquisition Date</w:t>
      </w:r>
      <w:r>
        <w:rPr>
          <w:rFonts w:ascii="Times New Roman" w:cs="Times New Roman" w:eastAsia="Times New Roman" w:hAnsi="Times New Roman"/>
          <w:sz w:val="19"/>
          <w:szCs w:val="19"/>
          <w:color w:val="0000FF"/>
        </w:rPr>
        <w:t>”) and ending on the date that is 75 days after the Fifth Amendment Participation Pool Acquisition Date</w:t>
      </w:r>
      <w:r>
        <w:rPr>
          <w:rFonts w:ascii="Times New Roman" w:cs="Times New Roman" w:eastAsia="Times New Roman" w:hAnsi="Times New Roman"/>
          <w:sz w:val="19"/>
          <w:szCs w:val="19"/>
          <w:color w:val="000000"/>
        </w:rPr>
        <w:t>;</w:t>
      </w:r>
    </w:p>
    <w:p>
      <w:pPr>
        <w:spacing w:after="0" w:line="183"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15.00% may consist of Eligible Covenant Lite Loans;</w:t>
      </w:r>
    </w:p>
    <w:p>
      <w:pPr>
        <w:spacing w:after="0" w:line="225" w:lineRule="exact"/>
        <w:rPr>
          <w:rFonts w:ascii="Times New Roman" w:cs="Times New Roman" w:eastAsia="Times New Roman" w:hAnsi="Times New Roman"/>
          <w:sz w:val="19"/>
          <w:szCs w:val="19"/>
          <w:color w:val="auto"/>
        </w:rPr>
      </w:pPr>
    </w:p>
    <w:p>
      <w:pPr>
        <w:ind w:left="2160" w:hanging="245"/>
        <w:spacing w:after="0"/>
        <w:tabs>
          <w:tab w:leader="none" w:pos="21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10.00% may consist of Fixed Rate Obligations; and</w:t>
      </w:r>
    </w:p>
    <w:p>
      <w:pPr>
        <w:spacing w:after="0" w:line="225" w:lineRule="exact"/>
        <w:rPr>
          <w:rFonts w:ascii="Times New Roman" w:cs="Times New Roman" w:eastAsia="Times New Roman" w:hAnsi="Times New Roman"/>
          <w:sz w:val="19"/>
          <w:szCs w:val="19"/>
          <w:color w:val="auto"/>
        </w:rPr>
      </w:pPr>
    </w:p>
    <w:p>
      <w:pPr>
        <w:ind w:left="1340" w:right="1420" w:firstLine="575"/>
        <w:spacing w:after="0" w:line="286" w:lineRule="auto"/>
        <w:tabs>
          <w:tab w:leader="none" w:pos="2167"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15.00% may consist of Collateral Loans denominated in an Agreed Foreign Currency.</w:t>
      </w:r>
    </w:p>
    <w:p>
      <w:pPr>
        <w:spacing w:after="0" w:line="149" w:lineRule="exact"/>
        <w:rPr>
          <w:sz w:val="20"/>
          <w:szCs w:val="20"/>
          <w:color w:val="auto"/>
        </w:rPr>
      </w:pPr>
    </w:p>
    <w:p>
      <w:pPr>
        <w:ind w:left="760" w:right="940" w:firstLine="576"/>
        <w:spacing w:after="0" w:line="230" w:lineRule="exact"/>
        <w:rPr>
          <w:sz w:val="20"/>
          <w:szCs w:val="20"/>
          <w:color w:val="auto"/>
        </w:rPr>
      </w:pPr>
      <w:r>
        <w:rPr>
          <w:rFonts w:ascii="Times New Roman" w:cs="Times New Roman" w:eastAsia="Times New Roman" w:hAnsi="Times New Roman"/>
          <w:sz w:val="19"/>
          <w:szCs w:val="19"/>
          <w:i w:val="1"/>
          <w:iCs w:val="1"/>
          <w:color w:val="auto"/>
        </w:rPr>
        <w:t xml:space="preserve">“Constituent Documents” </w:t>
      </w:r>
      <w:r>
        <w:rPr>
          <w:rFonts w:ascii="Times New Roman" w:cs="Times New Roman" w:eastAsia="Times New Roman" w:hAnsi="Times New Roman"/>
          <w:sz w:val="19"/>
          <w:szCs w:val="19"/>
          <w:color w:val="auto"/>
        </w:rPr>
        <w:t>means in respect of any Person, the certificate or articles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formation or organization, the limited liability company agreement, operating agreement, partnership agreement, joint venture agreement or other applicable agreement of formation or organization (or equivalent or comparable constituent documents) and other organizational documents and by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6"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4" w:name="page105"/>
    <w:bookmarkEnd w:id="104"/>
    <w:p>
      <w:pPr>
        <w:spacing w:after="0" w:line="200" w:lineRule="exact"/>
        <w:rPr>
          <w:sz w:val="20"/>
          <w:szCs w:val="20"/>
          <w:color w:val="auto"/>
        </w:rPr>
      </w:pPr>
    </w:p>
    <w:p>
      <w:pPr>
        <w:spacing w:after="0" w:line="283" w:lineRule="exact"/>
        <w:rPr>
          <w:sz w:val="20"/>
          <w:szCs w:val="20"/>
          <w:color w:val="auto"/>
        </w:rPr>
      </w:pPr>
    </w:p>
    <w:p>
      <w:pPr>
        <w:ind w:left="760" w:right="84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“Control” </w:t>
      </w:r>
      <w:r>
        <w:rPr>
          <w:rFonts w:ascii="Times New Roman" w:cs="Times New Roman" w:eastAsia="Times New Roman" w:hAnsi="Times New Roman"/>
          <w:sz w:val="19"/>
          <w:szCs w:val="19"/>
          <w:color w:val="auto"/>
        </w:rPr>
        <w:t>means the direct or indirect possession of the power to direct or cause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direction of the management or policies of a Person, whether through ownership, by contract, arrangement or understanding, or otherwise. </w:t>
      </w:r>
      <w:r>
        <w:rPr>
          <w:rFonts w:ascii="Times New Roman" w:cs="Times New Roman" w:eastAsia="Times New Roman" w:hAnsi="Times New Roman"/>
          <w:sz w:val="19"/>
          <w:szCs w:val="19"/>
          <w:i w:val="1"/>
          <w:iCs w:val="1"/>
          <w:color w:val="auto"/>
        </w:rPr>
        <w:t>“Controlled”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“Controlling”</w:t>
      </w:r>
      <w:r>
        <w:rPr>
          <w:rFonts w:ascii="Times New Roman" w:cs="Times New Roman" w:eastAsia="Times New Roman" w:hAnsi="Times New Roman"/>
          <w:sz w:val="19"/>
          <w:szCs w:val="19"/>
          <w:color w:val="auto"/>
        </w:rPr>
        <w:t xml:space="preserve"> have the meaning correlative thereto.</w:t>
      </w:r>
    </w:p>
    <w:p>
      <w:pPr>
        <w:spacing w:after="0" w:line="171" w:lineRule="exact"/>
        <w:rPr>
          <w:sz w:val="20"/>
          <w:szCs w:val="20"/>
          <w:color w:val="auto"/>
        </w:rPr>
      </w:pPr>
    </w:p>
    <w:p>
      <w:pPr>
        <w:ind w:left="760" w:right="15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CORRA</w:t>
      </w:r>
      <w:r>
        <w:rPr>
          <w:rFonts w:ascii="Times New Roman" w:cs="Times New Roman" w:eastAsia="Times New Roman" w:hAnsi="Times New Roman"/>
          <w:sz w:val="19"/>
          <w:szCs w:val="19"/>
          <w:color w:val="auto"/>
        </w:rPr>
        <w:t xml:space="preserve"> ” means the Canadian Overnight Repo Rate Average administered and published by the Bank of Canada (or any successor administrator).</w:t>
      </w:r>
    </w:p>
    <w:p>
      <w:pPr>
        <w:spacing w:after="0" w:line="148" w:lineRule="exact"/>
        <w:rPr>
          <w:sz w:val="20"/>
          <w:szCs w:val="20"/>
          <w:color w:val="auto"/>
        </w:rPr>
      </w:pPr>
    </w:p>
    <w:p>
      <w:pPr>
        <w:jc w:val="both"/>
        <w:ind w:left="760" w:right="100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Corporate Trust Office”</w:t>
      </w:r>
      <w:r>
        <w:rPr>
          <w:rFonts w:ascii="Times New Roman" w:cs="Times New Roman" w:eastAsia="Times New Roman" w:hAnsi="Times New Roman"/>
          <w:sz w:val="19"/>
          <w:szCs w:val="19"/>
          <w:color w:val="auto"/>
        </w:rPr>
        <w:t xml:space="preserve"> means the applicable designated corporate trust office of the Collateral Agent and the Collateral Administrator specified on Schedule 6 hereto or such other address within the United States as the Collateral Agent and the Collateral Administrator may designate from time to time by notice to the Administrative Agent.</w:t>
      </w:r>
    </w:p>
    <w:p>
      <w:pPr>
        <w:spacing w:after="0" w:line="171" w:lineRule="exact"/>
        <w:rPr>
          <w:sz w:val="20"/>
          <w:szCs w:val="20"/>
          <w:color w:val="auto"/>
        </w:rPr>
      </w:pPr>
    </w:p>
    <w:p>
      <w:pPr>
        <w:ind w:left="760" w:right="80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“Covenant Lite Loan” </w:t>
      </w:r>
      <w:r>
        <w:rPr>
          <w:rFonts w:ascii="Times New Roman" w:cs="Times New Roman" w:eastAsia="Times New Roman" w:hAnsi="Times New Roman"/>
          <w:sz w:val="19"/>
          <w:szCs w:val="19"/>
          <w:color w:val="auto"/>
        </w:rPr>
        <w:t>means a Collateral Loan that does not require the Obligor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comply with at least one of the following financial covenants during each reporting period applicable to such Collateral Loan, whether or not any action by, or event relating to, the Obligor has occurred: maximum leverage, maximum senior leverage, maximum first lien leverage, minimum fixed charge coverage, minimum tangible net worth, minimum net worth, minimum debt service coverage, minimum interest coverage, maximum capital expenditures, minimum EBITDA, or other customary financial covenants.</w:t>
      </w:r>
    </w:p>
    <w:p>
      <w:pPr>
        <w:spacing w:after="0" w:line="181" w:lineRule="exact"/>
        <w:rPr>
          <w:sz w:val="20"/>
          <w:szCs w:val="20"/>
          <w:color w:val="auto"/>
        </w:rPr>
      </w:pPr>
    </w:p>
    <w:p>
      <w:pPr>
        <w:ind w:left="760" w:right="8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“Coverage Test” </w:t>
      </w:r>
      <w:r>
        <w:rPr>
          <w:rFonts w:ascii="Times New Roman" w:cs="Times New Roman" w:eastAsia="Times New Roman" w:hAnsi="Times New Roman"/>
          <w:sz w:val="19"/>
          <w:szCs w:val="19"/>
          <w:color w:val="auto"/>
        </w:rPr>
        <w:t>means each of (i) the Maximum Advance Rate Test and (ii) the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Coverage Ratio Test.</w:t>
      </w:r>
    </w:p>
    <w:p>
      <w:pPr>
        <w:spacing w:after="0" w:line="148" w:lineRule="exact"/>
        <w:rPr>
          <w:sz w:val="20"/>
          <w:szCs w:val="20"/>
          <w:color w:val="auto"/>
        </w:rPr>
      </w:pPr>
    </w:p>
    <w:p>
      <w:pPr>
        <w:ind w:left="760" w:right="82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“Covered Account” </w:t>
      </w:r>
      <w:r>
        <w:rPr>
          <w:rFonts w:ascii="Times New Roman" w:cs="Times New Roman" w:eastAsia="Times New Roman" w:hAnsi="Times New Roman"/>
          <w:sz w:val="19"/>
          <w:szCs w:val="19"/>
          <w:color w:val="auto"/>
        </w:rPr>
        <w:t>means each of the Collection Account (including each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Collection Subaccount and Principal Collection Subaccount therein), each Payment Account, the Revolving Reserve Account and the Custodial Account.</w:t>
      </w:r>
    </w:p>
    <w:p>
      <w:pPr>
        <w:spacing w:after="0" w:line="149" w:lineRule="exact"/>
        <w:rPr>
          <w:sz w:val="20"/>
          <w:szCs w:val="20"/>
          <w:color w:val="auto"/>
        </w:rPr>
      </w:pPr>
    </w:p>
    <w:p>
      <w:pPr>
        <w:ind w:left="760" w:right="780" w:firstLine="576"/>
        <w:spacing w:after="0" w:line="242" w:lineRule="exact"/>
        <w:rPr>
          <w:sz w:val="20"/>
          <w:szCs w:val="20"/>
          <w:color w:val="auto"/>
        </w:rPr>
      </w:pPr>
      <w:r>
        <w:rPr>
          <w:rFonts w:ascii="Times New Roman" w:cs="Times New Roman" w:eastAsia="Times New Roman" w:hAnsi="Times New Roman"/>
          <w:sz w:val="19"/>
          <w:szCs w:val="19"/>
          <w:i w:val="1"/>
          <w:iCs w:val="1"/>
          <w:color w:val="auto"/>
        </w:rPr>
        <w:t xml:space="preserve">“CP Conduit” </w:t>
      </w:r>
      <w:r>
        <w:rPr>
          <w:rFonts w:ascii="Times New Roman" w:cs="Times New Roman" w:eastAsia="Times New Roman" w:hAnsi="Times New Roman"/>
          <w:sz w:val="19"/>
          <w:szCs w:val="19"/>
          <w:color w:val="auto"/>
        </w:rPr>
        <w:t>means any multi</w:t>
      </w:r>
      <w:r>
        <w:rPr>
          <w:rFonts w:ascii="Times New Roman" w:cs="Times New Roman" w:eastAsia="Times New Roman" w:hAnsi="Times New Roman"/>
          <w:sz w:val="19"/>
          <w:szCs w:val="19"/>
          <w:i w:val="1"/>
          <w:iCs w:val="1"/>
          <w:color w:val="auto"/>
        </w:rPr>
        <w:t xml:space="preserve">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seller asset</w:t>
      </w:r>
      <w:r>
        <w:rPr>
          <w:rFonts w:ascii="MS PGothic" w:cs="MS PGothic" w:eastAsia="MS PGothic" w:hAnsi="MS PGothic"/>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backed commercial paper conduit established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use the direct or indirect proceeds of the issuance of commercial paper notes to finance financial assets and that is a Lender.</w:t>
      </w:r>
    </w:p>
    <w:p>
      <w:pPr>
        <w:spacing w:after="0" w:line="194" w:lineRule="exact"/>
        <w:rPr>
          <w:sz w:val="20"/>
          <w:szCs w:val="20"/>
          <w:color w:val="auto"/>
        </w:rPr>
      </w:pPr>
    </w:p>
    <w:p>
      <w:pPr>
        <w:ind w:left="760" w:right="9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“Credit and Collection Policies” </w:t>
      </w:r>
      <w:r>
        <w:rPr>
          <w:rFonts w:ascii="Times New Roman" w:cs="Times New Roman" w:eastAsia="Times New Roman" w:hAnsi="Times New Roman"/>
          <w:sz w:val="19"/>
          <w:szCs w:val="19"/>
          <w:color w:val="auto"/>
        </w:rPr>
        <w:t>means the PennantPark Floating Rate Ltd Policies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Procedures dated as of July 1, 2021, as amended subject to the terms hereof.</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Credit Improved Loan</w:t>
      </w:r>
      <w:r>
        <w:rPr>
          <w:rFonts w:ascii="Times New Roman" w:cs="Times New Roman" w:eastAsia="Times New Roman" w:hAnsi="Times New Roman"/>
          <w:sz w:val="19"/>
          <w:szCs w:val="19"/>
          <w:color w:val="auto"/>
        </w:rPr>
        <w:t>” means:</w:t>
      </w:r>
    </w:p>
    <w:p>
      <w:pPr>
        <w:spacing w:after="0" w:line="228" w:lineRule="exact"/>
        <w:rPr>
          <w:sz w:val="20"/>
          <w:szCs w:val="20"/>
          <w:color w:val="auto"/>
        </w:rPr>
      </w:pPr>
    </w:p>
    <w:p>
      <w:pPr>
        <w:ind w:left="1340" w:right="860" w:firstLine="575"/>
        <w:spacing w:after="0" w:line="257" w:lineRule="auto"/>
        <w:tabs>
          <w:tab w:leader="none" w:pos="2177"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Defaulted Collateral Loan, after the date on which such loan became a Defaulted Collateral Loan, (i) it is current on all required payments for a period of three months (if such loan pays monthly), two quarters (if such loan pays quarterly) or one year (if such loan pays semiannually) and (ii) it would satisfy the definition of Eligible Collateral Loan (with the exception of clauses (k) and (dd) thereof) if purchased at such time; and</w:t>
      </w:r>
    </w:p>
    <w:p>
      <w:pPr>
        <w:spacing w:after="0" w:line="180" w:lineRule="exact"/>
        <w:rPr>
          <w:rFonts w:ascii="Times New Roman" w:cs="Times New Roman" w:eastAsia="Times New Roman" w:hAnsi="Times New Roman"/>
          <w:sz w:val="19"/>
          <w:szCs w:val="19"/>
          <w:color w:val="auto"/>
        </w:rPr>
      </w:pPr>
    </w:p>
    <w:p>
      <w:pPr>
        <w:ind w:left="1340" w:right="800" w:firstLine="575"/>
        <w:spacing w:after="0" w:line="258" w:lineRule="auto"/>
        <w:tabs>
          <w:tab w:leader="none" w:pos="218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Collateral Loan which has been the subject of a Material Modification, either (i) after the date on which such loan became a Collateral Loan which</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5" w:name="page106"/>
    <w:bookmarkEnd w:id="105"/>
    <w:p>
      <w:pPr>
        <w:spacing w:after="0" w:line="200" w:lineRule="exact"/>
        <w:rPr>
          <w:sz w:val="20"/>
          <w:szCs w:val="20"/>
          <w:color w:val="auto"/>
        </w:rPr>
      </w:pPr>
    </w:p>
    <w:p>
      <w:pPr>
        <w:spacing w:after="0" w:line="285" w:lineRule="exact"/>
        <w:rPr>
          <w:sz w:val="20"/>
          <w:szCs w:val="20"/>
          <w:color w:val="auto"/>
        </w:rPr>
      </w:pPr>
    </w:p>
    <w:p>
      <w:pPr>
        <w:ind w:left="1340" w:right="840"/>
        <w:spacing w:after="0" w:line="255" w:lineRule="auto"/>
        <w:rPr>
          <w:sz w:val="20"/>
          <w:szCs w:val="20"/>
          <w:color w:val="auto"/>
        </w:rPr>
      </w:pPr>
      <w:r>
        <w:rPr>
          <w:rFonts w:ascii="Times New Roman" w:cs="Times New Roman" w:eastAsia="Times New Roman" w:hAnsi="Times New Roman"/>
          <w:sz w:val="19"/>
          <w:szCs w:val="19"/>
          <w:color w:val="auto"/>
        </w:rPr>
        <w:t>is the subject of a Material Modification, (A) it is current on all required payments for a period of three months (if such loan pays monthly), two quarters (if such loan pays quarterly) or one year (if such loan pays semiannually) and (B) it would satisfy the definition of Eligible Collateral Loan (with the exception of clause (k) thereof as a result of such Eligible Collateral Loan being subject to Material Modification) if purchased at such time, or (ii) the Administrative Agent has consented in writing to such Collateral Loan no longer constituting a loan which has been the subject of a Material Modification hereunder.</w:t>
      </w:r>
    </w:p>
    <w:p>
      <w:pPr>
        <w:spacing w:after="0" w:line="182" w:lineRule="exact"/>
        <w:rPr>
          <w:sz w:val="20"/>
          <w:szCs w:val="20"/>
          <w:color w:val="auto"/>
        </w:rPr>
      </w:pPr>
    </w:p>
    <w:p>
      <w:pPr>
        <w:ind w:left="760" w:right="740" w:firstLine="57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Credit Risk Collateral Loan</w:t>
      </w:r>
      <w:r>
        <w:rPr>
          <w:rFonts w:ascii="Times New Roman" w:cs="Times New Roman" w:eastAsia="Times New Roman" w:hAnsi="Times New Roman"/>
          <w:sz w:val="19"/>
          <w:szCs w:val="19"/>
          <w:color w:val="auto"/>
        </w:rPr>
        <w:t xml:space="preserve"> ” means any Collateral Loan that in the Collateral Manager’s commercially reasonable business judgment (i) has a significant risk of declining in credit quality and, with a lapse of time, becoming a Defaulted Collateral Loan, and (ii) as a result of one or more factors including but not limited to credit quality, has a significant risk of declining in market price (but not including any such decline experienced by the market generally as a result of interest rate movement, general economic conditions or similar factors.</w:t>
      </w:r>
    </w:p>
    <w:p>
      <w:pPr>
        <w:spacing w:after="0" w:line="17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“Currency” </w:t>
      </w:r>
      <w:r>
        <w:rPr>
          <w:rFonts w:ascii="Times New Roman" w:cs="Times New Roman" w:eastAsia="Times New Roman" w:hAnsi="Times New Roman"/>
          <w:sz w:val="19"/>
          <w:szCs w:val="19"/>
          <w:color w:val="auto"/>
        </w:rPr>
        <w:t>means Dollars or any Agreed Foreign Currency.</w:t>
      </w:r>
    </w:p>
    <w:p>
      <w:pPr>
        <w:spacing w:after="0" w:line="226" w:lineRule="exact"/>
        <w:rPr>
          <w:sz w:val="20"/>
          <w:szCs w:val="20"/>
          <w:color w:val="auto"/>
        </w:rPr>
      </w:pPr>
    </w:p>
    <w:p>
      <w:pPr>
        <w:ind w:left="760" w:right="820" w:firstLine="576"/>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“Currency Valuation Trigger Event” </w:t>
      </w:r>
      <w:r>
        <w:rPr>
          <w:rFonts w:ascii="Times New Roman" w:cs="Times New Roman" w:eastAsia="Times New Roman" w:hAnsi="Times New Roman"/>
          <w:sz w:val="19"/>
          <w:szCs w:val="19"/>
          <w:color w:val="auto"/>
        </w:rPr>
        <w:t>means, an event that occurs if, as of any date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determination (i) with respect to any Agreed Foreign Currency that either (x) is the applicable Agreed Foreign Currency that any Collateral Loan that is part of the Collateral is denominated in, or (y) is the Agreed Foreign Currency that any outstanding Advances are denominated in, such Agreed Foreign Currency, the spot selling rate at which such Agreed Foreign Currency is sold for Dollars in the London foreign exchange market at approximately 4:00 p.m. (New York time) on such date of determination for delivery two (2) Business Days later fluctuates by a factor greater than 10.0% from (ii) the spot selling rate at which such Agreed Foreign Currency was sold for Dollars in the London foreign exchange market at approximately 4:00 p.m. (New York time) for delivery two (2) Business Days later as of the date two (2) Business Days prior to the date on which the Borrowing Base was calculated in the most recent Monthly Report or Borrowing Base Calculation Statement that was delivered to the Administrative Agent. None of the Administrative Agent, the Collateral Administrator or the Collateral Agent, shall have any responsibility for any calculation of a Currency Valuation Trigger Event made by the Collateral Manager. For avoidance of doubt, neither the Collateral Administrator nor the Collateral Agent shall have any responsibility to calculate a Currency Valuation Trigger Event pursuant to this Agreement.</w:t>
      </w:r>
    </w:p>
    <w:p>
      <w:pPr>
        <w:spacing w:after="0" w:line="193" w:lineRule="exact"/>
        <w:rPr>
          <w:sz w:val="20"/>
          <w:szCs w:val="20"/>
          <w:color w:val="auto"/>
        </w:rPr>
      </w:pPr>
    </w:p>
    <w:p>
      <w:pPr>
        <w:ind w:left="760" w:right="92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Current Modified Loan</w:t>
      </w:r>
      <w:r>
        <w:rPr>
          <w:rFonts w:ascii="Times New Roman" w:cs="Times New Roman" w:eastAsia="Times New Roman" w:hAnsi="Times New Roman"/>
          <w:sz w:val="19"/>
          <w:szCs w:val="19"/>
          <w:color w:val="auto"/>
        </w:rPr>
        <w:t>” means a Collateral Loan that, as of the date such Collateral Loan is modified, (a) has been current on all required payments for a period of three (3) months (if such Collateral Loan pays monthly), two quarters (if such Collateral Loan pays quarterly) or one year (if such Collateral Loan pays semiannually) and (b) would satisfy the definition of Eligible Collateral Loan if purchased on the date of such modification.</w:t>
      </w:r>
    </w:p>
    <w:p>
      <w:pPr>
        <w:spacing w:after="0" w:line="173" w:lineRule="exact"/>
        <w:rPr>
          <w:sz w:val="20"/>
          <w:szCs w:val="20"/>
          <w:color w:val="auto"/>
        </w:rPr>
      </w:pPr>
    </w:p>
    <w:p>
      <w:pPr>
        <w:ind w:left="760" w:right="14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“Custodial Account” </w:t>
      </w:r>
      <w:r>
        <w:rPr>
          <w:rFonts w:ascii="Times New Roman" w:cs="Times New Roman" w:eastAsia="Times New Roman" w:hAnsi="Times New Roman"/>
          <w:sz w:val="19"/>
          <w:szCs w:val="19"/>
          <w:color w:val="auto"/>
        </w:rPr>
        <w:t>means the custodial account established pursuant to Section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8.03(b).</w:t>
      </w:r>
    </w:p>
    <w:p>
      <w:pPr>
        <w:spacing w:after="0" w:line="148" w:lineRule="exact"/>
        <w:rPr>
          <w:sz w:val="20"/>
          <w:szCs w:val="20"/>
          <w:color w:val="auto"/>
        </w:rPr>
      </w:pPr>
    </w:p>
    <w:p>
      <w:pPr>
        <w:ind w:left="760" w:right="84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“Custodian” </w:t>
      </w:r>
      <w:r>
        <w:rPr>
          <w:rFonts w:ascii="Times New Roman" w:cs="Times New Roman" w:eastAsia="Times New Roman" w:hAnsi="Times New Roman"/>
          <w:sz w:val="19"/>
          <w:szCs w:val="19"/>
          <w:color w:val="auto"/>
        </w:rPr>
        <w:t>means U.S. Bank National Association, a national banking association,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successor thereto appointed under this Agreement.</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6" w:name="page107"/>
    <w:bookmarkEnd w:id="106"/>
    <w:p>
      <w:pPr>
        <w:spacing w:after="0" w:line="200" w:lineRule="exact"/>
        <w:rPr>
          <w:sz w:val="20"/>
          <w:szCs w:val="20"/>
          <w:color w:val="auto"/>
        </w:rPr>
      </w:pPr>
    </w:p>
    <w:p>
      <w:pPr>
        <w:spacing w:after="0" w:line="283" w:lineRule="exact"/>
        <w:rPr>
          <w:sz w:val="20"/>
          <w:szCs w:val="20"/>
          <w:color w:val="auto"/>
        </w:rPr>
      </w:pPr>
    </w:p>
    <w:p>
      <w:pPr>
        <w:ind w:left="760" w:right="124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“Custodian Fee Letter” </w:t>
      </w:r>
      <w:r>
        <w:rPr>
          <w:rFonts w:ascii="Times New Roman" w:cs="Times New Roman" w:eastAsia="Times New Roman" w:hAnsi="Times New Roman"/>
          <w:sz w:val="19"/>
          <w:szCs w:val="19"/>
          <w:color w:val="auto"/>
        </w:rPr>
        <w:t>means the Collateral Agent Fee Letter setting forth the fees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payable by the Borrower to, among other parties, the Custodian in connection with the transactions contemplated by this Agreement.</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“Custodian Termination Notice” </w:t>
      </w:r>
      <w:r>
        <w:rPr>
          <w:rFonts w:ascii="Times New Roman" w:cs="Times New Roman" w:eastAsia="Times New Roman" w:hAnsi="Times New Roman"/>
          <w:sz w:val="19"/>
          <w:szCs w:val="19"/>
          <w:color w:val="auto"/>
        </w:rPr>
        <w:t>is defined in Section 14.05 hereof.</w:t>
      </w:r>
    </w:p>
    <w:p>
      <w:pPr>
        <w:spacing w:after="0" w:line="226" w:lineRule="exact"/>
        <w:rPr>
          <w:sz w:val="20"/>
          <w:szCs w:val="20"/>
          <w:color w:val="auto"/>
        </w:rPr>
      </w:pPr>
    </w:p>
    <w:p>
      <w:pPr>
        <w:ind w:left="760" w:right="760" w:firstLine="576"/>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Daily Simple RFR</w:t>
      </w:r>
      <w:r>
        <w:rPr>
          <w:rFonts w:ascii="Times New Roman" w:cs="Times New Roman" w:eastAsia="Times New Roman" w:hAnsi="Times New Roman"/>
          <w:sz w:val="19"/>
          <w:szCs w:val="19"/>
          <w:color w:val="auto"/>
        </w:rPr>
        <w:t>” means, for any day (an “</w:t>
      </w:r>
      <w:r>
        <w:rPr>
          <w:rFonts w:ascii="Times New Roman" w:cs="Times New Roman" w:eastAsia="Times New Roman" w:hAnsi="Times New Roman"/>
          <w:sz w:val="19"/>
          <w:szCs w:val="19"/>
          <w:i w:val="1"/>
          <w:iCs w:val="1"/>
          <w:color w:val="auto"/>
        </w:rPr>
        <w:t>RFR Interest Day</w:t>
      </w:r>
      <w:r>
        <w:rPr>
          <w:rFonts w:ascii="Times New Roman" w:cs="Times New Roman" w:eastAsia="Times New Roman" w:hAnsi="Times New Roman"/>
          <w:sz w:val="19"/>
          <w:szCs w:val="19"/>
          <w:color w:val="auto"/>
        </w:rPr>
        <w:t>”), an interest rate per annum equal to for any RFR Advance denominated in Sterling, the greater of (i) SONIA for the day (the “</w:t>
      </w:r>
      <w:r>
        <w:rPr>
          <w:rFonts w:ascii="Times New Roman" w:cs="Times New Roman" w:eastAsia="Times New Roman" w:hAnsi="Times New Roman"/>
          <w:sz w:val="19"/>
          <w:szCs w:val="19"/>
          <w:i w:val="1"/>
          <w:iCs w:val="1"/>
          <w:color w:val="auto"/>
        </w:rPr>
        <w:t>RFR Reference Day</w:t>
      </w:r>
      <w:r>
        <w:rPr>
          <w:rFonts w:ascii="Times New Roman" w:cs="Times New Roman" w:eastAsia="Times New Roman" w:hAnsi="Times New Roman"/>
          <w:sz w:val="19"/>
          <w:szCs w:val="19"/>
          <w:color w:val="auto"/>
        </w:rPr>
        <w:t>”) that is five Business Days prior to (A) if such RFR Interest Day is a Business Day, such RFR Interest Day or (B) if such RFR Interest Day is not a Business Day, the Business Day immediately preceding such RFR Interest Day and (ii) 0.00%. If by 5:00 pm, (local time for the applicable RFR), on the second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provided that any RFR Rate as determined pursuant to this sentence shall be utilized for purposes of calculating the Daily Simple RFR for no more than three consecutive RFR Interest Days. Any change in Daily Simple RFR due to a change in the applicable RFR Rate shall be effective from and including the effective date of such change in such RFR Rate without notice to the Borrower.</w:t>
      </w:r>
    </w:p>
    <w:p>
      <w:pPr>
        <w:spacing w:after="0" w:line="18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“Data File</w:t>
      </w:r>
      <w:r>
        <w:rPr>
          <w:rFonts w:ascii="Times New Roman" w:cs="Times New Roman" w:eastAsia="Times New Roman" w:hAnsi="Times New Roman"/>
          <w:sz w:val="19"/>
          <w:szCs w:val="19"/>
          <w:color w:val="auto"/>
        </w:rPr>
        <w:t>” has the meaning assigned to such term in Section 8.06(a).</w:t>
      </w:r>
    </w:p>
    <w:p>
      <w:pPr>
        <w:spacing w:after="0" w:line="226" w:lineRule="exact"/>
        <w:rPr>
          <w:sz w:val="20"/>
          <w:szCs w:val="20"/>
          <w:color w:val="auto"/>
        </w:rPr>
      </w:pPr>
    </w:p>
    <w:p>
      <w:pPr>
        <w:ind w:left="760" w:right="90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Debt to Capitalization Ratio</w:t>
      </w:r>
      <w:r>
        <w:rPr>
          <w:rFonts w:ascii="Times New Roman" w:cs="Times New Roman" w:eastAsia="Times New Roman" w:hAnsi="Times New Roman"/>
          <w:sz w:val="19"/>
          <w:szCs w:val="19"/>
          <w:color w:val="auto"/>
        </w:rPr>
        <w:t xml:space="preserve">” means, with respect to any Collateral Loan, the ratio of total indebtedness to total capitalization of the related Obligor as calculated by the Collateral Manager in good faith using information from and calculations consistent with the relevant financial models,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financial statements, compliance statements and financial reporting packages provided by the relevant Obligor as per the requirements of the Related Documents.</w:t>
      </w:r>
    </w:p>
    <w:p>
      <w:pPr>
        <w:spacing w:after="0" w:line="173" w:lineRule="exact"/>
        <w:rPr>
          <w:sz w:val="20"/>
          <w:szCs w:val="20"/>
          <w:color w:val="auto"/>
        </w:rPr>
      </w:pPr>
    </w:p>
    <w:p>
      <w:pPr>
        <w:ind w:left="760" w:right="8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“Default” </w:t>
      </w:r>
      <w:r>
        <w:rPr>
          <w:rFonts w:ascii="Times New Roman" w:cs="Times New Roman" w:eastAsia="Times New Roman" w:hAnsi="Times New Roman"/>
          <w:sz w:val="19"/>
          <w:szCs w:val="19"/>
          <w:color w:val="auto"/>
        </w:rPr>
        <w:t>means any event which, with the passage of time, the giving of notice, or both,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would constitute an Event of Default.</w:t>
      </w:r>
    </w:p>
    <w:p>
      <w:pPr>
        <w:spacing w:after="0" w:line="148" w:lineRule="exact"/>
        <w:rPr>
          <w:sz w:val="20"/>
          <w:szCs w:val="20"/>
          <w:color w:val="auto"/>
        </w:rPr>
      </w:pPr>
    </w:p>
    <w:p>
      <w:pPr>
        <w:ind w:left="760" w:right="7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“Default Ratio” </w:t>
      </w:r>
      <w:r>
        <w:rPr>
          <w:rFonts w:ascii="Times New Roman" w:cs="Times New Roman" w:eastAsia="Times New Roman" w:hAnsi="Times New Roman"/>
          <w:sz w:val="19"/>
          <w:szCs w:val="19"/>
          <w:color w:val="auto"/>
        </w:rPr>
        <w:t>means, on any date of determination, the annualized ratio (expressed as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percentage) equal to (a) the sum of the Defaulted Balances of all Collateral Loans that became Defaulted Collateral Loans during the previous twelve (12) calendar months, </w:t>
      </w:r>
      <w:r>
        <w:rPr>
          <w:rFonts w:ascii="Times New Roman" w:cs="Times New Roman" w:eastAsia="Times New Roman" w:hAnsi="Times New Roman"/>
          <w:sz w:val="19"/>
          <w:szCs w:val="19"/>
          <w:i w:val="1"/>
          <w:iCs w:val="1"/>
          <w:color w:val="auto"/>
        </w:rPr>
        <w:t>divided by</w:t>
      </w:r>
      <w:r>
        <w:rPr>
          <w:rFonts w:ascii="Times New Roman" w:cs="Times New Roman" w:eastAsia="Times New Roman" w:hAnsi="Times New Roman"/>
          <w:sz w:val="19"/>
          <w:szCs w:val="19"/>
          <w:color w:val="auto"/>
        </w:rPr>
        <w:t xml:space="preserve"> (b) the weighted average Aggregate Principal Balance of all Collateral Loans during the previous twelve (12) calendar months.</w:t>
      </w:r>
    </w:p>
    <w:p>
      <w:pPr>
        <w:spacing w:after="0" w:line="173" w:lineRule="exact"/>
        <w:rPr>
          <w:sz w:val="20"/>
          <w:szCs w:val="20"/>
          <w:color w:val="auto"/>
        </w:rPr>
      </w:pPr>
    </w:p>
    <w:p>
      <w:pPr>
        <w:ind w:left="760" w:right="112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“Defaulted Balance” </w:t>
      </w:r>
      <w:r>
        <w:rPr>
          <w:rFonts w:ascii="Times New Roman" w:cs="Times New Roman" w:eastAsia="Times New Roman" w:hAnsi="Times New Roman"/>
          <w:sz w:val="19"/>
          <w:szCs w:val="19"/>
          <w:color w:val="auto"/>
        </w:rPr>
        <w:t>means, with respect to any Defaulted Collateral Loan, (i)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Principal Balance of such Defaulted Collateral Loan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(ii) 1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the applicable Recovery Rate for such Defaulted Collateral Loan.</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7" w:name="page108"/>
    <w:bookmarkEnd w:id="107"/>
    <w:p>
      <w:pPr>
        <w:spacing w:after="0" w:line="200" w:lineRule="exact"/>
        <w:rPr>
          <w:sz w:val="20"/>
          <w:szCs w:val="20"/>
          <w:color w:val="auto"/>
        </w:rPr>
      </w:pPr>
    </w:p>
    <w:p>
      <w:pPr>
        <w:spacing w:after="0" w:line="2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i w:val="1"/>
          <w:iCs w:val="1"/>
          <w:color w:val="auto"/>
        </w:rPr>
        <w:t xml:space="preserve">“Defaulted Collateral Loan” </w:t>
      </w:r>
      <w:r>
        <w:rPr>
          <w:rFonts w:ascii="Times New Roman" w:cs="Times New Roman" w:eastAsia="Times New Roman" w:hAnsi="Times New Roman"/>
          <w:sz w:val="19"/>
          <w:szCs w:val="19"/>
          <w:color w:val="auto"/>
        </w:rPr>
        <w:t>means any Collateral Loan as to which at any time:</w:t>
      </w:r>
    </w:p>
    <w:p>
      <w:pPr>
        <w:spacing w:after="0" w:line="228" w:lineRule="exact"/>
        <w:rPr>
          <w:sz w:val="20"/>
          <w:szCs w:val="20"/>
          <w:color w:val="auto"/>
        </w:rPr>
      </w:pPr>
    </w:p>
    <w:p>
      <w:pPr>
        <w:ind w:left="1340" w:right="840" w:firstLine="575"/>
        <w:spacing w:after="0" w:line="268" w:lineRule="auto"/>
        <w:tabs>
          <w:tab w:leader="none" w:pos="2177"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default as to all or any portion of one or more payments of principal, interest or commitment fees has occurred after the earlier of (i) any grace period applicable thereto and (ii) five (5) Business Days, in each case, past the applicable due date;</w:t>
      </w:r>
    </w:p>
    <w:p>
      <w:pPr>
        <w:spacing w:after="0" w:line="168" w:lineRule="exact"/>
        <w:rPr>
          <w:rFonts w:ascii="Times New Roman" w:cs="Times New Roman" w:eastAsia="Times New Roman" w:hAnsi="Times New Roman"/>
          <w:sz w:val="19"/>
          <w:szCs w:val="19"/>
          <w:color w:val="auto"/>
        </w:rPr>
      </w:pPr>
    </w:p>
    <w:p>
      <w:pPr>
        <w:ind w:left="1340" w:right="880" w:firstLine="575"/>
        <w:spacing w:after="0" w:line="257" w:lineRule="auto"/>
        <w:tabs>
          <w:tab w:leader="none" w:pos="218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default (other than a default described in clause (a) of this definition) has occurred under the applicable Related Documents and for which the Borrower (or the agent or required lenders pursuant to the applicable Related Documents, as applicable) has elected to exercise any of its rights or remedies under the applicable Related Documents (including acceleration, foreclosing on collateral or the imposition of default pricing);</w:t>
      </w:r>
    </w:p>
    <w:p>
      <w:pPr>
        <w:spacing w:after="0" w:line="180" w:lineRule="exact"/>
        <w:rPr>
          <w:rFonts w:ascii="Times New Roman" w:cs="Times New Roman" w:eastAsia="Times New Roman" w:hAnsi="Times New Roman"/>
          <w:sz w:val="19"/>
          <w:szCs w:val="19"/>
          <w:color w:val="auto"/>
        </w:rPr>
      </w:pPr>
    </w:p>
    <w:p>
      <w:pPr>
        <w:ind w:left="1340" w:right="1060" w:firstLine="575"/>
        <w:spacing w:after="0" w:line="286" w:lineRule="auto"/>
        <w:tabs>
          <w:tab w:leader="none" w:pos="2177"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in the case of a DIP Collateral Obligation, an Insolvency Event with respect to the related Obligor has occurred;</w:t>
      </w:r>
    </w:p>
    <w:p>
      <w:pPr>
        <w:spacing w:after="0" w:line="151" w:lineRule="exact"/>
        <w:rPr>
          <w:rFonts w:ascii="Times New Roman" w:cs="Times New Roman" w:eastAsia="Times New Roman" w:hAnsi="Times New Roman"/>
          <w:sz w:val="19"/>
          <w:szCs w:val="19"/>
          <w:color w:val="auto"/>
        </w:rPr>
      </w:pPr>
    </w:p>
    <w:p>
      <w:pPr>
        <w:ind w:left="1340" w:right="820" w:firstLine="575"/>
        <w:spacing w:after="0" w:line="286" w:lineRule="auto"/>
        <w:tabs>
          <w:tab w:leader="none" w:pos="218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portion of principal and/or interest payable thereunder has been waived or forgiven by the holders of such obligation;</w:t>
      </w:r>
    </w:p>
    <w:p>
      <w:pPr>
        <w:spacing w:after="0" w:line="151" w:lineRule="exact"/>
        <w:rPr>
          <w:rFonts w:ascii="Times New Roman" w:cs="Times New Roman" w:eastAsia="Times New Roman" w:hAnsi="Times New Roman"/>
          <w:sz w:val="19"/>
          <w:szCs w:val="19"/>
          <w:color w:val="auto"/>
        </w:rPr>
      </w:pPr>
    </w:p>
    <w:p>
      <w:pPr>
        <w:ind w:left="1340" w:right="940" w:firstLine="575"/>
        <w:spacing w:after="0" w:line="268" w:lineRule="auto"/>
        <w:tabs>
          <w:tab w:leader="none" w:pos="2177"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Manager has reasonably determined in accordance with the Credit and Collection Policies that such obligation is not collectible or should be placed on “non-accrual” status; or</w:t>
      </w:r>
    </w:p>
    <w:p>
      <w:pPr>
        <w:spacing w:after="0" w:line="168" w:lineRule="exact"/>
        <w:rPr>
          <w:rFonts w:ascii="Times New Roman" w:cs="Times New Roman" w:eastAsia="Times New Roman" w:hAnsi="Times New Roman"/>
          <w:sz w:val="19"/>
          <w:szCs w:val="19"/>
          <w:color w:val="auto"/>
        </w:rPr>
      </w:pPr>
    </w:p>
    <w:p>
      <w:pPr>
        <w:ind w:left="2160" w:hanging="245"/>
        <w:spacing w:after="0"/>
        <w:tabs>
          <w:tab w:leader="none" w:pos="216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subject to a Material Modification;</w:t>
      </w:r>
    </w:p>
    <w:p>
      <w:pPr>
        <w:spacing w:after="0" w:line="224" w:lineRule="exact"/>
        <w:rPr>
          <w:sz w:val="20"/>
          <w:szCs w:val="20"/>
          <w:color w:val="auto"/>
        </w:rPr>
      </w:pPr>
    </w:p>
    <w:p>
      <w:pPr>
        <w:ind w:left="760" w:right="800"/>
        <w:spacing w:after="0" w:line="260"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any Collateral Loan that has been subject to any of the preceding conditions for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period of 180 days or less prior to acquisition by the Borrower will be classified as a Defaulted Collateral Loan unless such Collateral Loan is a DIP Collateral Obligation;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a Collateral Loan that meets the criteria for a Credit Improved Loan shall no longer be characterized as a Defaulted Collateral Loan hereunder.</w:t>
      </w:r>
    </w:p>
    <w:p>
      <w:pPr>
        <w:spacing w:after="0" w:line="173" w:lineRule="exact"/>
        <w:rPr>
          <w:sz w:val="20"/>
          <w:szCs w:val="20"/>
          <w:color w:val="auto"/>
        </w:rPr>
      </w:pPr>
    </w:p>
    <w:p>
      <w:pPr>
        <w:ind w:left="760" w:right="820" w:firstLine="57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Defaulted Collateral Loan Balance</w:t>
      </w:r>
      <w:r>
        <w:rPr>
          <w:rFonts w:ascii="Times New Roman" w:cs="Times New Roman" w:eastAsia="Times New Roman" w:hAnsi="Times New Roman"/>
          <w:sz w:val="19"/>
          <w:szCs w:val="19"/>
          <w:color w:val="auto"/>
        </w:rPr>
        <w:t xml:space="preserve">” means, for each Defaulted Collateral Loan, at any time, the lesser of (a) the current Market Value of such Defaulted Collateral Loan and (b) the product of (i) the Recovery Rate of such Defaulted Collateral Loan and (ii) the Principal Balance of such Defaulted Collateral Loan;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Defaulted Collateral Loan Balance shall be zero (0) if such loan (x) is a Defaulted Collateral Loan pursuant to the definition thereof for six</w:t>
      </w:r>
    </w:p>
    <w:p>
      <w:pPr>
        <w:spacing w:after="0" w:line="4" w:lineRule="exact"/>
        <w:rPr>
          <w:sz w:val="20"/>
          <w:szCs w:val="20"/>
          <w:color w:val="auto"/>
        </w:rPr>
      </w:pPr>
    </w:p>
    <w:p>
      <w:pPr>
        <w:ind w:left="1040" w:hanging="278"/>
        <w:spacing w:after="0"/>
        <w:tabs>
          <w:tab w:leader="none" w:pos="104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consecutive months or (y) is a Defaulted Collateral Loan pursuant to clause (d) of the</w:t>
      </w:r>
    </w:p>
    <w:p>
      <w:pPr>
        <w:spacing w:after="0" w:line="9" w:lineRule="exact"/>
        <w:rPr>
          <w:rFonts w:ascii="Times New Roman" w:cs="Times New Roman" w:eastAsia="Times New Roman" w:hAnsi="Times New Roman"/>
          <w:sz w:val="19"/>
          <w:szCs w:val="19"/>
          <w:color w:val="auto"/>
        </w:rPr>
      </w:pPr>
    </w:p>
    <w:p>
      <w:pPr>
        <w:ind w:left="760" w:right="84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definition thereof or pursuant to clauses (b) or (e) of the definition of Material Modification; </w:t>
      </w:r>
      <w:r>
        <w:rPr>
          <w:rFonts w:ascii="Times New Roman" w:cs="Times New Roman" w:eastAsia="Times New Roman" w:hAnsi="Times New Roman"/>
          <w:sz w:val="19"/>
          <w:szCs w:val="19"/>
          <w:i w:val="1"/>
          <w:iCs w:val="1"/>
          <w:color w:val="auto"/>
        </w:rPr>
        <w:t xml:space="preserve">provided further </w:t>
      </w:r>
      <w:r>
        <w:rPr>
          <w:rFonts w:ascii="Times New Roman" w:cs="Times New Roman" w:eastAsia="Times New Roman" w:hAnsi="Times New Roman"/>
          <w:sz w:val="19"/>
          <w:szCs w:val="19"/>
          <w:color w:val="auto"/>
        </w:rPr>
        <w:t>that a loan, debt obligation, debt security or Participation Interest that meets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criteria for a Credit Improved Loan shall no longer be characterized as a Defaulted Collateral Loan hereunder. The Market Value of any Defaulted Collateral Loan determined under clause</w:t>
      </w:r>
    </w:p>
    <w:p>
      <w:pPr>
        <w:spacing w:after="0" w:line="1" w:lineRule="exact"/>
        <w:rPr>
          <w:rFonts w:ascii="Times New Roman" w:cs="Times New Roman" w:eastAsia="Times New Roman" w:hAnsi="Times New Roman"/>
          <w:sz w:val="19"/>
          <w:szCs w:val="19"/>
          <w:color w:val="auto"/>
        </w:rPr>
      </w:pPr>
    </w:p>
    <w:p>
      <w:pPr>
        <w:ind w:left="760" w:right="84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shall be subject to the Administrative Agent’s right to challenge such value in its sole discretion;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Collateral Manager shall have the right to dispute such challenge by providing the Administrative Agent with an Appraisal.</w:t>
      </w:r>
    </w:p>
    <w:p>
      <w:pPr>
        <w:spacing w:after="0" w:line="1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“Defaulting Lender” </w:t>
      </w:r>
      <w:r>
        <w:rPr>
          <w:rFonts w:ascii="Times New Roman" w:cs="Times New Roman" w:eastAsia="Times New Roman" w:hAnsi="Times New Roman"/>
          <w:sz w:val="19"/>
          <w:szCs w:val="19"/>
          <w:color w:val="auto"/>
        </w:rPr>
        <w:t>means, subject to Section 2.16(b), any Lender that (a) has failed to</w:t>
      </w:r>
    </w:p>
    <w:p>
      <w:pPr>
        <w:spacing w:after="0" w:line="34" w:lineRule="exact"/>
        <w:rPr>
          <w:sz w:val="20"/>
          <w:szCs w:val="20"/>
          <w:color w:val="auto"/>
        </w:rPr>
      </w:pPr>
    </w:p>
    <w:p>
      <w:pPr>
        <w:ind w:left="760" w:right="1480" w:firstLine="2"/>
        <w:spacing w:after="0" w:line="246" w:lineRule="auto"/>
        <w:tabs>
          <w:tab w:leader="none" w:pos="98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fund all or any portion of its Advances within two (2) Business Days of the date such Advances</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8" w:name="page109"/>
    <w:bookmarkEnd w:id="108"/>
    <w:p>
      <w:pPr>
        <w:spacing w:after="0" w:line="200" w:lineRule="exact"/>
        <w:rPr>
          <w:sz w:val="20"/>
          <w:szCs w:val="20"/>
          <w:color w:val="auto"/>
        </w:rPr>
      </w:pPr>
    </w:p>
    <w:p>
      <w:pPr>
        <w:spacing w:after="0" w:line="285" w:lineRule="exact"/>
        <w:rPr>
          <w:sz w:val="20"/>
          <w:szCs w:val="20"/>
          <w:color w:val="auto"/>
        </w:rPr>
      </w:pPr>
    </w:p>
    <w:p>
      <w:pPr>
        <w:ind w:left="760" w:right="760"/>
        <w:spacing w:after="0" w:line="251" w:lineRule="auto"/>
        <w:rPr>
          <w:sz w:val="20"/>
          <w:szCs w:val="20"/>
          <w:color w:val="auto"/>
        </w:rPr>
      </w:pPr>
      <w:r>
        <w:rPr>
          <w:rFonts w:ascii="Times New Roman" w:cs="Times New Roman" w:eastAsia="Times New Roman" w:hAnsi="Times New Roman"/>
          <w:sz w:val="19"/>
          <w:szCs w:val="19"/>
          <w:color w:val="auto"/>
        </w:rPr>
        <w:t>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any Swingline Lender or any other Lender any other amount required to be paid by it hereunder (including in respect of its participations in Swingline Advances) within two (2) Business Days of the date when due, (b) has notified the Borrower, the Administrative Agent or any Swingline Lender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(iii) become the subject of a Bail-in Action;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2.16(b)) upon delivery of written notice of such determination to the Borrower, each Swingline Lender and each Lender.</w:t>
      </w:r>
    </w:p>
    <w:p>
      <w:pPr>
        <w:spacing w:after="0" w:line="200" w:lineRule="exact"/>
        <w:rPr>
          <w:sz w:val="20"/>
          <w:szCs w:val="20"/>
          <w:color w:val="auto"/>
        </w:rPr>
      </w:pPr>
    </w:p>
    <w:p>
      <w:pPr>
        <w:ind w:left="760" w:right="86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“Delayed Drawdown Collateral Loan” </w:t>
      </w:r>
      <w:r>
        <w:rPr>
          <w:rFonts w:ascii="Times New Roman" w:cs="Times New Roman" w:eastAsia="Times New Roman" w:hAnsi="Times New Roman"/>
          <w:sz w:val="19"/>
          <w:szCs w:val="19"/>
          <w:color w:val="auto"/>
        </w:rPr>
        <w:t>means a Collateral Loan that (a) requires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to make one or more future advances to the Obligor under the Related Documents, (b) specifies a maximum amount that can be borrowed on one or more fixed borrowing dates, and</w:t>
      </w:r>
    </w:p>
    <w:p>
      <w:pPr>
        <w:spacing w:after="0" w:line="2" w:lineRule="exact"/>
        <w:rPr>
          <w:sz w:val="20"/>
          <w:szCs w:val="20"/>
          <w:color w:val="auto"/>
        </w:rPr>
      </w:pPr>
    </w:p>
    <w:p>
      <w:pPr>
        <w:ind w:left="760" w:right="820" w:firstLine="2"/>
        <w:spacing w:after="0" w:line="228" w:lineRule="exact"/>
        <w:tabs>
          <w:tab w:leader="none" w:pos="1021"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does not permit the re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borrowing of any amount previously repaid by the Obligor thereunder;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any such Collateral Loan will be a Delayed Drawdown Collateral Loan only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extent of undrawn commitments and solely until all commitments by the Borrower to make advances on such Collateral Loan to the borrower under the Related Documents expire or are terminated or are reduced to zero.</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09" w:name="page110"/>
    <w:bookmarkEnd w:id="109"/>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i w:val="1"/>
          <w:iCs w:val="1"/>
          <w:color w:val="auto"/>
        </w:rPr>
        <w:t xml:space="preserve">“Deliver”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“Delivered”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“Delivery” </w:t>
      </w:r>
      <w:r>
        <w:rPr>
          <w:rFonts w:ascii="Times New Roman" w:cs="Times New Roman" w:eastAsia="Times New Roman" w:hAnsi="Times New Roman"/>
          <w:sz w:val="19"/>
          <w:szCs w:val="19"/>
          <w:color w:val="auto"/>
        </w:rPr>
        <w:t>means the taking of the following steps:</w:t>
      </w:r>
    </w:p>
    <w:p>
      <w:pPr>
        <w:spacing w:after="0" w:line="228" w:lineRule="exact"/>
        <w:rPr>
          <w:sz w:val="20"/>
          <w:szCs w:val="20"/>
          <w:color w:val="auto"/>
        </w:rPr>
      </w:pPr>
    </w:p>
    <w:p>
      <w:pPr>
        <w:jc w:val="both"/>
        <w:ind w:left="1340" w:right="820" w:firstLine="47"/>
        <w:spacing w:after="0" w:line="268" w:lineRule="auto"/>
        <w:tabs>
          <w:tab w:leader="none" w:pos="164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each Certificated Security (other than a Clearing Corporation Security), Instrument and Participation Interest in which the Participation Interest or the underlying loan is represented by an Instrument:</w:t>
      </w:r>
    </w:p>
    <w:p>
      <w:pPr>
        <w:spacing w:after="0" w:line="168" w:lineRule="exact"/>
        <w:rPr>
          <w:rFonts w:ascii="Times New Roman" w:cs="Times New Roman" w:eastAsia="Times New Roman" w:hAnsi="Times New Roman"/>
          <w:sz w:val="19"/>
          <w:szCs w:val="19"/>
          <w:color w:val="auto"/>
        </w:rPr>
      </w:pPr>
    </w:p>
    <w:p>
      <w:pPr>
        <w:ind w:left="1920" w:right="780" w:firstLine="43"/>
        <w:spacing w:after="0" w:line="262" w:lineRule="auto"/>
        <w:tabs>
          <w:tab w:leader="none" w:pos="2197"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delivery of such Certificated Security or Instrument to the Custodian (which for the avoidance of doubt shall be the Document Custodian) by registering the same in the name of the Custodian or its affiliated nominee or by endorsing the same to the Custodian or in blank;</w:t>
      </w:r>
    </w:p>
    <w:p>
      <w:pPr>
        <w:spacing w:after="0" w:line="174" w:lineRule="exact"/>
        <w:rPr>
          <w:rFonts w:ascii="Times New Roman" w:cs="Times New Roman" w:eastAsia="Times New Roman" w:hAnsi="Times New Roman"/>
          <w:sz w:val="19"/>
          <w:szCs w:val="19"/>
          <w:color w:val="auto"/>
        </w:rPr>
      </w:pPr>
    </w:p>
    <w:p>
      <w:pPr>
        <w:ind w:left="1920" w:right="940" w:firstLine="43"/>
        <w:spacing w:after="0" w:line="268" w:lineRule="auto"/>
        <w:tabs>
          <w:tab w:leader="none" w:pos="2250"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Custodian to indicate continuously on its books and records that such Certificated Security or Instrument is credited to the applicable Covered Account; and</w:t>
      </w:r>
    </w:p>
    <w:p>
      <w:pPr>
        <w:spacing w:after="0" w:line="168" w:lineRule="exact"/>
        <w:rPr>
          <w:rFonts w:ascii="Times New Roman" w:cs="Times New Roman" w:eastAsia="Times New Roman" w:hAnsi="Times New Roman"/>
          <w:sz w:val="19"/>
          <w:szCs w:val="19"/>
          <w:color w:val="auto"/>
        </w:rPr>
      </w:pPr>
    </w:p>
    <w:p>
      <w:pPr>
        <w:ind w:left="1920" w:right="780" w:firstLine="43"/>
        <w:spacing w:after="0" w:line="286" w:lineRule="auto"/>
        <w:tabs>
          <w:tab w:leader="none" w:pos="2304"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Custodian to maintain continuous possession of such Certificated Security or Instrument;</w:t>
      </w:r>
    </w:p>
    <w:p>
      <w:pPr>
        <w:spacing w:after="0" w:line="151" w:lineRule="exact"/>
        <w:rPr>
          <w:rFonts w:ascii="Times New Roman" w:cs="Times New Roman" w:eastAsia="Times New Roman" w:hAnsi="Times New Roman"/>
          <w:sz w:val="19"/>
          <w:szCs w:val="19"/>
          <w:color w:val="auto"/>
        </w:rPr>
      </w:pPr>
    </w:p>
    <w:p>
      <w:pPr>
        <w:ind w:left="1340" w:right="1400" w:firstLine="47"/>
        <w:spacing w:after="0" w:line="286" w:lineRule="auto"/>
        <w:tabs>
          <w:tab w:leader="none" w:pos="16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each Uncertificated Security (other than a Clearing Corporation Security), unless covered by clause (e) below:</w:t>
      </w:r>
    </w:p>
    <w:p>
      <w:pPr>
        <w:spacing w:after="0" w:line="151" w:lineRule="exact"/>
        <w:rPr>
          <w:rFonts w:ascii="Times New Roman" w:cs="Times New Roman" w:eastAsia="Times New Roman" w:hAnsi="Times New Roman"/>
          <w:sz w:val="19"/>
          <w:szCs w:val="19"/>
          <w:color w:val="auto"/>
        </w:rPr>
      </w:pPr>
    </w:p>
    <w:p>
      <w:pPr>
        <w:ind w:left="1920" w:right="1220" w:firstLine="43"/>
        <w:spacing w:after="0" w:line="286" w:lineRule="auto"/>
        <w:tabs>
          <w:tab w:leader="none" w:pos="2197"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such Uncertificated Security to be continuously registered on the books of the issuer thereof to the Custodian; and</w:t>
      </w:r>
    </w:p>
    <w:p>
      <w:pPr>
        <w:spacing w:after="0" w:line="151" w:lineRule="exact"/>
        <w:rPr>
          <w:rFonts w:ascii="Times New Roman" w:cs="Times New Roman" w:eastAsia="Times New Roman" w:hAnsi="Times New Roman"/>
          <w:sz w:val="19"/>
          <w:szCs w:val="19"/>
          <w:color w:val="auto"/>
        </w:rPr>
      </w:pPr>
    </w:p>
    <w:p>
      <w:pPr>
        <w:ind w:left="1920" w:right="880" w:firstLine="43"/>
        <w:spacing w:after="0" w:line="286" w:lineRule="auto"/>
        <w:tabs>
          <w:tab w:leader="none" w:pos="2298"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Custodian to indicate continuously on its books and records that such Uncertificated Security is credited to the applicable Covered Account;</w:t>
      </w:r>
    </w:p>
    <w:p>
      <w:pPr>
        <w:spacing w:after="0" w:line="151" w:lineRule="exact"/>
        <w:rPr>
          <w:rFonts w:ascii="Times New Roman" w:cs="Times New Roman" w:eastAsia="Times New Roman" w:hAnsi="Times New Roman"/>
          <w:sz w:val="19"/>
          <w:szCs w:val="19"/>
          <w:color w:val="auto"/>
        </w:rPr>
      </w:pPr>
    </w:p>
    <w:p>
      <w:pPr>
        <w:ind w:left="1640" w:hanging="253"/>
        <w:spacing w:after="0"/>
        <w:tabs>
          <w:tab w:leader="none" w:pos="164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each Clearing Corporation Security:</w:t>
      </w:r>
    </w:p>
    <w:p>
      <w:pPr>
        <w:spacing w:after="0" w:line="225" w:lineRule="exact"/>
        <w:rPr>
          <w:rFonts w:ascii="Times New Roman" w:cs="Times New Roman" w:eastAsia="Times New Roman" w:hAnsi="Times New Roman"/>
          <w:sz w:val="19"/>
          <w:szCs w:val="19"/>
          <w:color w:val="auto"/>
        </w:rPr>
      </w:pPr>
    </w:p>
    <w:p>
      <w:pPr>
        <w:ind w:left="1920" w:right="840" w:firstLine="43"/>
        <w:spacing w:after="0" w:line="286" w:lineRule="auto"/>
        <w:tabs>
          <w:tab w:leader="none" w:pos="2197"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relevant Clearing Corporation to credit such Clearing Corporation Security to the securities account of the Custodian, and</w:t>
      </w:r>
    </w:p>
    <w:p>
      <w:pPr>
        <w:spacing w:after="0" w:line="151" w:lineRule="exact"/>
        <w:rPr>
          <w:rFonts w:ascii="Times New Roman" w:cs="Times New Roman" w:eastAsia="Times New Roman" w:hAnsi="Times New Roman"/>
          <w:sz w:val="19"/>
          <w:szCs w:val="19"/>
          <w:color w:val="auto"/>
        </w:rPr>
      </w:pPr>
    </w:p>
    <w:p>
      <w:pPr>
        <w:ind w:left="1920" w:right="780" w:firstLine="43"/>
        <w:spacing w:after="0" w:line="286" w:lineRule="auto"/>
        <w:tabs>
          <w:tab w:leader="none" w:pos="2298"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Custodian to indicate continuously on its books and records that such Clearing Corporation Security is credited to the applicable Covered Account;</w:t>
      </w:r>
    </w:p>
    <w:p>
      <w:pPr>
        <w:spacing w:after="0" w:line="151" w:lineRule="exact"/>
        <w:rPr>
          <w:rFonts w:ascii="Times New Roman" w:cs="Times New Roman" w:eastAsia="Times New Roman" w:hAnsi="Times New Roman"/>
          <w:sz w:val="19"/>
          <w:szCs w:val="19"/>
          <w:color w:val="auto"/>
        </w:rPr>
      </w:pPr>
    </w:p>
    <w:p>
      <w:pPr>
        <w:ind w:left="1340" w:right="900" w:firstLine="47"/>
        <w:spacing w:after="0" w:line="235" w:lineRule="exact"/>
        <w:tabs>
          <w:tab w:leader="none" w:pos="1708"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each security issued or guaranteed by the United States of America or agency or instrumentality thereof and that is maintained in book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entry records of a Federal Reserve Bank (</w:t>
      </w:r>
      <w:r>
        <w:rPr>
          <w:rFonts w:ascii="Times New Roman" w:cs="Times New Roman" w:eastAsia="Times New Roman" w:hAnsi="Times New Roman"/>
          <w:sz w:val="19"/>
          <w:szCs w:val="19"/>
          <w:i w:val="1"/>
          <w:iCs w:val="1"/>
          <w:color w:val="auto"/>
        </w:rPr>
        <w:t>“FRB”</w:t>
      </w:r>
      <w:r>
        <w:rPr>
          <w:rFonts w:ascii="Times New Roman" w:cs="Times New Roman" w:eastAsia="Times New Roman" w:hAnsi="Times New Roman"/>
          <w:sz w:val="19"/>
          <w:szCs w:val="19"/>
          <w:color w:val="auto"/>
        </w:rPr>
        <w:t xml:space="preserve">) (each such security, a </w:t>
      </w:r>
      <w:r>
        <w:rPr>
          <w:rFonts w:ascii="Times New Roman" w:cs="Times New Roman" w:eastAsia="Times New Roman" w:hAnsi="Times New Roman"/>
          <w:sz w:val="19"/>
          <w:szCs w:val="19"/>
          <w:i w:val="1"/>
          <w:iCs w:val="1"/>
          <w:color w:val="auto"/>
        </w:rPr>
        <w:t>“Government Security”</w:t>
      </w:r>
      <w:r>
        <w:rPr>
          <w:rFonts w:ascii="Times New Roman" w:cs="Times New Roman" w:eastAsia="Times New Roman" w:hAnsi="Times New Roman"/>
          <w:sz w:val="19"/>
          <w:szCs w:val="19"/>
          <w:color w:val="auto"/>
        </w:rPr>
        <w:t>):</w:t>
      </w:r>
    </w:p>
    <w:p>
      <w:pPr>
        <w:spacing w:after="0" w:line="195" w:lineRule="exact"/>
        <w:rPr>
          <w:rFonts w:ascii="Times New Roman" w:cs="Times New Roman" w:eastAsia="Times New Roman" w:hAnsi="Times New Roman"/>
          <w:sz w:val="19"/>
          <w:szCs w:val="19"/>
          <w:color w:val="auto"/>
        </w:rPr>
      </w:pPr>
    </w:p>
    <w:p>
      <w:pPr>
        <w:ind w:left="1920" w:right="980" w:firstLine="43"/>
        <w:spacing w:after="0" w:line="255" w:lineRule="auto"/>
        <w:tabs>
          <w:tab w:leader="none" w:pos="2245"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creation of a Security Entitlement to such Government Security by the credit of such Government Security to the securities account of the Custodian at such FRB, and</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0" w:name="page111"/>
    <w:bookmarkEnd w:id="110"/>
    <w:p>
      <w:pPr>
        <w:spacing w:after="0" w:line="200" w:lineRule="exact"/>
        <w:rPr>
          <w:sz w:val="20"/>
          <w:szCs w:val="20"/>
          <w:color w:val="auto"/>
        </w:rPr>
      </w:pPr>
    </w:p>
    <w:p>
      <w:pPr>
        <w:spacing w:after="0" w:line="285" w:lineRule="exact"/>
        <w:rPr>
          <w:sz w:val="20"/>
          <w:szCs w:val="20"/>
          <w:color w:val="auto"/>
        </w:rPr>
      </w:pPr>
    </w:p>
    <w:p>
      <w:pPr>
        <w:ind w:left="1920" w:right="880" w:firstLine="43"/>
        <w:spacing w:after="0" w:line="286" w:lineRule="auto"/>
        <w:tabs>
          <w:tab w:leader="none" w:pos="2298"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Custodian to indicate continuously on its books and records that such Government Security is credited to the applicable Covered Account;</w:t>
      </w:r>
    </w:p>
    <w:p>
      <w:pPr>
        <w:spacing w:after="0" w:line="151" w:lineRule="exact"/>
        <w:rPr>
          <w:rFonts w:ascii="Times New Roman" w:cs="Times New Roman" w:eastAsia="Times New Roman" w:hAnsi="Times New Roman"/>
          <w:sz w:val="19"/>
          <w:szCs w:val="19"/>
          <w:color w:val="auto"/>
        </w:rPr>
      </w:pPr>
    </w:p>
    <w:p>
      <w:pPr>
        <w:ind w:left="1340" w:right="1240" w:firstLine="47"/>
        <w:spacing w:after="0" w:line="286" w:lineRule="auto"/>
        <w:tabs>
          <w:tab w:leader="none" w:pos="164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each Security Entitlement not governed by clauses (a) through (d) above:</w:t>
      </w:r>
    </w:p>
    <w:p>
      <w:pPr>
        <w:spacing w:after="0" w:line="151" w:lineRule="exact"/>
        <w:rPr>
          <w:rFonts w:ascii="Times New Roman" w:cs="Times New Roman" w:eastAsia="Times New Roman" w:hAnsi="Times New Roman"/>
          <w:sz w:val="19"/>
          <w:szCs w:val="19"/>
          <w:color w:val="auto"/>
        </w:rPr>
      </w:pPr>
    </w:p>
    <w:p>
      <w:pPr>
        <w:ind w:left="1920" w:right="840" w:firstLine="43"/>
        <w:spacing w:after="0" w:line="268" w:lineRule="auto"/>
        <w:tabs>
          <w:tab w:leader="none" w:pos="2197"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a Securities Intermediary to receive a Financial Asset from a Securities Intermediary or to acquire the underlying Financial Asset, and in either case, accepting it for credit to the Custodian’s securities account,</w:t>
      </w:r>
    </w:p>
    <w:p>
      <w:pPr>
        <w:spacing w:after="0" w:line="168" w:lineRule="exact"/>
        <w:rPr>
          <w:sz w:val="20"/>
          <w:szCs w:val="20"/>
          <w:color w:val="auto"/>
        </w:rPr>
      </w:pPr>
    </w:p>
    <w:p>
      <w:pPr>
        <w:jc w:val="both"/>
        <w:ind w:left="1920" w:right="820" w:firstLine="43"/>
        <w:spacing w:after="0" w:line="262" w:lineRule="auto"/>
        <w:tabs>
          <w:tab w:leader="none" w:pos="225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174" w:lineRule="exact"/>
        <w:rPr>
          <w:rFonts w:ascii="Times New Roman" w:cs="Times New Roman" w:eastAsia="Times New Roman" w:hAnsi="Times New Roman"/>
          <w:sz w:val="19"/>
          <w:szCs w:val="19"/>
          <w:color w:val="auto"/>
        </w:rPr>
      </w:pPr>
    </w:p>
    <w:p>
      <w:pPr>
        <w:ind w:left="1920" w:right="780" w:firstLine="43"/>
        <w:spacing w:after="0" w:line="268" w:lineRule="auto"/>
        <w:tabs>
          <w:tab w:leader="none" w:pos="2304"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168" w:lineRule="exact"/>
        <w:rPr>
          <w:rFonts w:ascii="Times New Roman" w:cs="Times New Roman" w:eastAsia="Times New Roman" w:hAnsi="Times New Roman"/>
          <w:sz w:val="19"/>
          <w:szCs w:val="19"/>
          <w:color w:val="auto"/>
        </w:rPr>
      </w:pPr>
    </w:p>
    <w:p>
      <w:pPr>
        <w:ind w:left="1620" w:hanging="233"/>
        <w:spacing w:after="0"/>
        <w:tabs>
          <w:tab w:leader="none" w:pos="162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Cash or Money:</w:t>
      </w:r>
    </w:p>
    <w:p>
      <w:pPr>
        <w:spacing w:after="0" w:line="225" w:lineRule="exact"/>
        <w:rPr>
          <w:rFonts w:ascii="Times New Roman" w:cs="Times New Roman" w:eastAsia="Times New Roman" w:hAnsi="Times New Roman"/>
          <w:sz w:val="19"/>
          <w:szCs w:val="19"/>
          <w:color w:val="auto"/>
        </w:rPr>
      </w:pPr>
    </w:p>
    <w:p>
      <w:pPr>
        <w:ind w:left="2200" w:hanging="237"/>
        <w:spacing w:after="0"/>
        <w:tabs>
          <w:tab w:leader="none" w:pos="220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delivery of such Cash or Money to the Custodian,</w:t>
      </w:r>
    </w:p>
    <w:p>
      <w:pPr>
        <w:spacing w:after="0" w:line="225" w:lineRule="exact"/>
        <w:rPr>
          <w:rFonts w:ascii="Times New Roman" w:cs="Times New Roman" w:eastAsia="Times New Roman" w:hAnsi="Times New Roman"/>
          <w:sz w:val="19"/>
          <w:szCs w:val="19"/>
          <w:color w:val="auto"/>
        </w:rPr>
      </w:pPr>
    </w:p>
    <w:p>
      <w:pPr>
        <w:ind w:left="1920" w:right="1180" w:firstLine="43"/>
        <w:spacing w:after="0" w:line="244" w:lineRule="exact"/>
        <w:tabs>
          <w:tab w:leader="none" w:pos="225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Custodian to credit such Cash or Money to a deposit account maintained as a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account of the applicable Covered Account, and</w:t>
      </w:r>
    </w:p>
    <w:p>
      <w:pPr>
        <w:spacing w:after="0" w:line="186" w:lineRule="exact"/>
        <w:rPr>
          <w:rFonts w:ascii="Times New Roman" w:cs="Times New Roman" w:eastAsia="Times New Roman" w:hAnsi="Times New Roman"/>
          <w:sz w:val="19"/>
          <w:szCs w:val="19"/>
          <w:color w:val="auto"/>
        </w:rPr>
      </w:pPr>
    </w:p>
    <w:p>
      <w:pPr>
        <w:ind w:left="1920" w:right="840" w:firstLine="43"/>
        <w:spacing w:after="0" w:line="286" w:lineRule="auto"/>
        <w:tabs>
          <w:tab w:leader="none" w:pos="2352"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causing the Custodian to indicate continuously on its books and records that such Cash or Money is credited to the applicable Covered Account; and</w:t>
      </w:r>
    </w:p>
    <w:p>
      <w:pPr>
        <w:spacing w:after="0" w:line="151" w:lineRule="exact"/>
        <w:rPr>
          <w:rFonts w:ascii="Times New Roman" w:cs="Times New Roman" w:eastAsia="Times New Roman" w:hAnsi="Times New Roman"/>
          <w:sz w:val="19"/>
          <w:szCs w:val="19"/>
          <w:color w:val="auto"/>
        </w:rPr>
      </w:pPr>
    </w:p>
    <w:p>
      <w:pPr>
        <w:ind w:left="1340" w:right="800" w:firstLine="47"/>
        <w:spacing w:after="0" w:line="262" w:lineRule="auto"/>
        <w:tabs>
          <w:tab w:leader="none" w:pos="1708"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each account or general intangible (including any Participation Interest in which none of the Participation Interest or the underlying loan, is represented by an Instrument), causing the filing of a Financing Statement in the office of the Secretary of State of the State of Delaware.</w:t>
      </w:r>
    </w:p>
    <w:p>
      <w:pPr>
        <w:spacing w:after="0" w:line="174" w:lineRule="exact"/>
        <w:rPr>
          <w:sz w:val="20"/>
          <w:szCs w:val="20"/>
          <w:color w:val="auto"/>
        </w:rPr>
      </w:pPr>
    </w:p>
    <w:p>
      <w:pPr>
        <w:ind w:left="760" w:right="1040" w:firstLine="576"/>
        <w:spacing w:after="0" w:line="236" w:lineRule="exact"/>
        <w:rPr>
          <w:sz w:val="20"/>
          <w:szCs w:val="20"/>
          <w:color w:val="auto"/>
        </w:rPr>
      </w:pPr>
      <w:r>
        <w:rPr>
          <w:rFonts w:ascii="Times New Roman" w:cs="Times New Roman" w:eastAsia="Times New Roman" w:hAnsi="Times New Roman"/>
          <w:sz w:val="19"/>
          <w:szCs w:val="19"/>
          <w:color w:val="auto"/>
        </w:rPr>
        <w:t>In addition, the Collateral Manager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Section 9</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406 of the UCC).</w:t>
      </w:r>
    </w:p>
    <w:p>
      <w:pPr>
        <w:spacing w:after="0" w:line="1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“Determination Date” </w:t>
      </w:r>
      <w:r>
        <w:rPr>
          <w:rFonts w:ascii="Times New Roman" w:cs="Times New Roman" w:eastAsia="Times New Roman" w:hAnsi="Times New Roman"/>
          <w:sz w:val="19"/>
          <w:szCs w:val="19"/>
          <w:color w:val="auto"/>
        </w:rPr>
        <w:t>means the last day of each Collection Period.</w:t>
      </w:r>
    </w:p>
    <w:p>
      <w:pPr>
        <w:spacing w:after="0" w:line="26" w:lineRule="exact"/>
        <w:rPr>
          <w:sz w:val="20"/>
          <w:szCs w:val="20"/>
          <w:color w:val="auto"/>
        </w:rPr>
      </w:pPr>
    </w:p>
    <w:p>
      <w:pPr>
        <w:ind w:left="436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1" w:name="page112"/>
    <w:bookmarkEnd w:id="111"/>
    <w:p>
      <w:pPr>
        <w:spacing w:after="0" w:line="200" w:lineRule="exact"/>
        <w:rPr>
          <w:sz w:val="20"/>
          <w:szCs w:val="20"/>
          <w:color w:val="auto"/>
        </w:rPr>
      </w:pPr>
    </w:p>
    <w:p>
      <w:pPr>
        <w:spacing w:after="0" w:line="2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“DIP Collateral Obligation” </w:t>
      </w:r>
      <w:r>
        <w:rPr>
          <w:rFonts w:ascii="Times New Roman" w:cs="Times New Roman" w:eastAsia="Times New Roman" w:hAnsi="Times New Roman"/>
          <w:sz w:val="19"/>
          <w:szCs w:val="19"/>
          <w:color w:val="auto"/>
        </w:rPr>
        <w:t>means an obligation:</w:t>
      </w:r>
    </w:p>
    <w:p>
      <w:pPr>
        <w:spacing w:after="0" w:line="228" w:lineRule="exact"/>
        <w:rPr>
          <w:sz w:val="20"/>
          <w:szCs w:val="20"/>
          <w:color w:val="auto"/>
        </w:rPr>
      </w:pPr>
    </w:p>
    <w:p>
      <w:pPr>
        <w:ind w:left="1340" w:right="1280" w:firstLine="47"/>
        <w:spacing w:after="0" w:line="286" w:lineRule="auto"/>
        <w:tabs>
          <w:tab w:leader="none" w:pos="164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obtained or incurred after the entry of an order of relief in a case pending under Chapter 11 of the Bankruptcy Code,</w:t>
      </w:r>
    </w:p>
    <w:p>
      <w:pPr>
        <w:spacing w:after="0" w:line="151" w:lineRule="exact"/>
        <w:rPr>
          <w:rFonts w:ascii="Times New Roman" w:cs="Times New Roman" w:eastAsia="Times New Roman" w:hAnsi="Times New Roman"/>
          <w:sz w:val="19"/>
          <w:szCs w:val="19"/>
          <w:color w:val="auto"/>
        </w:rPr>
      </w:pPr>
    </w:p>
    <w:p>
      <w:pPr>
        <w:ind w:left="1340" w:right="960" w:firstLine="47"/>
        <w:spacing w:after="0" w:line="268" w:lineRule="auto"/>
        <w:tabs>
          <w:tab w:leader="none" w:pos="166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 debtor in possession as described in Chapter 11 of the Bankruptcy Code or a trustee (if appointment of such trustee has been ordered pursuant to Section 1104 of the Bankruptcy Code),</w:t>
      </w:r>
    </w:p>
    <w:p>
      <w:pPr>
        <w:spacing w:after="0" w:line="168" w:lineRule="exact"/>
        <w:rPr>
          <w:rFonts w:ascii="Times New Roman" w:cs="Times New Roman" w:eastAsia="Times New Roman" w:hAnsi="Times New Roman"/>
          <w:sz w:val="19"/>
          <w:szCs w:val="19"/>
          <w:color w:val="auto"/>
        </w:rPr>
      </w:pPr>
    </w:p>
    <w:p>
      <w:pPr>
        <w:ind w:left="1340" w:right="940" w:firstLine="47"/>
        <w:spacing w:after="0" w:line="286" w:lineRule="auto"/>
        <w:tabs>
          <w:tab w:leader="none" w:pos="164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which the related Obligor is required to pay interest and/or principal on a current basis, and</w:t>
      </w:r>
    </w:p>
    <w:p>
      <w:pPr>
        <w:spacing w:after="0" w:line="151" w:lineRule="exact"/>
        <w:rPr>
          <w:rFonts w:ascii="Times New Roman" w:cs="Times New Roman" w:eastAsia="Times New Roman" w:hAnsi="Times New Roman"/>
          <w:sz w:val="19"/>
          <w:szCs w:val="19"/>
          <w:color w:val="auto"/>
        </w:rPr>
      </w:pPr>
    </w:p>
    <w:p>
      <w:pPr>
        <w:ind w:left="1340" w:right="840" w:firstLine="47"/>
        <w:spacing w:after="0" w:line="256" w:lineRule="auto"/>
        <w:tabs>
          <w:tab w:leader="none" w:pos="166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 estate that is otherwise subject to a Lien pursuant to Section 364(d) of the Bankruptcy Code or (C) is secured by a junior Lien on the debtor’s encumbered assets (so long as such loan is fully secured based on the most recent current valuation or appraisal report, if any, of the debtor).</w:t>
      </w:r>
    </w:p>
    <w:p>
      <w:pPr>
        <w:spacing w:after="0" w:line="179" w:lineRule="exact"/>
        <w:rPr>
          <w:sz w:val="20"/>
          <w:szCs w:val="20"/>
          <w:color w:val="auto"/>
        </w:rPr>
      </w:pPr>
    </w:p>
    <w:p>
      <w:pPr>
        <w:ind w:left="760" w:right="102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Discount Collateral Loan</w:t>
      </w:r>
      <w:r>
        <w:rPr>
          <w:rFonts w:ascii="Times New Roman" w:cs="Times New Roman" w:eastAsia="Times New Roman" w:hAnsi="Times New Roman"/>
          <w:sz w:val="19"/>
          <w:szCs w:val="19"/>
          <w:color w:val="auto"/>
        </w:rPr>
        <w:t>” means any Collateral Loan having a purchase price of less than 95.0% of par.</w:t>
      </w:r>
    </w:p>
    <w:p>
      <w:pPr>
        <w:spacing w:after="0" w:line="148" w:lineRule="exact"/>
        <w:rPr>
          <w:sz w:val="20"/>
          <w:szCs w:val="20"/>
          <w:color w:val="auto"/>
        </w:rPr>
      </w:pPr>
    </w:p>
    <w:p>
      <w:pPr>
        <w:ind w:left="760" w:right="82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Document Custodian</w:t>
      </w:r>
      <w:r>
        <w:rPr>
          <w:rFonts w:ascii="Times New Roman" w:cs="Times New Roman" w:eastAsia="Times New Roman" w:hAnsi="Times New Roman"/>
          <w:sz w:val="19"/>
          <w:szCs w:val="19"/>
          <w:color w:val="auto"/>
        </w:rPr>
        <w:t>” means the Custodian when acting in the role of a custodian of the Related Documents hereunder.</w:t>
      </w:r>
    </w:p>
    <w:p>
      <w:pPr>
        <w:spacing w:after="0" w:line="148" w:lineRule="exact"/>
        <w:rPr>
          <w:sz w:val="20"/>
          <w:szCs w:val="20"/>
          <w:color w:val="auto"/>
        </w:rPr>
      </w:pPr>
    </w:p>
    <w:p>
      <w:pPr>
        <w:ind w:left="760" w:right="90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Document Custodian Facilities</w:t>
      </w:r>
      <w:r>
        <w:rPr>
          <w:rFonts w:ascii="Times New Roman" w:cs="Times New Roman" w:eastAsia="Times New Roman" w:hAnsi="Times New Roman"/>
          <w:sz w:val="19"/>
          <w:szCs w:val="19"/>
          <w:color w:val="auto"/>
        </w:rPr>
        <w:t>” means the office of the Document Custodian specified on Schedule 6.</w:t>
      </w:r>
    </w:p>
    <w:p>
      <w:pPr>
        <w:spacing w:after="0" w:line="148" w:lineRule="exact"/>
        <w:rPr>
          <w:sz w:val="20"/>
          <w:szCs w:val="20"/>
          <w:color w:val="auto"/>
        </w:rPr>
      </w:pPr>
    </w:p>
    <w:p>
      <w:pPr>
        <w:ind w:left="760" w:right="8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“Dollar Equivalent” </w:t>
      </w:r>
      <w:r>
        <w:rPr>
          <w:rFonts w:ascii="Times New Roman" w:cs="Times New Roman" w:eastAsia="Times New Roman" w:hAnsi="Times New Roman"/>
          <w:sz w:val="19"/>
          <w:szCs w:val="19"/>
          <w:color w:val="auto"/>
        </w:rPr>
        <w:t>means, on any date of determination, with respect to an amount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denominated in any Agreed Foreign Currency, the amount of Dollars that would be required to purchase such amount of such Agreed Foreign Currency based upon the spot selling rate at which such Agreed Foreign Currency may be exchanged for Dollars on the FXC GO screen of the Bloomberg Financial Markets System at approximately 4:00 p.m. (New York Time) on such date. None of the Administrative Agent, the Collateral Administrator or the Collateral Agent, shall have any responsibility for any calculation of a Dollar Equivalent made by the Collateral Manager. For avoidance of doubt, neither the Collateral Administrator nor the Collateral Agent shall have any responsibility to calculate any Dollar Equivalent pursuant to this Agreement.</w:t>
      </w:r>
    </w:p>
    <w:p>
      <w:pPr>
        <w:spacing w:after="0" w:line="1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“Dollars”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 </w:t>
      </w:r>
      <w:r>
        <w:rPr>
          <w:rFonts w:ascii="Times New Roman" w:cs="Times New Roman" w:eastAsia="Times New Roman" w:hAnsi="Times New Roman"/>
          <w:sz w:val="19"/>
          <w:szCs w:val="19"/>
          <w:color w:val="auto"/>
        </w:rPr>
        <w:t>mean lawful money of the United States of America.</w:t>
      </w:r>
    </w:p>
    <w:p>
      <w:pPr>
        <w:spacing w:after="0" w:line="226" w:lineRule="exact"/>
        <w:rPr>
          <w:sz w:val="20"/>
          <w:szCs w:val="20"/>
          <w:color w:val="auto"/>
        </w:rPr>
      </w:pPr>
    </w:p>
    <w:p>
      <w:pPr>
        <w:ind w:left="760" w:right="13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“Due Date” </w:t>
      </w:r>
      <w:r>
        <w:rPr>
          <w:rFonts w:ascii="Times New Roman" w:cs="Times New Roman" w:eastAsia="Times New Roman" w:hAnsi="Times New Roman"/>
          <w:sz w:val="19"/>
          <w:szCs w:val="19"/>
          <w:color w:val="auto"/>
        </w:rPr>
        <w:t>means each date on which any payment is due on a Collateral Loan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accordance with its terms.</w:t>
      </w:r>
    </w:p>
    <w:p>
      <w:pPr>
        <w:spacing w:after="0" w:line="148" w:lineRule="exact"/>
        <w:rPr>
          <w:sz w:val="20"/>
          <w:szCs w:val="20"/>
          <w:color w:val="auto"/>
        </w:rPr>
      </w:pPr>
    </w:p>
    <w:p>
      <w:pPr>
        <w:ind w:left="760" w:right="84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“EBITDA” </w:t>
      </w:r>
      <w:r>
        <w:rPr>
          <w:rFonts w:ascii="Times New Roman" w:cs="Times New Roman" w:eastAsia="Times New Roman" w:hAnsi="Times New Roman"/>
          <w:sz w:val="19"/>
          <w:szCs w:val="19"/>
          <w:color w:val="auto"/>
        </w:rPr>
        <w:t>means, with respect to any Relevant Test Period and any Collateral Loan,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meaning of the term “Adjusted EBITDA”, the term “EBITDA” or any comparable definition in</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2" w:name="page113"/>
    <w:bookmarkEnd w:id="112"/>
    <w:p>
      <w:pPr>
        <w:spacing w:after="0" w:line="200" w:lineRule="exact"/>
        <w:rPr>
          <w:sz w:val="20"/>
          <w:szCs w:val="20"/>
          <w:color w:val="auto"/>
        </w:rPr>
      </w:pPr>
    </w:p>
    <w:p>
      <w:pPr>
        <w:spacing w:after="0" w:line="285" w:lineRule="exact"/>
        <w:rPr>
          <w:sz w:val="20"/>
          <w:szCs w:val="20"/>
          <w:color w:val="auto"/>
        </w:rPr>
      </w:pPr>
    </w:p>
    <w:p>
      <w:pPr>
        <w:ind w:left="760" w:right="800"/>
        <w:spacing w:after="0" w:line="253" w:lineRule="auto"/>
        <w:rPr>
          <w:sz w:val="20"/>
          <w:szCs w:val="20"/>
          <w:color w:val="auto"/>
        </w:rPr>
      </w:pPr>
      <w:r>
        <w:rPr>
          <w:rFonts w:ascii="Times New Roman" w:cs="Times New Roman" w:eastAsia="Times New Roman" w:hAnsi="Times New Roman"/>
          <w:sz w:val="19"/>
          <w:szCs w:val="19"/>
          <w:color w:val="auto"/>
        </w:rPr>
        <w:t xml:space="preserve">the Related Documents for such period and Collateral Loan (or, in the case of a Collateral Loan for which the Related Documents have not been executed, as set forth in the relevant marketing materials or financial model in respect of such Collateral Loan) as determined in the good faith discretion of the Collateral Manager, and, in any case that the term “Adjusted EBITDA”, the term “EBITDA” or such comparable definition is not defined in such Related Documents, an amount, for the principal Obligor thereunder and any of its parents or subsidiaries that are obligated as guarantor pursuant to the Related Documents for such Collateral Loan (determined on a consolidated basis without duplication in accordance with GAAP (and also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as determined in good faith by the Collateral Manager in case of any acquisitions)) equal to earnings from continuing operations for such period plus interest expense, income taxes, unallocated depreciation and amortization for such period (to the extent deducted in determining earnings from continuing operations for such period), amortization of intangibles (including goodwill, financing fees and other capitalized costs), other non-cash charges and organization costs, extraordinary, one-time and/or non-recurring losses or charges, and any other item the Collateral Manager and the Administrative Agent deem to be appropriate.</w:t>
      </w:r>
    </w:p>
    <w:p>
      <w:pPr>
        <w:spacing w:after="0" w:line="180" w:lineRule="exact"/>
        <w:rPr>
          <w:sz w:val="20"/>
          <w:szCs w:val="20"/>
          <w:color w:val="auto"/>
        </w:rPr>
      </w:pPr>
    </w:p>
    <w:p>
      <w:pPr>
        <w:ind w:left="760" w:right="820" w:firstLine="57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5" w:lineRule="exact"/>
        <w:rPr>
          <w:sz w:val="20"/>
          <w:szCs w:val="20"/>
          <w:color w:val="auto"/>
        </w:rPr>
      </w:pPr>
    </w:p>
    <w:p>
      <w:pPr>
        <w:ind w:left="760" w:right="7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148" w:lineRule="exact"/>
        <w:rPr>
          <w:sz w:val="20"/>
          <w:szCs w:val="20"/>
          <w:color w:val="auto"/>
        </w:rPr>
      </w:pPr>
    </w:p>
    <w:p>
      <w:pPr>
        <w:ind w:left="760" w:right="114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6" w:lineRule="exact"/>
        <w:rPr>
          <w:sz w:val="20"/>
          <w:szCs w:val="20"/>
          <w:color w:val="auto"/>
        </w:rPr>
      </w:pPr>
    </w:p>
    <w:p>
      <w:pPr>
        <w:ind w:left="760" w:right="114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“Eligible Collateral Loan” </w:t>
      </w:r>
      <w:r>
        <w:rPr>
          <w:rFonts w:ascii="Times New Roman" w:cs="Times New Roman" w:eastAsia="Times New Roman" w:hAnsi="Times New Roman"/>
          <w:sz w:val="19"/>
          <w:szCs w:val="19"/>
          <w:color w:val="auto"/>
        </w:rPr>
        <w:t>means a Collateral Loan that meets each of the following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criteria:</w:t>
      </w:r>
    </w:p>
    <w:p>
      <w:pPr>
        <w:spacing w:after="0" w:line="150" w:lineRule="exact"/>
        <w:rPr>
          <w:sz w:val="20"/>
          <w:szCs w:val="20"/>
          <w:color w:val="auto"/>
        </w:rPr>
      </w:pPr>
    </w:p>
    <w:p>
      <w:pPr>
        <w:ind w:left="1340" w:right="840" w:firstLine="575"/>
        <w:spacing w:after="0" w:line="286" w:lineRule="auto"/>
        <w:tabs>
          <w:tab w:leader="none" w:pos="217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 First Lien Loan (including a Stretch Senior Loan), a Split First Lien Loan, a Split Lien Loan or a Second Lien Loan;</w:t>
      </w:r>
    </w:p>
    <w:p>
      <w:pPr>
        <w:spacing w:after="0" w:line="151"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acquisition, was acquired for a purchase price of more than 85%</w:t>
      </w:r>
    </w:p>
    <w:p>
      <w:pPr>
        <w:spacing w:after="0" w:line="31" w:lineRule="exact"/>
        <w:rPr>
          <w:rFonts w:ascii="Times New Roman" w:cs="Times New Roman" w:eastAsia="Times New Roman" w:hAnsi="Times New Roman"/>
          <w:sz w:val="19"/>
          <w:szCs w:val="19"/>
          <w:color w:val="auto"/>
        </w:rPr>
      </w:pPr>
    </w:p>
    <w:p>
      <w:pPr>
        <w:ind w:left="1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par;</w:t>
      </w:r>
    </w:p>
    <w:p>
      <w:pPr>
        <w:spacing w:after="0" w:line="203" w:lineRule="exact"/>
        <w:rPr>
          <w:rFonts w:ascii="Times New Roman" w:cs="Times New Roman" w:eastAsia="Times New Roman" w:hAnsi="Times New Roman"/>
          <w:sz w:val="19"/>
          <w:szCs w:val="19"/>
          <w:color w:val="auto"/>
        </w:rPr>
      </w:pPr>
    </w:p>
    <w:p>
      <w:pPr>
        <w:ind w:left="1340" w:right="840" w:firstLine="575"/>
        <w:spacing w:after="0" w:line="286" w:lineRule="auto"/>
        <w:tabs>
          <w:tab w:leader="none" w:pos="217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permits the purchase thereof by or assignment thereof to the Borrower and the pledge to the Collateral Agent;</w:t>
      </w:r>
    </w:p>
    <w:p>
      <w:pPr>
        <w:spacing w:after="0" w:line="151" w:lineRule="exact"/>
        <w:rPr>
          <w:rFonts w:ascii="Times New Roman" w:cs="Times New Roman" w:eastAsia="Times New Roman" w:hAnsi="Times New Roman"/>
          <w:sz w:val="19"/>
          <w:szCs w:val="19"/>
          <w:color w:val="auto"/>
        </w:rPr>
      </w:pPr>
    </w:p>
    <w:p>
      <w:pPr>
        <w:ind w:left="1340" w:right="940" w:firstLine="575"/>
        <w:spacing w:after="0" w:line="255" w:lineRule="auto"/>
        <w:tabs>
          <w:tab w:leader="none" w:pos="2188"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denominated and payable in (i) Dollars or (ii) Pounds Sterling, Euros, Canadian Dollars, Australian Dollars to the extent that, in the case of this clause (ii), (x) such loan, debt obligation or Participation Interest would also constitute a Floating Rate</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3" w:name="page114"/>
    <w:bookmarkEnd w:id="113"/>
    <w:p>
      <w:pPr>
        <w:spacing w:after="0" w:line="200" w:lineRule="exact"/>
        <w:rPr>
          <w:sz w:val="20"/>
          <w:szCs w:val="20"/>
          <w:color w:val="auto"/>
        </w:rPr>
      </w:pPr>
    </w:p>
    <w:p>
      <w:pPr>
        <w:spacing w:after="0" w:line="285" w:lineRule="exact"/>
        <w:rPr>
          <w:sz w:val="20"/>
          <w:szCs w:val="20"/>
          <w:color w:val="auto"/>
        </w:rPr>
      </w:pPr>
    </w:p>
    <w:p>
      <w:pPr>
        <w:ind w:left="1340" w:right="880"/>
        <w:spacing w:after="0" w:line="286" w:lineRule="auto"/>
        <w:rPr>
          <w:sz w:val="20"/>
          <w:szCs w:val="20"/>
          <w:color w:val="auto"/>
        </w:rPr>
      </w:pPr>
      <w:r>
        <w:rPr>
          <w:rFonts w:ascii="Times New Roman" w:cs="Times New Roman" w:eastAsia="Times New Roman" w:hAnsi="Times New Roman"/>
          <w:sz w:val="19"/>
          <w:szCs w:val="19"/>
          <w:color w:val="auto"/>
        </w:rPr>
        <w:t>Obligation, and (y) such loan, debt obligation or Participation Interest is not a Revolving Collateral Loan or Delayed Drawdown Collateral Loan;</w:t>
      </w:r>
    </w:p>
    <w:p>
      <w:pPr>
        <w:spacing w:after="0" w:line="151" w:lineRule="exact"/>
        <w:rPr>
          <w:sz w:val="20"/>
          <w:szCs w:val="20"/>
          <w:color w:val="auto"/>
        </w:rPr>
      </w:pPr>
    </w:p>
    <w:p>
      <w:pPr>
        <w:ind w:left="1340" w:right="1000" w:firstLine="575"/>
        <w:spacing w:after="0" w:line="268" w:lineRule="auto"/>
        <w:tabs>
          <w:tab w:leader="none" w:pos="2177"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primary Obligor thereon (i.e., the Obligor under which the loan was principally underwritten) is organized or incorporated in the United States (or any state thereof) or any Eligible Foreign Country;</w:t>
      </w:r>
    </w:p>
    <w:p>
      <w:pPr>
        <w:spacing w:after="0" w:line="168" w:lineRule="exact"/>
        <w:rPr>
          <w:rFonts w:ascii="Times New Roman" w:cs="Times New Roman" w:eastAsia="Times New Roman" w:hAnsi="Times New Roman"/>
          <w:sz w:val="19"/>
          <w:szCs w:val="19"/>
          <w:color w:val="auto"/>
        </w:rPr>
      </w:pPr>
    </w:p>
    <w:p>
      <w:pPr>
        <w:jc w:val="both"/>
        <w:ind w:left="1340" w:right="840" w:firstLine="575"/>
        <w:spacing w:after="0" w:line="268" w:lineRule="auto"/>
        <w:tabs>
          <w:tab w:leader="none" w:pos="2156"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portion thereof (including any conversion option, exchange option, warrant or other component thereof) is exchangeable or convertible into an Equity Security at the option of the related Obligor;</w:t>
      </w:r>
    </w:p>
    <w:p>
      <w:pPr>
        <w:spacing w:after="0" w:line="168"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an Equity Security or a component of an Equity Security;</w:t>
      </w:r>
    </w:p>
    <w:p>
      <w:pPr>
        <w:spacing w:after="0" w:line="225"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acquisition, is not the subject of an offer or call for redemption;</w:t>
      </w:r>
    </w:p>
    <w:p>
      <w:pPr>
        <w:spacing w:after="0" w:line="225" w:lineRule="exact"/>
        <w:rPr>
          <w:rFonts w:ascii="Times New Roman" w:cs="Times New Roman" w:eastAsia="Times New Roman" w:hAnsi="Times New Roman"/>
          <w:sz w:val="19"/>
          <w:szCs w:val="19"/>
          <w:color w:val="auto"/>
        </w:rPr>
      </w:pPr>
    </w:p>
    <w:p>
      <w:pPr>
        <w:ind w:left="2140" w:hanging="225"/>
        <w:spacing w:after="0"/>
        <w:tabs>
          <w:tab w:leader="none" w:pos="214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does not constitute Margin Stock;</w:t>
      </w:r>
    </w:p>
    <w:p>
      <w:pPr>
        <w:spacing w:after="0" w:line="225" w:lineRule="exact"/>
        <w:rPr>
          <w:rFonts w:ascii="Times New Roman" w:cs="Times New Roman" w:eastAsia="Times New Roman" w:hAnsi="Times New Roman"/>
          <w:sz w:val="19"/>
          <w:szCs w:val="19"/>
          <w:color w:val="auto"/>
        </w:rPr>
      </w:pPr>
    </w:p>
    <w:p>
      <w:pPr>
        <w:ind w:left="1340" w:right="840" w:firstLine="575"/>
        <w:spacing w:after="0" w:line="259" w:lineRule="auto"/>
        <w:tabs>
          <w:tab w:leader="none" w:pos="2145"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does not subject the Borrower to withholding tax unless the related Obligor is required to make “gross-up” payments that ensure that the net amount actually received by the Borrower (after payment of all taxes, whether imposed on such Obligor or the Borrower) will equal the full amount that the Borrower would have received had no such taxes been imposed;</w:t>
      </w:r>
    </w:p>
    <w:p>
      <w:pPr>
        <w:spacing w:after="0" w:line="177"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acquisition, is not a Defaulted Collateral Loan;</w:t>
      </w:r>
    </w:p>
    <w:p>
      <w:pPr>
        <w:spacing w:after="0" w:line="225" w:lineRule="exact"/>
        <w:rPr>
          <w:rFonts w:ascii="Times New Roman" w:cs="Times New Roman" w:eastAsia="Times New Roman" w:hAnsi="Times New Roman"/>
          <w:sz w:val="19"/>
          <w:szCs w:val="19"/>
          <w:color w:val="auto"/>
        </w:rPr>
      </w:pPr>
    </w:p>
    <w:p>
      <w:pPr>
        <w:ind w:left="2140" w:hanging="225"/>
        <w:spacing w:after="0"/>
        <w:tabs>
          <w:tab w:leader="none" w:pos="214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 Non-Cash Paying PIK Loan;</w:t>
      </w:r>
    </w:p>
    <w:p>
      <w:pPr>
        <w:spacing w:after="0" w:line="225" w:lineRule="exact"/>
        <w:rPr>
          <w:rFonts w:ascii="Times New Roman" w:cs="Times New Roman" w:eastAsia="Times New Roman" w:hAnsi="Times New Roman"/>
          <w:sz w:val="19"/>
          <w:szCs w:val="19"/>
          <w:color w:val="auto"/>
        </w:rPr>
      </w:pPr>
    </w:p>
    <w:p>
      <w:pPr>
        <w:ind w:left="2240" w:hanging="325"/>
        <w:spacing w:after="0"/>
        <w:tabs>
          <w:tab w:leader="none" w:pos="224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 Zero Coupon Obligation;</w:t>
      </w:r>
    </w:p>
    <w:p>
      <w:pPr>
        <w:spacing w:after="0" w:line="225"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 Covenant Lite Loan unless such loan is an Eligible Covenant Lite</w:t>
      </w:r>
    </w:p>
    <w:p>
      <w:pPr>
        <w:spacing w:after="0" w:line="31" w:lineRule="exact"/>
        <w:rPr>
          <w:rFonts w:ascii="Times New Roman" w:cs="Times New Roman" w:eastAsia="Times New Roman" w:hAnsi="Times New Roman"/>
          <w:sz w:val="19"/>
          <w:szCs w:val="19"/>
          <w:color w:val="auto"/>
        </w:rPr>
      </w:pPr>
    </w:p>
    <w:p>
      <w:pPr>
        <w:ind w:left="1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w:t>
      </w:r>
    </w:p>
    <w:p>
      <w:pPr>
        <w:spacing w:after="0" w:line="203" w:lineRule="exact"/>
        <w:rPr>
          <w:rFonts w:ascii="Times New Roman" w:cs="Times New Roman" w:eastAsia="Times New Roman" w:hAnsi="Times New Roman"/>
          <w:sz w:val="19"/>
          <w:szCs w:val="19"/>
          <w:color w:val="auto"/>
        </w:rPr>
      </w:pPr>
    </w:p>
    <w:p>
      <w:pPr>
        <w:ind w:left="1340" w:right="920" w:firstLine="575"/>
        <w:spacing w:after="0" w:line="286" w:lineRule="auto"/>
        <w:tabs>
          <w:tab w:leader="none" w:pos="2188"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 Structured Finance Obligation, a bond, a synthetic security, a finance lease or chattel paper;</w:t>
      </w:r>
    </w:p>
    <w:p>
      <w:pPr>
        <w:spacing w:after="0" w:line="151"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provides for the full principal balance to be payable at or prior to its maturity;</w:t>
      </w:r>
    </w:p>
    <w:p>
      <w:pPr>
        <w:spacing w:after="0" w:line="225" w:lineRule="exact"/>
        <w:rPr>
          <w:rFonts w:ascii="Times New Roman" w:cs="Times New Roman" w:eastAsia="Times New Roman" w:hAnsi="Times New Roman"/>
          <w:sz w:val="19"/>
          <w:szCs w:val="19"/>
          <w:color w:val="auto"/>
        </w:rPr>
      </w:pPr>
    </w:p>
    <w:p>
      <w:pPr>
        <w:ind w:left="1340" w:right="840" w:firstLine="575"/>
        <w:spacing w:after="0" w:line="262" w:lineRule="auto"/>
        <w:tabs>
          <w:tab w:leader="none" w:pos="2188"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Collateral Loan is a Participation Interest, then such Participation Interest is acquired from a Selling Institution incorporated or organized under the laws of the United States which has a long-term rating of at least “A/A2” and a short-term rating of at least “A-2/P2” by S&amp;P and Moody’s, respectively;</w:t>
      </w:r>
    </w:p>
    <w:p>
      <w:pPr>
        <w:spacing w:after="0" w:line="174" w:lineRule="exact"/>
        <w:rPr>
          <w:rFonts w:ascii="Times New Roman" w:cs="Times New Roman" w:eastAsia="Times New Roman" w:hAnsi="Times New Roman"/>
          <w:sz w:val="19"/>
          <w:szCs w:val="19"/>
          <w:color w:val="auto"/>
        </w:rPr>
      </w:pPr>
    </w:p>
    <w:p>
      <w:pPr>
        <w:ind w:left="2160" w:hanging="245"/>
        <w:spacing w:after="0"/>
        <w:tabs>
          <w:tab w:leader="none" w:pos="216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a remaining term to maturity of not more than seven (7) years;</w:t>
      </w:r>
    </w:p>
    <w:p>
      <w:pPr>
        <w:spacing w:after="0" w:line="225" w:lineRule="exact"/>
        <w:rPr>
          <w:rFonts w:ascii="Times New Roman" w:cs="Times New Roman" w:eastAsia="Times New Roman" w:hAnsi="Times New Roman"/>
          <w:sz w:val="19"/>
          <w:szCs w:val="19"/>
          <w:color w:val="auto"/>
        </w:rPr>
      </w:pPr>
    </w:p>
    <w:p>
      <w:pPr>
        <w:ind w:left="2160" w:hanging="245"/>
        <w:spacing w:after="0"/>
        <w:tabs>
          <w:tab w:leader="none" w:pos="216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provides for payment of interest at least semi-annually;</w:t>
      </w:r>
    </w:p>
    <w:p>
      <w:pPr>
        <w:spacing w:after="0" w:line="24"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4" w:name="page115"/>
    <w:bookmarkEnd w:id="114"/>
    <w:p>
      <w:pPr>
        <w:spacing w:after="0" w:line="200" w:lineRule="exact"/>
        <w:rPr>
          <w:sz w:val="20"/>
          <w:szCs w:val="20"/>
          <w:color w:val="auto"/>
        </w:rPr>
      </w:pPr>
    </w:p>
    <w:p>
      <w:pPr>
        <w:spacing w:after="0" w:line="285" w:lineRule="exact"/>
        <w:rPr>
          <w:sz w:val="20"/>
          <w:szCs w:val="20"/>
          <w:color w:val="auto"/>
        </w:rPr>
      </w:pPr>
    </w:p>
    <w:p>
      <w:pPr>
        <w:ind w:left="1340" w:right="860" w:firstLine="575"/>
        <w:spacing w:after="0" w:line="262" w:lineRule="auto"/>
        <w:tabs>
          <w:tab w:leader="none" w:pos="2145"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acquisition, the obligation of the related Obligor to pay principal and interest is not contingent on any material non-credit related risk (such as the occurrence of a catastrophe), as determined by the Collateral Manager in its sole discretion;</w:t>
      </w:r>
    </w:p>
    <w:p>
      <w:pPr>
        <w:spacing w:after="0" w:line="174" w:lineRule="exact"/>
        <w:rPr>
          <w:rFonts w:ascii="Times New Roman" w:cs="Times New Roman" w:eastAsia="Times New Roman" w:hAnsi="Times New Roman"/>
          <w:sz w:val="19"/>
          <w:szCs w:val="19"/>
          <w:color w:val="auto"/>
        </w:rPr>
      </w:pPr>
    </w:p>
    <w:p>
      <w:pPr>
        <w:ind w:left="1340" w:right="1040" w:firstLine="575"/>
        <w:spacing w:after="0" w:line="268" w:lineRule="auto"/>
        <w:tabs>
          <w:tab w:leader="none" w:pos="218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an obligation (other than a Revolving Collateral Loan or a Delayed Drawdown Collateral Loan) pursuant to which any future advances or payments to the Obligor may be required to be made by the Borrower;</w:t>
      </w:r>
    </w:p>
    <w:p>
      <w:pPr>
        <w:spacing w:after="0" w:line="168" w:lineRule="exact"/>
        <w:rPr>
          <w:rFonts w:ascii="Times New Roman" w:cs="Times New Roman" w:eastAsia="Times New Roman" w:hAnsi="Times New Roman"/>
          <w:sz w:val="19"/>
          <w:szCs w:val="19"/>
          <w:color w:val="auto"/>
        </w:rPr>
      </w:pPr>
    </w:p>
    <w:p>
      <w:pPr>
        <w:ind w:left="1340" w:right="780" w:firstLine="575"/>
        <w:spacing w:after="0" w:line="286" w:lineRule="auto"/>
        <w:tabs>
          <w:tab w:leader="none" w:pos="218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 not cause the Borrower or the pool of assets to be required to be registered as an investment company under the Investment Company Act;</w:t>
      </w:r>
    </w:p>
    <w:p>
      <w:pPr>
        <w:spacing w:after="0" w:line="151" w:lineRule="exact"/>
        <w:rPr>
          <w:rFonts w:ascii="Times New Roman" w:cs="Times New Roman" w:eastAsia="Times New Roman" w:hAnsi="Times New Roman"/>
          <w:sz w:val="19"/>
          <w:szCs w:val="19"/>
          <w:color w:val="auto"/>
        </w:rPr>
      </w:pPr>
    </w:p>
    <w:p>
      <w:pPr>
        <w:ind w:left="1340" w:right="1280" w:firstLine="575"/>
        <w:spacing w:after="0" w:line="286" w:lineRule="auto"/>
        <w:tabs>
          <w:tab w:leader="none" w:pos="223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(i) underwritten as a real estate loan or principally secured by real property; (ii) a construction loan or (iii) a project finance loan;</w:t>
      </w:r>
    </w:p>
    <w:p>
      <w:pPr>
        <w:spacing w:after="0" w:line="151" w:lineRule="exact"/>
        <w:rPr>
          <w:rFonts w:ascii="Times New Roman" w:cs="Times New Roman" w:eastAsia="Times New Roman" w:hAnsi="Times New Roman"/>
          <w:sz w:val="19"/>
          <w:szCs w:val="19"/>
          <w:color w:val="auto"/>
        </w:rPr>
      </w:pPr>
    </w:p>
    <w:p>
      <w:pPr>
        <w:ind w:left="1340" w:right="800" w:firstLine="575"/>
        <w:spacing w:after="0" w:line="268" w:lineRule="auto"/>
        <w:tabs>
          <w:tab w:leader="none" w:pos="218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an interest only obligation (meaning, for the avoidance of doubt, that the obligations thereunder constitute only interest payments (e.g., an I/O strip and not an obligation with a bullet or balloon principal payment));</w:t>
      </w:r>
    </w:p>
    <w:p>
      <w:pPr>
        <w:spacing w:after="0" w:line="168" w:lineRule="exact"/>
        <w:rPr>
          <w:rFonts w:ascii="Times New Roman" w:cs="Times New Roman" w:eastAsia="Times New Roman" w:hAnsi="Times New Roman"/>
          <w:sz w:val="19"/>
          <w:szCs w:val="19"/>
          <w:color w:val="auto"/>
        </w:rPr>
      </w:pPr>
    </w:p>
    <w:p>
      <w:pPr>
        <w:ind w:left="1340" w:right="880" w:firstLine="575"/>
        <w:spacing w:after="0" w:line="268" w:lineRule="auto"/>
        <w:tabs>
          <w:tab w:leader="none" w:pos="218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 letter of credit (other than a Revolving Collateral Loan that includes a letter of credit sub-facility as long as the Borrower is not the letter of credit issuer with respect thereto);</w:t>
      </w:r>
    </w:p>
    <w:p>
      <w:pPr>
        <w:spacing w:after="0" w:line="168"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in “registered” form for U.S. federal income tax purposes;</w:t>
      </w:r>
    </w:p>
    <w:p>
      <w:pPr>
        <w:spacing w:after="0" w:line="226" w:lineRule="exact"/>
        <w:rPr>
          <w:sz w:val="20"/>
          <w:szCs w:val="20"/>
          <w:color w:val="auto"/>
        </w:rPr>
      </w:pPr>
    </w:p>
    <w:p>
      <w:pPr>
        <w:ind w:left="1340" w:right="1560" w:firstLine="575"/>
        <w:spacing w:after="0" w:line="286" w:lineRule="auto"/>
        <w:tabs>
          <w:tab w:leader="none" w:pos="2262"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evidenced by a note or other instrument (including an assignment agreement or transfer document) that has been delivered to the Custodian;</w:t>
      </w:r>
    </w:p>
    <w:p>
      <w:pPr>
        <w:spacing w:after="0" w:line="151" w:lineRule="exact"/>
        <w:rPr>
          <w:rFonts w:ascii="Times New Roman" w:cs="Times New Roman" w:eastAsia="Times New Roman" w:hAnsi="Times New Roman"/>
          <w:sz w:val="19"/>
          <w:szCs w:val="19"/>
          <w:color w:val="auto"/>
        </w:rPr>
      </w:pPr>
    </w:p>
    <w:p>
      <w:pPr>
        <w:ind w:left="1340" w:right="780" w:firstLine="575"/>
        <w:spacing w:after="0" w:line="254" w:lineRule="auto"/>
        <w:tabs>
          <w:tab w:leader="none" w:pos="2284"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acquisition has (i) a Tier 1 Obligor with (A) in respect of a loan or debt obligation other than a Stretch Senior Loan, (1) a Senior Leverage Ratio of less than 5.50x and (2) a Total Leverage Ratio of less than 7.50x, or (B) in respect of a Stretch Senior Loan, a Total Leverage Ratio of less than 6.50x; (ii) a Tier 2 Obligor with (A) in respect of a loan or debt obligation other than a Stretch Senior Loan, (1) a Senior Leverage Ratio of less than 4.75x and (2) a Total Leverage Ratio of less than 6.50x, or</w:t>
      </w:r>
    </w:p>
    <w:p>
      <w:pPr>
        <w:spacing w:after="0" w:line="3" w:lineRule="exact"/>
        <w:rPr>
          <w:rFonts w:ascii="Times New Roman" w:cs="Times New Roman" w:eastAsia="Times New Roman" w:hAnsi="Times New Roman"/>
          <w:sz w:val="19"/>
          <w:szCs w:val="19"/>
          <w:color w:val="auto"/>
        </w:rPr>
      </w:pPr>
    </w:p>
    <w:p>
      <w:pPr>
        <w:ind w:left="1340" w:right="860" w:hanging="1"/>
        <w:spacing w:after="0" w:line="252" w:lineRule="auto"/>
        <w:tabs>
          <w:tab w:leader="none" w:pos="164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respect of a Stretch Senior Loan, a Total Leverage Ratio of less than 5.75x; or (iii) a Tier 3 Obligor with (A) in respect of a loan or debt obligation other than a Stretch Senior Loan, (1) a Senior Leverage Ratio of less than 4.25x and (2) a Total Leverage Ratio of less than 5.50x, or (B) in respect of a Stretch Senior Loan, a Total Leverage Ratio of less than 5.00x;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Collateral Loan which does not meet the criteria in this clause (bb) at the time of acquisition or at any time thereafter will not be wholly ineligible, but will be deemed to be a Haircut Collateral Loan;</w:t>
      </w:r>
    </w:p>
    <w:p>
      <w:pPr>
        <w:spacing w:after="0" w:line="184" w:lineRule="exact"/>
        <w:rPr>
          <w:rFonts w:ascii="Times New Roman" w:cs="Times New Roman" w:eastAsia="Times New Roman" w:hAnsi="Times New Roman"/>
          <w:sz w:val="19"/>
          <w:szCs w:val="19"/>
          <w:color w:val="auto"/>
        </w:rPr>
      </w:pPr>
    </w:p>
    <w:p>
      <w:pPr>
        <w:ind w:left="2260" w:hanging="345"/>
        <w:spacing w:after="0"/>
        <w:tabs>
          <w:tab w:leader="none" w:pos="226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acquisition, has an Obligor with an EBITDA of at least</w:t>
      </w:r>
    </w:p>
    <w:p>
      <w:pPr>
        <w:spacing w:after="0" w:line="3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$5,000,000;</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5" w:name="page116"/>
    <w:bookmarkEnd w:id="115"/>
    <w:p>
      <w:pPr>
        <w:spacing w:after="0" w:line="200" w:lineRule="exact"/>
        <w:rPr>
          <w:sz w:val="20"/>
          <w:szCs w:val="20"/>
          <w:color w:val="auto"/>
        </w:rPr>
      </w:pPr>
    </w:p>
    <w:p>
      <w:pPr>
        <w:spacing w:after="0" w:line="285" w:lineRule="exact"/>
        <w:rPr>
          <w:sz w:val="20"/>
          <w:szCs w:val="20"/>
          <w:color w:val="auto"/>
        </w:rPr>
      </w:pPr>
    </w:p>
    <w:p>
      <w:pPr>
        <w:ind w:left="1340" w:right="820" w:firstLine="575"/>
        <w:spacing w:after="0" w:line="268" w:lineRule="auto"/>
        <w:tabs>
          <w:tab w:leader="none" w:pos="2284"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acquisition, has not been more than thirty (30) days past due with respect to payments of either interest or principal on such Collateral Loan within the past twelve (12) months; and</w:t>
      </w:r>
    </w:p>
    <w:p>
      <w:pPr>
        <w:spacing w:after="0" w:line="168" w:lineRule="exact"/>
        <w:rPr>
          <w:rFonts w:ascii="Times New Roman" w:cs="Times New Roman" w:eastAsia="Times New Roman" w:hAnsi="Times New Roman"/>
          <w:sz w:val="19"/>
          <w:szCs w:val="19"/>
          <w:color w:val="auto"/>
        </w:rPr>
      </w:pPr>
    </w:p>
    <w:p>
      <w:pPr>
        <w:ind w:left="1340" w:right="1080" w:firstLine="575"/>
        <w:spacing w:after="0" w:line="286" w:lineRule="auto"/>
        <w:tabs>
          <w:tab w:leader="none" w:pos="2262"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acquisition, is not an obligation of an Obligor (or guarantor) engaged in a Prohibited Industry.</w:t>
      </w:r>
    </w:p>
    <w:p>
      <w:pPr>
        <w:spacing w:after="0" w:line="149" w:lineRule="exact"/>
        <w:rPr>
          <w:sz w:val="20"/>
          <w:szCs w:val="20"/>
          <w:color w:val="auto"/>
        </w:rPr>
      </w:pPr>
    </w:p>
    <w:p>
      <w:pPr>
        <w:ind w:left="760" w:right="80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“Eligible Covenant Lite Loan” </w:t>
      </w:r>
      <w:r>
        <w:rPr>
          <w:rFonts w:ascii="Times New Roman" w:cs="Times New Roman" w:eastAsia="Times New Roman" w:hAnsi="Times New Roman"/>
          <w:sz w:val="19"/>
          <w:szCs w:val="19"/>
          <w:color w:val="auto"/>
        </w:rPr>
        <w:t>means a Covenant Lite Loan that (i) is not subordinate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right or payment to any other obligation for borrowed money of the obligor of such loan and is secured by a valid first priority perfected security interest or Lien in, to or on specified collateral,</w:t>
      </w:r>
    </w:p>
    <w:p>
      <w:pPr>
        <w:spacing w:after="0" w:line="1" w:lineRule="exact"/>
        <w:rPr>
          <w:sz w:val="20"/>
          <w:szCs w:val="20"/>
          <w:color w:val="auto"/>
        </w:rPr>
      </w:pPr>
    </w:p>
    <w:p>
      <w:pPr>
        <w:jc w:val="both"/>
        <w:ind w:left="760" w:right="880" w:firstLine="2"/>
        <w:spacing w:after="0" w:line="230" w:lineRule="exact"/>
        <w:tabs>
          <w:tab w:leader="none" w:pos="1043"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an original principal balance of (and unfunded commitments in respect of) the Dollar Equivalent of $250,000,000 or more and (iii) such loan is rated by either or both of S&amp;P and Moody’s and (x) if rated only by S&amp;P, such loan has a rating of 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or better, (y) if rated only by Moody’s, such loan has a rating of B3 or better and (z) if rated by both S&amp;P and Moody’s, such loan has a rating of 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or better by S&amp;P and B3 or better by Moody’s.</w:t>
      </w:r>
    </w:p>
    <w:p>
      <w:pPr>
        <w:spacing w:after="0" w:line="185" w:lineRule="exact"/>
        <w:rPr>
          <w:sz w:val="20"/>
          <w:szCs w:val="20"/>
          <w:color w:val="auto"/>
        </w:rPr>
      </w:pPr>
    </w:p>
    <w:p>
      <w:pPr>
        <w:ind w:left="760" w:right="80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Eligible Foreign Country</w:t>
      </w:r>
      <w:r>
        <w:rPr>
          <w:rFonts w:ascii="Times New Roman" w:cs="Times New Roman" w:eastAsia="Times New Roman" w:hAnsi="Times New Roman"/>
          <w:sz w:val="19"/>
          <w:szCs w:val="19"/>
          <w:color w:val="auto"/>
        </w:rPr>
        <w:t>” means the United Kingdom, Canada, the Netherlands Antilles, Bermuda, the Cayman Islands, the British Virgin Islands, the Channel Islands, the Isle of Man, Australia, the Netherlands, Germany, Sweden, Switzerland, Austria, Belgium, Denmark, Finland, Iceland, Ireland, Lichtenstein, Luxembourg and Norway.</w:t>
      </w:r>
    </w:p>
    <w:p>
      <w:pPr>
        <w:spacing w:after="0" w:line="171" w:lineRule="exact"/>
        <w:rPr>
          <w:sz w:val="20"/>
          <w:szCs w:val="20"/>
          <w:color w:val="auto"/>
        </w:rPr>
      </w:pPr>
    </w:p>
    <w:p>
      <w:pPr>
        <w:ind w:left="760" w:right="10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Eligible Foreign Obligor</w:t>
      </w:r>
      <w:r>
        <w:rPr>
          <w:rFonts w:ascii="Times New Roman" w:cs="Times New Roman" w:eastAsia="Times New Roman" w:hAnsi="Times New Roman"/>
          <w:sz w:val="19"/>
          <w:szCs w:val="19"/>
          <w:color w:val="auto"/>
        </w:rPr>
        <w:t>” means an Obligor with its headquarters, principal place of business and primary operations in an Eligible Foreign Country.</w:t>
      </w:r>
    </w:p>
    <w:p>
      <w:pPr>
        <w:spacing w:after="0" w:line="148" w:lineRule="exact"/>
        <w:rPr>
          <w:sz w:val="20"/>
          <w:szCs w:val="20"/>
          <w:color w:val="auto"/>
        </w:rPr>
      </w:pPr>
    </w:p>
    <w:p>
      <w:pPr>
        <w:ind w:left="760" w:right="760" w:firstLine="576"/>
        <w:spacing w:after="0" w:line="232" w:lineRule="exact"/>
        <w:rPr>
          <w:sz w:val="20"/>
          <w:szCs w:val="20"/>
          <w:color w:val="auto"/>
        </w:rPr>
      </w:pPr>
      <w:r>
        <w:rPr>
          <w:rFonts w:ascii="Times New Roman" w:cs="Times New Roman" w:eastAsia="Times New Roman" w:hAnsi="Times New Roman"/>
          <w:sz w:val="19"/>
          <w:szCs w:val="19"/>
          <w:i w:val="1"/>
          <w:iCs w:val="1"/>
          <w:color w:val="auto"/>
        </w:rPr>
        <w:t xml:space="preserve">“Eligible Investment Required Ratings” </w:t>
      </w:r>
      <w:r>
        <w:rPr>
          <w:rFonts w:ascii="Times New Roman" w:cs="Times New Roman" w:eastAsia="Times New Roman" w:hAnsi="Times New Roman"/>
          <w:sz w:val="19"/>
          <w:szCs w:val="19"/>
          <w:color w:val="auto"/>
        </w:rPr>
        <w:t>means, with respect to any obligation or security,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such obligation or security (a) (i) if such obligation or security has both a long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and a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credit rating from Moody’s, such ratings are “Aa3” or better (not on credit watch for possible downgrade) and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(not on credit watch for possible downgrade), respectively, (ii) if such obligation or security only has a long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credit rating from Moody’s, such rating is “Aaa” (not on credit watch for possible downgrade) and (iii) if such obligation or security only has a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credit rating from Moody’s, such rating is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(not on credit watch for possible downgrade) and (b) has a rating of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or better (or, in the absence of a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credit rating, a long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credit rating of “A+” or better) from S&amp;P.</w:t>
      </w:r>
    </w:p>
    <w:p>
      <w:pPr>
        <w:spacing w:after="0" w:line="188" w:lineRule="exact"/>
        <w:rPr>
          <w:sz w:val="20"/>
          <w:szCs w:val="20"/>
          <w:color w:val="auto"/>
        </w:rPr>
      </w:pPr>
    </w:p>
    <w:p>
      <w:pPr>
        <w:ind w:left="760" w:right="112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“Eligible Investments” </w:t>
      </w:r>
      <w:r>
        <w:rPr>
          <w:rFonts w:ascii="Times New Roman" w:cs="Times New Roman" w:eastAsia="Times New Roman" w:hAnsi="Times New Roman"/>
          <w:sz w:val="19"/>
          <w:szCs w:val="19"/>
          <w:color w:val="auto"/>
        </w:rPr>
        <w:t>means any Dollar investment that, at the time it is Delivered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(directly or through an intermediary or bailee), is one or more of the following obligations or securities:</w:t>
      </w:r>
    </w:p>
    <w:p>
      <w:pPr>
        <w:spacing w:after="0" w:line="168" w:lineRule="exact"/>
        <w:rPr>
          <w:sz w:val="20"/>
          <w:szCs w:val="20"/>
          <w:color w:val="auto"/>
        </w:rPr>
      </w:pPr>
    </w:p>
    <w:p>
      <w:pPr>
        <w:jc w:val="both"/>
        <w:ind w:left="1340" w:right="860" w:firstLine="47"/>
        <w:spacing w:after="0" w:line="262" w:lineRule="auto"/>
        <w:tabs>
          <w:tab w:leader="none" w:pos="1617"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obligations of, and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w:t>
      </w:r>
    </w:p>
    <w:p>
      <w:pPr>
        <w:spacing w:after="0" w:line="174" w:lineRule="exact"/>
        <w:rPr>
          <w:rFonts w:ascii="Times New Roman" w:cs="Times New Roman" w:eastAsia="Times New Roman" w:hAnsi="Times New Roman"/>
          <w:sz w:val="19"/>
          <w:szCs w:val="19"/>
          <w:color w:val="auto"/>
        </w:rPr>
      </w:pPr>
    </w:p>
    <w:p>
      <w:pPr>
        <w:ind w:left="1340" w:right="900" w:firstLine="47"/>
        <w:spacing w:after="0" w:line="262" w:lineRule="auto"/>
        <w:tabs>
          <w:tab w:leader="none" w:pos="167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demand and time deposits in, certificates of deposit of, trust accounts with, bankers’ acceptances payable within 183 days of issuance by, or federal funds sold by any</w:t>
      </w:r>
    </w:p>
    <w:p>
      <w:pPr>
        <w:spacing w:after="0" w:line="1" w:lineRule="exact"/>
        <w:rPr>
          <w:sz w:val="20"/>
          <w:szCs w:val="20"/>
          <w:color w:val="auto"/>
        </w:rPr>
      </w:pPr>
    </w:p>
    <w:p>
      <w:pPr>
        <w:ind w:left="1340" w:right="940"/>
        <w:spacing w:after="0" w:line="246" w:lineRule="auto"/>
        <w:rPr>
          <w:sz w:val="20"/>
          <w:szCs w:val="20"/>
          <w:color w:val="auto"/>
        </w:rPr>
      </w:pPr>
      <w:r>
        <w:rPr>
          <w:rFonts w:ascii="Times New Roman" w:cs="Times New Roman" w:eastAsia="Times New Roman" w:hAnsi="Times New Roman"/>
          <w:sz w:val="19"/>
          <w:szCs w:val="19"/>
          <w:color w:val="auto"/>
        </w:rPr>
        <w:t>depository institution or trust company incorporated under the laws of the United States of</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6" w:name="page117"/>
    <w:bookmarkEnd w:id="116"/>
    <w:p>
      <w:pPr>
        <w:spacing w:after="0" w:line="200" w:lineRule="exact"/>
        <w:rPr>
          <w:sz w:val="20"/>
          <w:szCs w:val="20"/>
          <w:color w:val="auto"/>
        </w:rPr>
      </w:pPr>
    </w:p>
    <w:p>
      <w:pPr>
        <w:spacing w:after="0" w:line="285" w:lineRule="exact"/>
        <w:rPr>
          <w:sz w:val="20"/>
          <w:szCs w:val="20"/>
          <w:color w:val="auto"/>
        </w:rPr>
      </w:pPr>
    </w:p>
    <w:p>
      <w:pPr>
        <w:ind w:left="1340" w:right="760"/>
        <w:spacing w:after="0" w:line="257" w:lineRule="auto"/>
        <w:rPr>
          <w:sz w:val="20"/>
          <w:szCs w:val="20"/>
          <w:color w:val="auto"/>
        </w:rPr>
      </w:pPr>
      <w:r>
        <w:rPr>
          <w:rFonts w:ascii="Times New Roman" w:cs="Times New Roman" w:eastAsia="Times New Roman" w:hAnsi="Times New Roman"/>
          <w:sz w:val="19"/>
          <w:szCs w:val="19"/>
          <w:color w:val="auto"/>
        </w:rPr>
        <w:t>America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181" w:lineRule="exact"/>
        <w:rPr>
          <w:sz w:val="20"/>
          <w:szCs w:val="20"/>
          <w:color w:val="auto"/>
        </w:rPr>
      </w:pPr>
    </w:p>
    <w:p>
      <w:pPr>
        <w:ind w:left="1340" w:right="820" w:firstLine="47"/>
        <w:spacing w:after="0" w:line="256" w:lineRule="auto"/>
        <w:tabs>
          <w:tab w:leader="none" w:pos="172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unleveraged repurchase obligations with respect to (a) any security described in clause (i) above or (b) any other security issued or guaranteed by an agency or instrumentality of the United States of America, in either case entered into with a depository institution or trust company (acting as principal) described in clause (ii) above or entered into with an entity (acting as principal) which has, or whose parent company has (in addition to a guarantee agreement with such entity), the Eligible Investment Required Ratings;</w:t>
      </w:r>
    </w:p>
    <w:p>
      <w:pPr>
        <w:spacing w:after="0" w:line="181" w:lineRule="exact"/>
        <w:rPr>
          <w:rFonts w:ascii="Times New Roman" w:cs="Times New Roman" w:eastAsia="Times New Roman" w:hAnsi="Times New Roman"/>
          <w:sz w:val="19"/>
          <w:szCs w:val="19"/>
          <w:color w:val="auto"/>
        </w:rPr>
      </w:pPr>
    </w:p>
    <w:p>
      <w:pPr>
        <w:jc w:val="both"/>
        <w:ind w:left="1340" w:right="800" w:firstLine="47"/>
        <w:spacing w:after="0" w:line="262" w:lineRule="auto"/>
        <w:tabs>
          <w:tab w:leader="none" w:pos="1713"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bearing interest or sold at a discount issued by any entity formed under the laws of the United States of America or any State thereof that has the Eligible Investment Required Ratings at the time of such investment or contractual commitment providing for such investment;</w:t>
      </w:r>
    </w:p>
    <w:p>
      <w:pPr>
        <w:spacing w:after="0" w:line="155" w:lineRule="exact"/>
        <w:rPr>
          <w:rFonts w:ascii="Times New Roman" w:cs="Times New Roman" w:eastAsia="Times New Roman" w:hAnsi="Times New Roman"/>
          <w:sz w:val="19"/>
          <w:szCs w:val="19"/>
          <w:color w:val="auto"/>
        </w:rPr>
      </w:pPr>
    </w:p>
    <w:p>
      <w:pPr>
        <w:jc w:val="both"/>
        <w:ind w:left="1340" w:right="840" w:firstLine="47"/>
        <w:spacing w:after="0" w:line="239" w:lineRule="exact"/>
        <w:tabs>
          <w:tab w:leader="none" w:pos="16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extendable commercial paper or other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obligations with the Eligible Investment Required Ratings and that either bear interest or are sold at a discount from the face amount thereof and have a maturity of not more than 183 days from their date of issuance;</w:t>
      </w:r>
    </w:p>
    <w:p>
      <w:pPr>
        <w:spacing w:after="0" w:line="193" w:lineRule="exact"/>
        <w:rPr>
          <w:rFonts w:ascii="Times New Roman" w:cs="Times New Roman" w:eastAsia="Times New Roman" w:hAnsi="Times New Roman"/>
          <w:sz w:val="19"/>
          <w:szCs w:val="19"/>
          <w:color w:val="auto"/>
        </w:rPr>
      </w:pPr>
    </w:p>
    <w:p>
      <w:pPr>
        <w:ind w:left="1340" w:right="780" w:firstLine="47"/>
        <w:spacing w:after="0" w:line="258" w:lineRule="auto"/>
        <w:tabs>
          <w:tab w:leader="none" w:pos="1713"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Reinvestment Agreement issued by any bank (if treated as a deposit by such bank), or a Reinvestment Agreement issued by any insurance company or other corporation or entity, in each case with the Eligible Investment Required Ratings;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the Administrative Agent and the Required Lenders have consented thereto or (b) such Reinvestment Agreement may be unwound at the option of the Borrower without penalty;</w:t>
      </w:r>
    </w:p>
    <w:p>
      <w:pPr>
        <w:spacing w:after="0" w:line="200" w:lineRule="exact"/>
        <w:rPr>
          <w:rFonts w:ascii="Times New Roman" w:cs="Times New Roman" w:eastAsia="Times New Roman" w:hAnsi="Times New Roman"/>
          <w:sz w:val="19"/>
          <w:szCs w:val="19"/>
          <w:color w:val="auto"/>
        </w:rPr>
      </w:pPr>
    </w:p>
    <w:p>
      <w:pPr>
        <w:spacing w:after="0" w:line="210" w:lineRule="exact"/>
        <w:rPr>
          <w:rFonts w:ascii="Times New Roman" w:cs="Times New Roman" w:eastAsia="Times New Roman" w:hAnsi="Times New Roman"/>
          <w:sz w:val="19"/>
          <w:szCs w:val="19"/>
          <w:color w:val="auto"/>
        </w:rPr>
      </w:pPr>
    </w:p>
    <w:p>
      <w:pPr>
        <w:ind w:left="1340" w:right="860" w:firstLine="47"/>
        <w:spacing w:after="0" w:line="244" w:lineRule="exact"/>
        <w:tabs>
          <w:tab w:leader="none" w:pos="1767"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that have, at all times, credit ratings of “Aaa” and “MR1+” by Moody’s and “AAAm” or “AAAm</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G” by S&amp;P, respectively; and</w:t>
      </w:r>
    </w:p>
    <w:p>
      <w:pPr>
        <w:spacing w:after="0" w:line="186" w:lineRule="exact"/>
        <w:rPr>
          <w:rFonts w:ascii="Times New Roman" w:cs="Times New Roman" w:eastAsia="Times New Roman" w:hAnsi="Times New Roman"/>
          <w:sz w:val="19"/>
          <w:szCs w:val="19"/>
          <w:color w:val="auto"/>
        </w:rPr>
      </w:pPr>
    </w:p>
    <w:p>
      <w:pPr>
        <w:ind w:left="1820" w:hanging="433"/>
        <w:spacing w:after="0"/>
        <w:tabs>
          <w:tab w:leader="none" w:pos="182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w:t>
      </w:r>
    </w:p>
    <w:p>
      <w:pPr>
        <w:spacing w:after="0" w:line="224" w:lineRule="exact"/>
        <w:rPr>
          <w:sz w:val="20"/>
          <w:szCs w:val="20"/>
          <w:color w:val="auto"/>
        </w:rPr>
      </w:pPr>
    </w:p>
    <w:p>
      <w:pPr>
        <w:ind w:left="760" w:right="820"/>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(1) Eligible Investments purchased with funds in the Collection Account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held until maturity except as otherwise specifically provided herein and shall include only such obligations or securities, other than those referred to in clause (vii) above, as mature (or are putable at par to the issuer thereof) no later than the earlier of (x) sixty (60) days after the date of acquisition thereof or (y) the Business Day prior to the next Payment Date; and (2) none of the foregoing obligations or securities shall constitute Eligible Investments if (a) such obligation or security has an “f”, “r”, “p”, “pi”, “q” or “t” subscript assigned by S&amp;P, (b) all, or substantially all, of the remaining amounts payable thereunder consist of interest and not principal payments,</w:t>
      </w:r>
    </w:p>
    <w:p>
      <w:pPr>
        <w:spacing w:after="0" w:line="6" w:lineRule="exact"/>
        <w:rPr>
          <w:sz w:val="20"/>
          <w:szCs w:val="20"/>
          <w:color w:val="auto"/>
        </w:rPr>
      </w:pPr>
    </w:p>
    <w:p>
      <w:pPr>
        <w:ind w:left="760" w:right="1020" w:firstLine="2"/>
        <w:spacing w:after="0" w:line="246" w:lineRule="auto"/>
        <w:tabs>
          <w:tab w:leader="none" w:pos="102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obligation or security is subject to U.S. withholding or foreign withholding tax unless the issuer of</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7" w:name="page118"/>
    <w:bookmarkEnd w:id="117"/>
    <w:p>
      <w:pPr>
        <w:spacing w:after="0" w:line="200" w:lineRule="exact"/>
        <w:rPr>
          <w:sz w:val="20"/>
          <w:szCs w:val="20"/>
          <w:color w:val="auto"/>
        </w:rPr>
      </w:pPr>
    </w:p>
    <w:p>
      <w:pPr>
        <w:spacing w:after="0" w:line="266" w:lineRule="exact"/>
        <w:rPr>
          <w:sz w:val="20"/>
          <w:szCs w:val="20"/>
          <w:color w:val="auto"/>
        </w:rPr>
      </w:pPr>
    </w:p>
    <w:p>
      <w:pPr>
        <w:jc w:val="center"/>
        <w:ind w:right="20"/>
        <w:spacing w:after="0" w:line="219" w:lineRule="exact"/>
        <w:rPr>
          <w:sz w:val="20"/>
          <w:szCs w:val="20"/>
          <w:color w:val="auto"/>
        </w:rPr>
      </w:pPr>
      <w:r>
        <w:rPr>
          <w:rFonts w:ascii="Times New Roman" w:cs="Times New Roman" w:eastAsia="Times New Roman" w:hAnsi="Times New Roman"/>
          <w:sz w:val="19"/>
          <w:szCs w:val="19"/>
          <w:color w:val="auto"/>
        </w:rPr>
        <w:t>the security is required to make “gross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up” payments for the full amount of such withholding tax,</w:t>
      </w:r>
    </w:p>
    <w:p>
      <w:pPr>
        <w:spacing w:after="0" w:line="51" w:lineRule="exact"/>
        <w:rPr>
          <w:sz w:val="20"/>
          <w:szCs w:val="20"/>
          <w:color w:val="auto"/>
        </w:rPr>
      </w:pPr>
    </w:p>
    <w:p>
      <w:pPr>
        <w:ind w:left="760" w:right="780" w:firstLine="2"/>
        <w:spacing w:after="0" w:line="228" w:lineRule="exact"/>
        <w:tabs>
          <w:tab w:leader="none" w:pos="1032"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obligation or security is secured by real property, (e) such obligation or security is purchased at a price greater than 100% of the principal or face amount thereof, (f) such obligation or security is subject of a tender offer, voluntary redemption, exchange offer, conversion or other similar action or (g) in the Collateral Manager’s judgment, such obligation or security is subject to material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credit related risks. Any such investment may be made or acquired from or through the Collateral Agent or any of its affiliates, or any entity for whom the Collateral Agent or any of its affiliates provides services (so long as such investment otherwise meets the applicable requirements of the foregoing definition of Eligible Investment at the time of acquisition).</w:t>
      </w:r>
    </w:p>
    <w:p>
      <w:pPr>
        <w:spacing w:after="0" w:line="196" w:lineRule="exact"/>
        <w:rPr>
          <w:sz w:val="20"/>
          <w:szCs w:val="20"/>
          <w:color w:val="auto"/>
        </w:rPr>
      </w:pPr>
    </w:p>
    <w:p>
      <w:pPr>
        <w:ind w:left="760" w:right="900" w:firstLine="57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Equity Security</w:t>
      </w:r>
      <w:r>
        <w:rPr>
          <w:rFonts w:ascii="Times New Roman" w:cs="Times New Roman" w:eastAsia="Times New Roman" w:hAnsi="Times New Roman"/>
          <w:sz w:val="19"/>
          <w:szCs w:val="19"/>
          <w:color w:val="auto"/>
        </w:rPr>
        <w:t>” means any stock or similar security, certificate of interest or participation in any profit sharing agreement, preorganization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w:t>
      </w:r>
    </w:p>
    <w:p>
      <w:pPr>
        <w:spacing w:after="0" w:line="181" w:lineRule="exact"/>
        <w:rPr>
          <w:sz w:val="20"/>
          <w:szCs w:val="20"/>
          <w:color w:val="auto"/>
        </w:rPr>
      </w:pPr>
    </w:p>
    <w:p>
      <w:pPr>
        <w:ind w:left="760" w:right="114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“ERISA” </w:t>
      </w:r>
      <w:r>
        <w:rPr>
          <w:rFonts w:ascii="Times New Roman" w:cs="Times New Roman" w:eastAsia="Times New Roman" w:hAnsi="Times New Roman"/>
          <w:sz w:val="19"/>
          <w:szCs w:val="19"/>
          <w:color w:val="auto"/>
        </w:rPr>
        <w:t>means the Employee Retirement Income Security Act of 1974, as amended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from time to time, and the regulations promulgated and rulings issued thereunder.</w:t>
      </w:r>
    </w:p>
    <w:p>
      <w:pPr>
        <w:spacing w:after="0" w:line="148" w:lineRule="exact"/>
        <w:rPr>
          <w:sz w:val="20"/>
          <w:szCs w:val="20"/>
          <w:color w:val="auto"/>
        </w:rPr>
      </w:pPr>
    </w:p>
    <w:p>
      <w:pPr>
        <w:ind w:left="760" w:right="740" w:firstLine="576"/>
        <w:spacing w:after="0" w:line="251" w:lineRule="auto"/>
        <w:rPr>
          <w:sz w:val="20"/>
          <w:szCs w:val="20"/>
          <w:color w:val="auto"/>
        </w:rPr>
      </w:pPr>
      <w:r>
        <w:rPr>
          <w:rFonts w:ascii="Times New Roman" w:cs="Times New Roman" w:eastAsia="Times New Roman" w:hAnsi="Times New Roman"/>
          <w:sz w:val="19"/>
          <w:szCs w:val="19"/>
          <w:i w:val="1"/>
          <w:iCs w:val="1"/>
          <w:color w:val="auto"/>
        </w:rPr>
        <w:t xml:space="preserve">“ERISA Event” </w:t>
      </w:r>
      <w:r>
        <w:rPr>
          <w:rFonts w:ascii="Times New Roman" w:cs="Times New Roman" w:eastAsia="Times New Roman" w:hAnsi="Times New Roman"/>
          <w:sz w:val="19"/>
          <w:szCs w:val="19"/>
          <w:color w:val="auto"/>
        </w:rPr>
        <w:t>means (a) any “reportable event,” as defined in Section 4043 of ERISA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the regulations issued thereunder with respect to a Plan (other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Section 430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8"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8" w:name="page119"/>
    <w:bookmarkEnd w:id="118"/>
    <w:p>
      <w:pPr>
        <w:spacing w:after="0" w:line="200" w:lineRule="exact"/>
        <w:rPr>
          <w:sz w:val="20"/>
          <w:szCs w:val="20"/>
          <w:color w:val="auto"/>
        </w:rPr>
      </w:pPr>
    </w:p>
    <w:p>
      <w:pPr>
        <w:spacing w:after="0" w:line="283" w:lineRule="exact"/>
        <w:rPr>
          <w:sz w:val="20"/>
          <w:szCs w:val="20"/>
          <w:color w:val="auto"/>
        </w:rPr>
      </w:pPr>
    </w:p>
    <w:p>
      <w:pPr>
        <w:ind w:left="760" w:right="100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“ERISA Group” </w:t>
      </w:r>
      <w:r>
        <w:rPr>
          <w:rFonts w:ascii="Times New Roman" w:cs="Times New Roman" w:eastAsia="Times New Roman" w:hAnsi="Times New Roman"/>
          <w:sz w:val="19"/>
          <w:szCs w:val="19"/>
          <w:color w:val="auto"/>
        </w:rPr>
        <w:t>means each controlled group of corporations or trades or businesses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(whether or not incorporated) under common control that is treated as a single employer under Section 414(b), (c), (m) or (o) of the Code with the Borrower.</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“Erroneous Payment” </w:t>
      </w:r>
      <w:r>
        <w:rPr>
          <w:rFonts w:ascii="Times New Roman" w:cs="Times New Roman" w:eastAsia="Times New Roman" w:hAnsi="Times New Roman"/>
          <w:sz w:val="19"/>
          <w:szCs w:val="19"/>
          <w:color w:val="auto"/>
        </w:rPr>
        <w:t>has the meaning given in Section 12.07(a).</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“Erroneous Payment Deficiency Assignment” </w:t>
      </w:r>
      <w:r>
        <w:rPr>
          <w:rFonts w:ascii="Times New Roman" w:cs="Times New Roman" w:eastAsia="Times New Roman" w:hAnsi="Times New Roman"/>
          <w:sz w:val="19"/>
          <w:szCs w:val="19"/>
          <w:color w:val="auto"/>
        </w:rPr>
        <w:t>has the meaning given in Section 12.07(d).</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“Erroneous Payment Impacted Class” </w:t>
      </w:r>
      <w:r>
        <w:rPr>
          <w:rFonts w:ascii="Times New Roman" w:cs="Times New Roman" w:eastAsia="Times New Roman" w:hAnsi="Times New Roman"/>
          <w:sz w:val="19"/>
          <w:szCs w:val="19"/>
          <w:color w:val="auto"/>
        </w:rPr>
        <w:t>has the meaning given in Section 12.07(d).</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“Erroneous Payment Return Deficiency” </w:t>
      </w:r>
      <w:r>
        <w:rPr>
          <w:rFonts w:ascii="Times New Roman" w:cs="Times New Roman" w:eastAsia="Times New Roman" w:hAnsi="Times New Roman"/>
          <w:sz w:val="19"/>
          <w:szCs w:val="19"/>
          <w:color w:val="auto"/>
        </w:rPr>
        <w:t>has the meaning given in Section 12.07(d).</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“Erroneous Payment Subrogation Rights” </w:t>
      </w:r>
      <w:r>
        <w:rPr>
          <w:rFonts w:ascii="Times New Roman" w:cs="Times New Roman" w:eastAsia="Times New Roman" w:hAnsi="Times New Roman"/>
          <w:sz w:val="19"/>
          <w:szCs w:val="19"/>
          <w:color w:val="auto"/>
        </w:rPr>
        <w:t>has the meaning given in Section 12.07(d).</w:t>
      </w:r>
    </w:p>
    <w:p>
      <w:pPr>
        <w:spacing w:after="0" w:line="226" w:lineRule="exact"/>
        <w:rPr>
          <w:sz w:val="20"/>
          <w:szCs w:val="20"/>
          <w:color w:val="auto"/>
        </w:rPr>
      </w:pPr>
    </w:p>
    <w:p>
      <w:pPr>
        <w:ind w:left="760" w:right="84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EU Bail-In Legislation Schedule</w:t>
      </w:r>
      <w:r>
        <w:rPr>
          <w:rFonts w:ascii="Times New Roman" w:cs="Times New Roman" w:eastAsia="Times New Roman" w:hAnsi="Times New Roman"/>
          <w:sz w:val="19"/>
          <w:szCs w:val="19"/>
          <w:color w:val="auto"/>
        </w:rPr>
        <w:t>” means the EU Bail -In Legislation Schedule published by the Loan Market Association (or any successor person), as in effect from time to time.</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“Euros”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 € ” </w:t>
      </w:r>
      <w:r>
        <w:rPr>
          <w:rFonts w:ascii="Times New Roman" w:cs="Times New Roman" w:eastAsia="Times New Roman" w:hAnsi="Times New Roman"/>
          <w:sz w:val="19"/>
          <w:szCs w:val="19"/>
          <w:color w:val="auto"/>
        </w:rPr>
        <w:t>means the unit of single currency of the Participating Member States.</w:t>
      </w:r>
    </w:p>
    <w:p>
      <w:pPr>
        <w:spacing w:after="0" w:line="226" w:lineRule="exact"/>
        <w:rPr>
          <w:sz w:val="20"/>
          <w:szCs w:val="20"/>
          <w:color w:val="auto"/>
        </w:rPr>
      </w:pPr>
    </w:p>
    <w:p>
      <w:pPr>
        <w:ind w:left="760" w:right="94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“Event of Default” </w:t>
      </w:r>
      <w:r>
        <w:rPr>
          <w:rFonts w:ascii="Times New Roman" w:cs="Times New Roman" w:eastAsia="Times New Roman" w:hAnsi="Times New Roman"/>
          <w:sz w:val="19"/>
          <w:szCs w:val="19"/>
          <w:color w:val="auto"/>
        </w:rPr>
        <w:t>means the occurrence of any of the events, acts or circumstances set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forth in Section 6.01.</w:t>
      </w:r>
    </w:p>
    <w:p>
      <w:pPr>
        <w:spacing w:after="0" w:line="148" w:lineRule="exact"/>
        <w:rPr>
          <w:sz w:val="20"/>
          <w:szCs w:val="20"/>
          <w:color w:val="auto"/>
        </w:rPr>
      </w:pPr>
    </w:p>
    <w:p>
      <w:pPr>
        <w:ind w:left="760" w:right="80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“Excess Concentration Amount” </w:t>
      </w:r>
      <w:r>
        <w:rPr>
          <w:rFonts w:ascii="Times New Roman" w:cs="Times New Roman" w:eastAsia="Times New Roman" w:hAnsi="Times New Roman"/>
          <w:sz w:val="19"/>
          <w:szCs w:val="19"/>
          <w:color w:val="auto"/>
        </w:rPr>
        <w:t>means, at any time in respect of which any one or more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of the Concentration Limitations are exceeded, the Dollar Equivalent of the portions (calculated without duplication) of each Eligible Collateral Loan that cause such Concentration Limitations to be exceeded;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any Excess Concentration Amount related to clause (m) of the definition of Concentration Limitations shall be calculated as the product of (a) the portions (calculated without duplication) of each Eligible Collateral Loan that causes such Concentration Limitations to be exceeded,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(b) 1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the Recovery Rate applicable to each such Eligible Collateral Loan, and (ii) any Excess Concentration Amount related to clause (n) of the definition of Concentration Limitations shall be calculated as the product of (a) the portions of each Eligible Collateral Loan that causes such Concentration Limitations to be exceeded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(b) 1 </w:t>
      </w:r>
      <w:r>
        <w:rPr>
          <w:rFonts w:ascii="Times New Roman" w:cs="Times New Roman" w:eastAsia="Times New Roman" w:hAnsi="Times New Roman"/>
          <w:sz w:val="19"/>
          <w:szCs w:val="19"/>
          <w:i w:val="1"/>
          <w:iCs w:val="1"/>
          <w:color w:val="auto"/>
        </w:rPr>
        <w:t xml:space="preserve">minus </w:t>
      </w:r>
      <w:r>
        <w:rPr>
          <w:rFonts w:ascii="Times New Roman" w:cs="Times New Roman" w:eastAsia="Times New Roman" w:hAnsi="Times New Roman"/>
          <w:sz w:val="19"/>
          <w:szCs w:val="19"/>
          <w:color w:val="auto"/>
        </w:rPr>
        <w:t>the lower of 90% or the Market Value applicable to such Eligible Collateral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expressed as a percentage of the par value of such Collateral Loan.</w:t>
      </w:r>
    </w:p>
    <w:p>
      <w:pPr>
        <w:spacing w:after="0" w:line="189" w:lineRule="exact"/>
        <w:rPr>
          <w:sz w:val="20"/>
          <w:szCs w:val="20"/>
          <w:color w:val="auto"/>
        </w:rPr>
      </w:pPr>
    </w:p>
    <w:p>
      <w:pPr>
        <w:ind w:left="760" w:right="900" w:firstLine="576"/>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“Excess Interest Proceeds Amount” </w:t>
      </w:r>
      <w:r>
        <w:rPr>
          <w:rFonts w:ascii="Times New Roman" w:cs="Times New Roman" w:eastAsia="Times New Roman" w:hAnsi="Times New Roman"/>
          <w:sz w:val="19"/>
          <w:szCs w:val="19"/>
          <w:color w:val="auto"/>
        </w:rPr>
        <w:t>means, at any time, the excess, if any, of (i)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Dollar Equivalent of the aggregate amount in and available from the Interest Collection Subaccounts over (ii) 150% of the Dollar Equivalent of the aggregate amount necessary on the following Payment Date, in the good faith estimate of the Collateral Manager, to make the required payments pursuant to Section 9.01(a)(i)(A) through (E) of the Priority of Payments (after giving effect to any prepayments pursuant to Section 2.05). The Excess Interest Proceeds Amount shall be calculated by the Collateral Manager pursuant to an Excess Interest Proceeds Estimate. The Collateral Manager shall calculate the Excess Interest Proceeds Amount (including, without limitation, the estimate of the required payments pursuant to Section 9.01(a) (i)(A) through (E) of the Priority of Payments) in good faith and in a commercially reasonable manner based on the outstanding Advances immediately after giving effect to the contemplated prepayment being made with the</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19" w:name="page120"/>
    <w:bookmarkEnd w:id="119"/>
    <w:p>
      <w:pPr>
        <w:spacing w:after="0" w:line="200" w:lineRule="exact"/>
        <w:rPr>
          <w:sz w:val="20"/>
          <w:szCs w:val="20"/>
          <w:color w:val="auto"/>
        </w:rPr>
      </w:pPr>
    </w:p>
    <w:p>
      <w:pPr>
        <w:spacing w:after="0" w:line="285" w:lineRule="exact"/>
        <w:rPr>
          <w:sz w:val="20"/>
          <w:szCs w:val="20"/>
          <w:color w:val="auto"/>
        </w:rPr>
      </w:pPr>
    </w:p>
    <w:p>
      <w:pPr>
        <w:ind w:left="760" w:right="1080"/>
        <w:spacing w:after="0" w:line="286" w:lineRule="auto"/>
        <w:rPr>
          <w:sz w:val="20"/>
          <w:szCs w:val="20"/>
          <w:color w:val="auto"/>
        </w:rPr>
      </w:pPr>
      <w:r>
        <w:rPr>
          <w:rFonts w:ascii="Times New Roman" w:cs="Times New Roman" w:eastAsia="Times New Roman" w:hAnsi="Times New Roman"/>
          <w:sz w:val="19"/>
          <w:szCs w:val="19"/>
          <w:color w:val="auto"/>
        </w:rPr>
        <w:t>Excess Interest Proceeds Amount or such higher amount as deemed appropriate to make such required payments in the Collateral Manager’s estimation.</w:t>
      </w:r>
    </w:p>
    <w:p>
      <w:pPr>
        <w:spacing w:after="0" w:line="149" w:lineRule="exact"/>
        <w:rPr>
          <w:sz w:val="20"/>
          <w:szCs w:val="20"/>
          <w:color w:val="auto"/>
        </w:rPr>
      </w:pPr>
    </w:p>
    <w:p>
      <w:pPr>
        <w:jc w:val="both"/>
        <w:ind w:left="760" w:right="8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“Excess Interest Proceeds Estimate” </w:t>
      </w:r>
      <w:r>
        <w:rPr>
          <w:rFonts w:ascii="Times New Roman" w:cs="Times New Roman" w:eastAsia="Times New Roman" w:hAnsi="Times New Roman"/>
          <w:sz w:val="19"/>
          <w:szCs w:val="19"/>
          <w:color w:val="auto"/>
        </w:rPr>
        <w:t>means a good faith estimate of the Excess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Proceeds Amount as calculated by the Collateral Manager in the form attached hereto as Exhibit A.</w:t>
      </w:r>
    </w:p>
    <w:p>
      <w:pPr>
        <w:spacing w:after="0" w:line="166" w:lineRule="exact"/>
        <w:rPr>
          <w:sz w:val="20"/>
          <w:szCs w:val="20"/>
          <w:color w:val="auto"/>
        </w:rPr>
      </w:pPr>
    </w:p>
    <w:p>
      <w:pPr>
        <w:ind w:left="760" w:right="7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“Exchange Act” </w:t>
      </w:r>
      <w:r>
        <w:rPr>
          <w:rFonts w:ascii="Times New Roman" w:cs="Times New Roman" w:eastAsia="Times New Roman" w:hAnsi="Times New Roman"/>
          <w:sz w:val="19"/>
          <w:szCs w:val="19"/>
          <w:color w:val="auto"/>
        </w:rPr>
        <w:t>means the Securities Exchange Act of 1934, as amended, and the rules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regulations promulgated thereunder, all as from time to time in effect, or any successor law, rules or regulations, and any reference to any statutory or regulatory provision shall be deemed to be a reference to any successor statutory or regulatory provision.</w:t>
      </w:r>
    </w:p>
    <w:p>
      <w:pPr>
        <w:spacing w:after="0" w:line="171" w:lineRule="exact"/>
        <w:rPr>
          <w:sz w:val="20"/>
          <w:szCs w:val="20"/>
          <w:color w:val="auto"/>
        </w:rPr>
      </w:pPr>
    </w:p>
    <w:p>
      <w:pPr>
        <w:ind w:left="760" w:right="80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“Facility Amount” </w:t>
      </w:r>
      <w:r>
        <w:rPr>
          <w:rFonts w:ascii="Times New Roman" w:cs="Times New Roman" w:eastAsia="Times New Roman" w:hAnsi="Times New Roman"/>
          <w:sz w:val="19"/>
          <w:szCs w:val="19"/>
          <w:color w:val="auto"/>
        </w:rPr>
        <w:t>means the Dollar Equivalent of (a) on or prior to the Commitment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Termination Date, the “Facility Amount” as set forth on Schedule 1 (as such amount may be reduced from time to time pursuant to Section 2.06) and (b) following the Commitment Termination Date, the outstanding principal balance of all the Advances;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Facility Amount may be increased by the Borrower from time to time in accordance with Section 2.15 hereof.</w:t>
      </w:r>
    </w:p>
    <w:p>
      <w:pPr>
        <w:spacing w:after="0" w:line="175" w:lineRule="exact"/>
        <w:rPr>
          <w:sz w:val="20"/>
          <w:szCs w:val="20"/>
          <w:color w:val="auto"/>
        </w:rPr>
      </w:pPr>
    </w:p>
    <w:p>
      <w:pPr>
        <w:ind w:left="760" w:right="1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“Facility Amount Increase” </w:t>
      </w:r>
      <w:r>
        <w:rPr>
          <w:rFonts w:ascii="Times New Roman" w:cs="Times New Roman" w:eastAsia="Times New Roman" w:hAnsi="Times New Roman"/>
          <w:sz w:val="19"/>
          <w:szCs w:val="19"/>
          <w:color w:val="auto"/>
        </w:rPr>
        <w:t>means an increase in the Facility Amount pursuant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Section 2.15 hereof.</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“Facility Amount Increase Request” </w:t>
      </w:r>
      <w:r>
        <w:rPr>
          <w:rFonts w:ascii="Times New Roman" w:cs="Times New Roman" w:eastAsia="Times New Roman" w:hAnsi="Times New Roman"/>
          <w:sz w:val="19"/>
          <w:szCs w:val="19"/>
          <w:color w:val="auto"/>
        </w:rPr>
        <w:t>is defined in Section 2.15 hereof.</w:t>
      </w:r>
    </w:p>
    <w:p>
      <w:pPr>
        <w:spacing w:after="0" w:line="226" w:lineRule="exact"/>
        <w:rPr>
          <w:sz w:val="20"/>
          <w:szCs w:val="20"/>
          <w:color w:val="auto"/>
        </w:rPr>
      </w:pPr>
    </w:p>
    <w:p>
      <w:pPr>
        <w:ind w:left="760" w:right="82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“Facility Documents” </w:t>
      </w:r>
      <w:r>
        <w:rPr>
          <w:rFonts w:ascii="Times New Roman" w:cs="Times New Roman" w:eastAsia="Times New Roman" w:hAnsi="Times New Roman"/>
          <w:sz w:val="19"/>
          <w:szCs w:val="19"/>
          <w:color w:val="auto"/>
        </w:rPr>
        <w:t>means this Agreement, the Purchase and Contribution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Account Control Agreement, the Collateral Agent Fee Letter, the Custodian Fee Letter, the Backup Collateral Manager Fee Letter, the Lender Fee Letter, the Collateral Administration Agreement and any other security agreements and other instruments entered into or delivered by or on behalf of the Borrower pursuant to Section 5.01(c) to create, perfect or otherwise evidence the Collateral Agent’s security interest.</w:t>
      </w:r>
    </w:p>
    <w:p>
      <w:pPr>
        <w:spacing w:after="0" w:line="175" w:lineRule="exact"/>
        <w:rPr>
          <w:sz w:val="20"/>
          <w:szCs w:val="20"/>
          <w:color w:val="auto"/>
        </w:rPr>
      </w:pPr>
    </w:p>
    <w:p>
      <w:pPr>
        <w:ind w:left="760" w:right="80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“FATCA</w:t>
      </w:r>
      <w:r>
        <w:rPr>
          <w:rFonts w:ascii="Times New Roman" w:cs="Times New Roman" w:eastAsia="Times New Roman" w:hAnsi="Times New Roman"/>
          <w:sz w:val="19"/>
          <w:szCs w:val="19"/>
          <w:color w:val="auto"/>
        </w:rPr>
        <w:t>” means Sections 1471 through 1474 of the Code, as of the date of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(or any amended versions of Sections 1471 through 1474 of the Code that are substantively comparable and not materially more onerous to comply with), any current or future regulations or official interpretations thereof (including any Revenue Ruling, Revenue Procedure, Notice or similar guidance issued by the IRS thereunder as a precondition to relief or exemption from taxes under such provisions), and any agreements entered into pursuant to Section 1471(b)(1) of the Code and an applicable intergovernmental agreement implementing any of the foregoing.</w:t>
      </w:r>
    </w:p>
    <w:p>
      <w:pPr>
        <w:spacing w:after="0" w:line="184" w:lineRule="exact"/>
        <w:rPr>
          <w:sz w:val="20"/>
          <w:szCs w:val="20"/>
          <w:color w:val="auto"/>
        </w:rPr>
      </w:pPr>
    </w:p>
    <w:p>
      <w:pPr>
        <w:ind w:left="760" w:right="860" w:firstLine="576"/>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“Federal Funds Rate” </w:t>
      </w:r>
      <w:r>
        <w:rPr>
          <w:rFonts w:ascii="Times New Roman" w:cs="Times New Roman" w:eastAsia="Times New Roman" w:hAnsi="Times New Roman"/>
          <w:sz w:val="19"/>
          <w:szCs w:val="19"/>
          <w:color w:val="auto"/>
        </w:rPr>
        <w:t>means, for any period, a fluctuating interest rate per annum equal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for each day during such period to the weighted average 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at any time a Lender</w:t>
      </w:r>
    </w:p>
    <w:p>
      <w:pPr>
        <w:spacing w:after="0" w:line="6"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0" w:name="page121"/>
    <w:bookmarkEnd w:id="120"/>
    <w:p>
      <w:pPr>
        <w:spacing w:after="0" w:line="200" w:lineRule="exact"/>
        <w:rPr>
          <w:sz w:val="20"/>
          <w:szCs w:val="20"/>
          <w:color w:val="auto"/>
        </w:rPr>
      </w:pPr>
    </w:p>
    <w:p>
      <w:pPr>
        <w:spacing w:after="0" w:line="285" w:lineRule="exact"/>
        <w:rPr>
          <w:sz w:val="20"/>
          <w:szCs w:val="20"/>
          <w:color w:val="auto"/>
        </w:rPr>
      </w:pPr>
    </w:p>
    <w:p>
      <w:pPr>
        <w:ind w:left="760" w:right="840"/>
        <w:spacing w:after="0" w:line="257" w:lineRule="auto"/>
        <w:rPr>
          <w:sz w:val="20"/>
          <w:szCs w:val="20"/>
          <w:color w:val="auto"/>
        </w:rPr>
      </w:pPr>
      <w:r>
        <w:rPr>
          <w:rFonts w:ascii="Times New Roman" w:cs="Times New Roman" w:eastAsia="Times New Roman" w:hAnsi="Times New Roman"/>
          <w:sz w:val="19"/>
          <w:szCs w:val="19"/>
          <w:color w:val="auto"/>
        </w:rPr>
        <w:t>is borrowing overnight funds from a Federal Reserve Bank that day, the Federal Funds Rate for such Lender for such day shall be the average rate per annum at which such overnight borrowings are made on that day as promptly reported by such Lender to the Borrower, the Collateral Administrator and the Agents in writing. Each determination of the Federal Funds Rate by a Lender pursuant to the foregoing proviso shall be conclusive and binding except in the case of manifest error.</w:t>
      </w:r>
    </w:p>
    <w:p>
      <w:pPr>
        <w:spacing w:after="0" w:line="1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Fifth Amendment Effective Date</w:t>
      </w:r>
      <w:r>
        <w:rPr>
          <w:rFonts w:ascii="Times New Roman" w:cs="Times New Roman" w:eastAsia="Times New Roman" w:hAnsi="Times New Roman"/>
          <w:sz w:val="19"/>
          <w:szCs w:val="19"/>
          <w:color w:val="0000FF"/>
        </w:rPr>
        <w:t>” means August 4, 2025.</w:t>
      </w:r>
    </w:p>
    <w:p>
      <w:pPr>
        <w:spacing w:after="0" w:line="226" w:lineRule="exact"/>
        <w:rPr>
          <w:sz w:val="20"/>
          <w:szCs w:val="20"/>
          <w:color w:val="auto"/>
        </w:rPr>
      </w:pPr>
    </w:p>
    <w:p>
      <w:pPr>
        <w:ind w:left="760" w:right="1280" w:firstLine="576"/>
        <w:spacing w:after="0" w:line="288" w:lineRule="auto"/>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Fifth Amendment Participation Pool</w:t>
      </w:r>
      <w:r>
        <w:rPr>
          <w:rFonts w:ascii="Times New Roman" w:cs="Times New Roman" w:eastAsia="Times New Roman" w:hAnsi="Times New Roman"/>
          <w:sz w:val="19"/>
          <w:szCs w:val="19"/>
          <w:color w:val="0000FF"/>
        </w:rPr>
        <w:t>” means those Participation Interests listed on Schedule 5 hereto.</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“Final Maturity Date” </w:t>
      </w:r>
      <w:r>
        <w:rPr>
          <w:rFonts w:ascii="Times New Roman" w:cs="Times New Roman" w:eastAsia="Times New Roman" w:hAnsi="Times New Roman"/>
          <w:sz w:val="19"/>
          <w:szCs w:val="19"/>
          <w:color w:val="auto"/>
        </w:rPr>
        <w:t>means the second anniversary of the last day of the Reinvestment</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Period.</w:t>
      </w:r>
    </w:p>
    <w:p>
      <w:pPr>
        <w:spacing w:after="0" w:line="202" w:lineRule="exact"/>
        <w:rPr>
          <w:sz w:val="20"/>
          <w:szCs w:val="20"/>
          <w:color w:val="auto"/>
        </w:rPr>
      </w:pPr>
    </w:p>
    <w:p>
      <w:pPr>
        <w:ind w:left="760" w:right="8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“Final Order” </w:t>
      </w:r>
      <w:r>
        <w:rPr>
          <w:rFonts w:ascii="Times New Roman" w:cs="Times New Roman" w:eastAsia="Times New Roman" w:hAnsi="Times New Roman"/>
          <w:sz w:val="19"/>
          <w:szCs w:val="19"/>
          <w:color w:val="auto"/>
        </w:rPr>
        <w:t>means an order, judgment, decree or ruling the operation or effect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has not been stayed, reversed or amended and as to 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156" w:lineRule="exact"/>
        <w:rPr>
          <w:sz w:val="20"/>
          <w:szCs w:val="20"/>
          <w:color w:val="auto"/>
        </w:rPr>
      </w:pPr>
    </w:p>
    <w:p>
      <w:pPr>
        <w:ind w:left="1340"/>
        <w:spacing w:after="0" w:line="219" w:lineRule="exact"/>
        <w:rPr>
          <w:sz w:val="20"/>
          <w:szCs w:val="20"/>
          <w:color w:val="auto"/>
        </w:rPr>
      </w:pPr>
      <w:r>
        <w:rPr>
          <w:rFonts w:ascii="Times New Roman" w:cs="Times New Roman" w:eastAsia="Times New Roman" w:hAnsi="Times New Roman"/>
          <w:sz w:val="19"/>
          <w:szCs w:val="19"/>
          <w:i w:val="1"/>
          <w:iCs w:val="1"/>
          <w:color w:val="auto"/>
        </w:rPr>
        <w:t xml:space="preserve">“Financial Asset” </w:t>
      </w:r>
      <w:r>
        <w:rPr>
          <w:rFonts w:ascii="Times New Roman" w:cs="Times New Roman" w:eastAsia="Times New Roman" w:hAnsi="Times New Roman"/>
          <w:sz w:val="19"/>
          <w:szCs w:val="19"/>
          <w:color w:val="auto"/>
        </w:rPr>
        <w:t>has the meaning specified in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102(a)(9) of the UCC.</w:t>
      </w:r>
    </w:p>
    <w:p>
      <w:pPr>
        <w:spacing w:after="0" w:line="24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Financing Documents</w:t>
      </w:r>
      <w:r>
        <w:rPr>
          <w:rFonts w:ascii="Times New Roman" w:cs="Times New Roman" w:eastAsia="Times New Roman" w:hAnsi="Times New Roman"/>
          <w:sz w:val="19"/>
          <w:szCs w:val="19"/>
          <w:color w:val="auto"/>
        </w:rPr>
        <w:t>” has the meaning set forth in Section 14.02(b) hereof.</w:t>
      </w:r>
    </w:p>
    <w:p>
      <w:pPr>
        <w:spacing w:after="0" w:line="209" w:lineRule="exact"/>
        <w:rPr>
          <w:sz w:val="20"/>
          <w:szCs w:val="20"/>
          <w:color w:val="auto"/>
        </w:rPr>
      </w:pPr>
    </w:p>
    <w:p>
      <w:pPr>
        <w:ind w:left="1340"/>
        <w:spacing w:after="0" w:line="219" w:lineRule="exact"/>
        <w:rPr>
          <w:sz w:val="20"/>
          <w:szCs w:val="20"/>
          <w:color w:val="auto"/>
        </w:rPr>
      </w:pPr>
      <w:r>
        <w:rPr>
          <w:rFonts w:ascii="Times New Roman" w:cs="Times New Roman" w:eastAsia="Times New Roman" w:hAnsi="Times New Roman"/>
          <w:sz w:val="19"/>
          <w:szCs w:val="19"/>
          <w:i w:val="1"/>
          <w:iCs w:val="1"/>
          <w:color w:val="auto"/>
        </w:rPr>
        <w:t xml:space="preserve">“Financing Statements” </w:t>
      </w:r>
      <w:r>
        <w:rPr>
          <w:rFonts w:ascii="Times New Roman" w:cs="Times New Roman" w:eastAsia="Times New Roman" w:hAnsi="Times New Roman"/>
          <w:sz w:val="19"/>
          <w:szCs w:val="19"/>
          <w:color w:val="auto"/>
        </w:rPr>
        <w:t>has the meaning specified in Section 9</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102(a)(39) of the UCC.</w:t>
      </w:r>
    </w:p>
    <w:p>
      <w:pPr>
        <w:spacing w:after="0" w:line="243" w:lineRule="exact"/>
        <w:rPr>
          <w:sz w:val="20"/>
          <w:szCs w:val="20"/>
          <w:color w:val="auto"/>
        </w:rPr>
      </w:pPr>
    </w:p>
    <w:p>
      <w:pPr>
        <w:ind w:left="760" w:right="7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“First Lien/Last Out Loan” </w:t>
      </w:r>
      <w:r>
        <w:rPr>
          <w:rFonts w:ascii="Times New Roman" w:cs="Times New Roman" w:eastAsia="Times New Roman" w:hAnsi="Times New Roman"/>
          <w:sz w:val="19"/>
          <w:szCs w:val="19"/>
          <w:color w:val="auto"/>
        </w:rPr>
        <w:t>means a Collateral Loan that would constitute a First Lien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(other than by operation of the proviso in the definition of such term) but that, in the case of an event of default under the applicable Related Document, will be paid after one or more tranches of first lien loans issued by the same obligor have been paid in full in accordance with a specified waterfall of payments.</w:t>
      </w:r>
    </w:p>
    <w:p>
      <w:pPr>
        <w:spacing w:after="0" w:line="17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First Lien Loan</w:t>
      </w:r>
      <w:r>
        <w:rPr>
          <w:rFonts w:ascii="Times New Roman" w:cs="Times New Roman" w:eastAsia="Times New Roman" w:hAnsi="Times New Roman"/>
          <w:sz w:val="19"/>
          <w:szCs w:val="19"/>
          <w:color w:val="auto"/>
        </w:rPr>
        <w:t>” means any Collateral Loan (for purposes of this definition, a “loan”)</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that meets the following criteria:</w:t>
      </w:r>
    </w:p>
    <w:p>
      <w:pPr>
        <w:spacing w:after="0" w:line="204" w:lineRule="exact"/>
        <w:rPr>
          <w:sz w:val="20"/>
          <w:szCs w:val="20"/>
          <w:color w:val="auto"/>
        </w:rPr>
      </w:pPr>
    </w:p>
    <w:p>
      <w:pPr>
        <w:ind w:left="1340" w:right="820" w:firstLine="575"/>
        <w:spacing w:after="0" w:line="268" w:lineRule="auto"/>
        <w:tabs>
          <w:tab w:leader="none" w:pos="2177"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(and is not expressly permitted by its terms to become) subordinate in right of payment to any other obligation for borrowed money of the Obligor of such loan, unless such loan is a Split First Lien Loan;</w:t>
      </w:r>
    </w:p>
    <w:p>
      <w:pPr>
        <w:spacing w:after="0" w:line="168" w:lineRule="exact"/>
        <w:rPr>
          <w:rFonts w:ascii="Times New Roman" w:cs="Times New Roman" w:eastAsia="Times New Roman" w:hAnsi="Times New Roman"/>
          <w:sz w:val="19"/>
          <w:szCs w:val="19"/>
          <w:color w:val="auto"/>
        </w:rPr>
      </w:pPr>
    </w:p>
    <w:p>
      <w:pPr>
        <w:ind w:left="1340" w:right="860" w:firstLine="575"/>
        <w:spacing w:after="0" w:line="256" w:lineRule="auto"/>
        <w:tabs>
          <w:tab w:leader="none" w:pos="2188"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secured by a valid first priority perfected Lien in, to or on specified collateral securing the Obligor’s obligations under such loan (whether or not such loan is also secured by any lower priority Lien on other collateral), but subject to purchase money liens and customary Liens for taxes or regulatory charges not then due and</w:t>
      </w:r>
    </w:p>
    <w:p>
      <w:pPr>
        <w:spacing w:after="0" w:line="2" w:lineRule="exact"/>
        <w:rPr>
          <w:sz w:val="20"/>
          <w:szCs w:val="20"/>
          <w:color w:val="auto"/>
        </w:rPr>
      </w:pPr>
    </w:p>
    <w:p>
      <w:pPr>
        <w:ind w:left="1340" w:right="1200"/>
        <w:spacing w:after="0" w:line="246" w:lineRule="auto"/>
        <w:rPr>
          <w:sz w:val="20"/>
          <w:szCs w:val="20"/>
          <w:color w:val="auto"/>
        </w:rPr>
      </w:pPr>
      <w:r>
        <w:rPr>
          <w:rFonts w:ascii="Times New Roman" w:cs="Times New Roman" w:eastAsia="Times New Roman" w:hAnsi="Times New Roman"/>
          <w:sz w:val="19"/>
          <w:szCs w:val="19"/>
          <w:color w:val="auto"/>
        </w:rPr>
        <w:t xml:space="preserve">payable and other permitted Liens under the Related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permitted Liens do not directly secure indebtedness for borrowed money;</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1" w:name="page122"/>
    <w:bookmarkEnd w:id="121"/>
    <w:p>
      <w:pPr>
        <w:spacing w:after="0" w:line="200" w:lineRule="exact"/>
        <w:rPr>
          <w:sz w:val="20"/>
          <w:szCs w:val="20"/>
          <w:color w:val="auto"/>
        </w:rPr>
      </w:pPr>
    </w:p>
    <w:p>
      <w:pPr>
        <w:spacing w:after="0" w:line="285" w:lineRule="exact"/>
        <w:rPr>
          <w:sz w:val="20"/>
          <w:szCs w:val="20"/>
          <w:color w:val="auto"/>
        </w:rPr>
      </w:pPr>
    </w:p>
    <w:p>
      <w:pPr>
        <w:jc w:val="both"/>
        <w:ind w:left="1340" w:right="760" w:firstLine="575"/>
        <w:spacing w:after="0" w:line="262" w:lineRule="auto"/>
        <w:tabs>
          <w:tab w:leader="none" w:pos="2177"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secured, pursuant to such first priority perfected Lien, by collateral having a value (determined as set forth below) not less than the Principal Balance of such loan plus the aggregate Principal Balances of all other loans of equal seniority secured by a first Lien in the same collateral; and</w:t>
      </w:r>
    </w:p>
    <w:p>
      <w:pPr>
        <w:spacing w:after="0" w:line="174" w:lineRule="exact"/>
        <w:rPr>
          <w:rFonts w:ascii="Times New Roman" w:cs="Times New Roman" w:eastAsia="Times New Roman" w:hAnsi="Times New Roman"/>
          <w:sz w:val="19"/>
          <w:szCs w:val="19"/>
          <w:color w:val="auto"/>
        </w:rPr>
      </w:pPr>
    </w:p>
    <w:p>
      <w:pPr>
        <w:ind w:left="1340" w:right="960" w:firstLine="575"/>
        <w:spacing w:after="0" w:line="286" w:lineRule="auto"/>
        <w:tabs>
          <w:tab w:leader="none" w:pos="2188"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 loan which is secured solely or primarily by the common stock of its Obligor or any of its Affiliates;</w:t>
      </w:r>
    </w:p>
    <w:p>
      <w:pPr>
        <w:spacing w:after="0" w:line="149" w:lineRule="exact"/>
        <w:rPr>
          <w:sz w:val="20"/>
          <w:szCs w:val="20"/>
          <w:color w:val="auto"/>
        </w:rPr>
      </w:pPr>
    </w:p>
    <w:p>
      <w:pPr>
        <w:ind w:left="760" w:right="74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neither a First Lien/Last Out Loan nor a Split Lien Loan shall constitute a First Lien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For the avoidance of doubt, Split First Lien Loans will constitute First Lien Loans hereunder.</w:t>
      </w:r>
    </w:p>
    <w:p>
      <w:pPr>
        <w:spacing w:after="0" w:line="168" w:lineRule="exact"/>
        <w:rPr>
          <w:sz w:val="20"/>
          <w:szCs w:val="20"/>
          <w:color w:val="auto"/>
        </w:rPr>
      </w:pPr>
    </w:p>
    <w:p>
      <w:pPr>
        <w:ind w:left="760" w:right="800" w:firstLine="576"/>
        <w:spacing w:after="0" w:line="257" w:lineRule="auto"/>
        <w:rPr>
          <w:sz w:val="20"/>
          <w:szCs w:val="20"/>
          <w:color w:val="auto"/>
        </w:rPr>
      </w:pPr>
      <w:r>
        <w:rPr>
          <w:rFonts w:ascii="Times New Roman" w:cs="Times New Roman" w:eastAsia="Times New Roman" w:hAnsi="Times New Roman"/>
          <w:sz w:val="19"/>
          <w:szCs w:val="19"/>
          <w:color w:val="auto"/>
        </w:rPr>
        <w:t>The determination as to whether clause (c)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 (b) the Collateral Manager’s judgment at the time such Collateral Loan is acquired by the Borrower.</w:t>
      </w:r>
    </w:p>
    <w:p>
      <w:pPr>
        <w:spacing w:after="0" w:line="1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“Fitch” </w:t>
      </w:r>
      <w:r>
        <w:rPr>
          <w:rFonts w:ascii="Times New Roman" w:cs="Times New Roman" w:eastAsia="Times New Roman" w:hAnsi="Times New Roman"/>
          <w:sz w:val="19"/>
          <w:szCs w:val="19"/>
          <w:color w:val="auto"/>
        </w:rPr>
        <w:t>means Fitch, Inc., together with its successors.</w:t>
      </w:r>
    </w:p>
    <w:p>
      <w:pPr>
        <w:spacing w:after="0" w:line="226" w:lineRule="exact"/>
        <w:rPr>
          <w:sz w:val="20"/>
          <w:szCs w:val="20"/>
          <w:color w:val="auto"/>
        </w:rPr>
      </w:pPr>
    </w:p>
    <w:p>
      <w:pPr>
        <w:ind w:left="760" w:right="820" w:firstLine="57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Fixed Charge Coverage Ratio</w:t>
      </w:r>
      <w:r>
        <w:rPr>
          <w:rFonts w:ascii="Times New Roman" w:cs="Times New Roman" w:eastAsia="Times New Roman" w:hAnsi="Times New Roman"/>
          <w:sz w:val="19"/>
          <w:szCs w:val="19"/>
          <w:color w:val="auto"/>
        </w:rPr>
        <w:t xml:space="preserve">” means, with respect to any Collateral Loan for any Relevant Test Period, the meaning of “Fixed Charge Coverage Ratio” or any comparable term relating to the ratio of fixed charges to EBITDA defined in the Related Documents for such Collateral Loan, and in any case that “Fixed Charge Coverage Ratio” or such comparable term is not defined in such Related Documents, the ratio of (a) fixed charges to (b) EBITDA as calculated by the Collateral Manager in good faith using information from and calculations consistent with the relevant financial models,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financial statements, compliance statements and financial reporting packages provided by the relevant Obligor as per the requirements of the Related Documents.</w:t>
      </w:r>
    </w:p>
    <w:p>
      <w:pPr>
        <w:spacing w:after="0" w:line="1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“Fixed Rate Obligation” </w:t>
      </w:r>
      <w:r>
        <w:rPr>
          <w:rFonts w:ascii="Times New Roman" w:cs="Times New Roman" w:eastAsia="Times New Roman" w:hAnsi="Times New Roman"/>
          <w:sz w:val="19"/>
          <w:szCs w:val="19"/>
          <w:color w:val="auto"/>
        </w:rPr>
        <w:t>means any Collateral Loan that bears a fixed rate of interest.</w:t>
      </w:r>
    </w:p>
    <w:p>
      <w:pPr>
        <w:spacing w:after="0" w:line="226" w:lineRule="exact"/>
        <w:rPr>
          <w:sz w:val="20"/>
          <w:szCs w:val="20"/>
          <w:color w:val="auto"/>
        </w:rPr>
      </w:pPr>
    </w:p>
    <w:p>
      <w:pPr>
        <w:ind w:left="760" w:right="13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“Floating Rate Obligation” </w:t>
      </w:r>
      <w:r>
        <w:rPr>
          <w:rFonts w:ascii="Times New Roman" w:cs="Times New Roman" w:eastAsia="Times New Roman" w:hAnsi="Times New Roman"/>
          <w:sz w:val="19"/>
          <w:szCs w:val="19"/>
          <w:color w:val="auto"/>
        </w:rPr>
        <w:t>means any Collateral Loan that bears a floating rate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interest.</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“Floor Obligation” </w:t>
      </w:r>
      <w:r>
        <w:rPr>
          <w:rFonts w:ascii="Times New Roman" w:cs="Times New Roman" w:eastAsia="Times New Roman" w:hAnsi="Times New Roman"/>
          <w:sz w:val="19"/>
          <w:szCs w:val="19"/>
          <w:color w:val="auto"/>
        </w:rPr>
        <w:t>means, as of any date:</w:t>
      </w:r>
    </w:p>
    <w:p>
      <w:pPr>
        <w:spacing w:after="0" w:line="228" w:lineRule="exact"/>
        <w:rPr>
          <w:sz w:val="20"/>
          <w:szCs w:val="20"/>
          <w:color w:val="auto"/>
        </w:rPr>
      </w:pPr>
    </w:p>
    <w:p>
      <w:pPr>
        <w:ind w:left="1340" w:right="760" w:firstLine="47"/>
        <w:spacing w:after="0" w:line="257" w:lineRule="auto"/>
        <w:tabs>
          <w:tab w:leader="none" w:pos="164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Floating Rate Obligation (1) for which the Related Documents provides for a London interbank offered rate option or a SOFR option and that such rate is calculated as the greater of a specified “floor” rate per annum and such rate for the applicable interest period and (2) that, as of such date, bears interest based on such London interbank offered rate option or SOFR option, but only if as of such date the London interbank offered rate or SOFR for the applicable interest period is less than such floor rate; and</w:t>
      </w:r>
    </w:p>
    <w:p>
      <w:pPr>
        <w:spacing w:after="0" w:line="180" w:lineRule="exact"/>
        <w:rPr>
          <w:rFonts w:ascii="Times New Roman" w:cs="Times New Roman" w:eastAsia="Times New Roman" w:hAnsi="Times New Roman"/>
          <w:sz w:val="19"/>
          <w:szCs w:val="19"/>
          <w:color w:val="auto"/>
        </w:rPr>
      </w:pPr>
    </w:p>
    <w:p>
      <w:pPr>
        <w:ind w:left="1340" w:right="920" w:firstLine="47"/>
        <w:spacing w:after="0" w:line="258" w:lineRule="auto"/>
        <w:tabs>
          <w:tab w:leader="none" w:pos="166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Floating Rate Obligation (1) for which the Related Documents provides for a base or prime rate option and such base or prime rate is calculated as the greater of a</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2" w:name="page123"/>
    <w:bookmarkEnd w:id="122"/>
    <w:p>
      <w:pPr>
        <w:spacing w:after="0" w:line="200" w:lineRule="exact"/>
        <w:rPr>
          <w:sz w:val="20"/>
          <w:szCs w:val="20"/>
          <w:color w:val="auto"/>
        </w:rPr>
      </w:pPr>
    </w:p>
    <w:p>
      <w:pPr>
        <w:spacing w:after="0" w:line="285" w:lineRule="exact"/>
        <w:rPr>
          <w:sz w:val="20"/>
          <w:szCs w:val="20"/>
          <w:color w:val="auto"/>
        </w:rPr>
      </w:pPr>
    </w:p>
    <w:p>
      <w:pPr>
        <w:ind w:left="1340" w:right="780"/>
        <w:spacing w:after="0" w:line="262" w:lineRule="auto"/>
        <w:rPr>
          <w:sz w:val="20"/>
          <w:szCs w:val="20"/>
          <w:color w:val="auto"/>
        </w:rPr>
      </w:pPr>
      <w:r>
        <w:rPr>
          <w:rFonts w:ascii="Times New Roman" w:cs="Times New Roman" w:eastAsia="Times New Roman" w:hAnsi="Times New Roman"/>
          <w:sz w:val="19"/>
          <w:szCs w:val="19"/>
          <w:color w:val="auto"/>
        </w:rPr>
        <w:t>specified “floor” rate per annum and the base or prime rate for the applicable interest period and (2) that, as of such date, bears interest based on such base or prime rate option, but only if as of such date the base or prime rate for the applicable interest period is less than such floor rate.</w:t>
      </w:r>
    </w:p>
    <w:p>
      <w:pPr>
        <w:spacing w:after="0" w:line="172" w:lineRule="exact"/>
        <w:rPr>
          <w:sz w:val="20"/>
          <w:szCs w:val="20"/>
          <w:color w:val="auto"/>
        </w:rPr>
      </w:pPr>
    </w:p>
    <w:p>
      <w:pPr>
        <w:ind w:left="760" w:right="82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“Foreign Currency Equivalent” </w:t>
      </w:r>
      <w:r>
        <w:rPr>
          <w:rFonts w:ascii="Times New Roman" w:cs="Times New Roman" w:eastAsia="Times New Roman" w:hAnsi="Times New Roman"/>
          <w:sz w:val="19"/>
          <w:szCs w:val="19"/>
          <w:color w:val="auto"/>
        </w:rPr>
        <w:t>means, with respect to any amount in Dollars,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amount of any Agreed Foreign Currency that could be purchased with such amount of Dollars using the reciprocal of the foreign exchange rate(s) specified in the definition of the term “Dollar Equivalent”, as determined by the Collateral Manager and reported to the Administrative Agent and the Collateral Administrator.</w:t>
      </w:r>
    </w:p>
    <w:p>
      <w:pPr>
        <w:spacing w:after="0" w:line="173" w:lineRule="exact"/>
        <w:rPr>
          <w:sz w:val="20"/>
          <w:szCs w:val="20"/>
          <w:color w:val="auto"/>
        </w:rPr>
      </w:pPr>
    </w:p>
    <w:p>
      <w:pPr>
        <w:ind w:left="760" w:right="800" w:firstLine="57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Foreign Currency Loan OC Balance</w:t>
      </w:r>
      <w:r>
        <w:rPr>
          <w:rFonts w:ascii="Times New Roman" w:cs="Times New Roman" w:eastAsia="Times New Roman" w:hAnsi="Times New Roman"/>
          <w:sz w:val="19"/>
          <w:szCs w:val="19"/>
          <w:color w:val="auto"/>
        </w:rPr>
        <w:t xml:space="preserve">” means, for any Collateral Loan denominated in an Agreed Foreign Currency, the sum of, (a) the product of (i) the Dollar Equivalent outstanding principal balance of such loan, and (ii) the difference of 1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the Advance Rate applicable to such loan, (b) the Dollar Equivalent of any Excess Concentration Amount attributable to such Collateral Loan, and (c) if such Collateral Loan is a Haircut Collateral Loan, the product of (i) the Dollar Equivalent outstanding principal balance of such Haircut Collateral Loan and (ii) 1 </w:t>
      </w:r>
      <w:r>
        <w:rPr>
          <w:rFonts w:ascii="Times New Roman" w:cs="Times New Roman" w:eastAsia="Times New Roman" w:hAnsi="Times New Roman"/>
          <w:sz w:val="19"/>
          <w:szCs w:val="19"/>
          <w:i w:val="1"/>
          <w:iCs w:val="1"/>
          <w:color w:val="auto"/>
        </w:rPr>
        <w:t xml:space="preserve">minus </w:t>
      </w:r>
      <w:r>
        <w:rPr>
          <w:rFonts w:ascii="Times New Roman" w:cs="Times New Roman" w:eastAsia="Times New Roman" w:hAnsi="Times New Roman"/>
          <w:sz w:val="19"/>
          <w:szCs w:val="19"/>
          <w:color w:val="auto"/>
        </w:rPr>
        <w:t>such Haircut Collateral Loan’s Recovery Rate.</w:t>
      </w:r>
    </w:p>
    <w:p>
      <w:pPr>
        <w:spacing w:after="0" w:line="181" w:lineRule="exact"/>
        <w:rPr>
          <w:sz w:val="20"/>
          <w:szCs w:val="20"/>
          <w:color w:val="auto"/>
        </w:rPr>
      </w:pPr>
    </w:p>
    <w:p>
      <w:pPr>
        <w:ind w:left="760" w:right="10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“Foreign Currency Variability Factor” </w:t>
      </w:r>
      <w:r>
        <w:rPr>
          <w:rFonts w:ascii="Times New Roman" w:cs="Times New Roman" w:eastAsia="Times New Roman" w:hAnsi="Times New Roman"/>
          <w:sz w:val="19"/>
          <w:szCs w:val="19"/>
          <w:color w:val="auto"/>
        </w:rPr>
        <w:t>means, with respect to each Agreed Foreign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Currency, the percentage opposite such Agreed Foreign Currency set forth in the table below:</w:t>
      </w:r>
    </w:p>
    <w:p>
      <w:pPr>
        <w:spacing w:after="0" w:line="366" w:lineRule="exact"/>
        <w:rPr>
          <w:sz w:val="20"/>
          <w:szCs w:val="20"/>
          <w:color w:val="auto"/>
        </w:rPr>
      </w:pPr>
    </w:p>
    <w:tbl>
      <w:tblPr>
        <w:tblLayout w:type="fixed"/>
        <w:tblInd w:w="840" w:type="dxa"/>
        <w:tblCellMar>
          <w:top w:w="0" w:type="dxa"/>
          <w:left w:w="0" w:type="dxa"/>
          <w:bottom w:w="0" w:type="dxa"/>
          <w:right w:w="0" w:type="dxa"/>
        </w:tblCellMar>
      </w:tblPr>
      <w:tr>
        <w:trPr>
          <w:trHeight w:val="251"/>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Applicable Currency</w:t>
            </w:r>
          </w:p>
        </w:tc>
        <w:tc>
          <w:tcPr>
            <w:tcW w:w="2460" w:type="dxa"/>
            <w:vAlign w:val="bottom"/>
          </w:tcPr>
          <w:p>
            <w:pPr>
              <w:ind w:left="1080"/>
              <w:spacing w:after="0"/>
              <w:rPr>
                <w:sz w:val="20"/>
                <w:szCs w:val="20"/>
                <w:color w:val="auto"/>
              </w:rPr>
            </w:pPr>
            <w:r>
              <w:rPr>
                <w:rFonts w:ascii="Times New Roman" w:cs="Times New Roman" w:eastAsia="Times New Roman" w:hAnsi="Times New Roman"/>
                <w:sz w:val="19"/>
                <w:szCs w:val="19"/>
                <w:color w:val="auto"/>
                <w:w w:val="99"/>
              </w:rPr>
              <w:t>Percentage Factor</w:t>
            </w:r>
          </w:p>
        </w:tc>
      </w:tr>
      <w:tr>
        <w:trPr>
          <w:trHeight w:val="444"/>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Euros</w:t>
            </w:r>
          </w:p>
        </w:tc>
        <w:tc>
          <w:tcPr>
            <w:tcW w:w="24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33%</w:t>
            </w:r>
          </w:p>
        </w:tc>
      </w:tr>
      <w:tr>
        <w:trPr>
          <w:trHeight w:val="444"/>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Canadian Dollars</w:t>
            </w:r>
          </w:p>
        </w:tc>
        <w:tc>
          <w:tcPr>
            <w:tcW w:w="24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38%</w:t>
            </w:r>
          </w:p>
        </w:tc>
      </w:tr>
      <w:tr>
        <w:trPr>
          <w:trHeight w:val="444"/>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Pounds Sterling</w:t>
            </w:r>
          </w:p>
        </w:tc>
        <w:tc>
          <w:tcPr>
            <w:tcW w:w="24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51%</w:t>
            </w:r>
          </w:p>
        </w:tc>
      </w:tr>
      <w:tr>
        <w:trPr>
          <w:trHeight w:val="444"/>
        </w:trPr>
        <w:tc>
          <w:tcPr>
            <w:tcW w:w="2680" w:type="dxa"/>
            <w:vAlign w:val="bottom"/>
          </w:tcPr>
          <w:p>
            <w:pPr>
              <w:spacing w:after="0"/>
              <w:rPr>
                <w:sz w:val="20"/>
                <w:szCs w:val="20"/>
                <w:color w:val="auto"/>
              </w:rPr>
            </w:pPr>
            <w:r>
              <w:rPr>
                <w:rFonts w:ascii="Times New Roman" w:cs="Times New Roman" w:eastAsia="Times New Roman" w:hAnsi="Times New Roman"/>
                <w:sz w:val="19"/>
                <w:szCs w:val="19"/>
                <w:color w:val="auto"/>
              </w:rPr>
              <w:t>Australian Dollars</w:t>
            </w:r>
          </w:p>
        </w:tc>
        <w:tc>
          <w:tcPr>
            <w:tcW w:w="246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61%</w:t>
            </w:r>
          </w:p>
        </w:tc>
      </w:tr>
    </w:tbl>
    <w:p>
      <w:pPr>
        <w:spacing w:after="0" w:line="191" w:lineRule="exact"/>
        <w:rPr>
          <w:sz w:val="20"/>
          <w:szCs w:val="20"/>
          <w:color w:val="auto"/>
        </w:rPr>
      </w:pPr>
    </w:p>
    <w:p>
      <w:pPr>
        <w:ind w:left="760" w:right="94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“Foreign Currency Variability Reserve” </w:t>
      </w:r>
      <w:r>
        <w:rPr>
          <w:rFonts w:ascii="Times New Roman" w:cs="Times New Roman" w:eastAsia="Times New Roman" w:hAnsi="Times New Roman"/>
          <w:sz w:val="19"/>
          <w:szCs w:val="19"/>
          <w:color w:val="auto"/>
        </w:rPr>
        <w:t>means the sum of (a) the product of (i)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aggregate Foreign Currency Loan OC Balance for all Collateral Loans denominated in Euros, and (ii) the Foreign Currency Variability Factor for Euros, (b) the product of (i) the aggregate Foreign Currency Loan OC Balance for all Collateral Loans denominated in Canadian Dollars and (ii) the Foreign Currency Variability Factor for Canadian Dollars, (c) the product of (i) the aggregate Foreign Currency Loan OC Balance for all Collateral Loans denominated in Pounds Sterling and (ii) the Foreign Currency Variability Factor for Pounds Sterling, (d) the product of</w:t>
      </w:r>
    </w:p>
    <w:p>
      <w:pPr>
        <w:spacing w:after="0" w:line="2" w:lineRule="exact"/>
        <w:rPr>
          <w:sz w:val="20"/>
          <w:szCs w:val="20"/>
          <w:color w:val="auto"/>
        </w:rPr>
      </w:pPr>
    </w:p>
    <w:p>
      <w:pPr>
        <w:ind w:left="760" w:right="1100" w:firstLine="2"/>
        <w:spacing w:after="0" w:line="262" w:lineRule="auto"/>
        <w:tabs>
          <w:tab w:leader="none" w:pos="989"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Foreign Currency Loan OC Balance for all Collateral Loans denominated in Australian Dollars and (ii) the Foreign Currency Variability Factor for Australian Dollars.</w:t>
      </w:r>
    </w:p>
    <w:p>
      <w:pPr>
        <w:spacing w:after="0" w:line="171" w:lineRule="exact"/>
        <w:rPr>
          <w:sz w:val="20"/>
          <w:szCs w:val="20"/>
          <w:color w:val="auto"/>
        </w:rPr>
      </w:pPr>
    </w:p>
    <w:p>
      <w:pPr>
        <w:ind w:left="760" w:right="920" w:firstLine="57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Foreign Loan</w:t>
      </w:r>
      <w:r>
        <w:rPr>
          <w:rFonts w:ascii="Times New Roman" w:cs="Times New Roman" w:eastAsia="Times New Roman" w:hAnsi="Times New Roman"/>
          <w:sz w:val="19"/>
          <w:szCs w:val="19"/>
          <w:color w:val="auto"/>
        </w:rPr>
        <w:t>” means any Loan that relates to an Eligible Foreign Obligor or any other Obligor that is not registered to do business in the United States, does not have contact information in the United States or the collateral securing such Loan is located outside of the United States.</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3" w:name="page124"/>
    <w:bookmarkEnd w:id="123"/>
    <w:p>
      <w:pPr>
        <w:spacing w:after="0" w:line="200" w:lineRule="exact"/>
        <w:rPr>
          <w:sz w:val="20"/>
          <w:szCs w:val="20"/>
          <w:color w:val="auto"/>
        </w:rPr>
      </w:pPr>
    </w:p>
    <w:p>
      <w:pPr>
        <w:spacing w:after="0" w:line="283" w:lineRule="exact"/>
        <w:rPr>
          <w:sz w:val="20"/>
          <w:szCs w:val="20"/>
          <w:color w:val="auto"/>
        </w:rPr>
      </w:pPr>
    </w:p>
    <w:p>
      <w:pPr>
        <w:ind w:left="760" w:right="76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Freshwater Industry</w:t>
      </w:r>
      <w:r>
        <w:rPr>
          <w:rFonts w:ascii="Times New Roman" w:cs="Times New Roman" w:eastAsia="Times New Roman" w:hAnsi="Times New Roman"/>
          <w:sz w:val="19"/>
          <w:szCs w:val="19"/>
          <w:color w:val="auto"/>
        </w:rPr>
        <w:t>” means an industry where the Obligor directly supports the following: dams that do not conform to the decision-making framework of the WCD Framework; or projects located in, or substantially impacting on, critical natural habitats where the project significantly degrades or converts them.</w:t>
      </w:r>
    </w:p>
    <w:p>
      <w:pPr>
        <w:spacing w:after="0" w:line="171" w:lineRule="exact"/>
        <w:rPr>
          <w:sz w:val="20"/>
          <w:szCs w:val="20"/>
          <w:color w:val="auto"/>
        </w:rPr>
      </w:pPr>
    </w:p>
    <w:p>
      <w:pPr>
        <w:ind w:left="760" w:right="760" w:firstLine="576"/>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“Fundamental Amendment” </w:t>
      </w:r>
      <w:r>
        <w:rPr>
          <w:rFonts w:ascii="Times New Roman" w:cs="Times New Roman" w:eastAsia="Times New Roman" w:hAnsi="Times New Roman"/>
          <w:sz w:val="19"/>
          <w:szCs w:val="19"/>
          <w:color w:val="auto"/>
        </w:rPr>
        <w:t>means any amendment, modification, waiver or supplement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or to this Agreement that would (a) increase or extend the term of the Commitments (other than an increase in the Commitment of a particular Lender or addition of a new Lender hereunder agreed to by the relevant Lender(s) pursuant to the terms of this Agreement)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any material portion of the Collateral, except in connection with dispositions permitted hereunder, (f) alter the terms of Section 6.01, Section 9.01, Section 15.01(b) or Section 15.23 or any defined terms used therein or any other provision providing for pro rata payments to the Lenders, (g) modify the definition of the terms “Agreed Foreign Currency,” “Currency Valuation Trigger Event,” “Dollar Equivalent,” “Majority Lenders,” “Required Lenders,” “Maximum Available Amount,” “Borrowing Base,” “Maximum Advance Rate Test”, “Maximum Advance Rate Default Test”, “Fundamental Amendment”, “Interest Coverage Ratio Test”, “Minimum Equity Amount”, “Collateral Quality Test” or any Collateral Quality Test set forth therein or component thereof defined therein, “Collateral Loan”, “Eligible Collateral Loan” or any defined terms used therein, or modify in any other manner the number or percentage of the Lenders required to make any determinations or waive any rights hereunder or to modify any provision hereof, (h) extend the Reinvestment Period, (i) permit the formation of any subsidiary of the Borrower or (j) result in the direct or indirect subordination of the Obligations and/or the security interest and lien upon the Collateral that is granted by any Borrower in accordance with this Agreement.</w:t>
      </w:r>
    </w:p>
    <w:p>
      <w:pPr>
        <w:spacing w:after="0" w:line="200" w:lineRule="exact"/>
        <w:rPr>
          <w:sz w:val="20"/>
          <w:szCs w:val="20"/>
          <w:color w:val="auto"/>
        </w:rPr>
      </w:pPr>
    </w:p>
    <w:p>
      <w:pPr>
        <w:spacing w:after="0" w:line="216" w:lineRule="exact"/>
        <w:rPr>
          <w:sz w:val="20"/>
          <w:szCs w:val="20"/>
          <w:color w:val="auto"/>
        </w:rPr>
      </w:pPr>
    </w:p>
    <w:p>
      <w:pPr>
        <w:ind w:left="760" w:right="9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“Funding Effective Date” </w:t>
      </w:r>
      <w:r>
        <w:rPr>
          <w:rFonts w:ascii="Times New Roman" w:cs="Times New Roman" w:eastAsia="Times New Roman" w:hAnsi="Times New Roman"/>
          <w:sz w:val="19"/>
          <w:szCs w:val="19"/>
          <w:color w:val="auto"/>
        </w:rPr>
        <w:t>means the later of the Closing Date and the date on which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conditions precedent set forth in Section 3.01 are satisfied.</w:t>
      </w:r>
    </w:p>
    <w:p>
      <w:pPr>
        <w:spacing w:after="0" w:line="148" w:lineRule="exact"/>
        <w:rPr>
          <w:sz w:val="20"/>
          <w:szCs w:val="20"/>
          <w:color w:val="auto"/>
        </w:rPr>
      </w:pPr>
    </w:p>
    <w:p>
      <w:pPr>
        <w:ind w:left="760" w:right="9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“GAAP” </w:t>
      </w:r>
      <w:r>
        <w:rPr>
          <w:rFonts w:ascii="Times New Roman" w:cs="Times New Roman" w:eastAsia="Times New Roman" w:hAnsi="Times New Roman"/>
          <w:sz w:val="19"/>
          <w:szCs w:val="19"/>
          <w:color w:val="auto"/>
        </w:rPr>
        <w:t>means generally accepted accounting principles in effect from time to time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United States.</w:t>
      </w:r>
    </w:p>
    <w:p>
      <w:pPr>
        <w:spacing w:after="0" w:line="148" w:lineRule="exact"/>
        <w:rPr>
          <w:sz w:val="20"/>
          <w:szCs w:val="20"/>
          <w:color w:val="auto"/>
        </w:rPr>
      </w:pPr>
    </w:p>
    <w:p>
      <w:pPr>
        <w:ind w:left="760" w:right="84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“Governmental Authority” </w:t>
      </w:r>
      <w:r>
        <w:rPr>
          <w:rFonts w:ascii="Times New Roman" w:cs="Times New Roman" w:eastAsia="Times New Roman" w:hAnsi="Times New Roman"/>
          <w:sz w:val="19"/>
          <w:szCs w:val="19"/>
          <w:color w:val="auto"/>
        </w:rPr>
        <w:t>means any nation or government, any state or other political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subdivision thereof, any agency, authority, instrumentality, regulatory body, quasi-regulatory authority, administrative tribunal, central bank, public office, court, arbitration or mediation 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 (including any supra-national body exercising such powers or functions, such as the European Union or the European Central Bank).</w:t>
      </w:r>
    </w:p>
    <w:p>
      <w:pPr>
        <w:spacing w:after="0" w:line="184" w:lineRule="exact"/>
        <w:rPr>
          <w:sz w:val="20"/>
          <w:szCs w:val="20"/>
          <w:color w:val="auto"/>
        </w:rPr>
      </w:pPr>
    </w:p>
    <w:p>
      <w:pPr>
        <w:ind w:left="760" w:right="132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“Governmental Authorizations” </w:t>
      </w:r>
      <w:r>
        <w:rPr>
          <w:rFonts w:ascii="Times New Roman" w:cs="Times New Roman" w:eastAsia="Times New Roman" w:hAnsi="Times New Roman"/>
          <w:sz w:val="19"/>
          <w:szCs w:val="19"/>
          <w:color w:val="auto"/>
        </w:rPr>
        <w:t>means all franchises, permits, licenses, approvals,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consents and other authorizations of all Governmental Authorities.</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4" w:name="page125"/>
    <w:bookmarkEnd w:id="124"/>
    <w:p>
      <w:pPr>
        <w:spacing w:after="0" w:line="200" w:lineRule="exact"/>
        <w:rPr>
          <w:sz w:val="20"/>
          <w:szCs w:val="20"/>
          <w:color w:val="auto"/>
        </w:rPr>
      </w:pPr>
    </w:p>
    <w:p>
      <w:pPr>
        <w:spacing w:after="0" w:line="283" w:lineRule="exact"/>
        <w:rPr>
          <w:sz w:val="20"/>
          <w:szCs w:val="20"/>
          <w:color w:val="auto"/>
        </w:rPr>
      </w:pPr>
    </w:p>
    <w:p>
      <w:pPr>
        <w:ind w:left="760" w:right="7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“Governmental Filings” </w:t>
      </w:r>
      <w:r>
        <w:rPr>
          <w:rFonts w:ascii="Times New Roman" w:cs="Times New Roman" w:eastAsia="Times New Roman" w:hAnsi="Times New Roman"/>
          <w:sz w:val="19"/>
          <w:szCs w:val="19"/>
          <w:color w:val="auto"/>
        </w:rPr>
        <w:t>means all filings, including franchise and similar tax filings,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payment of all fees, assessments, interests and penalties associated with such filings with all Authorities.</w:t>
      </w:r>
    </w:p>
    <w:p>
      <w:pPr>
        <w:spacing w:after="0" w:line="166" w:lineRule="exact"/>
        <w:rPr>
          <w:sz w:val="20"/>
          <w:szCs w:val="20"/>
          <w:color w:val="auto"/>
        </w:rPr>
      </w:pPr>
    </w:p>
    <w:p>
      <w:pPr>
        <w:ind w:left="760" w:right="9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Haircut Collateral Loan</w:t>
      </w:r>
      <w:r>
        <w:rPr>
          <w:rFonts w:ascii="Times New Roman" w:cs="Times New Roman" w:eastAsia="Times New Roman" w:hAnsi="Times New Roman"/>
          <w:sz w:val="19"/>
          <w:szCs w:val="19"/>
          <w:color w:val="auto"/>
        </w:rPr>
        <w:t>” means, at any time without duplication, any Collateral Loan that does not satisfy clauses (bb) or (cc) of the definition of Eligible Collateral Loan.</w:t>
      </w:r>
    </w:p>
    <w:p>
      <w:pPr>
        <w:spacing w:after="0" w:line="148" w:lineRule="exact"/>
        <w:rPr>
          <w:sz w:val="20"/>
          <w:szCs w:val="20"/>
          <w:color w:val="auto"/>
        </w:rPr>
      </w:pPr>
    </w:p>
    <w:p>
      <w:pPr>
        <w:ind w:left="760" w:right="780" w:firstLine="57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Haircut Collateral Loan Balance</w:t>
      </w:r>
      <w:r>
        <w:rPr>
          <w:rFonts w:ascii="Times New Roman" w:cs="Times New Roman" w:eastAsia="Times New Roman" w:hAnsi="Times New Roman"/>
          <w:sz w:val="19"/>
          <w:szCs w:val="19"/>
          <w:color w:val="auto"/>
        </w:rPr>
        <w:t xml:space="preserve">” means, (A) for a Collateral Loan that qualifies as a Haircut Collateral Loan as a result of the failure to satisfy clause (bb) of the definition of Eligible Collateral Loan (1) for each such Haircut Collateral Loan that is a First Lien Loan, a Split First Lien Loan or a Split Lien Loan, at any time, the lesser of (a) the current Market Value of such Haircut Collateral Loan, and (b) the product of (i) the Principal Balance of such Haircut Collateral Loan and (ii) one (1)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such Haircut Collateral Loan’s Haircut Percentage, and (2) for each such Haircut Collateral Loan that is a Second Lien Loan, at any time, the lesser of (a) the current Market Value of such Haircut Collateral Loan, and (b) the product of (i) the Principal Balance of such Haircut Collateral Loan and (ii) one (1)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(x) if such Haircut Collateral Loan qualifies for a Level 1 Haircut Percentage, a Level 2 Haircut Percentage or Level 3 Haircut Percentage, 50.0% and (y) if such Haircut Collateral Loan qualifies for a Level 4 Haircut Percentage, 70.0%, and (B) for a Collateral Loan that qualifies as a Haircut Collateral Loan as a result of the failure to satisfy clause (cc) of the definition of Eligible Collateral Loan, the lesser of (a) the current Market Value of such Haircut Collateral Loan, and (b) the product of (i) the Principal Balance of such Haircut Collateral Loan and (ii) such Haircut Collateral Loan’s Recovery Rate; provided, that if a Collateral Loan fails to satisfy both clause (bb) and clause (cc) of the definition of Eligible Collateral Loan, the Haircut Collateral Loan Balance shall be determined in accordance with clause (B) above.</w:t>
      </w:r>
    </w:p>
    <w:p>
      <w:pPr>
        <w:spacing w:after="0" w:line="192" w:lineRule="exact"/>
        <w:rPr>
          <w:sz w:val="20"/>
          <w:szCs w:val="20"/>
          <w:color w:val="auto"/>
        </w:rPr>
      </w:pPr>
    </w:p>
    <w:p>
      <w:pPr>
        <w:jc w:val="both"/>
        <w:ind w:left="760" w:right="11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“Haircut Percentage” </w:t>
      </w:r>
      <w:r>
        <w:rPr>
          <w:rFonts w:ascii="Times New Roman" w:cs="Times New Roman" w:eastAsia="Times New Roman" w:hAnsi="Times New Roman"/>
          <w:sz w:val="19"/>
          <w:szCs w:val="19"/>
          <w:color w:val="auto"/>
        </w:rPr>
        <w:t>mean, with respect to each Haircut Collateral Loan, a Level 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Haircut Percentage, a Level 2 Haircut Percentage, a Level 3 Haircut Percentage or a Level 4 Haircut Percentage, in each case, as determined in accordance with such definitions.</w:t>
      </w:r>
    </w:p>
    <w:p>
      <w:pPr>
        <w:spacing w:after="0" w:line="166" w:lineRule="exact"/>
        <w:rPr>
          <w:sz w:val="20"/>
          <w:szCs w:val="20"/>
          <w:color w:val="auto"/>
        </w:rPr>
      </w:pPr>
    </w:p>
    <w:p>
      <w:pPr>
        <w:ind w:left="760" w:right="800" w:firstLine="576"/>
        <w:spacing w:after="0" w:line="231" w:lineRule="exact"/>
        <w:rPr>
          <w:sz w:val="20"/>
          <w:szCs w:val="20"/>
          <w:color w:val="auto"/>
        </w:rPr>
      </w:pPr>
      <w:r>
        <w:rPr>
          <w:rFonts w:ascii="Times New Roman" w:cs="Times New Roman" w:eastAsia="Times New Roman" w:hAnsi="Times New Roman"/>
          <w:sz w:val="19"/>
          <w:szCs w:val="19"/>
          <w:i w:val="1"/>
          <w:iCs w:val="1"/>
          <w:color w:val="auto"/>
        </w:rPr>
        <w:t xml:space="preserve">“Hedge Counterparty” </w:t>
      </w:r>
      <w:r>
        <w:rPr>
          <w:rFonts w:ascii="Times New Roman" w:cs="Times New Roman" w:eastAsia="Times New Roman" w:hAnsi="Times New Roman"/>
          <w:sz w:val="19"/>
          <w:szCs w:val="19"/>
          <w:color w:val="auto"/>
        </w:rPr>
        <w:t>means (1) Truist Bank or (2) any other entity that (a) on the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entering into any hedge transaction with the Borrower (i) is an interest rate swap dealer that has been approved in writing by the Administrative Agent and (ii) has a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unsecured debt rating of not less than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by S&amp;P and not less than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1” by Moody’s, and (b) in a hedging agreement (i) consents to the assignment of the Borrower’s rights under the hedging agreement to the Collateral Agent and (ii) agrees that in the event that Moody’s or S&amp;P reduces its short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unsecured debt rating below the ratings set forth above, it shall, at its own expense, transfer its rights and obligations under each hedging transaction to another entity that meets the requirements of clauses (a) and (b) hereof or collateralize its exposure under each hedging transaction.</w:t>
      </w:r>
    </w:p>
    <w:p>
      <w:pPr>
        <w:spacing w:after="0" w:line="1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“Indemnified Party” </w:t>
      </w:r>
      <w:r>
        <w:rPr>
          <w:rFonts w:ascii="Times New Roman" w:cs="Times New Roman" w:eastAsia="Times New Roman" w:hAnsi="Times New Roman"/>
          <w:sz w:val="19"/>
          <w:szCs w:val="19"/>
          <w:color w:val="auto"/>
        </w:rPr>
        <w:t>has the meaning assigned to such term in Section 12.04(b).</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“Independent Accountants” </w:t>
      </w:r>
      <w:r>
        <w:rPr>
          <w:rFonts w:ascii="Times New Roman" w:cs="Times New Roman" w:eastAsia="Times New Roman" w:hAnsi="Times New Roman"/>
          <w:sz w:val="19"/>
          <w:szCs w:val="19"/>
          <w:color w:val="auto"/>
        </w:rPr>
        <w:t>has the meaning assigned to such term in Section 8.08.</w:t>
      </w:r>
    </w:p>
    <w:p>
      <w:pPr>
        <w:spacing w:after="0" w:line="226" w:lineRule="exact"/>
        <w:rPr>
          <w:sz w:val="20"/>
          <w:szCs w:val="20"/>
          <w:color w:val="auto"/>
        </w:rPr>
      </w:pPr>
    </w:p>
    <w:p>
      <w:pPr>
        <w:ind w:left="760" w:right="76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“Ineligible Collateral Loan” </w:t>
      </w:r>
      <w:r>
        <w:rPr>
          <w:rFonts w:ascii="Times New Roman" w:cs="Times New Roman" w:eastAsia="Times New Roman" w:hAnsi="Times New Roman"/>
          <w:sz w:val="19"/>
          <w:szCs w:val="19"/>
          <w:color w:val="auto"/>
        </w:rPr>
        <w:t>means, at any time, a Collateral Loan or any portion thereof,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fails to satisfy any criteria of the definition of Eligible Collateral Loan as of any date when</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5" w:name="page126"/>
    <w:bookmarkEnd w:id="125"/>
    <w:p>
      <w:pPr>
        <w:spacing w:after="0" w:line="200" w:lineRule="exact"/>
        <w:rPr>
          <w:sz w:val="20"/>
          <w:szCs w:val="20"/>
          <w:color w:val="auto"/>
        </w:rPr>
      </w:pPr>
    </w:p>
    <w:p>
      <w:pPr>
        <w:spacing w:after="0" w:line="285" w:lineRule="exact"/>
        <w:rPr>
          <w:sz w:val="20"/>
          <w:szCs w:val="20"/>
          <w:color w:val="auto"/>
        </w:rPr>
      </w:pPr>
    </w:p>
    <w:p>
      <w:pPr>
        <w:ind w:left="760" w:right="840"/>
        <w:spacing w:after="0" w:line="268" w:lineRule="auto"/>
        <w:rPr>
          <w:sz w:val="20"/>
          <w:szCs w:val="20"/>
          <w:color w:val="auto"/>
        </w:rPr>
      </w:pPr>
      <w:r>
        <w:rPr>
          <w:rFonts w:ascii="Times New Roman" w:cs="Times New Roman" w:eastAsia="Times New Roman" w:hAnsi="Times New Roman"/>
          <w:sz w:val="19"/>
          <w:szCs w:val="19"/>
          <w:color w:val="auto"/>
        </w:rPr>
        <w:t>such criteria are applicable thereto; it being understood that such criteria in the definition of Eligible Collateral Loan that are specified to be applicable only as of the date of acquisition of such Collateral Loan shall not be applicable after the date of acquisition of such Collateral Loan.</w:t>
      </w:r>
    </w:p>
    <w:p>
      <w:pPr>
        <w:spacing w:after="0" w:line="166" w:lineRule="exact"/>
        <w:rPr>
          <w:sz w:val="20"/>
          <w:szCs w:val="20"/>
          <w:color w:val="auto"/>
        </w:rPr>
      </w:pPr>
    </w:p>
    <w:p>
      <w:pPr>
        <w:ind w:left="760" w:right="820" w:firstLine="576"/>
        <w:spacing w:after="0" w:line="232" w:lineRule="exact"/>
        <w:rPr>
          <w:sz w:val="20"/>
          <w:szCs w:val="20"/>
          <w:color w:val="auto"/>
        </w:rPr>
      </w:pPr>
      <w:r>
        <w:rPr>
          <w:rFonts w:ascii="Times New Roman" w:cs="Times New Roman" w:eastAsia="Times New Roman" w:hAnsi="Times New Roman"/>
          <w:sz w:val="19"/>
          <w:szCs w:val="19"/>
          <w:i w:val="1"/>
          <w:iCs w:val="1"/>
          <w:color w:val="auto"/>
        </w:rPr>
        <w:t xml:space="preserve">“Insolvency Event” </w:t>
      </w:r>
      <w:r>
        <w:rPr>
          <w:rFonts w:ascii="Times New Roman" w:cs="Times New Roman" w:eastAsia="Times New Roman" w:hAnsi="Times New Roman"/>
          <w:sz w:val="19"/>
          <w:szCs w:val="19"/>
          <w:color w:val="auto"/>
        </w:rPr>
        <w:t>means with respect to a specified Person, (a) the filing of a decree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order for relief by a court having jurisdiction in 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up or liquidation of such Person’s affairs, and such decree or order shall remain unstayed and in effect for a period of sixty (60) consecutive days; or</w:t>
      </w:r>
    </w:p>
    <w:p>
      <w:pPr>
        <w:spacing w:after="0" w:line="2" w:lineRule="exact"/>
        <w:rPr>
          <w:sz w:val="20"/>
          <w:szCs w:val="20"/>
          <w:color w:val="auto"/>
        </w:rPr>
      </w:pPr>
    </w:p>
    <w:p>
      <w:pPr>
        <w:ind w:left="760" w:right="780" w:firstLine="2"/>
        <w:spacing w:after="0" w:line="252" w:lineRule="auto"/>
        <w:tabs>
          <w:tab w:leader="none" w:pos="1032"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64" w:lineRule="exact"/>
        <w:rPr>
          <w:sz w:val="20"/>
          <w:szCs w:val="20"/>
          <w:color w:val="auto"/>
        </w:rPr>
      </w:pPr>
    </w:p>
    <w:p>
      <w:pPr>
        <w:ind w:left="1340"/>
        <w:spacing w:after="0" w:line="219" w:lineRule="exact"/>
        <w:rPr>
          <w:sz w:val="20"/>
          <w:szCs w:val="20"/>
          <w:color w:val="auto"/>
        </w:rPr>
      </w:pPr>
      <w:r>
        <w:rPr>
          <w:rFonts w:ascii="Times New Roman" w:cs="Times New Roman" w:eastAsia="Times New Roman" w:hAnsi="Times New Roman"/>
          <w:sz w:val="19"/>
          <w:szCs w:val="19"/>
          <w:i w:val="1"/>
          <w:iCs w:val="1"/>
          <w:color w:val="auto"/>
        </w:rPr>
        <w:t xml:space="preserve">“Instrument” </w:t>
      </w:r>
      <w:r>
        <w:rPr>
          <w:rFonts w:ascii="Times New Roman" w:cs="Times New Roman" w:eastAsia="Times New Roman" w:hAnsi="Times New Roman"/>
          <w:sz w:val="19"/>
          <w:szCs w:val="19"/>
          <w:color w:val="auto"/>
        </w:rPr>
        <w:t>has the meaning specified in Section 9</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102(a)(47) of the UCC.</w:t>
      </w:r>
    </w:p>
    <w:p>
      <w:pPr>
        <w:spacing w:after="0" w:line="243" w:lineRule="exact"/>
        <w:rPr>
          <w:sz w:val="20"/>
          <w:szCs w:val="20"/>
          <w:color w:val="auto"/>
        </w:rPr>
      </w:pPr>
    </w:p>
    <w:p>
      <w:pPr>
        <w:ind w:left="760" w:right="90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“Interest” </w:t>
      </w:r>
      <w:r>
        <w:rPr>
          <w:rFonts w:ascii="Times New Roman" w:cs="Times New Roman" w:eastAsia="Times New Roman" w:hAnsi="Times New Roman"/>
          <w:sz w:val="19"/>
          <w:szCs w:val="19"/>
          <w:color w:val="auto"/>
        </w:rPr>
        <w:t>means, for each day during an Interest Accrual Period and each Advance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by a Lender on such day, the sum of the products (for each day during such Interest Accrual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99695</wp:posOffset>
            </wp:positionV>
            <wp:extent cx="586740" cy="3276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586740" cy="32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where:</w:t>
      </w:r>
    </w:p>
    <w:p>
      <w:pPr>
        <w:spacing w:after="0" w:line="22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IR = the Interest Rate for such Advance on such day;</w:t>
      </w:r>
    </w:p>
    <w:p>
      <w:pPr>
        <w:spacing w:after="0" w:line="22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P = the principal amount of such Advance on such day; and</w:t>
      </w:r>
    </w:p>
    <w:p>
      <w:pPr>
        <w:spacing w:after="0" w:line="226" w:lineRule="exact"/>
        <w:rPr>
          <w:sz w:val="20"/>
          <w:szCs w:val="20"/>
          <w:color w:val="auto"/>
        </w:rPr>
      </w:pPr>
    </w:p>
    <w:p>
      <w:pPr>
        <w:ind w:left="2920" w:right="760" w:hanging="1007"/>
        <w:spacing w:after="0" w:line="268" w:lineRule="auto"/>
        <w:rPr>
          <w:sz w:val="20"/>
          <w:szCs w:val="20"/>
          <w:color w:val="auto"/>
        </w:rPr>
      </w:pPr>
      <w:r>
        <w:rPr>
          <w:rFonts w:ascii="Times New Roman" w:cs="Times New Roman" w:eastAsia="Times New Roman" w:hAnsi="Times New Roman"/>
          <w:sz w:val="19"/>
          <w:szCs w:val="19"/>
          <w:color w:val="auto"/>
        </w:rPr>
        <w:t>D = 360 or, to the extent the Interest Rate is based on the Prime Rate or Multicurrency Advances denominated in Pounds Sterling, 365 or 366 days, as applicable.</w:t>
      </w:r>
    </w:p>
    <w:p>
      <w:pPr>
        <w:spacing w:after="0" w:line="166" w:lineRule="exact"/>
        <w:rPr>
          <w:sz w:val="20"/>
          <w:szCs w:val="20"/>
          <w:color w:val="auto"/>
        </w:rPr>
      </w:pPr>
    </w:p>
    <w:p>
      <w:pPr>
        <w:ind w:left="760" w:right="76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“Interest Accrual Period” </w:t>
      </w:r>
      <w:r>
        <w:rPr>
          <w:rFonts w:ascii="Times New Roman" w:cs="Times New Roman" w:eastAsia="Times New Roman" w:hAnsi="Times New Roman"/>
          <w:sz w:val="19"/>
          <w:szCs w:val="19"/>
          <w:color w:val="auto"/>
        </w:rPr>
        <w:t>means, with respect to each Advance (or portion thereof)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with respect to the first Payment Date for such Advance (or portion thereof), the period from and including the Closing Date to and including the last day of the calendar month preceding the first Payment Date and (b) with respect to any subsequent Payment Date for such Advance (or portion thereof), the period commencing on the first day of the calendar month in which the preceding Payment Date occurred and ending on the last day of the calendar month immediately preceding the month in which the Payment Date occurs;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final Interest Accrual Period for</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6" w:name="page127"/>
    <w:bookmarkEnd w:id="126"/>
    <w:p>
      <w:pPr>
        <w:spacing w:after="0" w:line="200" w:lineRule="exact"/>
        <w:rPr>
          <w:sz w:val="20"/>
          <w:szCs w:val="20"/>
          <w:color w:val="auto"/>
        </w:rPr>
      </w:pPr>
    </w:p>
    <w:p>
      <w:pPr>
        <w:spacing w:after="0" w:line="285" w:lineRule="exact"/>
        <w:rPr>
          <w:sz w:val="20"/>
          <w:szCs w:val="20"/>
          <w:color w:val="auto"/>
        </w:rPr>
      </w:pPr>
    </w:p>
    <w:p>
      <w:pPr>
        <w:ind w:left="760" w:right="860"/>
        <w:spacing w:after="0" w:line="286" w:lineRule="auto"/>
        <w:rPr>
          <w:sz w:val="20"/>
          <w:szCs w:val="20"/>
          <w:color w:val="auto"/>
        </w:rPr>
      </w:pPr>
      <w:r>
        <w:rPr>
          <w:rFonts w:ascii="Times New Roman" w:cs="Times New Roman" w:eastAsia="Times New Roman" w:hAnsi="Times New Roman"/>
          <w:sz w:val="19"/>
          <w:szCs w:val="19"/>
          <w:color w:val="auto"/>
        </w:rPr>
        <w:t>all outstanding Advances hereunder shall end on and include the day prior to the payment in full of the Advances hereunder.</w:t>
      </w:r>
    </w:p>
    <w:p>
      <w:pPr>
        <w:spacing w:after="0" w:line="1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“Interest Collection Subaccount” </w:t>
      </w:r>
      <w:r>
        <w:rPr>
          <w:rFonts w:ascii="Times New Roman" w:cs="Times New Roman" w:eastAsia="Times New Roman" w:hAnsi="Times New Roman"/>
          <w:sz w:val="19"/>
          <w:szCs w:val="19"/>
          <w:color w:val="auto"/>
        </w:rPr>
        <w:t>has the meaning specified in Section 8.02(a).</w:t>
      </w:r>
    </w:p>
    <w:p>
      <w:pPr>
        <w:spacing w:after="0" w:line="226" w:lineRule="exact"/>
        <w:rPr>
          <w:sz w:val="20"/>
          <w:szCs w:val="20"/>
          <w:color w:val="auto"/>
        </w:rPr>
      </w:pPr>
    </w:p>
    <w:p>
      <w:pPr>
        <w:ind w:left="760" w:right="9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“Interest Coverage Ratio” </w:t>
      </w:r>
      <w:r>
        <w:rPr>
          <w:rFonts w:ascii="Times New Roman" w:cs="Times New Roman" w:eastAsia="Times New Roman" w:hAnsi="Times New Roman"/>
          <w:sz w:val="19"/>
          <w:szCs w:val="19"/>
          <w:color w:val="auto"/>
        </w:rPr>
        <w:t>means, on any Determination Date as of the end of the most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recent Collection Period, the percentage equal to:</w:t>
      </w:r>
    </w:p>
    <w:p>
      <w:pPr>
        <w:spacing w:after="0" w:line="150" w:lineRule="exact"/>
        <w:rPr>
          <w:sz w:val="20"/>
          <w:szCs w:val="20"/>
          <w:color w:val="auto"/>
        </w:rPr>
      </w:pPr>
    </w:p>
    <w:p>
      <w:pPr>
        <w:ind w:left="1340" w:right="920" w:firstLine="47"/>
        <w:spacing w:after="0" w:line="286" w:lineRule="auto"/>
        <w:tabs>
          <w:tab w:leader="none" w:pos="164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Dollar Equivalent of the aggregate Collateral Interest Amount for the three most recent Collection Periods then ended; </w:t>
      </w:r>
      <w:r>
        <w:rPr>
          <w:rFonts w:ascii="Times New Roman" w:cs="Times New Roman" w:eastAsia="Times New Roman" w:hAnsi="Times New Roman"/>
          <w:sz w:val="19"/>
          <w:szCs w:val="19"/>
          <w:i w:val="1"/>
          <w:iCs w:val="1"/>
          <w:color w:val="auto"/>
        </w:rPr>
        <w:t>divided by</w:t>
      </w:r>
    </w:p>
    <w:p>
      <w:pPr>
        <w:spacing w:after="0" w:line="151" w:lineRule="exact"/>
        <w:rPr>
          <w:rFonts w:ascii="Times New Roman" w:cs="Times New Roman" w:eastAsia="Times New Roman" w:hAnsi="Times New Roman"/>
          <w:sz w:val="19"/>
          <w:szCs w:val="19"/>
          <w:color w:val="auto"/>
        </w:rPr>
      </w:pPr>
    </w:p>
    <w:p>
      <w:pPr>
        <w:ind w:left="1340" w:right="920" w:firstLine="47"/>
        <w:spacing w:after="0" w:line="268" w:lineRule="auto"/>
        <w:tabs>
          <w:tab w:leader="none" w:pos="166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Dollar Equivalent of the sum of all amounts payable under Section 9.01(a)(i)(A) through (E) on the related Payment Date for each of the three most recent Collection Periods then ended.</w:t>
      </w:r>
    </w:p>
    <w:p>
      <w:pPr>
        <w:spacing w:after="0" w:line="166" w:lineRule="exact"/>
        <w:rPr>
          <w:sz w:val="20"/>
          <w:szCs w:val="20"/>
          <w:color w:val="auto"/>
        </w:rPr>
      </w:pPr>
    </w:p>
    <w:p>
      <w:pPr>
        <w:ind w:left="760" w:right="86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Interest Coverage Ratio Test</w:t>
      </w:r>
      <w:r>
        <w:rPr>
          <w:rFonts w:ascii="Times New Roman" w:cs="Times New Roman" w:eastAsia="Times New Roman" w:hAnsi="Times New Roman"/>
          <w:sz w:val="19"/>
          <w:szCs w:val="19"/>
          <w:color w:val="auto"/>
        </w:rPr>
        <w:t>” means a test that is satisfied at any such time if the Interest Coverage Ratio as calculated on the most recent Determination Date as of the end of the most recent Collection Period was greater than or equal to 125%.</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“Interest Proceeds” </w:t>
      </w:r>
      <w:r>
        <w:rPr>
          <w:rFonts w:ascii="Times New Roman" w:cs="Times New Roman" w:eastAsia="Times New Roman" w:hAnsi="Times New Roman"/>
          <w:sz w:val="19"/>
          <w:szCs w:val="19"/>
          <w:color w:val="auto"/>
        </w:rPr>
        <w:t>means, with respect to any Collection Period or the related</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Determination Date, without duplication, the sum of:</w:t>
      </w:r>
    </w:p>
    <w:p>
      <w:pPr>
        <w:spacing w:after="0" w:line="204" w:lineRule="exact"/>
        <w:rPr>
          <w:sz w:val="20"/>
          <w:szCs w:val="20"/>
          <w:color w:val="auto"/>
        </w:rPr>
      </w:pPr>
    </w:p>
    <w:p>
      <w:pPr>
        <w:ind w:left="1340" w:right="1220" w:firstLine="47"/>
        <w:spacing w:after="0" w:line="262" w:lineRule="auto"/>
        <w:tabs>
          <w:tab w:leader="none" w:pos="164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of interest and other income received by the Borrower during such Collection Period on the Collateral Loans (including Ineligible Collateral Loans), including the accrued interest received in connection with a sale thereof during such Collection Period;</w:t>
      </w:r>
    </w:p>
    <w:p>
      <w:pPr>
        <w:spacing w:after="0" w:line="174" w:lineRule="exact"/>
        <w:rPr>
          <w:rFonts w:ascii="Times New Roman" w:cs="Times New Roman" w:eastAsia="Times New Roman" w:hAnsi="Times New Roman"/>
          <w:sz w:val="19"/>
          <w:szCs w:val="19"/>
          <w:color w:val="auto"/>
        </w:rPr>
      </w:pPr>
    </w:p>
    <w:p>
      <w:pPr>
        <w:ind w:left="1340" w:right="920" w:firstLine="47"/>
        <w:spacing w:after="0" w:line="262" w:lineRule="auto"/>
        <w:tabs>
          <w:tab w:leader="none" w:pos="166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w:t>
      </w:r>
    </w:p>
    <w:p>
      <w:pPr>
        <w:spacing w:after="0" w:line="174" w:lineRule="exact"/>
        <w:rPr>
          <w:rFonts w:ascii="Times New Roman" w:cs="Times New Roman" w:eastAsia="Times New Roman" w:hAnsi="Times New Roman"/>
          <w:sz w:val="19"/>
          <w:szCs w:val="19"/>
          <w:color w:val="auto"/>
        </w:rPr>
      </w:pPr>
    </w:p>
    <w:p>
      <w:pPr>
        <w:ind w:left="1340" w:right="800" w:firstLine="47"/>
        <w:spacing w:after="0" w:line="259" w:lineRule="auto"/>
        <w:tabs>
          <w:tab w:leader="none" w:pos="164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amendment and waiver fees, late payment fees (including compensation for delayed settlement or trades), and all protection fees and other fees and commissions received by the Borrower during such Collection Period, unless the Collateral Manager notifies the Agents before such Determination Date that the Collateral Manager in its sole discretion has determined that such payments are to be treated as Principal Proceeds; and</w:t>
      </w:r>
    </w:p>
    <w:p>
      <w:pPr>
        <w:spacing w:after="0" w:line="177" w:lineRule="exact"/>
        <w:rPr>
          <w:rFonts w:ascii="Times New Roman" w:cs="Times New Roman" w:eastAsia="Times New Roman" w:hAnsi="Times New Roman"/>
          <w:sz w:val="19"/>
          <w:szCs w:val="19"/>
          <w:color w:val="auto"/>
        </w:rPr>
      </w:pPr>
    </w:p>
    <w:p>
      <w:pPr>
        <w:jc w:val="both"/>
        <w:ind w:left="1340" w:right="1000" w:firstLine="47"/>
        <w:spacing w:after="0" w:line="262" w:lineRule="auto"/>
        <w:tabs>
          <w:tab w:leader="none" w:pos="166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commitment fees, facility fees, anniversary fees, ticking fees and other similar fees received by the Borrower during such Collection Period unless the Collateral Manager</w:t>
      </w:r>
    </w:p>
    <w:p>
      <w:pPr>
        <w:spacing w:after="0" w:line="1" w:lineRule="exact"/>
        <w:rPr>
          <w:sz w:val="20"/>
          <w:szCs w:val="20"/>
          <w:color w:val="auto"/>
        </w:rPr>
      </w:pPr>
    </w:p>
    <w:p>
      <w:pPr>
        <w:ind w:left="1340" w:right="800"/>
        <w:spacing w:after="0" w:line="246" w:lineRule="auto"/>
        <w:rPr>
          <w:sz w:val="20"/>
          <w:szCs w:val="20"/>
          <w:color w:val="auto"/>
        </w:rPr>
      </w:pPr>
      <w:r>
        <w:rPr>
          <w:rFonts w:ascii="Times New Roman" w:cs="Times New Roman" w:eastAsia="Times New Roman" w:hAnsi="Times New Roman"/>
          <w:sz w:val="19"/>
          <w:szCs w:val="19"/>
          <w:color w:val="auto"/>
        </w:rPr>
        <w:t>notifies the Agents before such Determination Date that the Collateral Manager in its sole discretion has determined that such payments are to be treated as Principal Proceeds;</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7" w:name="page128"/>
    <w:bookmarkEnd w:id="127"/>
    <w:p>
      <w:pPr>
        <w:spacing w:after="0" w:line="200" w:lineRule="exact"/>
        <w:rPr>
          <w:sz w:val="20"/>
          <w:szCs w:val="20"/>
          <w:color w:val="auto"/>
        </w:rPr>
      </w:pPr>
    </w:p>
    <w:p>
      <w:pPr>
        <w:spacing w:after="0" w:line="28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w:t>
      </w:r>
    </w:p>
    <w:p>
      <w:pPr>
        <w:spacing w:after="0" w:line="228" w:lineRule="exact"/>
        <w:rPr>
          <w:sz w:val="20"/>
          <w:szCs w:val="20"/>
          <w:color w:val="auto"/>
        </w:rPr>
      </w:pPr>
    </w:p>
    <w:p>
      <w:pPr>
        <w:ind w:left="1340" w:right="920" w:firstLine="47"/>
        <w:spacing w:after="0" w:line="256" w:lineRule="auto"/>
        <w:tabs>
          <w:tab w:leader="none" w:pos="166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outstanding principal balance of such Defaulted Collateral Loan at the time as of which it became a Defaulted Collateral Loan and all amounts received in excess thereof will constitute Interest Proceeds;</w:t>
      </w:r>
    </w:p>
    <w:p>
      <w:pPr>
        <w:spacing w:after="0" w:line="181" w:lineRule="exact"/>
        <w:rPr>
          <w:rFonts w:ascii="Times New Roman" w:cs="Times New Roman" w:eastAsia="Times New Roman" w:hAnsi="Times New Roman"/>
          <w:sz w:val="19"/>
          <w:szCs w:val="19"/>
          <w:color w:val="auto"/>
        </w:rPr>
      </w:pPr>
    </w:p>
    <w:p>
      <w:pPr>
        <w:ind w:left="1340" w:right="1440" w:firstLine="47"/>
        <w:spacing w:after="0" w:line="286" w:lineRule="auto"/>
        <w:tabs>
          <w:tab w:leader="none" w:pos="166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received in respect of Equity Securities will constitute Principal Proceeds; and</w:t>
      </w:r>
    </w:p>
    <w:p>
      <w:pPr>
        <w:spacing w:after="0" w:line="151" w:lineRule="exact"/>
        <w:rPr>
          <w:rFonts w:ascii="Times New Roman" w:cs="Times New Roman" w:eastAsia="Times New Roman" w:hAnsi="Times New Roman"/>
          <w:sz w:val="19"/>
          <w:szCs w:val="19"/>
          <w:color w:val="auto"/>
        </w:rPr>
      </w:pPr>
    </w:p>
    <w:p>
      <w:pPr>
        <w:ind w:left="1340" w:right="1220" w:firstLine="47"/>
        <w:spacing w:after="0" w:line="286" w:lineRule="auto"/>
        <w:tabs>
          <w:tab w:leader="none" w:pos="166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Cash received as equity contributions from the BDC will constitute Principal Proceeds unless specified by the Collateral Manager pursuant to Section 10.05.</w:t>
      </w:r>
    </w:p>
    <w:p>
      <w:pPr>
        <w:spacing w:after="0" w:line="149" w:lineRule="exact"/>
        <w:rPr>
          <w:sz w:val="20"/>
          <w:szCs w:val="20"/>
          <w:color w:val="auto"/>
        </w:rPr>
      </w:pPr>
    </w:p>
    <w:p>
      <w:pPr>
        <w:ind w:left="760" w:right="8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“Interest Rate” </w:t>
      </w:r>
      <w:r>
        <w:rPr>
          <w:rFonts w:ascii="Times New Roman" w:cs="Times New Roman" w:eastAsia="Times New Roman" w:hAnsi="Times New Roman"/>
          <w:sz w:val="19"/>
          <w:szCs w:val="19"/>
          <w:color w:val="auto"/>
        </w:rPr>
        <w:t>means, for any Interest Accrual Period and for each Advance outstanding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by a Lender for each day during such Interest Accrual Period:</w:t>
      </w:r>
    </w:p>
    <w:p>
      <w:pPr>
        <w:spacing w:after="0" w:line="150" w:lineRule="exact"/>
        <w:rPr>
          <w:sz w:val="20"/>
          <w:szCs w:val="20"/>
          <w:color w:val="auto"/>
        </w:rPr>
      </w:pPr>
    </w:p>
    <w:p>
      <w:pPr>
        <w:jc w:val="both"/>
        <w:ind w:left="1340" w:right="920" w:firstLine="47"/>
        <w:spacing w:after="0" w:line="259" w:lineRule="auto"/>
        <w:tabs>
          <w:tab w:leader="none" w:pos="164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for Advances constituting Term Benchmark Borrowings denominated in Dollars, Canadian Dollars, Euros and Australian Dollars, a rate per annum equal to the Adjusted Term Benchmark Rate for such Borrowing, and (ii) for Advances constituting RFR Borrowings, a rate per annum equal to the Daily Simple RFR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in each case, the Applicable Margin; and</w:t>
      </w:r>
    </w:p>
    <w:p>
      <w:pPr>
        <w:spacing w:after="0" w:line="175" w:lineRule="exact"/>
        <w:rPr>
          <w:rFonts w:ascii="Times New Roman" w:cs="Times New Roman" w:eastAsia="Times New Roman" w:hAnsi="Times New Roman"/>
          <w:sz w:val="19"/>
          <w:szCs w:val="19"/>
          <w:color w:val="auto"/>
        </w:rPr>
      </w:pPr>
    </w:p>
    <w:p>
      <w:pPr>
        <w:ind w:left="1340" w:right="1400" w:firstLine="47"/>
        <w:spacing w:after="0" w:line="288" w:lineRule="auto"/>
        <w:tabs>
          <w:tab w:leader="none" w:pos="166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Swingline Advance, a rate equal to the Base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Margin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1.00% per annum.</w:t>
      </w:r>
    </w:p>
    <w:p>
      <w:pPr>
        <w:spacing w:after="0" w:line="148" w:lineRule="exact"/>
        <w:rPr>
          <w:sz w:val="20"/>
          <w:szCs w:val="20"/>
          <w:color w:val="auto"/>
        </w:rPr>
      </w:pPr>
    </w:p>
    <w:p>
      <w:pPr>
        <w:jc w:val="both"/>
        <w:ind w:left="760" w:right="94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“Interim Order” </w:t>
      </w:r>
      <w:r>
        <w:rPr>
          <w:rFonts w:ascii="Times New Roman" w:cs="Times New Roman" w:eastAsia="Times New Roman" w:hAnsi="Times New Roman"/>
          <w:sz w:val="19"/>
          <w:szCs w:val="19"/>
          <w:color w:val="auto"/>
        </w:rPr>
        <w:t>means an order, judgment, decree or ruling entered after notice and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hearing conducted in accordance with Bankruptcy Rule 4001(c) granting interim authorization, the operation or effect of which has not been stayed, reversed or amended.</w:t>
      </w:r>
    </w:p>
    <w:p>
      <w:pPr>
        <w:spacing w:after="0" w:line="166" w:lineRule="exact"/>
        <w:rPr>
          <w:sz w:val="20"/>
          <w:szCs w:val="20"/>
          <w:color w:val="auto"/>
        </w:rPr>
      </w:pPr>
    </w:p>
    <w:p>
      <w:pPr>
        <w:ind w:left="760" w:right="10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“Investment Company Act” </w:t>
      </w:r>
      <w:r>
        <w:rPr>
          <w:rFonts w:ascii="Times New Roman" w:cs="Times New Roman" w:eastAsia="Times New Roman" w:hAnsi="Times New Roman"/>
          <w:sz w:val="19"/>
          <w:szCs w:val="19"/>
          <w:color w:val="auto"/>
        </w:rPr>
        <w:t>means the Investment Company Act of 1940, as amended,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rules and regulations promulgated thereunder.</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“Investment Criteria” </w:t>
      </w:r>
      <w:r>
        <w:rPr>
          <w:rFonts w:ascii="Times New Roman" w:cs="Times New Roman" w:eastAsia="Times New Roman" w:hAnsi="Times New Roman"/>
          <w:sz w:val="19"/>
          <w:szCs w:val="19"/>
          <w:color w:val="auto"/>
        </w:rPr>
        <w:t>means the criteria specified in Section 10.02(a).</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“IRS” </w:t>
      </w:r>
      <w:r>
        <w:rPr>
          <w:rFonts w:ascii="Times New Roman" w:cs="Times New Roman" w:eastAsia="Times New Roman" w:hAnsi="Times New Roman"/>
          <w:sz w:val="19"/>
          <w:szCs w:val="19"/>
          <w:color w:val="auto"/>
        </w:rPr>
        <w:t>means the U.S. Internal Revenue Service.</w:t>
      </w:r>
    </w:p>
    <w:p>
      <w:pPr>
        <w:spacing w:after="0" w:line="226" w:lineRule="exact"/>
        <w:rPr>
          <w:sz w:val="20"/>
          <w:szCs w:val="20"/>
          <w:color w:val="auto"/>
        </w:rPr>
      </w:pPr>
    </w:p>
    <w:p>
      <w:pPr>
        <w:ind w:left="760" w:right="88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“Law” </w:t>
      </w:r>
      <w:r>
        <w:rPr>
          <w:rFonts w:ascii="Times New Roman" w:cs="Times New Roman" w:eastAsia="Times New Roman" w:hAnsi="Times New Roman"/>
          <w:sz w:val="19"/>
          <w:szCs w:val="19"/>
          <w:color w:val="auto"/>
        </w:rPr>
        <w:t>means any action, code, consent decree, constitution, decree, directive,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enactment, finding, guideline, law, injunction, interpretation, judgment, order, ordinance, policy statement, proclamation, promulgation, regulation, requirement, rule, rule of law, rule of public policy, settlement agreement, statute, or writ, of any Governmental Authority, or any particular section, part or provision thereof.</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8" w:name="page129"/>
    <w:bookmarkEnd w:id="128"/>
    <w:p>
      <w:pPr>
        <w:spacing w:after="0" w:line="200" w:lineRule="exact"/>
        <w:rPr>
          <w:sz w:val="20"/>
          <w:szCs w:val="20"/>
          <w:color w:val="auto"/>
        </w:rPr>
      </w:pPr>
    </w:p>
    <w:p>
      <w:pPr>
        <w:spacing w:after="0" w:line="283" w:lineRule="exact"/>
        <w:rPr>
          <w:sz w:val="20"/>
          <w:szCs w:val="20"/>
          <w:color w:val="auto"/>
        </w:rPr>
      </w:pPr>
    </w:p>
    <w:p>
      <w:pPr>
        <w:ind w:left="760" w:right="7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“LBO Loan” </w:t>
      </w:r>
      <w:r>
        <w:rPr>
          <w:rFonts w:ascii="Times New Roman" w:cs="Times New Roman" w:eastAsia="Times New Roman" w:hAnsi="Times New Roman"/>
          <w:sz w:val="19"/>
          <w:szCs w:val="19"/>
          <w:color w:val="auto"/>
        </w:rPr>
        <w:t>means any Collateral Loan (a) the proceeds of which are used to finance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acquisition of the Obligor by the sponsor thereof and (b) that has an Obligor with equity of less than 25% of its total capitalization at the time of such acquisition, as determined by the Collateral Manager in its commercially reasonable discretion.</w:t>
      </w:r>
    </w:p>
    <w:p>
      <w:pPr>
        <w:spacing w:after="0" w:line="171" w:lineRule="exact"/>
        <w:rPr>
          <w:sz w:val="20"/>
          <w:szCs w:val="20"/>
          <w:color w:val="auto"/>
        </w:rPr>
      </w:pPr>
    </w:p>
    <w:p>
      <w:pPr>
        <w:ind w:left="760" w:right="80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“Lender Fee Letter” </w:t>
      </w:r>
      <w:r>
        <w:rPr>
          <w:rFonts w:ascii="Times New Roman" w:cs="Times New Roman" w:eastAsia="Times New Roman" w:hAnsi="Times New Roman"/>
          <w:sz w:val="19"/>
          <w:szCs w:val="19"/>
          <w:color w:val="auto"/>
        </w:rPr>
        <w:t>means, collectively, (i) that certain Lender Fee Letter, dated as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date hereof, by and among the Lenders, the Borrower and the Administrative Agent, as the same may be amended or amended and restated from time to time, and (ii) any upfront fee letters entered into by and among any Lender and the Borrower.</w:t>
      </w:r>
    </w:p>
    <w:p>
      <w:pPr>
        <w:spacing w:after="0" w:line="171" w:lineRule="exact"/>
        <w:rPr>
          <w:sz w:val="20"/>
          <w:szCs w:val="20"/>
          <w:color w:val="auto"/>
        </w:rPr>
      </w:pPr>
    </w:p>
    <w:p>
      <w:pPr>
        <w:ind w:left="760" w:right="7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“Lenders” </w:t>
      </w:r>
      <w:r>
        <w:rPr>
          <w:rFonts w:ascii="Times New Roman" w:cs="Times New Roman" w:eastAsia="Times New Roman" w:hAnsi="Times New Roman"/>
          <w:sz w:val="19"/>
          <w:szCs w:val="19"/>
          <w:color w:val="auto"/>
        </w:rPr>
        <w:t>means the Persons listed on Schedule 1 and any other Person that shall have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become a party hereto in accordance with the terms hereof pursuant to an Assignment and Acceptance, other than any such Person that ceases to be a party hereto pursuant to an Assignment and Acceptance. Unless the context otherwise requires, the term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includes the Swingline Lender.</w:t>
      </w:r>
    </w:p>
    <w:p>
      <w:pPr>
        <w:spacing w:after="0" w:line="173" w:lineRule="exact"/>
        <w:rPr>
          <w:sz w:val="20"/>
          <w:szCs w:val="20"/>
          <w:color w:val="auto"/>
        </w:rPr>
      </w:pPr>
    </w:p>
    <w:p>
      <w:pPr>
        <w:ind w:left="760" w:right="98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“Level 1 Haircut Percentage” </w:t>
      </w:r>
      <w:r>
        <w:rPr>
          <w:rFonts w:ascii="Times New Roman" w:cs="Times New Roman" w:eastAsia="Times New Roman" w:hAnsi="Times New Roman"/>
          <w:sz w:val="19"/>
          <w:szCs w:val="19"/>
          <w:color w:val="auto"/>
        </w:rPr>
        <w:t>means, with respect to a Haircut Collateral Loan, 10.0%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shall apply to the extent that (i) the Obligor on such Haircut Collateral Loan is a Tier 1 Obligor and has (x) with respect to a Haircut Collateral Loan other than a Stretch Senior Loan,</w:t>
      </w:r>
    </w:p>
    <w:p>
      <w:pPr>
        <w:spacing w:after="0" w:line="1" w:lineRule="exact"/>
        <w:rPr>
          <w:sz w:val="20"/>
          <w:szCs w:val="20"/>
          <w:color w:val="auto"/>
        </w:rPr>
      </w:pPr>
    </w:p>
    <w:p>
      <w:pPr>
        <w:ind w:left="760" w:right="820" w:firstLine="2"/>
        <w:spacing w:after="0" w:line="251" w:lineRule="auto"/>
        <w:tabs>
          <w:tab w:leader="none" w:pos="1075"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Senior Leverage Ratio greater than 5.50x but less than or equal to 6.00x, or (B) a Total Leverage Ratio greater than 7.50x but less than or equal to 8.00x, or (y) with respect to a Stretch Senior Loan, a Total Leverage Ratio greater than 6.50x but less than or equal to 7.00x; (ii) the Obligor on such Haircut Collateral Loan is a Tier 2 Obligor and has (x) with respect to a Haircut Collateral Loan other than a Stretch Senior Loan, (A) a Senior Leverage Ratio greater than 4.75x but less than or equal to 5.25x, or (B) a Total Leverage Ratio greater than 6.50x but less than or equal to 7.00x, or (y) with respect to a Stretch Senior Loan, a Total Leverage Ratio greater than 5.75x but less than or equal to 6.25x; or (iii) the Obligor on such Haircut Collateral Loan is a Tier 3 Obligor and has (x) with respect to a Haircut Collateral Loan other than a Stretch Senior Loan, (A) a Senior Leverage Ratio greater than 4.25x but less than or equal to 4.75x, or (B) a Total Leverage Ratio greater than 5.50x but less than or equal to 6.00x, or (y) with respect to a Stretch Senior Loan, a Total Leverage Ratio greater than 5.00x but less than or equal to 5.50x.</w:t>
      </w:r>
    </w:p>
    <w:p>
      <w:pPr>
        <w:spacing w:after="0" w:line="187" w:lineRule="exact"/>
        <w:rPr>
          <w:sz w:val="20"/>
          <w:szCs w:val="20"/>
          <w:color w:val="auto"/>
        </w:rPr>
      </w:pPr>
    </w:p>
    <w:p>
      <w:pPr>
        <w:ind w:left="760" w:right="98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“Level 2 Haircut Percentage” </w:t>
      </w:r>
      <w:r>
        <w:rPr>
          <w:rFonts w:ascii="Times New Roman" w:cs="Times New Roman" w:eastAsia="Times New Roman" w:hAnsi="Times New Roman"/>
          <w:sz w:val="19"/>
          <w:szCs w:val="19"/>
          <w:color w:val="auto"/>
        </w:rPr>
        <w:t>means, with respect to a Haircut Collateral Loan, 20.0%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shall apply to the extent that (i) the Obligor on such Haircut Collateral Loan is a Tier 1 Obligor and has (x) with respect to a Haircut Collateral Loan other than a Stretch Senior Loan,</w:t>
      </w:r>
    </w:p>
    <w:p>
      <w:pPr>
        <w:spacing w:after="0" w:line="1" w:lineRule="exact"/>
        <w:rPr>
          <w:sz w:val="20"/>
          <w:szCs w:val="20"/>
          <w:color w:val="auto"/>
        </w:rPr>
      </w:pPr>
    </w:p>
    <w:p>
      <w:pPr>
        <w:ind w:left="760" w:right="820" w:firstLine="2"/>
        <w:spacing w:after="0" w:line="249" w:lineRule="auto"/>
        <w:tabs>
          <w:tab w:leader="none" w:pos="1075"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Senior Leverage Ratio greater than 6.00x but less than or equal to 6.50x, or (B) a Total Leverage Ratio greater than 8.00x but less than or equal to 8.50x, or (y) with respect to a Stretch Senior Loan, a Total Leverage Ratio greater than 7.00x but less than or equal to 7.50x; (ii) the Obligor on such Haircut Collateral Loan is a Tier 2 Obligor and has (x) with respect to a Haircut Collateral Loan other than a Stretch Senior Loan, (A) a Senior Leverage Ratio greater than 5.25x but less than or equal to 5.75x, or (B) a Total Leverage Ratio greater than 7.00x but less than or equal to 7.50x, or (y) with respect to a Stretch Senior Loan, a Total Leverage Ratio greater than 6.25x but less than or equal to 6.75x; or (iii) the Obligor on such Haircut Collateral Loan is a Tier 3 Obligor and has (x) with respect to a Haircut Collateral Loan other than a Stretch Senior Loan, (A) a Senior Leverage Ratio greater than 4.75x but less than or equal to 5.25x, or (B) a Total Leverage Ratio</w:t>
      </w:r>
    </w:p>
    <w:p>
      <w:pPr>
        <w:spacing w:after="0" w:line="8"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29" w:name="page130"/>
    <w:bookmarkEnd w:id="129"/>
    <w:p>
      <w:pPr>
        <w:spacing w:after="0" w:line="200" w:lineRule="exact"/>
        <w:rPr>
          <w:sz w:val="20"/>
          <w:szCs w:val="20"/>
          <w:color w:val="auto"/>
        </w:rPr>
      </w:pPr>
    </w:p>
    <w:p>
      <w:pPr>
        <w:spacing w:after="0" w:line="285" w:lineRule="exact"/>
        <w:rPr>
          <w:sz w:val="20"/>
          <w:szCs w:val="20"/>
          <w:color w:val="auto"/>
        </w:rPr>
      </w:pPr>
    </w:p>
    <w:p>
      <w:pPr>
        <w:ind w:left="760" w:right="900"/>
        <w:spacing w:after="0" w:line="286" w:lineRule="auto"/>
        <w:rPr>
          <w:sz w:val="20"/>
          <w:szCs w:val="20"/>
          <w:color w:val="auto"/>
        </w:rPr>
      </w:pPr>
      <w:r>
        <w:rPr>
          <w:rFonts w:ascii="Times New Roman" w:cs="Times New Roman" w:eastAsia="Times New Roman" w:hAnsi="Times New Roman"/>
          <w:sz w:val="19"/>
          <w:szCs w:val="19"/>
          <w:color w:val="auto"/>
        </w:rPr>
        <w:t>greater than 6.00x but less than or equal to 6.50x, or (y) with respect to a Stretch Senior Loan, a Total Leverage Ratio greater than 5.50x but less than or equal to 6.00x.</w:t>
      </w:r>
    </w:p>
    <w:p>
      <w:pPr>
        <w:spacing w:after="0" w:line="149" w:lineRule="exact"/>
        <w:rPr>
          <w:sz w:val="20"/>
          <w:szCs w:val="20"/>
          <w:color w:val="auto"/>
        </w:rPr>
      </w:pPr>
    </w:p>
    <w:p>
      <w:pPr>
        <w:ind w:left="760" w:right="98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“Level 3 Haircut Percentage” </w:t>
      </w:r>
      <w:r>
        <w:rPr>
          <w:rFonts w:ascii="Times New Roman" w:cs="Times New Roman" w:eastAsia="Times New Roman" w:hAnsi="Times New Roman"/>
          <w:sz w:val="19"/>
          <w:szCs w:val="19"/>
          <w:color w:val="auto"/>
        </w:rPr>
        <w:t>means, with respect to a Haircut Collateral Loan, 35.0%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shall apply to the extent that (i) the Obligor on such Haircut Collateral Loan is a Tier 1 Obligor and has (x) with respect to a Haircut Collateral Loan other than a Stretch Senior Loan,</w:t>
      </w:r>
    </w:p>
    <w:p>
      <w:pPr>
        <w:spacing w:after="0" w:line="1" w:lineRule="exact"/>
        <w:rPr>
          <w:sz w:val="20"/>
          <w:szCs w:val="20"/>
          <w:color w:val="auto"/>
        </w:rPr>
      </w:pPr>
    </w:p>
    <w:p>
      <w:pPr>
        <w:ind w:left="760" w:right="820" w:firstLine="2"/>
        <w:spacing w:after="0" w:line="251" w:lineRule="auto"/>
        <w:tabs>
          <w:tab w:leader="none" w:pos="1075"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Senior Leverage Ratio greater than 6.50x but less than or equal to 7.00x, or (B) a Total Leverage Ratio greater than 8.50x but less than or equal to 9.00x, or (y) with respect to a Stretch Senior Loan, a Total Leverage Ratio greater than 7.50x but less than or equal to 8.00x; (ii) the Obligor on such Haircut Collateral Loan is a Tier 2 Obligor and has (x) with respect to a Haircut Collateral Loan other than a Stretch Senior Loan, (A) a Senior Leverage Ratio greater than 5.75x but less than or equal to 6.25x, or (B) a Total Leverage Ratio greater than 7.50x but less than or equal to 8.00x, or (y) with respect to a Stretch Senior Loan, a Total Leverage Ratio greater than 6.75x but less than or equal to 7.25x; or (iii) the Obligor on such Haircut Collateral Loan is a Tier 3 Obligor and has (x) with respect to a Haircut Collateral Loan other than a Stretch Senior Loan, (A) a Senior Leverage Ratio greater than 5.25x but less than or equal to 5.75x , or (B) a Total Leverage Ratio greater than 6.50x but less than or equal to 7.00x, or (y) with respect to a Stretch Senior Loan, a Total Leverage Ratio greater than 6.00x but less than or equal to 6.50x.</w:t>
      </w:r>
    </w:p>
    <w:p>
      <w:pPr>
        <w:spacing w:after="0" w:line="187" w:lineRule="exact"/>
        <w:rPr>
          <w:sz w:val="20"/>
          <w:szCs w:val="20"/>
          <w:color w:val="auto"/>
        </w:rPr>
      </w:pPr>
    </w:p>
    <w:p>
      <w:pPr>
        <w:ind w:left="760" w:right="98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“Level 4 Haircut Percentage” </w:t>
      </w:r>
      <w:r>
        <w:rPr>
          <w:rFonts w:ascii="Times New Roman" w:cs="Times New Roman" w:eastAsia="Times New Roman" w:hAnsi="Times New Roman"/>
          <w:sz w:val="19"/>
          <w:szCs w:val="19"/>
          <w:color w:val="auto"/>
        </w:rPr>
        <w:t>means, with respect to a Haircut Collateral Loan, 50.0%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shall apply to the extent that (i) the Obligor on such Haircut Collateral Loan is a Tier 1 Obligor and has (x) with respect to a Haircut Collateral Loan other than a Stretch Senior Loan,</w:t>
      </w:r>
    </w:p>
    <w:p>
      <w:pPr>
        <w:spacing w:after="0" w:line="1" w:lineRule="exact"/>
        <w:rPr>
          <w:sz w:val="20"/>
          <w:szCs w:val="20"/>
          <w:color w:val="auto"/>
        </w:rPr>
      </w:pPr>
    </w:p>
    <w:p>
      <w:pPr>
        <w:ind w:left="760" w:right="780" w:firstLine="2"/>
        <w:spacing w:after="0" w:line="250" w:lineRule="auto"/>
        <w:tabs>
          <w:tab w:leader="none" w:pos="1075"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Senior Leverage Ratio greater than 7.00x, or (B) a Total Leverage Ratio greater than 9.00x, or (y) with respect to a Stretch Senior Loan, a Total Leverage Ratio greater than 8.00x; (ii) the Obligor on such Haircut Collateral Loan is a Tier 2 Obligor and has (x) with respect to a Haircut Collateral Loan other than a Stretch Senior Loan, (A) a Senior Leverage Ratio greater than</w:t>
      </w:r>
    </w:p>
    <w:p>
      <w:pPr>
        <w:spacing w:after="0" w:line="1" w:lineRule="exact"/>
        <w:rPr>
          <w:rFonts w:ascii="Times New Roman" w:cs="Times New Roman" w:eastAsia="Times New Roman" w:hAnsi="Times New Roman"/>
          <w:sz w:val="19"/>
          <w:szCs w:val="19"/>
          <w:color w:val="auto"/>
        </w:rPr>
      </w:pPr>
    </w:p>
    <w:p>
      <w:pPr>
        <w:ind w:left="760" w:right="760"/>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6.25x, or (B) a Total Leverage Ratio greater than 8.00x, or (y) with respect to a Stretch Senior Loan, a Total Leverage Ratio greater than 7.25x; or (iii) the Obligor on such Haircut Collateral Loan is a Tier 3 Obligor and has (x) with respect to a Haircut Collateral Loan other than a Stretch Senior Loan, (A) a Senior Leverage Ratio greater than 5.75x, or (B) a Total Leverage Ratio greater than 7.00x, or (y) with respect to a Stretch Senior Loan, a Total Leverage Ratio greater than 6.50x.</w:t>
      </w:r>
    </w:p>
    <w:p>
      <w:pPr>
        <w:spacing w:after="0" w:line="184" w:lineRule="exact"/>
        <w:rPr>
          <w:sz w:val="20"/>
          <w:szCs w:val="20"/>
          <w:color w:val="auto"/>
        </w:rPr>
      </w:pPr>
    </w:p>
    <w:p>
      <w:pPr>
        <w:ind w:left="760" w:right="78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“Lien” </w:t>
      </w:r>
      <w:r>
        <w:rPr>
          <w:rFonts w:ascii="Times New Roman" w:cs="Times New Roman" w:eastAsia="Times New Roman" w:hAnsi="Times New Roman"/>
          <w:sz w:val="19"/>
          <w:szCs w:val="19"/>
          <w:color w:val="auto"/>
        </w:rPr>
        <w:t>means any mortgage, pledge, hypothecation, assignment, encumbrance, lien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security interest (statutory or other), or preference, priority 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175" w:lineRule="exact"/>
        <w:rPr>
          <w:sz w:val="20"/>
          <w:szCs w:val="20"/>
          <w:color w:val="auto"/>
        </w:rPr>
      </w:pPr>
    </w:p>
    <w:p>
      <w:pPr>
        <w:ind w:left="760" w:right="8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“Liquidity Facility” </w:t>
      </w:r>
      <w:r>
        <w:rPr>
          <w:rFonts w:ascii="Times New Roman" w:cs="Times New Roman" w:eastAsia="Times New Roman" w:hAnsi="Times New Roman"/>
          <w:sz w:val="19"/>
          <w:szCs w:val="19"/>
          <w:color w:val="auto"/>
        </w:rPr>
        <w:t>means, for any CP Conduit, a loan facility, asset purchase facility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arrangement under which the providers of such facility have agreed to provide funds to such CP Conduit for purposes of funding such CP Conduit’s obligations under this Agreement.</w:t>
      </w:r>
    </w:p>
    <w:p>
      <w:pPr>
        <w:spacing w:after="0" w:line="166" w:lineRule="exact"/>
        <w:rPr>
          <w:sz w:val="20"/>
          <w:szCs w:val="20"/>
          <w:color w:val="auto"/>
        </w:rPr>
      </w:pPr>
    </w:p>
    <w:p>
      <w:pPr>
        <w:ind w:left="760" w:right="84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“Liquidity Bank” </w:t>
      </w:r>
      <w:r>
        <w:rPr>
          <w:rFonts w:ascii="Times New Roman" w:cs="Times New Roman" w:eastAsia="Times New Roman" w:hAnsi="Times New Roman"/>
          <w:sz w:val="19"/>
          <w:szCs w:val="19"/>
          <w:color w:val="auto"/>
        </w:rPr>
        <w:t>means the Person or Persons who provide liquidity support to a Lender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is a CP Conduit pursuant to a Liquidity Facility.</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0" w:name="page131"/>
    <w:bookmarkEnd w:id="130"/>
    <w:p>
      <w:pPr>
        <w:spacing w:after="0" w:line="200" w:lineRule="exact"/>
        <w:rPr>
          <w:sz w:val="20"/>
          <w:szCs w:val="20"/>
          <w:color w:val="auto"/>
        </w:rPr>
      </w:pPr>
    </w:p>
    <w:p>
      <w:pPr>
        <w:spacing w:after="0" w:line="283" w:lineRule="exact"/>
        <w:rPr>
          <w:sz w:val="20"/>
          <w:szCs w:val="20"/>
          <w:color w:val="auto"/>
        </w:rPr>
      </w:pPr>
    </w:p>
    <w:p>
      <w:pPr>
        <w:ind w:left="760" w:right="19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“Listed Collateral Loan” </w:t>
      </w:r>
      <w:r>
        <w:rPr>
          <w:rFonts w:ascii="Times New Roman" w:cs="Times New Roman" w:eastAsia="Times New Roman" w:hAnsi="Times New Roman"/>
          <w:sz w:val="19"/>
          <w:szCs w:val="19"/>
          <w:color w:val="auto"/>
        </w:rPr>
        <w:t>means a Collateral Loan for which, at the time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determination, a Listed Value is available.</w:t>
      </w:r>
    </w:p>
    <w:p>
      <w:pPr>
        <w:spacing w:after="0" w:line="148" w:lineRule="exact"/>
        <w:rPr>
          <w:sz w:val="20"/>
          <w:szCs w:val="20"/>
          <w:color w:val="auto"/>
        </w:rPr>
      </w:pPr>
    </w:p>
    <w:p>
      <w:pPr>
        <w:ind w:left="760" w:right="800" w:firstLine="576"/>
        <w:spacing w:after="0" w:line="233" w:lineRule="exact"/>
        <w:rPr>
          <w:sz w:val="20"/>
          <w:szCs w:val="20"/>
          <w:color w:val="auto"/>
        </w:rPr>
      </w:pPr>
      <w:r>
        <w:rPr>
          <w:rFonts w:ascii="Times New Roman" w:cs="Times New Roman" w:eastAsia="Times New Roman" w:hAnsi="Times New Roman"/>
          <w:sz w:val="19"/>
          <w:szCs w:val="19"/>
          <w:i w:val="1"/>
          <w:iCs w:val="1"/>
          <w:color w:val="auto"/>
        </w:rPr>
        <w:t xml:space="preserve">“Listed Value” </w:t>
      </w:r>
      <w:r>
        <w:rPr>
          <w:rFonts w:ascii="Times New Roman" w:cs="Times New Roman" w:eastAsia="Times New Roman" w:hAnsi="Times New Roman"/>
          <w:sz w:val="19"/>
          <w:szCs w:val="19"/>
          <w:color w:val="auto"/>
        </w:rPr>
        <w:t>means, for any Collateral Loan, the bid price for such Collateral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most recently quoted by Loan Pricing Corporation,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it Partners (formerly known as Loan X), Interactive Data Corporation (Thompson Reuters), or quoted by another nationally recognized broker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dealer or nationally recognized quotation service as may be approved from time to time by the Administrative Agent and the Required Lenders if so requested by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Collateral Manager reasonably believes that the price quoted by any such source is based on less than three bona fide bids, then the Collateral Manager, by notice to the Agents, may determine the Listed Value in accordance with clause (b) of the definition of “Market Value”.</w:t>
      </w:r>
    </w:p>
    <w:p>
      <w:pPr>
        <w:spacing w:after="0" w:line="200" w:lineRule="exact"/>
        <w:rPr>
          <w:sz w:val="20"/>
          <w:szCs w:val="20"/>
          <w:color w:val="auto"/>
        </w:rPr>
      </w:pPr>
    </w:p>
    <w:p>
      <w:pPr>
        <w:spacing w:after="0" w:line="212" w:lineRule="exact"/>
        <w:rPr>
          <w:sz w:val="20"/>
          <w:szCs w:val="20"/>
          <w:color w:val="auto"/>
        </w:rPr>
      </w:pPr>
    </w:p>
    <w:p>
      <w:pPr>
        <w:ind w:left="760" w:right="8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“Loan Checklist” </w:t>
      </w:r>
      <w:r>
        <w:rPr>
          <w:rFonts w:ascii="Times New Roman" w:cs="Times New Roman" w:eastAsia="Times New Roman" w:hAnsi="Times New Roman"/>
          <w:sz w:val="19"/>
          <w:szCs w:val="19"/>
          <w:color w:val="auto"/>
        </w:rPr>
        <w:t>means an electronic or hard copy, as applicable, checklist delivered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on behalf of the Borrower to the Custodian, for each Collateral Loan, of all Related Documents to be included within the respective loan file, which shall specify whether such document is an original or a copy.</w:t>
      </w:r>
    </w:p>
    <w:p>
      <w:pPr>
        <w:spacing w:after="0" w:line="171" w:lineRule="exact"/>
        <w:rPr>
          <w:sz w:val="20"/>
          <w:szCs w:val="20"/>
          <w:color w:val="auto"/>
        </w:rPr>
      </w:pPr>
    </w:p>
    <w:p>
      <w:pPr>
        <w:ind w:left="760" w:right="78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“Majority Lenders” </w:t>
      </w:r>
      <w:r>
        <w:rPr>
          <w:rFonts w:ascii="Times New Roman" w:cs="Times New Roman" w:eastAsia="Times New Roman" w:hAnsi="Times New Roman"/>
          <w:sz w:val="19"/>
          <w:szCs w:val="19"/>
          <w:color w:val="auto"/>
        </w:rPr>
        <w:t>means, as of any date of determination, one or more Lenders having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aggregate Percentages greater than or equal to 51%,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any time there are two (2) or more Lenders, “Majority Lenders” must include at least two (2) Lenders (who are not Affiliates of one another) ;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to the extent that any Lender is a Defaulting Lender, the Percentage of such Defaulting Lender shall be excluded for purposes of determining Majority Lenders.</w:t>
      </w:r>
    </w:p>
    <w:p>
      <w:pPr>
        <w:spacing w:after="0" w:line="17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“Margin Stock” </w:t>
      </w:r>
      <w:r>
        <w:rPr>
          <w:rFonts w:ascii="Times New Roman" w:cs="Times New Roman" w:eastAsia="Times New Roman" w:hAnsi="Times New Roman"/>
          <w:sz w:val="19"/>
          <w:szCs w:val="19"/>
          <w:color w:val="auto"/>
        </w:rPr>
        <w:t>has the meaning assigned to such term in Regulation U.</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“Market Value</w:t>
      </w:r>
      <w:r>
        <w:rPr>
          <w:rFonts w:ascii="Times New Roman" w:cs="Times New Roman" w:eastAsia="Times New Roman" w:hAnsi="Times New Roman"/>
          <w:sz w:val="19"/>
          <w:szCs w:val="19"/>
          <w:color w:val="auto"/>
        </w:rPr>
        <w:t>” means, as of any date, for any Collateral Loan, the Dollar Equivalent of:</w:t>
      </w:r>
    </w:p>
    <w:p>
      <w:pPr>
        <w:spacing w:after="0" w:line="228" w:lineRule="exact"/>
        <w:rPr>
          <w:sz w:val="20"/>
          <w:szCs w:val="20"/>
          <w:color w:val="auto"/>
        </w:rPr>
      </w:pPr>
    </w:p>
    <w:p>
      <w:pPr>
        <w:ind w:left="1340" w:right="800" w:firstLine="47"/>
        <w:spacing w:after="0" w:line="286" w:lineRule="auto"/>
        <w:tabs>
          <w:tab w:leader="none" w:pos="164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Collateral Loan is a Listed Collateral Loan as at such date, the Listed Value of such Collateral Loan as at such date; and</w:t>
      </w:r>
    </w:p>
    <w:p>
      <w:pPr>
        <w:spacing w:after="0" w:line="151"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Collateral Loan is not a Listed Collateral Loan as of such date, the lower of:</w:t>
      </w:r>
    </w:p>
    <w:p>
      <w:pPr>
        <w:spacing w:after="0" w:line="225" w:lineRule="exact"/>
        <w:rPr>
          <w:rFonts w:ascii="Times New Roman" w:cs="Times New Roman" w:eastAsia="Times New Roman" w:hAnsi="Times New Roman"/>
          <w:sz w:val="19"/>
          <w:szCs w:val="19"/>
          <w:color w:val="auto"/>
        </w:rPr>
      </w:pPr>
    </w:p>
    <w:p>
      <w:pPr>
        <w:jc w:val="both"/>
        <w:ind w:left="1920" w:right="860" w:firstLine="43"/>
        <w:spacing w:after="0" w:line="286" w:lineRule="auto"/>
        <w:tabs>
          <w:tab w:leader="none" w:pos="2197"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fair market value of such Collateral Loan as reasonably determined by the Collateral Manager in accordance with the Collateral Management Standard; and</w:t>
      </w:r>
    </w:p>
    <w:p>
      <w:pPr>
        <w:spacing w:after="0" w:line="151" w:lineRule="exact"/>
        <w:rPr>
          <w:rFonts w:ascii="Times New Roman" w:cs="Times New Roman" w:eastAsia="Times New Roman" w:hAnsi="Times New Roman"/>
          <w:sz w:val="19"/>
          <w:szCs w:val="19"/>
          <w:color w:val="auto"/>
        </w:rPr>
      </w:pPr>
    </w:p>
    <w:p>
      <w:pPr>
        <w:jc w:val="both"/>
        <w:ind w:left="1920" w:right="780" w:firstLine="43"/>
        <w:spacing w:after="0" w:line="268" w:lineRule="auto"/>
        <w:tabs>
          <w:tab w:leader="none" w:pos="2250"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 price in respect of such Collateral Loan expressed as an effective percentage of par less any loss reserves maintained by the Borrower in accordance with GAAP.</w:t>
      </w:r>
    </w:p>
    <w:p>
      <w:pPr>
        <w:spacing w:after="0" w:line="166" w:lineRule="exact"/>
        <w:rPr>
          <w:sz w:val="20"/>
          <w:szCs w:val="20"/>
          <w:color w:val="auto"/>
        </w:rPr>
      </w:pPr>
    </w:p>
    <w:p>
      <w:pPr>
        <w:ind w:left="760" w:right="88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“Material Adverse Effect” </w:t>
      </w:r>
      <w:r>
        <w:rPr>
          <w:rFonts w:ascii="Times New Roman" w:cs="Times New Roman" w:eastAsia="Times New Roman" w:hAnsi="Times New Roman"/>
          <w:sz w:val="19"/>
          <w:szCs w:val="19"/>
          <w:color w:val="auto"/>
        </w:rPr>
        <w:t>means a material adverse effect on (a) the business, assets,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financial condition, operations, performance or properties of the Borrower, the Collateral Manager or the BDC, both individually or taken as a whole, (b) the validity, enforceability or collectability of this Agreement or any other Facility Document or the validity, enforceability or collectability</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1" w:name="page132"/>
    <w:bookmarkEnd w:id="131"/>
    <w:p>
      <w:pPr>
        <w:spacing w:after="0" w:line="200" w:lineRule="exact"/>
        <w:rPr>
          <w:sz w:val="20"/>
          <w:szCs w:val="20"/>
          <w:color w:val="auto"/>
        </w:rPr>
      </w:pPr>
    </w:p>
    <w:p>
      <w:pPr>
        <w:spacing w:after="0" w:line="285" w:lineRule="exact"/>
        <w:rPr>
          <w:sz w:val="20"/>
          <w:szCs w:val="20"/>
          <w:color w:val="auto"/>
        </w:rPr>
      </w:pPr>
    </w:p>
    <w:p>
      <w:pPr>
        <w:ind w:left="760" w:right="920"/>
        <w:spacing w:after="0" w:line="257" w:lineRule="auto"/>
        <w:rPr>
          <w:sz w:val="20"/>
          <w:szCs w:val="20"/>
          <w:color w:val="auto"/>
        </w:rPr>
      </w:pPr>
      <w:r>
        <w:rPr>
          <w:rFonts w:ascii="Times New Roman" w:cs="Times New Roman" w:eastAsia="Times New Roman" w:hAnsi="Times New Roman"/>
          <w:sz w:val="19"/>
          <w:szCs w:val="19"/>
          <w:color w:val="auto"/>
        </w:rPr>
        <w:t>of the Collateral Loans generally or any material portion of the Collateral Loans, (c) the rights and remedies of the Administrative Agent, the Lenders and the Secured Parties with respect to matters arising under this Agreement or any other Facility Document, (d) the ability of each of the Borrower or the Collateral Manager to perform its obligations under any Facility Document to which it is a party, or (e) the status, existence, perfection, priority or enforceability of the Collateral Agent’s lien on the Collateral.</w:t>
      </w:r>
    </w:p>
    <w:p>
      <w:pPr>
        <w:spacing w:after="0" w:line="179" w:lineRule="exact"/>
        <w:rPr>
          <w:sz w:val="20"/>
          <w:szCs w:val="20"/>
          <w:color w:val="auto"/>
        </w:rPr>
      </w:pPr>
    </w:p>
    <w:p>
      <w:pPr>
        <w:ind w:left="760" w:right="84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“Material Modification” </w:t>
      </w:r>
      <w:r>
        <w:rPr>
          <w:rFonts w:ascii="Times New Roman" w:cs="Times New Roman" w:eastAsia="Times New Roman" w:hAnsi="Times New Roman"/>
          <w:sz w:val="19"/>
          <w:szCs w:val="19"/>
          <w:color w:val="auto"/>
        </w:rPr>
        <w:t>means, with respect to any Collateral Loan, any amendment,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waiver, consent or modification of a Related Document with respect thereto (it being understood that a release document or similar instrument executed or delivered in connection with a disposition that is otherwise permitted under the applicable Related Documents shall not constitute an amendment or modification to such Related Document) executed or effected after the date on which such Collateral Loan is acquired by the Borrower, that:</w:t>
      </w:r>
    </w:p>
    <w:p>
      <w:pPr>
        <w:spacing w:after="0" w:line="177" w:lineRule="exact"/>
        <w:rPr>
          <w:sz w:val="20"/>
          <w:szCs w:val="20"/>
          <w:color w:val="auto"/>
        </w:rPr>
      </w:pPr>
    </w:p>
    <w:p>
      <w:pPr>
        <w:ind w:left="1340" w:right="840" w:firstLine="47"/>
        <w:spacing w:after="0" w:line="254" w:lineRule="auto"/>
        <w:tabs>
          <w:tab w:leader="none" w:pos="1649"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reduces or waives one or more interest payments or permits any interest due with respect to such Collateral Loan in cash to be deferred or capitalized and added to the principal amount of such Collateral Loan (other than any (i) deferral or capitalization already expressly permitted by the terms of its Related Documents or pursuant to the application of a pricing grid, in each case, as of the date such Collateral Loan was acquired by the Borrower or (ii) after giving effect to such modification, (x) any such deferral or capitalization that does not cause the limitation set forth in clause (g) of the Concentration Limitations to be exceeded or (y) the Cash pay interest rate is equal to or greater than the highest applicable rate specified in the proviso to the definition of Partial PIK Loan);</w:t>
      </w:r>
    </w:p>
    <w:p>
      <w:pPr>
        <w:spacing w:after="0" w:line="184" w:lineRule="exact"/>
        <w:rPr>
          <w:rFonts w:ascii="Times New Roman" w:cs="Times New Roman" w:eastAsia="Times New Roman" w:hAnsi="Times New Roman"/>
          <w:sz w:val="19"/>
          <w:szCs w:val="19"/>
          <w:color w:val="auto"/>
        </w:rPr>
      </w:pPr>
    </w:p>
    <w:p>
      <w:pPr>
        <w:ind w:left="1340" w:right="840" w:firstLine="47"/>
        <w:spacing w:after="0" w:line="262" w:lineRule="auto"/>
        <w:tabs>
          <w:tab w:leader="none" w:pos="166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contractually or structurally subordinates such Collateral Loan by operation of a priority of payments, turnover provisions or the transfer of assets in order to limit recourse to the related Obligor or releases any material guarantor or a co-obligor from its obligations with respect thereto;</w:t>
      </w:r>
    </w:p>
    <w:p>
      <w:pPr>
        <w:spacing w:after="0" w:line="174" w:lineRule="exact"/>
        <w:rPr>
          <w:rFonts w:ascii="Times New Roman" w:cs="Times New Roman" w:eastAsia="Times New Roman" w:hAnsi="Times New Roman"/>
          <w:sz w:val="19"/>
          <w:szCs w:val="19"/>
          <w:color w:val="auto"/>
        </w:rPr>
      </w:pPr>
    </w:p>
    <w:p>
      <w:pPr>
        <w:ind w:left="1340" w:right="760" w:firstLine="47"/>
        <w:spacing w:after="0" w:line="259" w:lineRule="auto"/>
        <w:tabs>
          <w:tab w:leader="none" w:pos="1649"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substitutes or releases the underlying assets securing such Collateral Loan (other than as expressly permitted by the Related Documents as of the date such Collateral Loan was acquired by the Borrower), and each such substitution or release, as determined in the commercially reasonable discretion of the Administrative Agent, materially and adversely affects the value of such Collateral Loan;</w:t>
      </w:r>
    </w:p>
    <w:p>
      <w:pPr>
        <w:spacing w:after="0" w:line="177" w:lineRule="exact"/>
        <w:rPr>
          <w:rFonts w:ascii="Times New Roman" w:cs="Times New Roman" w:eastAsia="Times New Roman" w:hAnsi="Times New Roman"/>
          <w:sz w:val="19"/>
          <w:szCs w:val="19"/>
          <w:color w:val="auto"/>
        </w:rPr>
      </w:pPr>
    </w:p>
    <w:p>
      <w:pPr>
        <w:ind w:left="1340" w:right="840" w:firstLine="47"/>
        <w:spacing w:after="0" w:line="262" w:lineRule="auto"/>
        <w:tabs>
          <w:tab w:leader="none" w:pos="166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waives, extends or postpones any date fixed for any scheduled payment (including at maturity) or mandatory prepayment of principal on such Collateral Loan (other than waivers of required non-scheduled principal payments if such Collateral Loan is otherwise performing); or</w:t>
      </w:r>
    </w:p>
    <w:p>
      <w:pPr>
        <w:spacing w:after="0" w:line="174" w:lineRule="exact"/>
        <w:rPr>
          <w:rFonts w:ascii="Times New Roman" w:cs="Times New Roman" w:eastAsia="Times New Roman" w:hAnsi="Times New Roman"/>
          <w:sz w:val="19"/>
          <w:szCs w:val="19"/>
          <w:color w:val="auto"/>
        </w:rPr>
      </w:pPr>
    </w:p>
    <w:p>
      <w:pPr>
        <w:ind w:left="1640" w:hanging="253"/>
        <w:spacing w:after="0"/>
        <w:tabs>
          <w:tab w:leader="none" w:pos="164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reduces or forgives any principal amount of such Collateral Loan;</w:t>
      </w:r>
    </w:p>
    <w:p>
      <w:pPr>
        <w:spacing w:after="0" w:line="224" w:lineRule="exact"/>
        <w:rPr>
          <w:sz w:val="20"/>
          <w:szCs w:val="20"/>
          <w:color w:val="auto"/>
        </w:rPr>
      </w:pPr>
    </w:p>
    <w:p>
      <w:pPr>
        <w:ind w:left="760" w:right="760"/>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 any Collateral Loan subject to a Material Modification which subsequently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becomes a Credit Improved Loan shall no longer be considered to have been subject to a Material Modification hereunder unless and until such Collateral Loan is subject to a subsequent Material Modification; and (ii) the Collateral Manager shall be permitted to reduce one or more interest</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2" w:name="page133"/>
    <w:bookmarkEnd w:id="132"/>
    <w:p>
      <w:pPr>
        <w:spacing w:after="0" w:line="200" w:lineRule="exact"/>
        <w:rPr>
          <w:sz w:val="20"/>
          <w:szCs w:val="20"/>
          <w:color w:val="auto"/>
        </w:rPr>
      </w:pPr>
    </w:p>
    <w:p>
      <w:pPr>
        <w:spacing w:after="0" w:line="285" w:lineRule="exact"/>
        <w:rPr>
          <w:sz w:val="20"/>
          <w:szCs w:val="20"/>
          <w:color w:val="auto"/>
        </w:rPr>
      </w:pPr>
    </w:p>
    <w:p>
      <w:pPr>
        <w:ind w:left="760" w:right="780"/>
        <w:spacing w:after="0" w:line="253" w:lineRule="auto"/>
        <w:rPr>
          <w:sz w:val="20"/>
          <w:szCs w:val="20"/>
          <w:color w:val="auto"/>
        </w:rPr>
      </w:pPr>
      <w:r>
        <w:rPr>
          <w:rFonts w:ascii="Times New Roman" w:cs="Times New Roman" w:eastAsia="Times New Roman" w:hAnsi="Times New Roman"/>
          <w:sz w:val="19"/>
          <w:szCs w:val="19"/>
          <w:color w:val="auto"/>
        </w:rPr>
        <w:t>payments, extend, waive or postpone any date fixed for any scheduled payment of principal (including at maturity) or waive, extend or reduce any mandatory prepayment of principal on a Collateral Loan, in each case, in connection with a re -pricing, refinancing or other request reflecting market terms then existing at such time (as determined by the Collateral Manager) or otherwise at the request of the Obligor and not in connection with financial or operational difficulties affecting, or the credit deterioration of, the related Obligor, in each case, without such modification constituting a Material Modification hereunder so long as (x) after giving effect to such modification, each Collateral Quality Test is satisfied (or, if not satisfied, the level of compliance with such Collateral Quality Test is maintained or improved), (y) on the date of such modification, such Collateral Loan constitutes a Current Modified Loan and (z) such modification is not made to avoid classification of such Collateral Loan as a Defaulted Collateral Loan.</w:t>
      </w:r>
    </w:p>
    <w:p>
      <w:pPr>
        <w:spacing w:after="0" w:line="200" w:lineRule="exact"/>
        <w:rPr>
          <w:sz w:val="20"/>
          <w:szCs w:val="20"/>
          <w:color w:val="auto"/>
        </w:rPr>
      </w:pPr>
    </w:p>
    <w:p>
      <w:pPr>
        <w:spacing w:after="0" w:line="217" w:lineRule="exact"/>
        <w:rPr>
          <w:sz w:val="20"/>
          <w:szCs w:val="20"/>
          <w:color w:val="auto"/>
        </w:rPr>
      </w:pPr>
    </w:p>
    <w:p>
      <w:pPr>
        <w:ind w:left="760" w:right="84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“Maximum Advance Rate Test” </w:t>
      </w:r>
      <w:r>
        <w:rPr>
          <w:rFonts w:ascii="Times New Roman" w:cs="Times New Roman" w:eastAsia="Times New Roman" w:hAnsi="Times New Roman"/>
          <w:sz w:val="19"/>
          <w:szCs w:val="19"/>
          <w:color w:val="auto"/>
        </w:rPr>
        <w:t>means a test that will be satisfied at any time if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Dollar Equivalent of the aggregate outstanding principal balance of the Advances at such time is less than or equal to the Maximum Available Amount at such time.</w:t>
      </w:r>
    </w:p>
    <w:p>
      <w:pPr>
        <w:spacing w:after="0" w:line="166" w:lineRule="exact"/>
        <w:rPr>
          <w:sz w:val="20"/>
          <w:szCs w:val="20"/>
          <w:color w:val="auto"/>
        </w:rPr>
      </w:pPr>
    </w:p>
    <w:p>
      <w:pPr>
        <w:ind w:left="760" w:right="82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“Maximum Advance Rate Default Test” </w:t>
      </w:r>
      <w:r>
        <w:rPr>
          <w:rFonts w:ascii="Times New Roman" w:cs="Times New Roman" w:eastAsia="Times New Roman" w:hAnsi="Times New Roman"/>
          <w:sz w:val="19"/>
          <w:szCs w:val="19"/>
          <w:color w:val="auto"/>
        </w:rPr>
        <w:t>means a test that will be satisfied at any time if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Dollar Equivalent of the aggregate outstanding principal balance of the Advances at such time is less than or equal to the Maximum Available Amount at such time multiplied by 103.5%.</w:t>
      </w:r>
    </w:p>
    <w:p>
      <w:pPr>
        <w:spacing w:after="0" w:line="166" w:lineRule="exact"/>
        <w:rPr>
          <w:sz w:val="20"/>
          <w:szCs w:val="20"/>
          <w:color w:val="auto"/>
        </w:rPr>
      </w:pPr>
    </w:p>
    <w:p>
      <w:pPr>
        <w:ind w:left="760" w:right="7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“Maximum Available Amount” </w:t>
      </w:r>
      <w:r>
        <w:rPr>
          <w:rFonts w:ascii="Times New Roman" w:cs="Times New Roman" w:eastAsia="Times New Roman" w:hAnsi="Times New Roman"/>
          <w:sz w:val="19"/>
          <w:szCs w:val="19"/>
          <w:color w:val="auto"/>
        </w:rPr>
        <w:t>means, on any date of determination, without duplication,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 amount equal to the least of:</w:t>
      </w:r>
    </w:p>
    <w:p>
      <w:pPr>
        <w:spacing w:after="0" w:line="148" w:lineRule="exact"/>
        <w:rPr>
          <w:sz w:val="20"/>
          <w:szCs w:val="20"/>
          <w:color w:val="auto"/>
        </w:rPr>
      </w:pPr>
    </w:p>
    <w:p>
      <w:pPr>
        <w:ind w:left="1340" w:right="1000" w:firstLine="47"/>
        <w:spacing w:after="0" w:line="269" w:lineRule="auto"/>
        <w:tabs>
          <w:tab w:leader="none" w:pos="1649"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Facility Amount at such time,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the Revolving Exposure at such time,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Dollar Equivalent of the aggregate amount on deposit in the Revolving Reserve Account;</w:t>
      </w:r>
    </w:p>
    <w:p>
      <w:pPr>
        <w:spacing w:after="0" w:line="167"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w:t>
      </w:r>
    </w:p>
    <w:p>
      <w:pPr>
        <w:spacing w:after="0" w:line="223" w:lineRule="exact"/>
        <w:rPr>
          <w:rFonts w:ascii="Times New Roman" w:cs="Times New Roman" w:eastAsia="Times New Roman" w:hAnsi="Times New Roman"/>
          <w:sz w:val="19"/>
          <w:szCs w:val="19"/>
          <w:color w:val="auto"/>
        </w:rPr>
      </w:pPr>
    </w:p>
    <w:p>
      <w:pPr>
        <w:ind w:left="2200" w:hanging="237"/>
        <w:spacing w:after="0"/>
        <w:tabs>
          <w:tab w:leader="none" w:pos="220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Borrowing Base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the Weighted Average Advance Rate, </w:t>
      </w:r>
      <w:r>
        <w:rPr>
          <w:rFonts w:ascii="Times New Roman" w:cs="Times New Roman" w:eastAsia="Times New Roman" w:hAnsi="Times New Roman"/>
          <w:sz w:val="19"/>
          <w:szCs w:val="19"/>
          <w:i w:val="1"/>
          <w:iCs w:val="1"/>
          <w:color w:val="auto"/>
        </w:rPr>
        <w:t>minus</w:t>
      </w:r>
    </w:p>
    <w:p>
      <w:pPr>
        <w:spacing w:after="0" w:line="225" w:lineRule="exact"/>
        <w:rPr>
          <w:rFonts w:ascii="Times New Roman" w:cs="Times New Roman" w:eastAsia="Times New Roman" w:hAnsi="Times New Roman"/>
          <w:sz w:val="19"/>
          <w:szCs w:val="19"/>
          <w:color w:val="auto"/>
        </w:rPr>
      </w:pPr>
    </w:p>
    <w:p>
      <w:pPr>
        <w:ind w:left="2240" w:hanging="277"/>
        <w:spacing w:after="0"/>
        <w:tabs>
          <w:tab w:leader="none" w:pos="224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Foreign Currency Variability Reserve, </w:t>
      </w:r>
      <w:r>
        <w:rPr>
          <w:rFonts w:ascii="Times New Roman" w:cs="Times New Roman" w:eastAsia="Times New Roman" w:hAnsi="Times New Roman"/>
          <w:sz w:val="19"/>
          <w:szCs w:val="19"/>
          <w:i w:val="1"/>
          <w:iCs w:val="1"/>
          <w:color w:val="auto"/>
        </w:rPr>
        <w:t>minus</w:t>
      </w:r>
    </w:p>
    <w:p>
      <w:pPr>
        <w:spacing w:after="0" w:line="225" w:lineRule="exact"/>
        <w:rPr>
          <w:rFonts w:ascii="Times New Roman" w:cs="Times New Roman" w:eastAsia="Times New Roman" w:hAnsi="Times New Roman"/>
          <w:sz w:val="19"/>
          <w:szCs w:val="19"/>
          <w:color w:val="auto"/>
        </w:rPr>
      </w:pPr>
    </w:p>
    <w:p>
      <w:pPr>
        <w:ind w:left="2300" w:hanging="337"/>
        <w:spacing w:after="0"/>
        <w:tabs>
          <w:tab w:leader="none" w:pos="230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Revolving Exposure at such time, </w:t>
      </w:r>
      <w:r>
        <w:rPr>
          <w:rFonts w:ascii="Times New Roman" w:cs="Times New Roman" w:eastAsia="Times New Roman" w:hAnsi="Times New Roman"/>
          <w:sz w:val="19"/>
          <w:szCs w:val="19"/>
          <w:i w:val="1"/>
          <w:iCs w:val="1"/>
          <w:color w:val="auto"/>
        </w:rPr>
        <w:t>plus</w:t>
      </w:r>
    </w:p>
    <w:p>
      <w:pPr>
        <w:spacing w:after="0" w:line="227" w:lineRule="exact"/>
        <w:rPr>
          <w:rFonts w:ascii="Times New Roman" w:cs="Times New Roman" w:eastAsia="Times New Roman" w:hAnsi="Times New Roman"/>
          <w:sz w:val="19"/>
          <w:szCs w:val="19"/>
          <w:color w:val="auto"/>
        </w:rPr>
      </w:pPr>
    </w:p>
    <w:p>
      <w:pPr>
        <w:ind w:left="1920" w:right="880" w:firstLine="43"/>
        <w:spacing w:after="0" w:line="286" w:lineRule="auto"/>
        <w:tabs>
          <w:tab w:leader="none" w:pos="2293"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Dollar Equivalent of the aggregate amount of cash then on deposit in the Principal Collection Subaccounts; </w:t>
      </w:r>
      <w:r>
        <w:rPr>
          <w:rFonts w:ascii="Times New Roman" w:cs="Times New Roman" w:eastAsia="Times New Roman" w:hAnsi="Times New Roman"/>
          <w:sz w:val="19"/>
          <w:szCs w:val="19"/>
          <w:i w:val="1"/>
          <w:iCs w:val="1"/>
          <w:color w:val="auto"/>
        </w:rPr>
        <w:t>plus</w:t>
      </w:r>
    </w:p>
    <w:p>
      <w:pPr>
        <w:spacing w:after="0" w:line="151" w:lineRule="exact"/>
        <w:rPr>
          <w:rFonts w:ascii="Times New Roman" w:cs="Times New Roman" w:eastAsia="Times New Roman" w:hAnsi="Times New Roman"/>
          <w:sz w:val="19"/>
          <w:szCs w:val="19"/>
          <w:color w:val="auto"/>
        </w:rPr>
      </w:pPr>
    </w:p>
    <w:p>
      <w:pPr>
        <w:ind w:left="1920" w:right="920" w:firstLine="43"/>
        <w:spacing w:after="0" w:line="286" w:lineRule="auto"/>
        <w:tabs>
          <w:tab w:leader="none" w:pos="224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Dollar Equivalent of the aggregate amount of cash then on deposit in the Revolving Reserve Account; and</w:t>
      </w:r>
    </w:p>
    <w:p>
      <w:pPr>
        <w:spacing w:after="0" w:line="151" w:lineRule="exact"/>
        <w:rPr>
          <w:rFonts w:ascii="Times New Roman" w:cs="Times New Roman" w:eastAsia="Times New Roman" w:hAnsi="Times New Roman"/>
          <w:sz w:val="19"/>
          <w:szCs w:val="19"/>
          <w:color w:val="auto"/>
        </w:rPr>
      </w:pPr>
    </w:p>
    <w:p>
      <w:pPr>
        <w:ind w:left="1640" w:hanging="253"/>
        <w:spacing w:after="0"/>
        <w:tabs>
          <w:tab w:leader="none" w:pos="16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w:t>
      </w:r>
    </w:p>
    <w:p>
      <w:pPr>
        <w:spacing w:after="0" w:line="225" w:lineRule="exact"/>
        <w:rPr>
          <w:rFonts w:ascii="Times New Roman" w:cs="Times New Roman" w:eastAsia="Times New Roman" w:hAnsi="Times New Roman"/>
          <w:sz w:val="19"/>
          <w:szCs w:val="19"/>
          <w:color w:val="auto"/>
        </w:rPr>
      </w:pPr>
    </w:p>
    <w:p>
      <w:pPr>
        <w:ind w:left="1920" w:right="800" w:firstLine="43"/>
        <w:spacing w:after="0" w:line="258" w:lineRule="auto"/>
        <w:tabs>
          <w:tab w:leader="none" w:pos="2197"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Collateral Balance (excluding the Revolving Exposure pursuant to clause (d) of the definition thereof), </w:t>
      </w:r>
      <w:r>
        <w:rPr>
          <w:rFonts w:ascii="Times New Roman" w:cs="Times New Roman" w:eastAsia="Times New Roman" w:hAnsi="Times New Roman"/>
          <w:sz w:val="19"/>
          <w:szCs w:val="19"/>
          <w:i w:val="1"/>
          <w:iCs w:val="1"/>
          <w:color w:val="auto"/>
        </w:rPr>
        <w:t>minus</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3" w:name="page134"/>
    <w:bookmarkEnd w:id="133"/>
    <w:p>
      <w:pPr>
        <w:spacing w:after="0" w:line="200" w:lineRule="exact"/>
        <w:rPr>
          <w:sz w:val="20"/>
          <w:szCs w:val="20"/>
          <w:color w:val="auto"/>
        </w:rPr>
      </w:pPr>
    </w:p>
    <w:p>
      <w:pPr>
        <w:spacing w:after="0" w:line="283" w:lineRule="exact"/>
        <w:rPr>
          <w:sz w:val="20"/>
          <w:szCs w:val="20"/>
          <w:color w:val="auto"/>
        </w:rPr>
      </w:pPr>
    </w:p>
    <w:p>
      <w:pPr>
        <w:ind w:left="2240" w:hanging="277"/>
        <w:spacing w:after="0"/>
        <w:tabs>
          <w:tab w:leader="none" w:pos="224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Minimum Equity Amount, </w:t>
      </w:r>
      <w:r>
        <w:rPr>
          <w:rFonts w:ascii="Times New Roman" w:cs="Times New Roman" w:eastAsia="Times New Roman" w:hAnsi="Times New Roman"/>
          <w:sz w:val="19"/>
          <w:szCs w:val="19"/>
          <w:i w:val="1"/>
          <w:iCs w:val="1"/>
          <w:color w:val="auto"/>
        </w:rPr>
        <w:t>plus</w:t>
      </w:r>
    </w:p>
    <w:p>
      <w:pPr>
        <w:spacing w:after="0" w:line="227" w:lineRule="exact"/>
        <w:rPr>
          <w:rFonts w:ascii="Times New Roman" w:cs="Times New Roman" w:eastAsia="Times New Roman" w:hAnsi="Times New Roman"/>
          <w:sz w:val="19"/>
          <w:szCs w:val="19"/>
          <w:color w:val="auto"/>
        </w:rPr>
      </w:pPr>
    </w:p>
    <w:p>
      <w:pPr>
        <w:ind w:left="1920" w:right="860" w:firstLine="43"/>
        <w:spacing w:after="0" w:line="286" w:lineRule="auto"/>
        <w:tabs>
          <w:tab w:leader="none" w:pos="230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Dollar Equivalent of the aggregate amount of cash then on deposit in the Principal Collection Subaccounts.</w:t>
      </w:r>
    </w:p>
    <w:p>
      <w:pPr>
        <w:spacing w:after="0" w:line="149" w:lineRule="exact"/>
        <w:rPr>
          <w:sz w:val="20"/>
          <w:szCs w:val="20"/>
          <w:color w:val="auto"/>
        </w:rPr>
      </w:pPr>
    </w:p>
    <w:p>
      <w:pPr>
        <w:jc w:val="both"/>
        <w:ind w:left="760" w:right="80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Maximum Weighted Average Life Test</w:t>
      </w:r>
      <w:r>
        <w:rPr>
          <w:rFonts w:ascii="Times New Roman" w:cs="Times New Roman" w:eastAsia="Times New Roman" w:hAnsi="Times New Roman"/>
          <w:sz w:val="19"/>
          <w:szCs w:val="19"/>
          <w:color w:val="auto"/>
        </w:rPr>
        <w:t>” means a test that will be satisfied on any date of determination if the Weighted Average Life of the Collateral Loans as of such date is less than or equal to six years.</w:t>
      </w:r>
    </w:p>
    <w:p>
      <w:pPr>
        <w:spacing w:after="0" w:line="166" w:lineRule="exact"/>
        <w:rPr>
          <w:sz w:val="20"/>
          <w:szCs w:val="20"/>
          <w:color w:val="auto"/>
        </w:rPr>
      </w:pPr>
    </w:p>
    <w:p>
      <w:pPr>
        <w:ind w:left="760" w:right="7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“Measurement Date” </w:t>
      </w:r>
      <w:r>
        <w:rPr>
          <w:rFonts w:ascii="Times New Roman" w:cs="Times New Roman" w:eastAsia="Times New Roman" w:hAnsi="Times New Roman"/>
          <w:sz w:val="19"/>
          <w:szCs w:val="19"/>
          <w:color w:val="auto"/>
        </w:rPr>
        <w:t>means, (i) the Closing Date, (ii) each Borrowing Date and (iii)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Monthly Report Determination Date.</w:t>
      </w:r>
    </w:p>
    <w:p>
      <w:pPr>
        <w:spacing w:after="0" w:line="148" w:lineRule="exact"/>
        <w:rPr>
          <w:sz w:val="20"/>
          <w:szCs w:val="20"/>
          <w:color w:val="auto"/>
        </w:rPr>
      </w:pPr>
    </w:p>
    <w:p>
      <w:pPr>
        <w:ind w:left="760" w:right="7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“Minimum Equity Amount” </w:t>
      </w:r>
      <w:r>
        <w:rPr>
          <w:rFonts w:ascii="Times New Roman" w:cs="Times New Roman" w:eastAsia="Times New Roman" w:hAnsi="Times New Roman"/>
          <w:sz w:val="19"/>
          <w:szCs w:val="19"/>
          <w:color w:val="auto"/>
        </w:rPr>
        <w:t>means, at any time, the greater of (a) $30,000,000 and (b)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Aggregate Collateral Balance of the Collateral Loans for the three largest Obligors (determined as the Obligors with the three largest portions of the Aggregate Collateral Balance) (it being understood that multiple Collateral Loans from the same Obligor and its Affiliates shall be treated as a single exposure).</w:t>
      </w:r>
    </w:p>
    <w:p>
      <w:pPr>
        <w:spacing w:after="0" w:line="173" w:lineRule="exact"/>
        <w:rPr>
          <w:sz w:val="20"/>
          <w:szCs w:val="20"/>
          <w:color w:val="auto"/>
        </w:rPr>
      </w:pPr>
    </w:p>
    <w:p>
      <w:pPr>
        <w:ind w:left="760" w:right="7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Minimum Weighted Average Coupon Test</w:t>
      </w:r>
      <w:r>
        <w:rPr>
          <w:rFonts w:ascii="Times New Roman" w:cs="Times New Roman" w:eastAsia="Times New Roman" w:hAnsi="Times New Roman"/>
          <w:sz w:val="19"/>
          <w:szCs w:val="19"/>
          <w:color w:val="auto"/>
        </w:rPr>
        <w:t>” means a test that will be satisfied on any date of determination if the Weighted Average Coupon equals or exceeds 8.0%.</w:t>
      </w:r>
    </w:p>
    <w:p>
      <w:pPr>
        <w:spacing w:after="0" w:line="148" w:lineRule="exact"/>
        <w:rPr>
          <w:sz w:val="20"/>
          <w:szCs w:val="20"/>
          <w:color w:val="auto"/>
        </w:rPr>
      </w:pPr>
    </w:p>
    <w:p>
      <w:pPr>
        <w:ind w:left="760" w:right="84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Minimum Weighted Average Spread Test</w:t>
      </w:r>
      <w:r>
        <w:rPr>
          <w:rFonts w:ascii="Times New Roman" w:cs="Times New Roman" w:eastAsia="Times New Roman" w:hAnsi="Times New Roman"/>
          <w:sz w:val="19"/>
          <w:szCs w:val="19"/>
          <w:color w:val="auto"/>
        </w:rPr>
        <w:t>” means a test that will be satisfied on any date of determination if the Weighted Average Floating Spread equals or exceeds 4.5%.</w:t>
      </w:r>
    </w:p>
    <w:p>
      <w:pPr>
        <w:spacing w:after="0" w:line="148" w:lineRule="exact"/>
        <w:rPr>
          <w:sz w:val="20"/>
          <w:szCs w:val="20"/>
          <w:color w:val="auto"/>
        </w:rPr>
      </w:pPr>
    </w:p>
    <w:p>
      <w:pPr>
        <w:ind w:left="760" w:right="80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Mining and Metals Industry</w:t>
      </w:r>
      <w:r>
        <w:rPr>
          <w:rFonts w:ascii="Times New Roman" w:cs="Times New Roman" w:eastAsia="Times New Roman" w:hAnsi="Times New Roman"/>
          <w:sz w:val="19"/>
          <w:szCs w:val="19"/>
          <w:color w:val="auto"/>
        </w:rPr>
        <w:t>” means an industry where the Obligor directly supports: the mining, processing and/or sale of uranium for weapons purposes; or the mining or trading of rough diamonds not certified under the Kimberley Process Certification Scheme which provides assurance that diamonds have not been used to finance wars against legitimate governments, historically a particular problem in Africa through “conflict diamonds”.</w:t>
      </w:r>
    </w:p>
    <w:p>
      <w:pPr>
        <w:spacing w:after="0" w:line="156" w:lineRule="exact"/>
        <w:rPr>
          <w:sz w:val="20"/>
          <w:szCs w:val="20"/>
          <w:color w:val="auto"/>
        </w:rPr>
      </w:pPr>
    </w:p>
    <w:p>
      <w:pPr>
        <w:ind w:left="1340"/>
        <w:spacing w:after="0" w:line="219" w:lineRule="exact"/>
        <w:rPr>
          <w:sz w:val="20"/>
          <w:szCs w:val="20"/>
          <w:color w:val="auto"/>
        </w:rPr>
      </w:pPr>
      <w:r>
        <w:rPr>
          <w:rFonts w:ascii="Times New Roman" w:cs="Times New Roman" w:eastAsia="Times New Roman" w:hAnsi="Times New Roman"/>
          <w:sz w:val="19"/>
          <w:szCs w:val="19"/>
          <w:i w:val="1"/>
          <w:iCs w:val="1"/>
          <w:color w:val="auto"/>
        </w:rPr>
        <w:t xml:space="preserve">“Money” </w:t>
      </w:r>
      <w:r>
        <w:rPr>
          <w:rFonts w:ascii="Times New Roman" w:cs="Times New Roman" w:eastAsia="Times New Roman" w:hAnsi="Times New Roman"/>
          <w:sz w:val="19"/>
          <w:szCs w:val="19"/>
          <w:color w:val="auto"/>
        </w:rPr>
        <w:t>has the meaning specified in Section 1</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201(24) of the UCC.</w:t>
      </w:r>
    </w:p>
    <w:p>
      <w:pPr>
        <w:spacing w:after="0" w:line="243" w:lineRule="exact"/>
        <w:rPr>
          <w:sz w:val="20"/>
          <w:szCs w:val="20"/>
          <w:color w:val="auto"/>
        </w:rPr>
      </w:pPr>
    </w:p>
    <w:p>
      <w:pPr>
        <w:ind w:left="760" w:right="14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“Monthly Asset Amount” </w:t>
      </w:r>
      <w:r>
        <w:rPr>
          <w:rFonts w:ascii="Times New Roman" w:cs="Times New Roman" w:eastAsia="Times New Roman" w:hAnsi="Times New Roman"/>
          <w:sz w:val="19"/>
          <w:szCs w:val="19"/>
          <w:color w:val="auto"/>
        </w:rPr>
        <w:t>means, for any Payment Date, the Aggregate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Balance as of the last day of the most recent Collection Period.</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“Monthly Report” </w:t>
      </w:r>
      <w:r>
        <w:rPr>
          <w:rFonts w:ascii="Times New Roman" w:cs="Times New Roman" w:eastAsia="Times New Roman" w:hAnsi="Times New Roman"/>
          <w:sz w:val="19"/>
          <w:szCs w:val="19"/>
          <w:color w:val="auto"/>
        </w:rPr>
        <w:t>has the meaning specified in Section 8.06(a).</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“Monthly Report Determination Date” </w:t>
      </w:r>
      <w:r>
        <w:rPr>
          <w:rFonts w:ascii="Times New Roman" w:cs="Times New Roman" w:eastAsia="Times New Roman" w:hAnsi="Times New Roman"/>
          <w:sz w:val="19"/>
          <w:szCs w:val="19"/>
          <w:color w:val="auto"/>
        </w:rPr>
        <w:t>has the meaning specified in Section 8.06(a).</w:t>
      </w:r>
    </w:p>
    <w:p>
      <w:pPr>
        <w:spacing w:after="0" w:line="226" w:lineRule="exact"/>
        <w:rPr>
          <w:sz w:val="20"/>
          <w:szCs w:val="20"/>
          <w:color w:val="auto"/>
        </w:rPr>
      </w:pPr>
    </w:p>
    <w:p>
      <w:pPr>
        <w:ind w:left="760" w:right="860" w:firstLine="576"/>
        <w:spacing w:after="0" w:line="223" w:lineRule="auto"/>
        <w:rPr>
          <w:sz w:val="20"/>
          <w:szCs w:val="20"/>
          <w:color w:val="auto"/>
        </w:rPr>
      </w:pPr>
      <w:r>
        <w:rPr>
          <w:rFonts w:ascii="Times New Roman" w:cs="Times New Roman" w:eastAsia="Times New Roman" w:hAnsi="Times New Roman"/>
          <w:sz w:val="19"/>
          <w:szCs w:val="19"/>
          <w:i w:val="1"/>
          <w:iCs w:val="1"/>
          <w:color w:val="auto"/>
        </w:rPr>
        <w:t xml:space="preserve">“Monthly Reporting Date” </w:t>
      </w:r>
      <w:r>
        <w:rPr>
          <w:rFonts w:ascii="Times New Roman" w:cs="Times New Roman" w:eastAsia="Times New Roman" w:hAnsi="Times New Roman"/>
          <w:sz w:val="19"/>
          <w:szCs w:val="19"/>
          <w:color w:val="auto"/>
        </w:rPr>
        <w:t>means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calendar day (or, if such day is not a Business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Day, on the next succeeding Business Day) of each calendar month.</w:t>
      </w:r>
    </w:p>
    <w:p>
      <w:pPr>
        <w:spacing w:after="0" w:line="19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“Moody’s” </w:t>
      </w:r>
      <w:r>
        <w:rPr>
          <w:rFonts w:ascii="Times New Roman" w:cs="Times New Roman" w:eastAsia="Times New Roman" w:hAnsi="Times New Roman"/>
          <w:sz w:val="19"/>
          <w:szCs w:val="19"/>
          <w:color w:val="auto"/>
        </w:rPr>
        <w:t>means Moody’s Investors Service, Inc., together with its successors.</w:t>
      </w:r>
    </w:p>
    <w:p>
      <w:pPr>
        <w:spacing w:after="0" w:line="226" w:lineRule="exact"/>
        <w:rPr>
          <w:sz w:val="20"/>
          <w:szCs w:val="20"/>
          <w:color w:val="auto"/>
        </w:rPr>
      </w:pPr>
    </w:p>
    <w:p>
      <w:pPr>
        <w:ind w:left="760" w:right="126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“Multicurrency Advance” </w:t>
      </w:r>
      <w:r>
        <w:rPr>
          <w:rFonts w:ascii="Times New Roman" w:cs="Times New Roman" w:eastAsia="Times New Roman" w:hAnsi="Times New Roman"/>
          <w:sz w:val="19"/>
          <w:szCs w:val="19"/>
          <w:color w:val="auto"/>
        </w:rPr>
        <w:t>means an Advance denominated in Dollars or an Agreed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Foreign Currency.</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4" w:name="page135"/>
    <w:bookmarkEnd w:id="134"/>
    <w:p>
      <w:pPr>
        <w:spacing w:after="0" w:line="200" w:lineRule="exact"/>
        <w:rPr>
          <w:sz w:val="20"/>
          <w:szCs w:val="20"/>
          <w:color w:val="auto"/>
        </w:rPr>
      </w:pPr>
    </w:p>
    <w:p>
      <w:pPr>
        <w:spacing w:after="0" w:line="283" w:lineRule="exact"/>
        <w:rPr>
          <w:sz w:val="20"/>
          <w:szCs w:val="20"/>
          <w:color w:val="auto"/>
        </w:rPr>
      </w:pPr>
    </w:p>
    <w:p>
      <w:pPr>
        <w:ind w:left="760" w:right="7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“Multiemployer Plan” </w:t>
      </w:r>
      <w:r>
        <w:rPr>
          <w:rFonts w:ascii="Times New Roman" w:cs="Times New Roman" w:eastAsia="Times New Roman" w:hAnsi="Times New Roman"/>
          <w:sz w:val="19"/>
          <w:szCs w:val="19"/>
          <w:color w:val="auto"/>
        </w:rPr>
        <w:t>means an employee pension benefit plan within the meaning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Section 4001(a)(3) of ERISA that is sponsored by the Borrower or a member of its ERISA Group or to which the Borrower or a member of its ERISA Group is obligated to make contributions or has any liability.</w:t>
      </w:r>
    </w:p>
    <w:p>
      <w:pPr>
        <w:spacing w:after="0" w:line="171" w:lineRule="exact"/>
        <w:rPr>
          <w:sz w:val="20"/>
          <w:szCs w:val="20"/>
          <w:color w:val="auto"/>
        </w:rPr>
      </w:pPr>
    </w:p>
    <w:p>
      <w:pPr>
        <w:ind w:left="760" w:right="78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Net Worth</w:t>
      </w:r>
      <w:r>
        <w:rPr>
          <w:rFonts w:ascii="Times New Roman" w:cs="Times New Roman" w:eastAsia="Times New Roman" w:hAnsi="Times New Roman"/>
          <w:sz w:val="19"/>
          <w:szCs w:val="19"/>
          <w:color w:val="auto"/>
        </w:rPr>
        <w:t>” means, for any Obligor and at any time the same is to be determined, the difference between total assets and total liabilities of such Obligor, total assets and total liabilities each to be determined in accordance with GAAP.</w:t>
      </w:r>
    </w:p>
    <w:p>
      <w:pPr>
        <w:spacing w:after="0" w:line="149" w:lineRule="exact"/>
        <w:rPr>
          <w:sz w:val="20"/>
          <w:szCs w:val="20"/>
          <w:color w:val="auto"/>
        </w:rPr>
      </w:pPr>
    </w:p>
    <w:p>
      <w:pPr>
        <w:ind w:left="760" w:right="800" w:firstLine="576"/>
        <w:spacing w:after="0" w:line="235" w:lineRule="exact"/>
        <w:rPr>
          <w:sz w:val="20"/>
          <w:szCs w:val="20"/>
          <w:color w:val="auto"/>
        </w:rPr>
      </w:pPr>
      <w:r>
        <w:rPr>
          <w:rFonts w:ascii="Times New Roman" w:cs="Times New Roman" w:eastAsia="Times New Roman" w:hAnsi="Times New Roman"/>
          <w:sz w:val="19"/>
          <w:szCs w:val="19"/>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Cash Paying PIK Loan” </w:t>
      </w:r>
      <w:r>
        <w:rPr>
          <w:rFonts w:ascii="Times New Roman" w:cs="Times New Roman" w:eastAsia="Times New Roman" w:hAnsi="Times New Roman"/>
          <w:sz w:val="19"/>
          <w:szCs w:val="19"/>
          <w:color w:val="auto"/>
        </w:rPr>
        <w:t>means a Collateral Loan that requires the Obligor to pay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only a portion of the accrued and unpaid interest in Cash on a current basis, the remainder of which is or can be deferred and paid later; provided that the portion of such interest required to be paid in Cash pursuant to the terms of the applicable Related Documents carries a current Cash pay interest rate paid (x) at a floating rate of less than 2.50% per annum over London interbank offered rate or SOFR, as applicable, or (y) at a fixed rate of less than 6.0% per annum.</w:t>
      </w:r>
    </w:p>
    <w:p>
      <w:pPr>
        <w:spacing w:after="0" w:line="192" w:lineRule="exact"/>
        <w:rPr>
          <w:sz w:val="20"/>
          <w:szCs w:val="20"/>
          <w:color w:val="auto"/>
        </w:rPr>
      </w:pPr>
    </w:p>
    <w:p>
      <w:pPr>
        <w:ind w:left="760" w:right="132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Non-Defaulting Lender</w:t>
      </w:r>
      <w:r>
        <w:rPr>
          <w:rFonts w:ascii="Times New Roman" w:cs="Times New Roman" w:eastAsia="Times New Roman" w:hAnsi="Times New Roman"/>
          <w:sz w:val="19"/>
          <w:szCs w:val="19"/>
          <w:color w:val="auto"/>
        </w:rPr>
        <w:t>” shall mean, at any time, a Lender that is not a Defaulting Lender.</w:t>
      </w:r>
    </w:p>
    <w:p>
      <w:pPr>
        <w:spacing w:after="0" w:line="148" w:lineRule="exact"/>
        <w:rPr>
          <w:sz w:val="20"/>
          <w:szCs w:val="20"/>
          <w:color w:val="auto"/>
        </w:rPr>
      </w:pPr>
    </w:p>
    <w:p>
      <w:pPr>
        <w:ind w:left="760" w:right="76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Noteless Loan</w:t>
      </w:r>
      <w:r>
        <w:rPr>
          <w:rFonts w:ascii="Times New Roman" w:cs="Times New Roman" w:eastAsia="Times New Roman" w:hAnsi="Times New Roman"/>
          <w:sz w:val="19"/>
          <w:szCs w:val="19"/>
          <w:color w:val="auto"/>
        </w:rPr>
        <w:t>” means a Collateral Loan with respect to which (i) the related loan agreement does not require the obligor to execute and deliver an Underlying Note to evidence the indebtedness created under such Collateral Loan and (ii) no Underlying Notes are outstanding with respect to the portion of the Collateral Loan transferred to the Borrower.</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“Notice of Borrowing” </w:t>
      </w:r>
      <w:r>
        <w:rPr>
          <w:rFonts w:ascii="Times New Roman" w:cs="Times New Roman" w:eastAsia="Times New Roman" w:hAnsi="Times New Roman"/>
          <w:sz w:val="19"/>
          <w:szCs w:val="19"/>
          <w:color w:val="auto"/>
        </w:rPr>
        <w:t>has the meaning assigned to such term in Section 2.02.</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“Notice of Prepayment” </w:t>
      </w:r>
      <w:r>
        <w:rPr>
          <w:rFonts w:ascii="Times New Roman" w:cs="Times New Roman" w:eastAsia="Times New Roman" w:hAnsi="Times New Roman"/>
          <w:sz w:val="19"/>
          <w:szCs w:val="19"/>
          <w:color w:val="auto"/>
        </w:rPr>
        <w:t>has the meaning assigned to such term in Section 2.05.</w:t>
      </w:r>
    </w:p>
    <w:p>
      <w:pPr>
        <w:spacing w:after="0" w:line="226" w:lineRule="exact"/>
        <w:rPr>
          <w:sz w:val="20"/>
          <w:szCs w:val="20"/>
          <w:color w:val="auto"/>
        </w:rPr>
      </w:pPr>
    </w:p>
    <w:p>
      <w:pPr>
        <w:ind w:left="760" w:right="84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“Obligations” </w:t>
      </w:r>
      <w:r>
        <w:rPr>
          <w:rFonts w:ascii="Times New Roman" w:cs="Times New Roman" w:eastAsia="Times New Roman" w:hAnsi="Times New Roman"/>
          <w:sz w:val="19"/>
          <w:szCs w:val="19"/>
          <w:color w:val="auto"/>
        </w:rPr>
        <w:t>means all indebtedness, whether absolute, fixed or contingent, at any time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from time to time owing by the Borrower to any Secured Party or any Affected Person under or in connection with this Agreement, the Collateral Agent Fee Letter or any other Facility Document, including all amounts payable by the Borrower in respect of the Advances, with interest thereon, and all amounts payable hereunder.</w:t>
      </w:r>
    </w:p>
    <w:p>
      <w:pPr>
        <w:spacing w:after="0" w:line="173" w:lineRule="exact"/>
        <w:rPr>
          <w:sz w:val="20"/>
          <w:szCs w:val="20"/>
          <w:color w:val="auto"/>
        </w:rPr>
      </w:pPr>
    </w:p>
    <w:p>
      <w:pPr>
        <w:ind w:left="760" w:right="10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“Obligor” </w:t>
      </w:r>
      <w:r>
        <w:rPr>
          <w:rFonts w:ascii="Times New Roman" w:cs="Times New Roman" w:eastAsia="Times New Roman" w:hAnsi="Times New Roman"/>
          <w:sz w:val="19"/>
          <w:szCs w:val="19"/>
          <w:color w:val="auto"/>
        </w:rPr>
        <w:t>means, in respect of any Collateral Loan, the Person primarily obligated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 Collections in respect of such Collateral Loan.</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“OFAC” </w:t>
      </w:r>
      <w:r>
        <w:rPr>
          <w:rFonts w:ascii="Times New Roman" w:cs="Times New Roman" w:eastAsia="Times New Roman" w:hAnsi="Times New Roman"/>
          <w:sz w:val="19"/>
          <w:szCs w:val="19"/>
          <w:color w:val="auto"/>
        </w:rPr>
        <w:t>has the meaning assigned to such term in Section 4.01(f).</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“Offer” </w:t>
      </w:r>
      <w:r>
        <w:rPr>
          <w:rFonts w:ascii="Times New Roman" w:cs="Times New Roman" w:eastAsia="Times New Roman" w:hAnsi="Times New Roman"/>
          <w:sz w:val="19"/>
          <w:szCs w:val="19"/>
          <w:color w:val="auto"/>
        </w:rPr>
        <w:t>has the meaning given in Section 8.07(c).</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“Original Currency” </w:t>
      </w:r>
      <w:r>
        <w:rPr>
          <w:rFonts w:ascii="Times New Roman" w:cs="Times New Roman" w:eastAsia="Times New Roman" w:hAnsi="Times New Roman"/>
          <w:sz w:val="19"/>
          <w:szCs w:val="19"/>
          <w:color w:val="auto"/>
        </w:rPr>
        <w:t>has the meaning assigned to such term in Section 2.14.</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“Other Connection Taxes” </w:t>
      </w:r>
      <w:r>
        <w:rPr>
          <w:rFonts w:ascii="Times New Roman" w:cs="Times New Roman" w:eastAsia="Times New Roman" w:hAnsi="Times New Roman"/>
          <w:sz w:val="19"/>
          <w:szCs w:val="19"/>
          <w:color w:val="auto"/>
        </w:rPr>
        <w:t>has the meaning given in Section 15.03(a).</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“Other Taxes” </w:t>
      </w:r>
      <w:r>
        <w:rPr>
          <w:rFonts w:ascii="Times New Roman" w:cs="Times New Roman" w:eastAsia="Times New Roman" w:hAnsi="Times New Roman"/>
          <w:sz w:val="19"/>
          <w:szCs w:val="19"/>
          <w:color w:val="auto"/>
        </w:rPr>
        <w:t>has the meaning given in Section 15.03(b).</w:t>
      </w:r>
    </w:p>
    <w:p>
      <w:pPr>
        <w:spacing w:after="0" w:line="26" w:lineRule="exact"/>
        <w:rPr>
          <w:sz w:val="20"/>
          <w:szCs w:val="20"/>
          <w:color w:val="auto"/>
        </w:rPr>
      </w:pPr>
    </w:p>
    <w:p>
      <w:pPr>
        <w:ind w:left="436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5" w:name="page136"/>
    <w:bookmarkEnd w:id="135"/>
    <w:p>
      <w:pPr>
        <w:spacing w:after="0" w:line="200" w:lineRule="exact"/>
        <w:rPr>
          <w:sz w:val="20"/>
          <w:szCs w:val="20"/>
          <w:color w:val="auto"/>
        </w:rPr>
      </w:pPr>
    </w:p>
    <w:p>
      <w:pPr>
        <w:spacing w:after="0" w:line="283" w:lineRule="exact"/>
        <w:rPr>
          <w:sz w:val="20"/>
          <w:szCs w:val="20"/>
          <w:color w:val="auto"/>
        </w:rPr>
      </w:pPr>
    </w:p>
    <w:p>
      <w:pPr>
        <w:ind w:left="760" w:right="7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“Ownership Certificates” </w:t>
      </w:r>
      <w:r>
        <w:rPr>
          <w:rFonts w:ascii="Times New Roman" w:cs="Times New Roman" w:eastAsia="Times New Roman" w:hAnsi="Times New Roman"/>
          <w:sz w:val="19"/>
          <w:szCs w:val="19"/>
          <w:color w:val="auto"/>
        </w:rPr>
        <w:t>means, in respect of any Collateral, all stock, ownership</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certificates, participation certificates and other “instruments” and “certificated securities” (as such terms are defined in the UCC), if any, governing or evidencing or representing ownership of such Collateral.</w:t>
      </w:r>
    </w:p>
    <w:p>
      <w:pPr>
        <w:spacing w:after="0" w:line="171" w:lineRule="exact"/>
        <w:rPr>
          <w:sz w:val="20"/>
          <w:szCs w:val="20"/>
          <w:color w:val="auto"/>
        </w:rPr>
      </w:pPr>
    </w:p>
    <w:p>
      <w:pPr>
        <w:ind w:left="760" w:right="760" w:firstLine="57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Partial PIK Loan</w:t>
      </w:r>
      <w:r>
        <w:rPr>
          <w:rFonts w:ascii="Times New Roman" w:cs="Times New Roman" w:eastAsia="Times New Roman" w:hAnsi="Times New Roman"/>
          <w:sz w:val="19"/>
          <w:szCs w:val="19"/>
          <w:color w:val="auto"/>
        </w:rPr>
        <w:t xml:space="preserve">” means a Collateral Loan that requires the Obligor to pay only a portion of the accrued and unpaid interest in Cash on a current basis, the remainder of which is or can be deferred and paid later;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portion of such interest required to be paid in Cash pursuant to the terms of the applicable Related Documents carries a current Cash pay interest rate paid (x) at a floating rate of not less than 2.50% and not equal to or greater than</w:t>
      </w:r>
    </w:p>
    <w:p>
      <w:pPr>
        <w:spacing w:after="0" w:line="4" w:lineRule="exact"/>
        <w:rPr>
          <w:sz w:val="20"/>
          <w:szCs w:val="20"/>
          <w:color w:val="auto"/>
        </w:rPr>
      </w:pPr>
    </w:p>
    <w:p>
      <w:pPr>
        <w:ind w:left="760" w:right="780"/>
        <w:spacing w:after="0" w:line="262" w:lineRule="auto"/>
        <w:rPr>
          <w:sz w:val="20"/>
          <w:szCs w:val="20"/>
          <w:color w:val="auto"/>
        </w:rPr>
      </w:pPr>
      <w:r>
        <w:rPr>
          <w:rFonts w:ascii="Times New Roman" w:cs="Times New Roman" w:eastAsia="Times New Roman" w:hAnsi="Times New Roman"/>
          <w:sz w:val="19"/>
          <w:szCs w:val="19"/>
          <w:color w:val="auto"/>
        </w:rPr>
        <w:t xml:space="preserve">4.0%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over London interbank offered rate or SOFR, as applicable, or (y) at a fixed rate of not less than 6.0% and not equal to or greater than 8.0%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ind w:left="760" w:right="8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“Participant” </w:t>
      </w:r>
      <w:r>
        <w:rPr>
          <w:rFonts w:ascii="Times New Roman" w:cs="Times New Roman" w:eastAsia="Times New Roman" w:hAnsi="Times New Roman"/>
          <w:sz w:val="19"/>
          <w:szCs w:val="19"/>
          <w:color w:val="auto"/>
        </w:rPr>
        <w:t>means any Person to whom a participation is sold as permitted by Section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15.06(d).</w:t>
      </w:r>
    </w:p>
    <w:p>
      <w:pPr>
        <w:spacing w:after="0" w:line="148" w:lineRule="exact"/>
        <w:rPr>
          <w:sz w:val="20"/>
          <w:szCs w:val="20"/>
          <w:color w:val="auto"/>
        </w:rPr>
      </w:pPr>
    </w:p>
    <w:p>
      <w:pPr>
        <w:ind w:left="760" w:right="82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“Participating Member State” </w:t>
      </w:r>
      <w:r>
        <w:rPr>
          <w:rFonts w:ascii="Times New Roman" w:cs="Times New Roman" w:eastAsia="Times New Roman" w:hAnsi="Times New Roman"/>
          <w:sz w:val="19"/>
          <w:szCs w:val="19"/>
          <w:color w:val="auto"/>
        </w:rPr>
        <w:t>means any member state of the European Community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adopts or has adopted the Euro as its lawful currency in accordance with the legislation of the European Union relating to the European Monetary Union.</w:t>
      </w:r>
    </w:p>
    <w:p>
      <w:pPr>
        <w:spacing w:after="0" w:line="166" w:lineRule="exact"/>
        <w:rPr>
          <w:sz w:val="20"/>
          <w:szCs w:val="20"/>
          <w:color w:val="auto"/>
        </w:rPr>
      </w:pPr>
    </w:p>
    <w:p>
      <w:pPr>
        <w:ind w:left="760" w:right="7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“Participation Interest” </w:t>
      </w:r>
      <w:r>
        <w:rPr>
          <w:rFonts w:ascii="Times New Roman" w:cs="Times New Roman" w:eastAsia="Times New Roman" w:hAnsi="Times New Roman"/>
          <w:sz w:val="19"/>
          <w:szCs w:val="19"/>
          <w:color w:val="auto"/>
        </w:rPr>
        <w:t>means a participation interest in a loan or other obligation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would, at the time of acquisition, or the Borrower’s commitment to acquire the same, constitute a Collateral Loan.</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“PATRIOT Act” </w:t>
      </w:r>
      <w:r>
        <w:rPr>
          <w:rFonts w:ascii="Times New Roman" w:cs="Times New Roman" w:eastAsia="Times New Roman" w:hAnsi="Times New Roman"/>
          <w:sz w:val="19"/>
          <w:szCs w:val="19"/>
          <w:color w:val="auto"/>
        </w:rPr>
        <w:t>has the meaning assigned to such term in Section 15.16.</w:t>
      </w:r>
    </w:p>
    <w:p>
      <w:pPr>
        <w:spacing w:after="0" w:line="226" w:lineRule="exact"/>
        <w:rPr>
          <w:sz w:val="20"/>
          <w:szCs w:val="20"/>
          <w:color w:val="auto"/>
        </w:rPr>
      </w:pPr>
    </w:p>
    <w:p>
      <w:pPr>
        <w:ind w:left="760" w:right="10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“Payment Account” </w:t>
      </w:r>
      <w:r>
        <w:rPr>
          <w:rFonts w:ascii="Times New Roman" w:cs="Times New Roman" w:eastAsia="Times New Roman" w:hAnsi="Times New Roman"/>
          <w:sz w:val="19"/>
          <w:szCs w:val="19"/>
          <w:color w:val="auto"/>
        </w:rPr>
        <w:t>means, collectively, the payment accounts of the Collateral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established pursuant to Section 8.03(a).</w:t>
      </w:r>
    </w:p>
    <w:p>
      <w:pPr>
        <w:spacing w:after="0" w:line="148" w:lineRule="exact"/>
        <w:rPr>
          <w:sz w:val="20"/>
          <w:szCs w:val="20"/>
          <w:color w:val="auto"/>
        </w:rPr>
      </w:pPr>
    </w:p>
    <w:p>
      <w:pPr>
        <w:ind w:left="760" w:right="900" w:firstLine="576"/>
        <w:spacing w:after="0" w:line="231" w:lineRule="auto"/>
        <w:rPr>
          <w:sz w:val="20"/>
          <w:szCs w:val="20"/>
          <w:color w:val="auto"/>
        </w:rPr>
      </w:pPr>
      <w:r>
        <w:rPr>
          <w:rFonts w:ascii="Times New Roman" w:cs="Times New Roman" w:eastAsia="Times New Roman" w:hAnsi="Times New Roman"/>
          <w:sz w:val="19"/>
          <w:szCs w:val="19"/>
          <w:i w:val="1"/>
          <w:iCs w:val="1"/>
          <w:color w:val="auto"/>
        </w:rPr>
        <w:t xml:space="preserve">“Payment Date” </w:t>
      </w:r>
      <w:r>
        <w:rPr>
          <w:rFonts w:ascii="Times New Roman" w:cs="Times New Roman" w:eastAsia="Times New Roman" w:hAnsi="Times New Roman"/>
          <w:sz w:val="19"/>
          <w:szCs w:val="19"/>
          <w:color w:val="auto"/>
        </w:rPr>
        <w:t>means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day of each calendar month in each year;</w:t>
      </w:r>
      <w:r>
        <w:rPr>
          <w:rFonts w:ascii="Times New Roman" w:cs="Times New Roman" w:eastAsia="Times New Roman" w:hAnsi="Times New Roman"/>
          <w:sz w:val="19"/>
          <w:szCs w:val="19"/>
          <w:i w:val="1"/>
          <w:iCs w:val="1"/>
          <w:color w:val="auto"/>
        </w:rPr>
        <w:t xml:space="preserve"> provided </w:t>
      </w:r>
      <w:r>
        <w:rPr>
          <w:rFonts w:ascii="Times New Roman" w:cs="Times New Roman" w:eastAsia="Times New Roman" w:hAnsi="Times New Roman"/>
          <w:sz w:val="19"/>
          <w:szCs w:val="19"/>
          <w:color w:val="auto"/>
        </w:rPr>
        <w:t>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if any such day is not a Business Day, then such Payment Date shall be the next succeeding Business Day.</w:t>
      </w:r>
    </w:p>
    <w:p>
      <w:pPr>
        <w:spacing w:after="0" w:line="19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“Payment Date Report” </w:t>
      </w:r>
      <w:r>
        <w:rPr>
          <w:rFonts w:ascii="Times New Roman" w:cs="Times New Roman" w:eastAsia="Times New Roman" w:hAnsi="Times New Roman"/>
          <w:sz w:val="19"/>
          <w:szCs w:val="19"/>
          <w:color w:val="auto"/>
        </w:rPr>
        <w:t>has the meaning specified in Section 8.06(b).</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“Payment Recipient” </w:t>
      </w:r>
      <w:r>
        <w:rPr>
          <w:rFonts w:ascii="Times New Roman" w:cs="Times New Roman" w:eastAsia="Times New Roman" w:hAnsi="Times New Roman"/>
          <w:sz w:val="19"/>
          <w:szCs w:val="19"/>
          <w:color w:val="auto"/>
        </w:rPr>
        <w:t>has the meaning given in Section 12.07(a).</w:t>
      </w:r>
    </w:p>
    <w:p>
      <w:pPr>
        <w:spacing w:after="0" w:line="226" w:lineRule="exact"/>
        <w:rPr>
          <w:sz w:val="20"/>
          <w:szCs w:val="20"/>
          <w:color w:val="auto"/>
        </w:rPr>
      </w:pPr>
    </w:p>
    <w:p>
      <w:pPr>
        <w:ind w:left="760" w:right="9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“PBGC” </w:t>
      </w:r>
      <w:r>
        <w:rPr>
          <w:rFonts w:ascii="Times New Roman" w:cs="Times New Roman" w:eastAsia="Times New Roman" w:hAnsi="Times New Roman"/>
          <w:sz w:val="19"/>
          <w:szCs w:val="19"/>
          <w:color w:val="auto"/>
        </w:rPr>
        <w:t>means the Pension Benefit Guaranty Corporation, or any successor agency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entity performing substantially the same functions.</w:t>
      </w:r>
    </w:p>
    <w:p>
      <w:pPr>
        <w:spacing w:after="0" w:line="148" w:lineRule="exact"/>
        <w:rPr>
          <w:sz w:val="20"/>
          <w:szCs w:val="20"/>
          <w:color w:val="auto"/>
        </w:rPr>
      </w:pPr>
    </w:p>
    <w:p>
      <w:pPr>
        <w:ind w:left="760" w:right="90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“Percentage” </w:t>
      </w:r>
      <w:r>
        <w:rPr>
          <w:rFonts w:ascii="Times New Roman" w:cs="Times New Roman" w:eastAsia="Times New Roman" w:hAnsi="Times New Roman"/>
          <w:sz w:val="19"/>
          <w:szCs w:val="19"/>
          <w:color w:val="auto"/>
        </w:rPr>
        <w:t>of any Lender means, (a) with respect to any Lender party hereto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date hereof, the percentage set forth opposite such Lender’s name on Schedule 1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6" w:name="page137"/>
    <w:bookmarkEnd w:id="136"/>
    <w:p>
      <w:pPr>
        <w:spacing w:after="0" w:line="200" w:lineRule="exact"/>
        <w:rPr>
          <w:sz w:val="20"/>
          <w:szCs w:val="20"/>
          <w:color w:val="auto"/>
        </w:rPr>
      </w:pPr>
    </w:p>
    <w:p>
      <w:pPr>
        <w:spacing w:after="0" w:line="285" w:lineRule="exact"/>
        <w:rPr>
          <w:sz w:val="20"/>
          <w:szCs w:val="20"/>
          <w:color w:val="auto"/>
        </w:rPr>
      </w:pPr>
    </w:p>
    <w:p>
      <w:pPr>
        <w:ind w:left="760" w:right="960"/>
        <w:spacing w:after="0" w:line="286" w:lineRule="auto"/>
        <w:rPr>
          <w:sz w:val="20"/>
          <w:szCs w:val="20"/>
          <w:color w:val="auto"/>
        </w:rPr>
      </w:pPr>
      <w:r>
        <w:rPr>
          <w:rFonts w:ascii="Times New Roman" w:cs="Times New Roman" w:eastAsia="Times New Roman" w:hAnsi="Times New Roman"/>
          <w:sz w:val="19"/>
          <w:szCs w:val="19"/>
          <w:color w:val="auto"/>
        </w:rPr>
        <w:t>Assignment and Acceptance entered into between such Lender and an assignee or increased by any Assignment and Acceptance entered into by such lender with an assignor.</w:t>
      </w:r>
    </w:p>
    <w:p>
      <w:pPr>
        <w:spacing w:after="0" w:line="1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“Permitted Agent” </w:t>
      </w:r>
      <w:r>
        <w:rPr>
          <w:rFonts w:ascii="Times New Roman" w:cs="Times New Roman" w:eastAsia="Times New Roman" w:hAnsi="Times New Roman"/>
          <w:sz w:val="19"/>
          <w:szCs w:val="19"/>
          <w:color w:val="auto"/>
        </w:rPr>
        <w:t>means:</w:t>
      </w:r>
    </w:p>
    <w:p>
      <w:pPr>
        <w:spacing w:after="0" w:line="228" w:lineRule="exact"/>
        <w:rPr>
          <w:sz w:val="20"/>
          <w:szCs w:val="20"/>
          <w:color w:val="auto"/>
        </w:rPr>
      </w:pPr>
    </w:p>
    <w:p>
      <w:pPr>
        <w:ind w:left="1340" w:right="1040" w:firstLine="47"/>
        <w:spacing w:after="0" w:line="244" w:lineRule="exact"/>
        <w:tabs>
          <w:tab w:leader="none" w:pos="1649"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the Facility Documents, the Collateral Manager, the Custodian, the Agents, the Independent Accountants and any such party’s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agents; and</w:t>
      </w:r>
    </w:p>
    <w:p>
      <w:pPr>
        <w:spacing w:after="0" w:line="186" w:lineRule="exact"/>
        <w:rPr>
          <w:rFonts w:ascii="Times New Roman" w:cs="Times New Roman" w:eastAsia="Times New Roman" w:hAnsi="Times New Roman"/>
          <w:sz w:val="19"/>
          <w:szCs w:val="19"/>
          <w:color w:val="auto"/>
        </w:rPr>
      </w:pPr>
    </w:p>
    <w:p>
      <w:pPr>
        <w:ind w:left="1340" w:right="980" w:firstLine="47"/>
        <w:spacing w:after="0" w:line="234" w:lineRule="exact"/>
        <w:tabs>
          <w:tab w:leader="none" w:pos="166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the Collateral Loans, (i) administrative agents, collateral agents, arrangers, trustees and similar agents (and any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agents) appointed under the Related Documents, (ii) financial and restructuring advisors, appraisers and evaluators, (iii) foreign agents retained for foreign perfection purposes or other local law requirements,</w:t>
      </w:r>
    </w:p>
    <w:p>
      <w:pPr>
        <w:spacing w:after="0" w:line="2" w:lineRule="exact"/>
        <w:rPr>
          <w:rFonts w:ascii="Times New Roman" w:cs="Times New Roman" w:eastAsia="Times New Roman" w:hAnsi="Times New Roman"/>
          <w:sz w:val="19"/>
          <w:szCs w:val="19"/>
          <w:color w:val="auto"/>
        </w:rPr>
      </w:pPr>
    </w:p>
    <w:p>
      <w:pPr>
        <w:ind w:left="1340" w:right="940" w:hanging="1"/>
        <w:spacing w:after="0" w:line="229" w:lineRule="exact"/>
        <w:tabs>
          <w:tab w:leader="none" w:pos="1665"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back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office operations providers and (v) legal counsel, in each case, consistent with the Collateral Manager’s past practice and in the ordinary course of business.</w:t>
      </w:r>
    </w:p>
    <w:p>
      <w:pPr>
        <w:spacing w:after="0" w:line="191" w:lineRule="exact"/>
        <w:rPr>
          <w:sz w:val="20"/>
          <w:szCs w:val="20"/>
          <w:color w:val="auto"/>
        </w:rPr>
      </w:pPr>
    </w:p>
    <w:p>
      <w:pPr>
        <w:ind w:left="760" w:right="820" w:firstLine="576"/>
        <w:spacing w:after="0" w:line="232"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Assignee</w:t>
      </w:r>
      <w:r>
        <w:rPr>
          <w:rFonts w:ascii="Times New Roman" w:cs="Times New Roman" w:eastAsia="Times New Roman" w:hAnsi="Times New Roman"/>
          <w:sz w:val="19"/>
          <w:szCs w:val="19"/>
          <w:color w:val="auto"/>
        </w:rPr>
        <w:t>” means, with respect to (i) any CP Conduit, any Liquidity Bank for such CP Conduit and any other multi</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seller asset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backed commercial paper conduit administered by the same agent as such CP Conduit, (ii) any Lender other than a CP Conduit, an Affiliate of such Lender that has a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term unsecured debt rating or certificate of deposit rating of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 or better by S&amp;P or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 or better by Moody’s, and (iii) any Lender, any other Lender, and which, in the case of clause (ii) does not require the Borrower to pay any additional or increased costs or is otherwise approved by the Borrower.</w:t>
      </w:r>
    </w:p>
    <w:p>
      <w:pPr>
        <w:spacing w:after="0" w:line="194" w:lineRule="exact"/>
        <w:rPr>
          <w:sz w:val="20"/>
          <w:szCs w:val="20"/>
          <w:color w:val="auto"/>
        </w:rPr>
      </w:pPr>
    </w:p>
    <w:p>
      <w:pPr>
        <w:ind w:left="760" w:right="7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“Permitted Liens” </w:t>
      </w:r>
      <w:r>
        <w:rPr>
          <w:rFonts w:ascii="Times New Roman" w:cs="Times New Roman" w:eastAsia="Times New Roman" w:hAnsi="Times New Roman"/>
          <w:sz w:val="19"/>
          <w:szCs w:val="19"/>
          <w:color w:val="auto"/>
        </w:rPr>
        <w:t>means: (a) Liens created in favor of the Collateral Agent hereunder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the other Facility Documents for the benefit of the Secured Parties; and (b) Liens imposed by any Governmental Authority for taxes, assessments or charges not yet delinquent or which are being contested in good faith and by appropriate proceedings if adequate reserves with respect thereto are maintained on the books of the Borrower in accordance with GAAP.</w:t>
      </w:r>
    </w:p>
    <w:p>
      <w:pPr>
        <w:spacing w:after="0" w:line="173" w:lineRule="exact"/>
        <w:rPr>
          <w:sz w:val="20"/>
          <w:szCs w:val="20"/>
          <w:color w:val="auto"/>
        </w:rPr>
      </w:pPr>
    </w:p>
    <w:p>
      <w:pPr>
        <w:ind w:left="760" w:right="78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“Permitted Securitization” </w:t>
      </w:r>
      <w:r>
        <w:rPr>
          <w:rFonts w:ascii="Times New Roman" w:cs="Times New Roman" w:eastAsia="Times New Roman" w:hAnsi="Times New Roman"/>
          <w:sz w:val="19"/>
          <w:szCs w:val="19"/>
          <w:color w:val="auto"/>
        </w:rPr>
        <w:t>means any private or public term or conduit securitization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 undertaken by the Borrower or its Affiliates with the prior consent of the Administrative Agent (which consent shall not be unreasonably withheld or delayed) that is secured, directly or indirectly, by any Collateral Loan currently or formerly included in the Collateral or any portion thereof or any interest therein released from the Lien of this Agreement, including, without limitation, any collateralized loan obligation or collateralized debt obligation offering or other asset securitization.</w:t>
      </w:r>
    </w:p>
    <w:p>
      <w:pPr>
        <w:spacing w:after="0" w:line="181" w:lineRule="exact"/>
        <w:rPr>
          <w:sz w:val="20"/>
          <w:szCs w:val="20"/>
          <w:color w:val="auto"/>
        </w:rPr>
      </w:pPr>
    </w:p>
    <w:p>
      <w:pPr>
        <w:ind w:left="760" w:right="80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“Person” </w:t>
      </w:r>
      <w:r>
        <w:rPr>
          <w:rFonts w:ascii="Times New Roman" w:cs="Times New Roman" w:eastAsia="Times New Roman" w:hAnsi="Times New Roman"/>
          <w:sz w:val="19"/>
          <w:szCs w:val="19"/>
          <w:color w:val="auto"/>
        </w:rPr>
        <w:t>means an individual or a corporation (including a business trust), partnership,</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trust, incorporated or unincorporated association, joint stock company, limited liability company, government (or an agency or political subdivision thereof) or other entity of any kind.</w:t>
      </w:r>
    </w:p>
    <w:p>
      <w:pPr>
        <w:spacing w:after="0" w:line="166" w:lineRule="exact"/>
        <w:rPr>
          <w:sz w:val="20"/>
          <w:szCs w:val="20"/>
          <w:color w:val="auto"/>
        </w:rPr>
      </w:pPr>
    </w:p>
    <w:p>
      <w:pPr>
        <w:ind w:left="760" w:right="1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“PIK Loan” </w:t>
      </w:r>
      <w:r>
        <w:rPr>
          <w:rFonts w:ascii="Times New Roman" w:cs="Times New Roman" w:eastAsia="Times New Roman" w:hAnsi="Times New Roman"/>
          <w:sz w:val="19"/>
          <w:szCs w:val="19"/>
          <w:color w:val="auto"/>
        </w:rPr>
        <w:t>means a Collateral Loan that permits the obligor thereon to defer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capitalize any portion of the accrued interest thereon.</w:t>
      </w:r>
    </w:p>
    <w:p>
      <w:pPr>
        <w:spacing w:after="0" w:line="148" w:lineRule="exact"/>
        <w:rPr>
          <w:sz w:val="20"/>
          <w:szCs w:val="20"/>
          <w:color w:val="auto"/>
        </w:rPr>
      </w:pPr>
    </w:p>
    <w:p>
      <w:pPr>
        <w:jc w:val="both"/>
        <w:ind w:left="760" w:right="126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“Plan” </w:t>
      </w:r>
      <w:r>
        <w:rPr>
          <w:rFonts w:ascii="Times New Roman" w:cs="Times New Roman" w:eastAsia="Times New Roman" w:hAnsi="Times New Roman"/>
          <w:sz w:val="19"/>
          <w:szCs w:val="19"/>
          <w:color w:val="auto"/>
        </w:rPr>
        <w:t>means an employee pension benefit plan (other than a Multiemployer Plan)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is covered by Title IV of ERISA or subject to the minimum funding standards under Section 412</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7" w:name="page138"/>
    <w:bookmarkEnd w:id="137"/>
    <w:p>
      <w:pPr>
        <w:spacing w:after="0" w:line="200" w:lineRule="exact"/>
        <w:rPr>
          <w:sz w:val="20"/>
          <w:szCs w:val="20"/>
          <w:color w:val="auto"/>
        </w:rPr>
      </w:pPr>
    </w:p>
    <w:p>
      <w:pPr>
        <w:spacing w:after="0" w:line="285" w:lineRule="exact"/>
        <w:rPr>
          <w:sz w:val="20"/>
          <w:szCs w:val="20"/>
          <w:color w:val="auto"/>
        </w:rPr>
      </w:pPr>
    </w:p>
    <w:p>
      <w:pPr>
        <w:ind w:left="760" w:right="920"/>
        <w:spacing w:after="0" w:line="268" w:lineRule="auto"/>
        <w:rPr>
          <w:sz w:val="20"/>
          <w:szCs w:val="20"/>
          <w:color w:val="auto"/>
        </w:rPr>
      </w:pPr>
      <w:r>
        <w:rPr>
          <w:rFonts w:ascii="Times New Roman" w:cs="Times New Roman" w:eastAsia="Times New Roman" w:hAnsi="Times New Roman"/>
          <w:sz w:val="19"/>
          <w:szCs w:val="19"/>
          <w:color w:val="auto"/>
        </w:rPr>
        <w:t>of the Code that is sponsored by the Borrower or a member of its ERISA Group or to which the Borrower or a member of its ERISA Group is obligated to make contributions or has any liability.</w:t>
      </w:r>
    </w:p>
    <w:p>
      <w:pPr>
        <w:spacing w:after="0" w:line="149" w:lineRule="exact"/>
        <w:rPr>
          <w:sz w:val="20"/>
          <w:szCs w:val="20"/>
          <w:color w:val="auto"/>
        </w:rPr>
      </w:pPr>
    </w:p>
    <w:p>
      <w:pPr>
        <w:ind w:left="760" w:right="1120" w:firstLine="576"/>
        <w:spacing w:after="0" w:line="249" w:lineRule="exact"/>
        <w:rPr>
          <w:sz w:val="20"/>
          <w:szCs w:val="20"/>
          <w:color w:val="auto"/>
        </w:rPr>
      </w:pPr>
      <w:r>
        <w:rPr>
          <w:rFonts w:ascii="Times New Roman" w:cs="Times New Roman" w:eastAsia="Times New Roman" w:hAnsi="Times New Roman"/>
          <w:sz w:val="19"/>
          <w:szCs w:val="19"/>
          <w:i w:val="1"/>
          <w:iCs w:val="1"/>
          <w:color w:val="auto"/>
        </w:rPr>
        <w:t>“Post</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Default Rate” </w:t>
      </w:r>
      <w:r>
        <w:rPr>
          <w:rFonts w:ascii="Times New Roman" w:cs="Times New Roman" w:eastAsia="Times New Roman" w:hAnsi="Times New Roman"/>
          <w:sz w:val="19"/>
          <w:szCs w:val="19"/>
          <w:color w:val="auto"/>
        </w:rPr>
        <w:t>means a rate per annum equal to the rate of interest otherwise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effect pursuant to this Agreement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2.0% per annum.</w:t>
      </w:r>
    </w:p>
    <w:p>
      <w:pPr>
        <w:spacing w:after="0" w:line="19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“Pounds Sterling” </w:t>
      </w:r>
      <w:r>
        <w:rPr>
          <w:rFonts w:ascii="Times New Roman" w:cs="Times New Roman" w:eastAsia="Times New Roman" w:hAnsi="Times New Roman"/>
          <w:sz w:val="19"/>
          <w:szCs w:val="19"/>
          <w:color w:val="auto"/>
        </w:rPr>
        <w:t>means the lawful currency of the United Kingdom.</w:t>
      </w:r>
    </w:p>
    <w:p>
      <w:pPr>
        <w:spacing w:after="0" w:line="226" w:lineRule="exact"/>
        <w:rPr>
          <w:sz w:val="20"/>
          <w:szCs w:val="20"/>
          <w:color w:val="auto"/>
        </w:rPr>
      </w:pPr>
    </w:p>
    <w:p>
      <w:pPr>
        <w:ind w:left="760" w:right="8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“Prime Rate” </w:t>
      </w:r>
      <w:r>
        <w:rPr>
          <w:rFonts w:ascii="Times New Roman" w:cs="Times New Roman" w:eastAsia="Times New Roman" w:hAnsi="Times New Roman"/>
          <w:sz w:val="19"/>
          <w:szCs w:val="19"/>
          <w:color w:val="auto"/>
        </w:rPr>
        <w:t>means the rate announced by Truist Bank from time to time as its prime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rate in the United States, such rate to change as and when such designated rate changes. The Prime Rate is not intended to be the lowest rate of interest charged by Truist Bank in connection with extensions of credit to debtors. Truist Bank may make commercial loans or other loans at rates of interest at, above, or below the Prime Rate.</w:t>
      </w:r>
    </w:p>
    <w:p>
      <w:pPr>
        <w:spacing w:after="0" w:line="173" w:lineRule="exact"/>
        <w:rPr>
          <w:sz w:val="20"/>
          <w:szCs w:val="20"/>
          <w:color w:val="auto"/>
        </w:rPr>
      </w:pPr>
    </w:p>
    <w:p>
      <w:pPr>
        <w:ind w:left="760" w:right="80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“Principal Balance” </w:t>
      </w:r>
      <w:r>
        <w:rPr>
          <w:rFonts w:ascii="Times New Roman" w:cs="Times New Roman" w:eastAsia="Times New Roman" w:hAnsi="Times New Roman"/>
          <w:sz w:val="19"/>
          <w:szCs w:val="19"/>
          <w:color w:val="auto"/>
        </w:rPr>
        <w:t>means, with respect to any Collateral Loan, as of any date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determination, the Dollar Equivalent of the outstanding principal amount of such Collateral Loan (excluding any capitalized interest).</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“Principal Collection Subaccount” </w:t>
      </w:r>
      <w:r>
        <w:rPr>
          <w:rFonts w:ascii="Times New Roman" w:cs="Times New Roman" w:eastAsia="Times New Roman" w:hAnsi="Times New Roman"/>
          <w:sz w:val="19"/>
          <w:szCs w:val="19"/>
          <w:color w:val="auto"/>
        </w:rPr>
        <w:t>has the meaning specified in Section 8.02(a).</w:t>
      </w:r>
    </w:p>
    <w:p>
      <w:pPr>
        <w:spacing w:after="0" w:line="226" w:lineRule="exact"/>
        <w:rPr>
          <w:sz w:val="20"/>
          <w:szCs w:val="20"/>
          <w:color w:val="auto"/>
        </w:rPr>
      </w:pPr>
    </w:p>
    <w:p>
      <w:pPr>
        <w:ind w:left="760" w:right="8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“Principal Financial Center” </w:t>
      </w:r>
      <w:r>
        <w:rPr>
          <w:rFonts w:ascii="Times New Roman" w:cs="Times New Roman" w:eastAsia="Times New Roman" w:hAnsi="Times New Roman"/>
          <w:sz w:val="19"/>
          <w:szCs w:val="19"/>
          <w:color w:val="auto"/>
        </w:rPr>
        <w:t>means, in the case of any Currency, the principal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center where such Currency is cleared and settled, as determined by the Administrative Agent.</w:t>
      </w:r>
    </w:p>
    <w:p>
      <w:pPr>
        <w:spacing w:after="0" w:line="148" w:lineRule="exact"/>
        <w:rPr>
          <w:sz w:val="20"/>
          <w:szCs w:val="20"/>
          <w:color w:val="auto"/>
        </w:rPr>
      </w:pPr>
    </w:p>
    <w:p>
      <w:pPr>
        <w:ind w:left="760" w:right="7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“Principal Proceeds” </w:t>
      </w:r>
      <w:r>
        <w:rPr>
          <w:rFonts w:ascii="Times New Roman" w:cs="Times New Roman" w:eastAsia="Times New Roman" w:hAnsi="Times New Roman"/>
          <w:sz w:val="19"/>
          <w:szCs w:val="19"/>
          <w:color w:val="auto"/>
        </w:rPr>
        <w:t>means, with respect to any Collection Period or the related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Determination Date, all amounts received by the Borrower during such Collection Period that do not constitute Interest Proceeds, including unapplied proceeds of the Advances and any Cash equity contributions (unless specified by the Collateral Manager to constitute Interest Proceeds in accordance with Section 10.05).</w:t>
      </w:r>
    </w:p>
    <w:p>
      <w:pPr>
        <w:spacing w:after="0" w:line="173" w:lineRule="exact"/>
        <w:rPr>
          <w:sz w:val="20"/>
          <w:szCs w:val="20"/>
          <w:color w:val="auto"/>
        </w:rPr>
      </w:pPr>
    </w:p>
    <w:p>
      <w:pPr>
        <w:ind w:left="760" w:right="82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“Prior Credit Agreement” </w:t>
      </w:r>
      <w:r>
        <w:rPr>
          <w:rFonts w:ascii="Times New Roman" w:cs="Times New Roman" w:eastAsia="Times New Roman" w:hAnsi="Times New Roman"/>
          <w:sz w:val="19"/>
          <w:szCs w:val="19"/>
          <w:color w:val="auto"/>
        </w:rPr>
        <w:t>means that certain Fourth Amended and Restated Revolving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Credit and Security Agreement dated as of October 30, 2018 among the Borrower, the Collateral Manager, the lenders from time to time party thereto, Truist Bank, as administrative agent and swingline lender, and U.S. Bank National Association, as custodian, collateral administrator and backup collateral manager, as amended, amended and restated or otherwise modified from time to time.</w:t>
      </w:r>
    </w:p>
    <w:p>
      <w:pPr>
        <w:spacing w:after="0" w:line="17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“Priority of Payments” </w:t>
      </w:r>
      <w:r>
        <w:rPr>
          <w:rFonts w:ascii="Times New Roman" w:cs="Times New Roman" w:eastAsia="Times New Roman" w:hAnsi="Times New Roman"/>
          <w:sz w:val="19"/>
          <w:szCs w:val="19"/>
          <w:color w:val="auto"/>
        </w:rPr>
        <w:t>has the meaning specified in Section 9.01(a).</w:t>
      </w:r>
    </w:p>
    <w:p>
      <w:pPr>
        <w:spacing w:after="0" w:line="226" w:lineRule="exact"/>
        <w:rPr>
          <w:sz w:val="20"/>
          <w:szCs w:val="20"/>
          <w:color w:val="auto"/>
        </w:rPr>
      </w:pPr>
    </w:p>
    <w:p>
      <w:pPr>
        <w:jc w:val="both"/>
        <w:ind w:left="760" w:right="8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“Private Authorizations” </w:t>
      </w:r>
      <w:r>
        <w:rPr>
          <w:rFonts w:ascii="Times New Roman" w:cs="Times New Roman" w:eastAsia="Times New Roman" w:hAnsi="Times New Roman"/>
          <w:sz w:val="19"/>
          <w:szCs w:val="19"/>
          <w:color w:val="auto"/>
        </w:rPr>
        <w:t>means all franchises, permits, licenses, approvals, consents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authorizations of all Persons (other than Governmental Authorities).</w:t>
      </w:r>
    </w:p>
    <w:p>
      <w:pPr>
        <w:spacing w:after="0" w:line="148" w:lineRule="exact"/>
        <w:rPr>
          <w:sz w:val="20"/>
          <w:szCs w:val="20"/>
          <w:color w:val="auto"/>
        </w:rPr>
      </w:pPr>
    </w:p>
    <w:p>
      <w:pPr>
        <w:jc w:val="both"/>
        <w:ind w:left="760" w:right="82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“Proceeds” </w:t>
      </w:r>
      <w:r>
        <w:rPr>
          <w:rFonts w:ascii="Times New Roman" w:cs="Times New Roman" w:eastAsia="Times New Roman" w:hAnsi="Times New Roman"/>
          <w:sz w:val="19"/>
          <w:szCs w:val="19"/>
          <w:color w:val="auto"/>
        </w:rPr>
        <w:t>has, with reference to any asset or property, the meaning assigned to it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UCC and, in any event, shall include, but not be limited to, any and all amounts from time to time paid or payable under or in connection with such asset or property.</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8" w:name="page139"/>
    <w:bookmarkEnd w:id="138"/>
    <w:p>
      <w:pPr>
        <w:spacing w:after="0" w:line="200" w:lineRule="exact"/>
        <w:rPr>
          <w:sz w:val="20"/>
          <w:szCs w:val="20"/>
          <w:color w:val="auto"/>
        </w:rPr>
      </w:pPr>
    </w:p>
    <w:p>
      <w:pPr>
        <w:spacing w:after="0" w:line="283" w:lineRule="exact"/>
        <w:rPr>
          <w:sz w:val="20"/>
          <w:szCs w:val="20"/>
          <w:color w:val="auto"/>
        </w:rPr>
      </w:pPr>
    </w:p>
    <w:p>
      <w:pPr>
        <w:ind w:left="760" w:right="900" w:firstLine="576"/>
        <w:spacing w:after="0" w:line="234" w:lineRule="exact"/>
        <w:rPr>
          <w:sz w:val="20"/>
          <w:szCs w:val="20"/>
          <w:color w:val="auto"/>
        </w:rPr>
      </w:pPr>
      <w:r>
        <w:rPr>
          <w:rFonts w:ascii="Times New Roman" w:cs="Times New Roman" w:eastAsia="Times New Roman" w:hAnsi="Times New Roman"/>
          <w:sz w:val="19"/>
          <w:szCs w:val="19"/>
          <w:i w:val="1"/>
          <w:iCs w:val="1"/>
          <w:color w:val="auto"/>
        </w:rPr>
        <w:t xml:space="preserve">“Professional Independent Manager” </w:t>
      </w:r>
      <w:r>
        <w:rPr>
          <w:rFonts w:ascii="Times New Roman" w:cs="Times New Roman" w:eastAsia="Times New Roman" w:hAnsi="Times New Roman"/>
          <w:sz w:val="19"/>
          <w:szCs w:val="19"/>
          <w:color w:val="auto"/>
        </w:rPr>
        <w:t>means an individual who is employed by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nationally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recognized company that provides professional independent directors or independent managers for Special Purpose Entities and other corporate services in the ordinary course of its business.</w:t>
      </w:r>
    </w:p>
    <w:p>
      <w:pPr>
        <w:spacing w:after="0" w:line="193" w:lineRule="exact"/>
        <w:rPr>
          <w:sz w:val="20"/>
          <w:szCs w:val="20"/>
          <w:color w:val="auto"/>
        </w:rPr>
      </w:pPr>
    </w:p>
    <w:p>
      <w:pPr>
        <w:ind w:left="760" w:right="92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Prohibited Defense Industry</w:t>
      </w:r>
      <w:r>
        <w:rPr>
          <w:rFonts w:ascii="Times New Roman" w:cs="Times New Roman" w:eastAsia="Times New Roman" w:hAnsi="Times New Roman"/>
          <w:sz w:val="19"/>
          <w:szCs w:val="19"/>
          <w:color w:val="auto"/>
        </w:rPr>
        <w:t>” means an industry directly connected (including production and trade) with controversial weapons (anti-personnel landmines, cluster munitions, nuclear/atomic, biological and chemical weapons or depleted uranium munitions).</w:t>
      </w:r>
    </w:p>
    <w:p>
      <w:pPr>
        <w:spacing w:after="0" w:line="166" w:lineRule="exact"/>
        <w:rPr>
          <w:sz w:val="20"/>
          <w:szCs w:val="20"/>
          <w:color w:val="auto"/>
        </w:rPr>
      </w:pPr>
    </w:p>
    <w:p>
      <w:pPr>
        <w:ind w:left="760" w:right="84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“Prohibited Industry” </w:t>
      </w:r>
      <w:r>
        <w:rPr>
          <w:rFonts w:ascii="Times New Roman" w:cs="Times New Roman" w:eastAsia="Times New Roman" w:hAnsi="Times New Roman"/>
          <w:sz w:val="19"/>
          <w:szCs w:val="19"/>
          <w:color w:val="auto"/>
        </w:rPr>
        <w:t>means (i) a Prohibited Defense Industry; (ii) assault weapons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firearms manufacturing; (iii) the pornography or adult entertainment industry; (iv) the production, trade or use of drift nets over 2.5 kilometers in length; (v) the production of asbestos fibers; (vi) the trade in any plant or animal species or products governed by the Convention on International Trade in Endangered Species of Wild Fauna or Flora ("CITES") which are not authorized by a CITES permit; (vii) activities mainly related to tobacco; (viii) a Freshwater Industry or Mining and Metals Industry; (ix) pay-day lending; (x) activities mainly related to marijuana related business; or (xi) the Crypto currency industry.</w:t>
      </w:r>
    </w:p>
    <w:p>
      <w:pPr>
        <w:spacing w:after="0" w:line="184" w:lineRule="exact"/>
        <w:rPr>
          <w:sz w:val="20"/>
          <w:szCs w:val="20"/>
          <w:color w:val="auto"/>
        </w:rPr>
      </w:pPr>
    </w:p>
    <w:p>
      <w:pPr>
        <w:jc w:val="both"/>
        <w:ind w:left="760" w:right="7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“Prohibited Transaction” </w:t>
      </w:r>
      <w:r>
        <w:rPr>
          <w:rFonts w:ascii="Times New Roman" w:cs="Times New Roman" w:eastAsia="Times New Roman" w:hAnsi="Times New Roman"/>
          <w:sz w:val="19"/>
          <w:szCs w:val="19"/>
          <w:color w:val="auto"/>
        </w:rPr>
        <w:t>means a transaction described in Section 406(a) of ERISA,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not exempted by a statutory or administrative or individual exemption pursuant to Section 408 of ERISA.</w:t>
      </w:r>
    </w:p>
    <w:p>
      <w:pPr>
        <w:spacing w:after="0" w:line="166" w:lineRule="exact"/>
        <w:rPr>
          <w:sz w:val="20"/>
          <w:szCs w:val="20"/>
          <w:color w:val="auto"/>
        </w:rPr>
      </w:pPr>
    </w:p>
    <w:p>
      <w:pPr>
        <w:ind w:left="760" w:right="8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“Purchase and Contribution Agreement” </w:t>
      </w:r>
      <w:r>
        <w:rPr>
          <w:rFonts w:ascii="Times New Roman" w:cs="Times New Roman" w:eastAsia="Times New Roman" w:hAnsi="Times New Roman"/>
          <w:sz w:val="19"/>
          <w:szCs w:val="19"/>
          <w:color w:val="auto"/>
        </w:rPr>
        <w:t>means that certain Purchase and Contribution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dated as of the Closing Date between the BDC, as seller, and the Borrower, as buyer.</w:t>
      </w:r>
    </w:p>
    <w:p>
      <w:pPr>
        <w:spacing w:after="0" w:line="148" w:lineRule="exact"/>
        <w:rPr>
          <w:sz w:val="20"/>
          <w:szCs w:val="20"/>
          <w:color w:val="auto"/>
        </w:rPr>
      </w:pPr>
    </w:p>
    <w:p>
      <w:pPr>
        <w:ind w:left="760" w:right="84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Purchase Money Lien”</w:t>
      </w:r>
      <w:r>
        <w:rPr>
          <w:rFonts w:ascii="Times New Roman" w:cs="Times New Roman" w:eastAsia="Times New Roman" w:hAnsi="Times New Roman"/>
          <w:sz w:val="19"/>
          <w:szCs w:val="19"/>
          <w:color w:val="auto"/>
        </w:rPr>
        <w:t xml:space="preserve"> means a Lien that secures indebtedness for borrowed money so long as (i) substantially all of the proceeds of the indebtedness for borrowed money that is the subject of such Lien was used to acquire, construct or improve the asset(s) that are the subject of such Lien, and (ii) such Lien does not attach to assets other than those acquired, constructed or improved with such proceeds.</w:t>
      </w:r>
    </w:p>
    <w:p>
      <w:pPr>
        <w:spacing w:after="0" w:line="173" w:lineRule="exact"/>
        <w:rPr>
          <w:sz w:val="20"/>
          <w:szCs w:val="20"/>
          <w:color w:val="auto"/>
        </w:rPr>
      </w:pPr>
    </w:p>
    <w:p>
      <w:pPr>
        <w:ind w:left="760" w:right="780" w:firstLine="576"/>
        <w:spacing w:after="0" w:line="231" w:lineRule="exact"/>
        <w:rPr>
          <w:sz w:val="20"/>
          <w:szCs w:val="20"/>
          <w:color w:val="auto"/>
        </w:rPr>
      </w:pPr>
      <w:r>
        <w:rPr>
          <w:rFonts w:ascii="Times New Roman" w:cs="Times New Roman" w:eastAsia="Times New Roman" w:hAnsi="Times New Roman"/>
          <w:sz w:val="19"/>
          <w:szCs w:val="19"/>
          <w:i w:val="1"/>
          <w:iCs w:val="1"/>
          <w:color w:val="auto"/>
        </w:rPr>
        <w:t xml:space="preserve">“Qualified Institution” </w:t>
      </w:r>
      <w:r>
        <w:rPr>
          <w:rFonts w:ascii="Times New Roman" w:cs="Times New Roman" w:eastAsia="Times New Roman" w:hAnsi="Times New Roman"/>
          <w:sz w:val="19"/>
          <w:szCs w:val="19"/>
          <w:color w:val="auto"/>
        </w:rPr>
        <w:t>means a depository institution or trust company organized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laws of the United States of America or any one of the States thereof or the District of Columbia (or any domestic branch of a foreign bank), (i)(a) that has either (1) a long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unsecured debt rating of “A” or better by S&amp;P and “A2” or better by Moody’s or (2) a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unsecured debt rating or certificate of deposit rating of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1” or better by S&amp;P or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1” or better by Moody’s, (b) the parent corporation of which has either (1) a long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unsecured debt rating of “A” or better by S&amp;P and “A2” or better by Moody’s or (2) a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unsecured debt rating or certificate of deposit rating of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or better by S&amp;P and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or better by Moody’s or (c) is otherwise acceptable to the Administrative Agent and (ii) the deposits of which are insured by the Federal Deposit Insurance Corporation.</w:t>
      </w:r>
    </w:p>
    <w:p>
      <w:pPr>
        <w:spacing w:after="0" w:line="19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“QIB” </w:t>
      </w:r>
      <w:r>
        <w:rPr>
          <w:rFonts w:ascii="Times New Roman" w:cs="Times New Roman" w:eastAsia="Times New Roman" w:hAnsi="Times New Roman"/>
          <w:sz w:val="19"/>
          <w:szCs w:val="19"/>
          <w:color w:val="auto"/>
        </w:rPr>
        <w:t>has the meaning specified in Section 15.06(e).</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“Qualified Purchaser” </w:t>
      </w:r>
      <w:r>
        <w:rPr>
          <w:rFonts w:ascii="Times New Roman" w:cs="Times New Roman" w:eastAsia="Times New Roman" w:hAnsi="Times New Roman"/>
          <w:sz w:val="19"/>
          <w:szCs w:val="19"/>
          <w:color w:val="auto"/>
        </w:rPr>
        <w:t>has the meaning specified in Section 15.06(e).</w:t>
      </w:r>
    </w:p>
    <w:p>
      <w:pPr>
        <w:spacing w:after="0" w:line="26" w:lineRule="exact"/>
        <w:rPr>
          <w:sz w:val="20"/>
          <w:szCs w:val="20"/>
          <w:color w:val="auto"/>
        </w:rPr>
      </w:pPr>
    </w:p>
    <w:p>
      <w:pPr>
        <w:ind w:left="436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39" w:name="page140"/>
    <w:bookmarkEnd w:id="139"/>
    <w:p>
      <w:pPr>
        <w:spacing w:after="0" w:line="200" w:lineRule="exact"/>
        <w:rPr>
          <w:sz w:val="20"/>
          <w:szCs w:val="20"/>
          <w:color w:val="auto"/>
        </w:rPr>
      </w:pPr>
    </w:p>
    <w:p>
      <w:pPr>
        <w:spacing w:after="0" w:line="283" w:lineRule="exact"/>
        <w:rPr>
          <w:sz w:val="20"/>
          <w:szCs w:val="20"/>
          <w:color w:val="auto"/>
        </w:rPr>
      </w:pPr>
    </w:p>
    <w:p>
      <w:pPr>
        <w:ind w:left="760" w:right="7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“Rating Agency” </w:t>
      </w:r>
      <w:r>
        <w:rPr>
          <w:rFonts w:ascii="Times New Roman" w:cs="Times New Roman" w:eastAsia="Times New Roman" w:hAnsi="Times New Roman"/>
          <w:sz w:val="19"/>
          <w:szCs w:val="19"/>
          <w:color w:val="auto"/>
        </w:rPr>
        <w:t>means Moody’s, Fitch or S&amp;P (or, if, at any time Moody’s, Fitch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S&amp;P ceases to provide rating services with respect to debt obligations, any other nationally recognized investment rating agency selected by the Borrower or the Collateral Manager on behalf of the Borrower with the consent of the Administrative Agent and the Required Lenders). In the event that at any time any of the rating agencies referred to above ceases to be a “Rating Agency” and a 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181" w:lineRule="exact"/>
        <w:rPr>
          <w:sz w:val="20"/>
          <w:szCs w:val="20"/>
          <w:color w:val="auto"/>
        </w:rPr>
      </w:pPr>
    </w:p>
    <w:p>
      <w:pPr>
        <w:ind w:left="760" w:right="110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“Recovery Rate” </w:t>
      </w:r>
      <w:r>
        <w:rPr>
          <w:rFonts w:ascii="Times New Roman" w:cs="Times New Roman" w:eastAsia="Times New Roman" w:hAnsi="Times New Roman"/>
          <w:sz w:val="19"/>
          <w:szCs w:val="19"/>
          <w:color w:val="auto"/>
        </w:rPr>
        <w:t>means, for Defaulted Collateral Loans, the lesser of (a) the Market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Value of such Collateral Loan (expressed as a percentage of par) and (b) the recovery rate set forth opposite such asset type below:</w:t>
      </w:r>
    </w:p>
    <w:p>
      <w:pPr>
        <w:spacing w:after="0" w:line="16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First Lien Loans—50%</w:t>
      </w:r>
    </w:p>
    <w:p>
      <w:pPr>
        <w:spacing w:after="0" w:line="22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Split First Lien Loans—50%</w:t>
      </w:r>
    </w:p>
    <w:p>
      <w:pPr>
        <w:spacing w:after="0" w:line="22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Split Lien Loans—50%</w:t>
      </w:r>
    </w:p>
    <w:p>
      <w:pPr>
        <w:spacing w:after="0" w:line="22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9"/>
          <w:szCs w:val="19"/>
          <w:color w:val="auto"/>
        </w:rPr>
        <w:t>Second Lien Loans—30%</w:t>
      </w:r>
    </w:p>
    <w:p>
      <w:pPr>
        <w:spacing w:after="0" w:line="2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“Register” </w:t>
      </w:r>
      <w:r>
        <w:rPr>
          <w:rFonts w:ascii="Times New Roman" w:cs="Times New Roman" w:eastAsia="Times New Roman" w:hAnsi="Times New Roman"/>
          <w:sz w:val="19"/>
          <w:szCs w:val="19"/>
          <w:color w:val="auto"/>
        </w:rPr>
        <w:t>has the meaning specified in Section 15.06(d).</w:t>
      </w:r>
    </w:p>
    <w:p>
      <w:pPr>
        <w:spacing w:after="0" w:line="226" w:lineRule="exact"/>
        <w:rPr>
          <w:sz w:val="20"/>
          <w:szCs w:val="20"/>
          <w:color w:val="auto"/>
        </w:rPr>
      </w:pPr>
    </w:p>
    <w:p>
      <w:pPr>
        <w:ind w:left="760" w:right="8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“Regulation 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“Regulation U”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“Regulation X” </w:t>
      </w:r>
      <w:r>
        <w:rPr>
          <w:rFonts w:ascii="Times New Roman" w:cs="Times New Roman" w:eastAsia="Times New Roman" w:hAnsi="Times New Roman"/>
          <w:sz w:val="19"/>
          <w:szCs w:val="19"/>
          <w:color w:val="auto"/>
        </w:rPr>
        <w:t>mean Regulation T, U and 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respectively, of the Board of Governors of the Federal Reserve System, as in effect from time to time.</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“Regulatory Change” </w:t>
      </w:r>
      <w:r>
        <w:rPr>
          <w:rFonts w:ascii="Times New Roman" w:cs="Times New Roman" w:eastAsia="Times New Roman" w:hAnsi="Times New Roman"/>
          <w:sz w:val="19"/>
          <w:szCs w:val="19"/>
          <w:color w:val="auto"/>
        </w:rPr>
        <w:t>has the meaning specified in Section 2.09(a).</w:t>
      </w:r>
    </w:p>
    <w:p>
      <w:pPr>
        <w:spacing w:after="0" w:line="226" w:lineRule="exact"/>
        <w:rPr>
          <w:sz w:val="20"/>
          <w:szCs w:val="20"/>
          <w:color w:val="auto"/>
        </w:rPr>
      </w:pPr>
    </w:p>
    <w:p>
      <w:pPr>
        <w:ind w:left="760" w:right="92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“Reinvestment Agreement” </w:t>
      </w:r>
      <w:r>
        <w:rPr>
          <w:rFonts w:ascii="Times New Roman" w:cs="Times New Roman" w:eastAsia="Times New Roman" w:hAnsi="Times New Roman"/>
          <w:sz w:val="19"/>
          <w:szCs w:val="19"/>
          <w:color w:val="auto"/>
        </w:rPr>
        <w:t>means a guaranteed reinvestment agreement from a bank,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insurance company or other corporation or entity having an Eligible Investment Required Ratings;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agreement provides that it is terminable by the purchaser, without penalty and with the return of all invested funds, if within sixty (60) days after the provider of such agreement no longer satisfies the Eligible Investment Required Ratings, the provider has failed to obtain either (i) a guarantor with an Eligible Investment Required Ratings to guarantee the obligations of such provider under such agreement or (ii) a replacement provider with an Eligible Investment Required Ratings.</w:t>
      </w:r>
    </w:p>
    <w:p>
      <w:pPr>
        <w:spacing w:after="0" w:line="184" w:lineRule="exact"/>
        <w:rPr>
          <w:sz w:val="20"/>
          <w:szCs w:val="20"/>
          <w:color w:val="auto"/>
        </w:rPr>
      </w:pPr>
    </w:p>
    <w:p>
      <w:pPr>
        <w:ind w:left="760" w:right="82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“Reinvestment Period” </w:t>
      </w:r>
      <w:r>
        <w:rPr>
          <w:rFonts w:ascii="Times New Roman" w:cs="Times New Roman" w:eastAsia="Times New Roman" w:hAnsi="Times New Roman"/>
          <w:sz w:val="19"/>
          <w:szCs w:val="19"/>
          <w:color w:val="auto"/>
        </w:rPr>
        <w:t>means the period from and including the Closing Date to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the earlier of (a) August 14, 2028 (or such later date as may be agreed by the Borrower and each of the Lenders and notified in writing to the Agents) or (b) the date of the termination of the Commitments pursuant to Section 6.01 upon the occurrence and during the continuance of an Event of Default.</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0" w:name="page141"/>
    <w:bookmarkEnd w:id="140"/>
    <w:p>
      <w:pPr>
        <w:spacing w:after="0" w:line="200" w:lineRule="exact"/>
        <w:rPr>
          <w:sz w:val="20"/>
          <w:szCs w:val="20"/>
          <w:color w:val="auto"/>
        </w:rPr>
      </w:pPr>
    </w:p>
    <w:p>
      <w:pPr>
        <w:spacing w:after="0" w:line="283" w:lineRule="exact"/>
        <w:rPr>
          <w:sz w:val="20"/>
          <w:szCs w:val="20"/>
          <w:color w:val="auto"/>
        </w:rPr>
      </w:pPr>
    </w:p>
    <w:p>
      <w:pPr>
        <w:ind w:left="760" w:right="92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“Related Documents” </w:t>
      </w:r>
      <w:r>
        <w:rPr>
          <w:rFonts w:ascii="Times New Roman" w:cs="Times New Roman" w:eastAsia="Times New Roman" w:hAnsi="Times New Roman"/>
          <w:sz w:val="19"/>
          <w:szCs w:val="19"/>
          <w:color w:val="auto"/>
        </w:rPr>
        <w:t>means, with respect to any Collateral Loan, all agreements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documents evidencing, guaranteeing, securing, governing or giving rise to such Collateral Loan (as identified on the Loan Checklist).</w:t>
      </w:r>
    </w:p>
    <w:p>
      <w:pPr>
        <w:spacing w:after="0" w:line="166" w:lineRule="exact"/>
        <w:rPr>
          <w:sz w:val="20"/>
          <w:szCs w:val="20"/>
          <w:color w:val="auto"/>
        </w:rPr>
      </w:pPr>
    </w:p>
    <w:p>
      <w:pPr>
        <w:ind w:left="760" w:right="780" w:firstLine="576"/>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Relevant Test Period</w:t>
      </w:r>
      <w:r>
        <w:rPr>
          <w:rFonts w:ascii="Times New Roman" w:cs="Times New Roman" w:eastAsia="Times New Roman" w:hAnsi="Times New Roman"/>
          <w:sz w:val="19"/>
          <w:szCs w:val="19"/>
          <w:color w:val="auto"/>
        </w:rPr>
        <w:t xml:space="preserve">” means, with respect to any Collateral Loan, the relevant test period for the calculation of EBITDA, Fixed Charge Coverage Ratio, Senior Leverage Ratio or Total Leverage Ratio, as applicable, for such Loan in the applicable Related Documents or, if no such period is provided for therein, for Obligors delivering monthly financial statements, each period of the last twelve consecutive reported calendar months, and for Obligors delivering quarterly financial statements, each period of the last four consecutive reported fiscal quarters of the principal Obligor on such Loan;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with respect to any Loan for which the relevant test period is not provided for in the applicable Related Documents, if an Obligor is a newly-formed entity as to which twelve consecutive calendar months have not yet elapsed, “Relevant Test Period” shall initially include the period from the date of formation of such Obligor or closing date of the applicable Collateral Loan to the end of the twelfth calendar month or fourth fiscal quarter (as the case may be) from the date of formation or closing, as applicable, and shall subsequently include each period of the last twelve consecutive reported calendar months or four consecutive reported fiscal quarters (as the case may be) of such Obligor.</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“Requested Amount” </w:t>
      </w:r>
      <w:r>
        <w:rPr>
          <w:rFonts w:ascii="Times New Roman" w:cs="Times New Roman" w:eastAsia="Times New Roman" w:hAnsi="Times New Roman"/>
          <w:sz w:val="19"/>
          <w:szCs w:val="19"/>
          <w:color w:val="auto"/>
        </w:rPr>
        <w:t>has the meaning assigned to such term in Section 2.02.</w:t>
      </w:r>
    </w:p>
    <w:p>
      <w:pPr>
        <w:spacing w:after="0" w:line="226" w:lineRule="exact"/>
        <w:rPr>
          <w:sz w:val="20"/>
          <w:szCs w:val="20"/>
          <w:color w:val="auto"/>
        </w:rPr>
      </w:pPr>
    </w:p>
    <w:p>
      <w:pPr>
        <w:ind w:left="760" w:right="82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“Required Lenders” </w:t>
      </w:r>
      <w:r>
        <w:rPr>
          <w:rFonts w:ascii="Times New Roman" w:cs="Times New Roman" w:eastAsia="Times New Roman" w:hAnsi="Times New Roman"/>
          <w:sz w:val="19"/>
          <w:szCs w:val="19"/>
          <w:color w:val="auto"/>
        </w:rPr>
        <w:t>means, as of any date of determination, one or more Lenders having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aggregate Percentages greater than or equal to 66 2/3%;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any time there are two</w:t>
      </w:r>
    </w:p>
    <w:p>
      <w:pPr>
        <w:spacing w:after="0" w:line="1" w:lineRule="exact"/>
        <w:rPr>
          <w:sz w:val="20"/>
          <w:szCs w:val="20"/>
          <w:color w:val="auto"/>
        </w:rPr>
      </w:pPr>
    </w:p>
    <w:p>
      <w:pPr>
        <w:jc w:val="both"/>
        <w:ind w:left="760" w:right="860" w:firstLine="2"/>
        <w:spacing w:after="0" w:line="254" w:lineRule="auto"/>
        <w:tabs>
          <w:tab w:leader="none" w:pos="103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or more Lenders, “Required Lenders” must include at least two (2) Lenders (who are not Affiliates of one another) ;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to the extent that any Lender is a Defaulting Lender, the Percentage of such Defaulting Lender shall be excluded for purposes of determining Required Lenders.</w:t>
      </w:r>
    </w:p>
    <w:p>
      <w:pPr>
        <w:spacing w:after="0" w:line="179" w:lineRule="exact"/>
        <w:rPr>
          <w:sz w:val="20"/>
          <w:szCs w:val="20"/>
          <w:color w:val="auto"/>
        </w:rPr>
      </w:pPr>
    </w:p>
    <w:p>
      <w:pPr>
        <w:ind w:left="760" w:right="84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“Responsible Officer” </w:t>
      </w:r>
      <w:r>
        <w:rPr>
          <w:rFonts w:ascii="Times New Roman" w:cs="Times New Roman" w:eastAsia="Times New Roman" w:hAnsi="Times New Roman"/>
          <w:sz w:val="19"/>
          <w:szCs w:val="19"/>
          <w:color w:val="auto"/>
        </w:rPr>
        <w:t>means (a) in the case of a corporation, partnership or limited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liability company that, pursuant to its Constituent Documents, has officers, any chief executive officer, chief financial officer, chief administrative officer, president, senior vice president, vice president, assistant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any Responsible Officer of the sole member or managing member, acting on behalf of the sole member or managing member in its capacity as sole member or managing member, (d) in the case of a trust, the Responsible Officer of the trustee, acting on behalf of such trustee in its capacity as trustee, and (e) in the case of the Collateral Agent or Administrative Agent, an officer of the Collateral Agent or Administrative Agent as applicable responsible for the administration of this Agreement.</w:t>
      </w:r>
    </w:p>
    <w:p>
      <w:pPr>
        <w:spacing w:after="0" w:line="187" w:lineRule="exact"/>
        <w:rPr>
          <w:sz w:val="20"/>
          <w:szCs w:val="20"/>
          <w:color w:val="auto"/>
        </w:rPr>
      </w:pPr>
    </w:p>
    <w:p>
      <w:pPr>
        <w:ind w:left="760" w:right="90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“Restricted Payments” </w:t>
      </w:r>
      <w:r>
        <w:rPr>
          <w:rFonts w:ascii="Times New Roman" w:cs="Times New Roman" w:eastAsia="Times New Roman" w:hAnsi="Times New Roman"/>
          <w:sz w:val="19"/>
          <w:szCs w:val="19"/>
          <w:color w:val="auto"/>
        </w:rPr>
        <w:t>means the declaration of any distribution or dividends or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payment of any other amount (including in respect of redemptions permitted by the Constituent Documents of the Borrower) to any shareholder, partner, member or other equity investor in the Borrower on account of any share, membership interest, partnership interest or other equity interest</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1" w:name="page142"/>
    <w:bookmarkEnd w:id="141"/>
    <w:p>
      <w:pPr>
        <w:spacing w:after="0" w:line="200" w:lineRule="exact"/>
        <w:rPr>
          <w:sz w:val="20"/>
          <w:szCs w:val="20"/>
          <w:color w:val="auto"/>
        </w:rPr>
      </w:pPr>
    </w:p>
    <w:p>
      <w:pPr>
        <w:spacing w:after="0" w:line="285" w:lineRule="exact"/>
        <w:rPr>
          <w:sz w:val="20"/>
          <w:szCs w:val="20"/>
          <w:color w:val="auto"/>
        </w:rPr>
      </w:pPr>
    </w:p>
    <w:p>
      <w:pPr>
        <w:ind w:left="760" w:right="760"/>
        <w:spacing w:after="0" w:line="255" w:lineRule="auto"/>
        <w:rPr>
          <w:sz w:val="20"/>
          <w:szCs w:val="20"/>
          <w:color w:val="auto"/>
        </w:rPr>
      </w:pPr>
      <w:r>
        <w:rPr>
          <w:rFonts w:ascii="Times New Roman" w:cs="Times New Roman" w:eastAsia="Times New Roman" w:hAnsi="Times New Roman"/>
          <w:sz w:val="19"/>
          <w:szCs w:val="19"/>
          <w:color w:val="auto"/>
        </w:rPr>
        <w:t>in respect of the Borrower, or the payment on account of, or the setting apart of assets for a sinking or other analogous fund for, or the purchase or other acquisition of any class of stock of or other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share, membership interest, partnership interest or other equity interest in respect of the Borrower.</w:t>
      </w:r>
    </w:p>
    <w:p>
      <w:pPr>
        <w:spacing w:after="0" w:line="1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“Review Criteria” </w:t>
      </w:r>
      <w:r>
        <w:rPr>
          <w:rFonts w:ascii="Times New Roman" w:cs="Times New Roman" w:eastAsia="Times New Roman" w:hAnsi="Times New Roman"/>
          <w:sz w:val="19"/>
          <w:szCs w:val="19"/>
          <w:color w:val="auto"/>
        </w:rPr>
        <w:t>is defined in Section 14.02(b)(i) hereof.</w:t>
      </w:r>
    </w:p>
    <w:p>
      <w:pPr>
        <w:spacing w:after="0" w:line="226" w:lineRule="exact"/>
        <w:rPr>
          <w:sz w:val="20"/>
          <w:szCs w:val="20"/>
          <w:color w:val="auto"/>
        </w:rPr>
      </w:pPr>
    </w:p>
    <w:p>
      <w:pPr>
        <w:ind w:left="760" w:right="82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“Revolving Collateral Loan” </w:t>
      </w:r>
      <w:r>
        <w:rPr>
          <w:rFonts w:ascii="Times New Roman" w:cs="Times New Roman" w:eastAsia="Times New Roman" w:hAnsi="Times New Roman"/>
          <w:sz w:val="19"/>
          <w:szCs w:val="19"/>
          <w:color w:val="auto"/>
        </w:rPr>
        <w:t>means any Collateral Loan (other than a Delayed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Drawdown Collateral Loan) that is a loan (including revolving loans, funded and unfunded portions of revolving credit lines and letter of credit facilities, unfunded commitments under specific facilities and other similar loans and investments) that by its terms may require one or more future advances to be made to the related Obligor by the Borrower and which provides that such borrowed money may be repaid and re-borrowed from time to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Collateral Loan will be a Revolving Collateral Loan only until all commitments to make advances to the Obligor expire or are terminated or irrevocably reduced to zero.</w:t>
      </w:r>
    </w:p>
    <w:p>
      <w:pPr>
        <w:spacing w:after="0" w:line="184" w:lineRule="exact"/>
        <w:rPr>
          <w:sz w:val="20"/>
          <w:szCs w:val="20"/>
          <w:color w:val="auto"/>
        </w:rPr>
      </w:pPr>
    </w:p>
    <w:p>
      <w:pPr>
        <w:ind w:left="760" w:right="80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Revolving Exposure</w:t>
      </w:r>
      <w:r>
        <w:rPr>
          <w:rFonts w:ascii="Times New Roman" w:cs="Times New Roman" w:eastAsia="Times New Roman" w:hAnsi="Times New Roman"/>
          <w:sz w:val="19"/>
          <w:szCs w:val="19"/>
          <w:color w:val="auto"/>
        </w:rPr>
        <w:t>” means, at any time, the sum of the aggregate Unfunded Amount of each Collateral Loan (including each Ineligible Collateral Loan and each Defaulted Collateral Loan) at such time.</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“Revolving Reserve Account” </w:t>
      </w:r>
      <w:r>
        <w:rPr>
          <w:rFonts w:ascii="Times New Roman" w:cs="Times New Roman" w:eastAsia="Times New Roman" w:hAnsi="Times New Roman"/>
          <w:sz w:val="19"/>
          <w:szCs w:val="19"/>
          <w:color w:val="auto"/>
        </w:rPr>
        <w:t>means the account established pursuant to Section 8.04.</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Revolving Reserve Required Amount</w:t>
      </w:r>
      <w:r>
        <w:rPr>
          <w:rFonts w:ascii="Times New Roman" w:cs="Times New Roman" w:eastAsia="Times New Roman" w:hAnsi="Times New Roman"/>
          <w:sz w:val="19"/>
          <w:szCs w:val="19"/>
          <w:color w:val="auto"/>
        </w:rPr>
        <w:t>” has the meaning assigned to such term in Section</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8.04.</w:t>
      </w:r>
    </w:p>
    <w:p>
      <w:pPr>
        <w:spacing w:after="0" w:line="202" w:lineRule="exact"/>
        <w:rPr>
          <w:sz w:val="20"/>
          <w:szCs w:val="20"/>
          <w:color w:val="auto"/>
        </w:rPr>
      </w:pPr>
    </w:p>
    <w:p>
      <w:pPr>
        <w:ind w:left="760" w:right="8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“RFR”</w:t>
      </w:r>
      <w:r>
        <w:rPr>
          <w:rFonts w:ascii="Times New Roman" w:cs="Times New Roman" w:eastAsia="Times New Roman" w:hAnsi="Times New Roman"/>
          <w:sz w:val="19"/>
          <w:szCs w:val="19"/>
          <w:color w:val="auto"/>
        </w:rPr>
        <w:t>, when used in reference to any Advance or Borrowing, refers to whether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Advance, or the Advances constituting such Borrowing, are bearing interest at a rate determined by reference to Daily Simple RFR for the applicable Currency.</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RFR Administrator</w:t>
      </w:r>
      <w:r>
        <w:rPr>
          <w:rFonts w:ascii="Times New Roman" w:cs="Times New Roman" w:eastAsia="Times New Roman" w:hAnsi="Times New Roman"/>
          <w:sz w:val="19"/>
          <w:szCs w:val="19"/>
          <w:color w:val="auto"/>
        </w:rPr>
        <w:t>” means the SONIA Administrator.</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RFR Administrator’s Website</w:t>
      </w:r>
      <w:r>
        <w:rPr>
          <w:rFonts w:ascii="Times New Roman" w:cs="Times New Roman" w:eastAsia="Times New Roman" w:hAnsi="Times New Roman"/>
          <w:sz w:val="19"/>
          <w:szCs w:val="19"/>
          <w:color w:val="auto"/>
        </w:rPr>
        <w:t>” means the SONIA Administrator’s Website.</w:t>
      </w:r>
    </w:p>
    <w:p>
      <w:pPr>
        <w:spacing w:after="0" w:line="226" w:lineRule="exact"/>
        <w:rPr>
          <w:sz w:val="20"/>
          <w:szCs w:val="20"/>
          <w:color w:val="auto"/>
        </w:rPr>
      </w:pPr>
    </w:p>
    <w:p>
      <w:pPr>
        <w:jc w:val="both"/>
        <w:ind w:left="760" w:right="88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RFR Business Day</w:t>
      </w:r>
      <w:r>
        <w:rPr>
          <w:rFonts w:ascii="Times New Roman" w:cs="Times New Roman" w:eastAsia="Times New Roman" w:hAnsi="Times New Roman"/>
          <w:sz w:val="19"/>
          <w:szCs w:val="19"/>
          <w:color w:val="auto"/>
        </w:rPr>
        <w:t>” means, for any Advances, Borrowings, interest, fees, commissions or other amounts denominated in, or calculated with respect to, Sterling, any day except for (i) a Saturday, (ii) a Sunday or (iii) a day on which banks are closed for general business in London.</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RFR Interest Day</w:t>
      </w:r>
      <w:r>
        <w:rPr>
          <w:rFonts w:ascii="Times New Roman" w:cs="Times New Roman" w:eastAsia="Times New Roman" w:hAnsi="Times New Roman"/>
          <w:sz w:val="19"/>
          <w:szCs w:val="19"/>
          <w:color w:val="auto"/>
        </w:rPr>
        <w:t>” has the meaning specified in the definition of “</w:t>
      </w:r>
      <w:r>
        <w:rPr>
          <w:rFonts w:ascii="Times New Roman" w:cs="Times New Roman" w:eastAsia="Times New Roman" w:hAnsi="Times New Roman"/>
          <w:sz w:val="19"/>
          <w:szCs w:val="19"/>
          <w:i w:val="1"/>
          <w:iCs w:val="1"/>
          <w:color w:val="auto"/>
        </w:rPr>
        <w:t>Daily Simple RFR</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960" w:firstLine="576"/>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RFR Rate</w:t>
      </w:r>
      <w:r>
        <w:rPr>
          <w:rFonts w:ascii="Times New Roman" w:cs="Times New Roman" w:eastAsia="Times New Roman" w:hAnsi="Times New Roman"/>
          <w:sz w:val="19"/>
          <w:szCs w:val="19"/>
          <w:color w:val="auto"/>
        </w:rPr>
        <w:t>” means, for any Advances, Borrowings, interest, fees, commissions or other amounts denominated in, or calculated with respect to Sterling, SONIA.</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2" w:name="page143"/>
    <w:bookmarkEnd w:id="142"/>
    <w:p>
      <w:pPr>
        <w:spacing w:after="0" w:line="200" w:lineRule="exact"/>
        <w:rPr>
          <w:sz w:val="20"/>
          <w:szCs w:val="20"/>
          <w:color w:val="auto"/>
        </w:rPr>
      </w:pPr>
    </w:p>
    <w:p>
      <w:pPr>
        <w:spacing w:after="0" w:line="2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RFR Reference Day</w:t>
      </w:r>
      <w:r>
        <w:rPr>
          <w:rFonts w:ascii="Times New Roman" w:cs="Times New Roman" w:eastAsia="Times New Roman" w:hAnsi="Times New Roman"/>
          <w:sz w:val="19"/>
          <w:szCs w:val="19"/>
          <w:color w:val="auto"/>
        </w:rPr>
        <w:t>” has the meaning specified in the definition of “</w:t>
      </w:r>
      <w:r>
        <w:rPr>
          <w:rFonts w:ascii="Times New Roman" w:cs="Times New Roman" w:eastAsia="Times New Roman" w:hAnsi="Times New Roman"/>
          <w:sz w:val="19"/>
          <w:szCs w:val="19"/>
          <w:i w:val="1"/>
          <w:iCs w:val="1"/>
          <w:color w:val="auto"/>
        </w:rPr>
        <w:t>Daily Simple RFR</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“S&amp;P” </w:t>
      </w:r>
      <w:r>
        <w:rPr>
          <w:rFonts w:ascii="Times New Roman" w:cs="Times New Roman" w:eastAsia="Times New Roman" w:hAnsi="Times New Roman"/>
          <w:sz w:val="19"/>
          <w:szCs w:val="19"/>
          <w:color w:val="auto"/>
        </w:rPr>
        <w:t>means Standard &amp; Poor’s Ratings Group.</w:t>
      </w:r>
    </w:p>
    <w:p>
      <w:pPr>
        <w:spacing w:after="0" w:line="226" w:lineRule="exact"/>
        <w:rPr>
          <w:sz w:val="20"/>
          <w:szCs w:val="20"/>
          <w:color w:val="auto"/>
        </w:rPr>
      </w:pPr>
    </w:p>
    <w:p>
      <w:pPr>
        <w:ind w:left="760" w:right="82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S&amp;P Industry Classification</w:t>
      </w:r>
      <w:r>
        <w:rPr>
          <w:rFonts w:ascii="Times New Roman" w:cs="Times New Roman" w:eastAsia="Times New Roman" w:hAnsi="Times New Roman"/>
          <w:sz w:val="19"/>
          <w:szCs w:val="19"/>
          <w:color w:val="auto"/>
        </w:rPr>
        <w:t>” means the industry classifications set forth in Schedule 4 hereto, as such industry classifications shall be updated at the option of the Collateral Manager if S&amp;P publishes revised industry classifications. The determination of which S&amp;P Industry Classification to which an Obligor belongs shall be made in good faith by the Collateral Manager.</w:t>
      </w:r>
    </w:p>
    <w:p>
      <w:pPr>
        <w:spacing w:after="0" w:line="173" w:lineRule="exact"/>
        <w:rPr>
          <w:sz w:val="20"/>
          <w:szCs w:val="20"/>
          <w:color w:val="auto"/>
        </w:rPr>
      </w:pPr>
    </w:p>
    <w:p>
      <w:pPr>
        <w:jc w:val="both"/>
        <w:ind w:left="760" w:right="80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“Scheduled Distribution” </w:t>
      </w:r>
      <w:r>
        <w:rPr>
          <w:rFonts w:ascii="Times New Roman" w:cs="Times New Roman" w:eastAsia="Times New Roman" w:hAnsi="Times New Roman"/>
          <w:sz w:val="19"/>
          <w:szCs w:val="19"/>
          <w:color w:val="auto"/>
        </w:rPr>
        <w:t>means, with respect to any Collateral Loan, for each Due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scheduled payment of principal and/or interest and/or fees due on such Due Date with respect to such Collateral Loan.</w:t>
      </w:r>
    </w:p>
    <w:p>
      <w:pPr>
        <w:spacing w:after="0" w:line="166" w:lineRule="exact"/>
        <w:rPr>
          <w:sz w:val="20"/>
          <w:szCs w:val="20"/>
          <w:color w:val="auto"/>
        </w:rPr>
      </w:pPr>
    </w:p>
    <w:p>
      <w:pPr>
        <w:ind w:left="760" w:right="110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“Screen Rate” </w:t>
      </w:r>
      <w:r>
        <w:rPr>
          <w:rFonts w:ascii="Times New Roman" w:cs="Times New Roman" w:eastAsia="Times New Roman" w:hAnsi="Times New Roman"/>
          <w:sz w:val="19"/>
          <w:szCs w:val="19"/>
          <w:color w:val="auto"/>
        </w:rPr>
        <w:t>means each of the SOFR Screen Rate, the EURIBOR Screen Rate,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 CORRA Screen Rate and the BBSY Screen Rate (each as defined in the definition of “Term Benchmark Rate”.</w:t>
      </w:r>
    </w:p>
    <w:p>
      <w:pPr>
        <w:spacing w:after="0" w:line="166" w:lineRule="exact"/>
        <w:rPr>
          <w:sz w:val="20"/>
          <w:szCs w:val="20"/>
          <w:color w:val="auto"/>
        </w:rPr>
      </w:pPr>
    </w:p>
    <w:p>
      <w:pPr>
        <w:jc w:val="both"/>
        <w:ind w:left="760" w:right="12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 </w:t>
      </w:r>
      <w:r>
        <w:rPr>
          <w:rFonts w:ascii="Times New Roman" w:cs="Times New Roman" w:eastAsia="Times New Roman" w:hAnsi="Times New Roman"/>
          <w:sz w:val="19"/>
          <w:szCs w:val="19"/>
          <w:color w:val="auto"/>
        </w:rPr>
        <w:t>means the Securities and Exchange Commission or any other governmental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authority of the United States of America at the time administrating the Securities Act, the Investment Company Act or the Exchange Act.</w:t>
      </w:r>
    </w:p>
    <w:p>
      <w:pPr>
        <w:spacing w:after="0" w:line="16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Second Lien Loan</w:t>
      </w:r>
      <w:r>
        <w:rPr>
          <w:rFonts w:ascii="Times New Roman" w:cs="Times New Roman" w:eastAsia="Times New Roman" w:hAnsi="Times New Roman"/>
          <w:sz w:val="19"/>
          <w:szCs w:val="19"/>
          <w:color w:val="auto"/>
        </w:rPr>
        <w:t>” means any Collateral Loan (for purposes of this definition, a “loan”)</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that:</w:t>
      </w:r>
    </w:p>
    <w:p>
      <w:pPr>
        <w:spacing w:after="0" w:line="204" w:lineRule="exact"/>
        <w:rPr>
          <w:sz w:val="20"/>
          <w:szCs w:val="20"/>
          <w:color w:val="auto"/>
        </w:rPr>
      </w:pPr>
    </w:p>
    <w:p>
      <w:pPr>
        <w:ind w:left="2180" w:hanging="265"/>
        <w:spacing w:after="0"/>
        <w:tabs>
          <w:tab w:leader="none" w:pos="218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 First Lien/Last Out Loan; or</w:t>
      </w:r>
    </w:p>
    <w:p>
      <w:pPr>
        <w:spacing w:after="0" w:line="225"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meets the following criteria:</w:t>
      </w:r>
    </w:p>
    <w:p>
      <w:pPr>
        <w:spacing w:after="0" w:line="225" w:lineRule="exact"/>
        <w:rPr>
          <w:rFonts w:ascii="Times New Roman" w:cs="Times New Roman" w:eastAsia="Times New Roman" w:hAnsi="Times New Roman"/>
          <w:sz w:val="19"/>
          <w:szCs w:val="19"/>
          <w:color w:val="auto"/>
        </w:rPr>
      </w:pPr>
    </w:p>
    <w:p>
      <w:pPr>
        <w:ind w:left="2720" w:hanging="229"/>
        <w:spacing w:after="0"/>
        <w:tabs>
          <w:tab w:leader="none" w:pos="2720"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(and is not expressly permitted by its terms to become)</w:t>
      </w:r>
    </w:p>
    <w:p>
      <w:pPr>
        <w:spacing w:after="0" w:line="31" w:lineRule="exact"/>
        <w:rPr>
          <w:rFonts w:ascii="Times New Roman" w:cs="Times New Roman" w:eastAsia="Times New Roman" w:hAnsi="Times New Roman"/>
          <w:sz w:val="19"/>
          <w:szCs w:val="19"/>
          <w:color w:val="auto"/>
        </w:rPr>
      </w:pPr>
    </w:p>
    <w:p>
      <w:pPr>
        <w:ind w:left="1920" w:right="78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subordinate in right of payment to any other obligation for borrowed money of the Obligor of such loan (excluding customary terms applicable to a second lien lender under customary intercreditor provisions, such as after an event of default in connection with a first priority perfected Lien or with respect to the liquidation of the Obligor or of specified collateral);</w:t>
      </w:r>
    </w:p>
    <w:p>
      <w:pPr>
        <w:spacing w:after="0" w:line="182" w:lineRule="exact"/>
        <w:rPr>
          <w:rFonts w:ascii="Times New Roman" w:cs="Times New Roman" w:eastAsia="Times New Roman" w:hAnsi="Times New Roman"/>
          <w:sz w:val="19"/>
          <w:szCs w:val="19"/>
          <w:color w:val="auto"/>
        </w:rPr>
      </w:pPr>
    </w:p>
    <w:p>
      <w:pPr>
        <w:ind w:left="1920" w:right="780" w:firstLine="571"/>
        <w:spacing w:after="0" w:line="256" w:lineRule="auto"/>
        <w:tabs>
          <w:tab w:leader="none" w:pos="2779"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is secured by a valid second priority perfected Lien in, to or on specified collateral securing the Obligor’s obligations under such loan (whether or not such loan is also secured by any higher or lower priority Lien on other collateral), but subject to purchase money liens and customary Liens for taxes or regulatory charges not then due and payable and other permitted Liens under the Related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permitted Liens do not directly secure indebtedness for borrowed money;</w:t>
      </w:r>
    </w:p>
    <w:p>
      <w:pPr>
        <w:spacing w:after="0" w:line="181" w:lineRule="exact"/>
        <w:rPr>
          <w:rFonts w:ascii="Times New Roman" w:cs="Times New Roman" w:eastAsia="Times New Roman" w:hAnsi="Times New Roman"/>
          <w:sz w:val="19"/>
          <w:szCs w:val="19"/>
          <w:color w:val="auto"/>
        </w:rPr>
      </w:pPr>
    </w:p>
    <w:p>
      <w:pPr>
        <w:jc w:val="both"/>
        <w:ind w:left="1920" w:right="940" w:firstLine="571"/>
        <w:spacing w:after="0" w:line="254" w:lineRule="auto"/>
        <w:tabs>
          <w:tab w:leader="none" w:pos="2832"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secured, pursuant to such second priority perfected Lien, by collateral having a value (determined as set forth below) not less than the Principal Balance of such loan plus the aggregate Principal Balances of all other loans of</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3" w:name="page144"/>
    <w:bookmarkEnd w:id="143"/>
    <w:p>
      <w:pPr>
        <w:spacing w:after="0" w:line="200" w:lineRule="exact"/>
        <w:rPr>
          <w:sz w:val="20"/>
          <w:szCs w:val="20"/>
          <w:color w:val="auto"/>
        </w:rPr>
      </w:pPr>
    </w:p>
    <w:p>
      <w:pPr>
        <w:spacing w:after="0" w:line="285" w:lineRule="exact"/>
        <w:rPr>
          <w:sz w:val="20"/>
          <w:szCs w:val="20"/>
          <w:color w:val="auto"/>
        </w:rPr>
      </w:pPr>
    </w:p>
    <w:p>
      <w:pPr>
        <w:ind w:left="1920" w:right="940"/>
        <w:spacing w:after="0" w:line="286" w:lineRule="auto"/>
        <w:rPr>
          <w:sz w:val="20"/>
          <w:szCs w:val="20"/>
          <w:color w:val="auto"/>
        </w:rPr>
      </w:pPr>
      <w:r>
        <w:rPr>
          <w:rFonts w:ascii="Times New Roman" w:cs="Times New Roman" w:eastAsia="Times New Roman" w:hAnsi="Times New Roman"/>
          <w:sz w:val="19"/>
          <w:szCs w:val="19"/>
          <w:color w:val="auto"/>
        </w:rPr>
        <w:t>equal or higher seniority secured by a first or second Lien in the same collateral; and</w:t>
      </w:r>
    </w:p>
    <w:p>
      <w:pPr>
        <w:spacing w:after="0" w:line="151" w:lineRule="exact"/>
        <w:rPr>
          <w:sz w:val="20"/>
          <w:szCs w:val="20"/>
          <w:color w:val="auto"/>
        </w:rPr>
      </w:pPr>
    </w:p>
    <w:p>
      <w:pPr>
        <w:ind w:left="1920" w:right="1220" w:firstLine="571"/>
        <w:spacing w:after="0" w:line="286" w:lineRule="auto"/>
        <w:tabs>
          <w:tab w:leader="none" w:pos="282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a loan which is secured solely or primarily by the common stock of its Obligor or any of its Affiliates.</w:t>
      </w:r>
    </w:p>
    <w:p>
      <w:pPr>
        <w:spacing w:after="0" w:line="151" w:lineRule="exact"/>
        <w:rPr>
          <w:sz w:val="20"/>
          <w:szCs w:val="20"/>
          <w:color w:val="auto"/>
        </w:rPr>
      </w:pPr>
    </w:p>
    <w:p>
      <w:pPr>
        <w:ind w:left="760" w:right="800" w:firstLine="576"/>
        <w:spacing w:after="0" w:line="257" w:lineRule="auto"/>
        <w:rPr>
          <w:sz w:val="20"/>
          <w:szCs w:val="20"/>
          <w:color w:val="auto"/>
        </w:rPr>
      </w:pPr>
      <w:r>
        <w:rPr>
          <w:rFonts w:ascii="Times New Roman" w:cs="Times New Roman" w:eastAsia="Times New Roman" w:hAnsi="Times New Roman"/>
          <w:sz w:val="19"/>
          <w:szCs w:val="19"/>
          <w:color w:val="auto"/>
        </w:rPr>
        <w:t>The determination as to whether clause (b)(iii)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 (b) the Collateral Manager’s judgment at the time such Collateral Loan is acquired by the Borrower.</w:t>
      </w:r>
    </w:p>
    <w:p>
      <w:pPr>
        <w:spacing w:after="0" w:line="179" w:lineRule="exact"/>
        <w:rPr>
          <w:sz w:val="20"/>
          <w:szCs w:val="20"/>
          <w:color w:val="auto"/>
        </w:rPr>
      </w:pPr>
    </w:p>
    <w:p>
      <w:pPr>
        <w:ind w:left="760" w:right="8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“Secured Parties” </w:t>
      </w:r>
      <w:r>
        <w:rPr>
          <w:rFonts w:ascii="Times New Roman" w:cs="Times New Roman" w:eastAsia="Times New Roman" w:hAnsi="Times New Roman"/>
          <w:sz w:val="19"/>
          <w:szCs w:val="19"/>
          <w:color w:val="auto"/>
        </w:rPr>
        <w:t>means the Administrative Agent, the Collateral Agent, the Backup</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Collateral Manager, the Collateral Administrator, the Custodian, the BDC (in respect of the Senior Collateral Management Fee and the Subordinated Collateral Management Fee payable to the BDC to the extent provided in Section 11.06), the Collateral Manager, the Lenders and their respective permitted successors and assigns.</w:t>
      </w:r>
    </w:p>
    <w:p>
      <w:pPr>
        <w:spacing w:after="0" w:line="173" w:lineRule="exact"/>
        <w:rPr>
          <w:sz w:val="20"/>
          <w:szCs w:val="20"/>
          <w:color w:val="auto"/>
        </w:rPr>
      </w:pPr>
    </w:p>
    <w:p>
      <w:pPr>
        <w:ind w:left="760" w:right="14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“Securities Act” </w:t>
      </w:r>
      <w:r>
        <w:rPr>
          <w:rFonts w:ascii="Times New Roman" w:cs="Times New Roman" w:eastAsia="Times New Roman" w:hAnsi="Times New Roman"/>
          <w:sz w:val="19"/>
          <w:szCs w:val="19"/>
          <w:color w:val="auto"/>
        </w:rPr>
        <w:t>means the Securities Act of 1933, as amended, and the rules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regulations promulgated thereunder, all as from time to time in effect.</w:t>
      </w:r>
    </w:p>
    <w:p>
      <w:pPr>
        <w:spacing w:after="0" w:line="131" w:lineRule="exact"/>
        <w:rPr>
          <w:sz w:val="20"/>
          <w:szCs w:val="20"/>
          <w:color w:val="auto"/>
        </w:rPr>
      </w:pPr>
    </w:p>
    <w:p>
      <w:pPr>
        <w:ind w:left="1340"/>
        <w:spacing w:after="0" w:line="219" w:lineRule="exact"/>
        <w:rPr>
          <w:sz w:val="20"/>
          <w:szCs w:val="20"/>
          <w:color w:val="auto"/>
        </w:rPr>
      </w:pPr>
      <w:r>
        <w:rPr>
          <w:rFonts w:ascii="Times New Roman" w:cs="Times New Roman" w:eastAsia="Times New Roman" w:hAnsi="Times New Roman"/>
          <w:sz w:val="19"/>
          <w:szCs w:val="19"/>
          <w:i w:val="1"/>
          <w:iCs w:val="1"/>
          <w:color w:val="auto"/>
        </w:rPr>
        <w:t xml:space="preserve">“Securities Intermediary” </w:t>
      </w:r>
      <w:r>
        <w:rPr>
          <w:rFonts w:ascii="Times New Roman" w:cs="Times New Roman" w:eastAsia="Times New Roman" w:hAnsi="Times New Roman"/>
          <w:sz w:val="19"/>
          <w:szCs w:val="19"/>
          <w:color w:val="auto"/>
        </w:rPr>
        <w:t>has the meaning assigned to it in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102(a)(14) of the</w:t>
      </w:r>
    </w:p>
    <w:p>
      <w:pPr>
        <w:spacing w:after="0" w:line="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UCC.</w:t>
      </w:r>
    </w:p>
    <w:p>
      <w:pPr>
        <w:spacing w:after="0" w:line="185" w:lineRule="exact"/>
        <w:rPr>
          <w:sz w:val="20"/>
          <w:szCs w:val="20"/>
          <w:color w:val="auto"/>
        </w:rPr>
      </w:pPr>
    </w:p>
    <w:p>
      <w:pPr>
        <w:ind w:left="1340"/>
        <w:spacing w:after="0" w:line="219" w:lineRule="exact"/>
        <w:rPr>
          <w:sz w:val="20"/>
          <w:szCs w:val="20"/>
          <w:color w:val="auto"/>
        </w:rPr>
      </w:pPr>
      <w:r>
        <w:rPr>
          <w:rFonts w:ascii="Times New Roman" w:cs="Times New Roman" w:eastAsia="Times New Roman" w:hAnsi="Times New Roman"/>
          <w:sz w:val="19"/>
          <w:szCs w:val="19"/>
          <w:i w:val="1"/>
          <w:iCs w:val="1"/>
          <w:color w:val="auto"/>
        </w:rPr>
        <w:t xml:space="preserve">“Security Entitlement” </w:t>
      </w:r>
      <w:r>
        <w:rPr>
          <w:rFonts w:ascii="Times New Roman" w:cs="Times New Roman" w:eastAsia="Times New Roman" w:hAnsi="Times New Roman"/>
          <w:sz w:val="19"/>
          <w:szCs w:val="19"/>
          <w:color w:val="auto"/>
        </w:rPr>
        <w:t>has the meaning specified in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102(a)(17) of the UCC.</w:t>
      </w:r>
    </w:p>
    <w:p>
      <w:pPr>
        <w:spacing w:after="0" w:line="243" w:lineRule="exact"/>
        <w:rPr>
          <w:sz w:val="20"/>
          <w:szCs w:val="20"/>
          <w:color w:val="auto"/>
        </w:rPr>
      </w:pPr>
    </w:p>
    <w:p>
      <w:pPr>
        <w:ind w:left="760" w:right="8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“Selling Institution” </w:t>
      </w:r>
      <w:r>
        <w:rPr>
          <w:rFonts w:ascii="Times New Roman" w:cs="Times New Roman" w:eastAsia="Times New Roman" w:hAnsi="Times New Roman"/>
          <w:sz w:val="19"/>
          <w:szCs w:val="19"/>
          <w:color w:val="auto"/>
        </w:rPr>
        <w:t>means an entity obligated to make payments to the Borrower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terms of a Participation Interest.</w:t>
      </w:r>
    </w:p>
    <w:p>
      <w:pPr>
        <w:spacing w:after="0" w:line="148" w:lineRule="exact"/>
        <w:rPr>
          <w:sz w:val="20"/>
          <w:szCs w:val="20"/>
          <w:color w:val="auto"/>
        </w:rPr>
      </w:pPr>
    </w:p>
    <w:p>
      <w:pPr>
        <w:ind w:left="760" w:right="84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“Senior Collateral Management Fee” </w:t>
      </w:r>
      <w:r>
        <w:rPr>
          <w:rFonts w:ascii="Times New Roman" w:cs="Times New Roman" w:eastAsia="Times New Roman" w:hAnsi="Times New Roman"/>
          <w:sz w:val="19"/>
          <w:szCs w:val="19"/>
          <w:color w:val="auto"/>
        </w:rPr>
        <w:t>means the monthly fee, accruing from the Closing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Date, payable in arrears on each Payment Date for the related Interest Accrual Period, in an amount equal to 0.50%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(calculated on the basis of a 360 day year and the actual number of days elapsed) of the Monthly Asset Amount.</w:t>
      </w:r>
    </w:p>
    <w:p>
      <w:pPr>
        <w:spacing w:after="0" w:line="171" w:lineRule="exact"/>
        <w:rPr>
          <w:sz w:val="20"/>
          <w:szCs w:val="20"/>
          <w:color w:val="auto"/>
        </w:rPr>
      </w:pPr>
    </w:p>
    <w:p>
      <w:pPr>
        <w:ind w:left="760" w:right="860" w:firstLine="57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Senior Leverage Ratio</w:t>
      </w:r>
      <w:r>
        <w:rPr>
          <w:rFonts w:ascii="Times New Roman" w:cs="Times New Roman" w:eastAsia="Times New Roman" w:hAnsi="Times New Roman"/>
          <w:sz w:val="19"/>
          <w:szCs w:val="19"/>
          <w:color w:val="auto"/>
        </w:rPr>
        <w:t xml:space="preserve">” means, with respect to any Collateral Loan for any Relevant Test Period, the meaning of “Senior Leverage Ratio”, “Senior Net Leverage Ratio”, “First Lien Leverage Ratio”, “First Lien Net Leverage Ratio” or any comparable term relating to first lien senior secured (or such applicable lien or applicable level within the capital structure) indebtedness defined in the Related Documents for such Collateral Loan, and in any case that “Senior Leverage Ratio”, “Senior Net Leverage Ratio”, “First Lien Leverage Ratio”, “First Lien Net Leverage Ratio” or such comparable term is not defined in such Related Documents, the ratio of (a) first lien senior secured (or such applicable lien or applicable level within the capital structure) indebtedness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Unrestricted Cash to (b) EBITDA as calculated by the Collateral Manager in good faith using information from and calculations consistent with the relevant financial models, pro forma</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4" w:name="page145"/>
    <w:bookmarkEnd w:id="144"/>
    <w:p>
      <w:pPr>
        <w:spacing w:after="0" w:line="200" w:lineRule="exact"/>
        <w:rPr>
          <w:sz w:val="20"/>
          <w:szCs w:val="20"/>
          <w:color w:val="auto"/>
        </w:rPr>
      </w:pPr>
    </w:p>
    <w:p>
      <w:pPr>
        <w:spacing w:after="0" w:line="285" w:lineRule="exact"/>
        <w:rPr>
          <w:sz w:val="20"/>
          <w:szCs w:val="20"/>
          <w:color w:val="auto"/>
        </w:rPr>
      </w:pPr>
    </w:p>
    <w:p>
      <w:pPr>
        <w:ind w:left="760" w:right="1100"/>
        <w:spacing w:after="0" w:line="286" w:lineRule="auto"/>
        <w:rPr>
          <w:sz w:val="20"/>
          <w:szCs w:val="20"/>
          <w:color w:val="auto"/>
        </w:rPr>
      </w:pPr>
      <w:r>
        <w:rPr>
          <w:rFonts w:ascii="Times New Roman" w:cs="Times New Roman" w:eastAsia="Times New Roman" w:hAnsi="Times New Roman"/>
          <w:sz w:val="19"/>
          <w:szCs w:val="19"/>
          <w:color w:val="auto"/>
        </w:rPr>
        <w:t>financial statements, compliance statements and financial reporting packages provided by the relevant Obligor as per the requirements of the Related Documents.</w:t>
      </w:r>
    </w:p>
    <w:p>
      <w:pPr>
        <w:spacing w:after="0" w:line="149" w:lineRule="exact"/>
        <w:rPr>
          <w:sz w:val="20"/>
          <w:szCs w:val="20"/>
          <w:color w:val="auto"/>
        </w:rPr>
      </w:pPr>
    </w:p>
    <w:p>
      <w:pPr>
        <w:ind w:left="760" w:right="96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Shareholders’ Equity”</w:t>
      </w:r>
      <w:r>
        <w:rPr>
          <w:rFonts w:ascii="Times New Roman" w:cs="Times New Roman" w:eastAsia="Times New Roman" w:hAnsi="Times New Roman"/>
          <w:sz w:val="19"/>
          <w:szCs w:val="19"/>
          <w:color w:val="auto"/>
        </w:rPr>
        <w:t xml:space="preserve"> means, at any date, the amount determined on a consolidated basis, without duplication, in accordance with GAAP, of shareholders’ equity for the Borrower and its Subsidiaries at such date.</w:t>
      </w:r>
    </w:p>
    <w:p>
      <w:pPr>
        <w:spacing w:after="0" w:line="166" w:lineRule="exact"/>
        <w:rPr>
          <w:sz w:val="20"/>
          <w:szCs w:val="20"/>
          <w:color w:val="auto"/>
        </w:rPr>
      </w:pPr>
    </w:p>
    <w:p>
      <w:pPr>
        <w:ind w:left="760" w:right="150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w:t>
      </w:r>
      <w:r>
        <w:rPr>
          <w:rFonts w:ascii="Times New Roman" w:cs="Times New Roman" w:eastAsia="Times New Roman" w:hAnsi="Times New Roman"/>
          <w:sz w:val="19"/>
          <w:szCs w:val="19"/>
          <w:color w:val="auto"/>
        </w:rPr>
        <w:t>” means a rate per annum equal to the secured overnight financing rate as administered by the SOFR Administrator.</w:t>
      </w:r>
    </w:p>
    <w:p>
      <w:pPr>
        <w:spacing w:after="0" w:line="148" w:lineRule="exact"/>
        <w:rPr>
          <w:sz w:val="20"/>
          <w:szCs w:val="20"/>
          <w:color w:val="auto"/>
        </w:rPr>
      </w:pPr>
    </w:p>
    <w:p>
      <w:pPr>
        <w:ind w:left="760" w:right="110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 Administrator</w:t>
      </w:r>
      <w:r>
        <w:rPr>
          <w:rFonts w:ascii="Times New Roman" w:cs="Times New Roman" w:eastAsia="Times New Roman" w:hAnsi="Times New Roman"/>
          <w:sz w:val="19"/>
          <w:szCs w:val="19"/>
          <w:color w:val="auto"/>
        </w:rPr>
        <w:t>” means the Federal Reserve Bank of New York (or a successor administrator of the secured overnight financing rate).</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“Solvent” </w:t>
      </w:r>
      <w:r>
        <w:rPr>
          <w:rFonts w:ascii="Times New Roman" w:cs="Times New Roman" w:eastAsia="Times New Roman" w:hAnsi="Times New Roman"/>
          <w:sz w:val="19"/>
          <w:szCs w:val="19"/>
          <w:color w:val="auto"/>
        </w:rPr>
        <w:t>means, with respect to any Person, that as of the date of determination, both (i)</w:t>
      </w:r>
    </w:p>
    <w:p>
      <w:pPr>
        <w:spacing w:after="0" w:line="34" w:lineRule="exact"/>
        <w:rPr>
          <w:sz w:val="20"/>
          <w:szCs w:val="20"/>
          <w:color w:val="auto"/>
        </w:rPr>
      </w:pPr>
    </w:p>
    <w:p>
      <w:pPr>
        <w:ind w:left="760" w:right="920" w:firstLine="2"/>
        <w:spacing w:after="0" w:line="250" w:lineRule="auto"/>
        <w:tabs>
          <w:tab w:leader="none" w:pos="1021"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such Person’s debt (including contingent liabilities) does not exceed the present fair saleable value of such Person’s present assets; (b) such Person’s capital is not unreasonably small in relation to its business as contemplated on the Closing Date and reflected in the projections delivered in connection with this Agreement or with respect to any transaction contemplated to be undertaken after the Closing Date; and (c) such Person has not incurred and does not intend to incur, or believe (nor should it reasonably believe) that it will incur, debts beyond its ability to pay such debts as they become due (whether at maturity or otherwise); and</w:t>
      </w:r>
    </w:p>
    <w:p>
      <w:pPr>
        <w:spacing w:after="0" w:line="3" w:lineRule="exact"/>
        <w:rPr>
          <w:rFonts w:ascii="Times New Roman" w:cs="Times New Roman" w:eastAsia="Times New Roman" w:hAnsi="Times New Roman"/>
          <w:sz w:val="19"/>
          <w:szCs w:val="19"/>
          <w:color w:val="auto"/>
        </w:rPr>
      </w:pPr>
    </w:p>
    <w:p>
      <w:pPr>
        <w:ind w:left="760" w:right="800" w:firstLine="2"/>
        <w:spacing w:after="0" w:line="252" w:lineRule="auto"/>
        <w:tabs>
          <w:tab w:leader="none" w:pos="1043"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 is “solvent” within the meaning given that term and similar terms under Section 101(32) of the Bankruptcy Code, Section 271 of the Debtor and Creditor Law of the State of New York or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Topic 740 of the Accounting Standards Codification of the Financial Accounting Standards Board).</w:t>
      </w:r>
    </w:p>
    <w:p>
      <w:pPr>
        <w:spacing w:after="0" w:line="181" w:lineRule="exact"/>
        <w:rPr>
          <w:sz w:val="20"/>
          <w:szCs w:val="20"/>
          <w:color w:val="auto"/>
        </w:rPr>
      </w:pPr>
    </w:p>
    <w:p>
      <w:pPr>
        <w:ind w:left="760" w:right="8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SONIA</w:t>
      </w:r>
      <w:r>
        <w:rPr>
          <w:rFonts w:ascii="Times New Roman" w:cs="Times New Roman" w:eastAsia="Times New Roman" w:hAnsi="Times New Roman"/>
          <w:sz w:val="19"/>
          <w:szCs w:val="19"/>
          <w:color w:val="auto"/>
        </w:rPr>
        <w:t>” means a rate equal to the Sterling Overnight Index Average as administered by the SONIA Administrator.</w:t>
      </w:r>
    </w:p>
    <w:p>
      <w:pPr>
        <w:spacing w:after="0" w:line="148" w:lineRule="exact"/>
        <w:rPr>
          <w:sz w:val="20"/>
          <w:szCs w:val="20"/>
          <w:color w:val="auto"/>
        </w:rPr>
      </w:pPr>
    </w:p>
    <w:p>
      <w:pPr>
        <w:ind w:left="760" w:right="102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SONIA Administrator</w:t>
      </w:r>
      <w:r>
        <w:rPr>
          <w:rFonts w:ascii="Times New Roman" w:cs="Times New Roman" w:eastAsia="Times New Roman" w:hAnsi="Times New Roman"/>
          <w:sz w:val="19"/>
          <w:szCs w:val="19"/>
          <w:color w:val="auto"/>
        </w:rPr>
        <w:t>” means the Bank of England (or any successor administrator of the Sterling Overnight Index Average).</w:t>
      </w:r>
    </w:p>
    <w:p>
      <w:pPr>
        <w:spacing w:after="0" w:line="148" w:lineRule="exact"/>
        <w:rPr>
          <w:sz w:val="20"/>
          <w:szCs w:val="20"/>
          <w:color w:val="auto"/>
        </w:rPr>
      </w:pPr>
    </w:p>
    <w:p>
      <w:pPr>
        <w:ind w:left="760" w:right="114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SONIA Administrator’s Website</w:t>
      </w:r>
      <w:r>
        <w:rPr>
          <w:rFonts w:ascii="Times New Roman" w:cs="Times New Roman" w:eastAsia="Times New Roman" w:hAnsi="Times New Roman"/>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166" w:lineRule="exact"/>
        <w:rPr>
          <w:sz w:val="20"/>
          <w:szCs w:val="20"/>
          <w:color w:val="auto"/>
        </w:rPr>
      </w:pPr>
    </w:p>
    <w:p>
      <w:pPr>
        <w:ind w:left="760" w:right="84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“Special Purpose Entity” </w:t>
      </w:r>
      <w:r>
        <w:rPr>
          <w:rFonts w:ascii="Times New Roman" w:cs="Times New Roman" w:eastAsia="Times New Roman" w:hAnsi="Times New Roman"/>
          <w:sz w:val="19"/>
          <w:szCs w:val="19"/>
          <w:color w:val="auto"/>
        </w:rPr>
        <w:t>means a limited liability company or other business entity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created with the purpose of being “bankruptcy remote” and whose organizational documents contain restrictions on its activities and impose requirements intended to preserve such entity’s separateness that are substantially similar to the special purpose provisions of the Borrower LLC Agreement.</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5" w:name="page146"/>
    <w:bookmarkEnd w:id="145"/>
    <w:p>
      <w:pPr>
        <w:spacing w:after="0" w:line="200" w:lineRule="exact"/>
        <w:rPr>
          <w:sz w:val="20"/>
          <w:szCs w:val="20"/>
          <w:color w:val="auto"/>
        </w:rPr>
      </w:pPr>
    </w:p>
    <w:p>
      <w:pPr>
        <w:spacing w:after="0" w:line="283" w:lineRule="exact"/>
        <w:rPr>
          <w:sz w:val="20"/>
          <w:szCs w:val="20"/>
          <w:color w:val="auto"/>
        </w:rPr>
      </w:pPr>
    </w:p>
    <w:p>
      <w:pPr>
        <w:ind w:left="760" w:right="800" w:firstLine="576"/>
        <w:spacing w:after="0" w:line="231" w:lineRule="exact"/>
        <w:rPr>
          <w:sz w:val="20"/>
          <w:szCs w:val="20"/>
          <w:color w:val="auto"/>
        </w:rPr>
      </w:pPr>
      <w:r>
        <w:rPr>
          <w:rFonts w:ascii="Times New Roman" w:cs="Times New Roman" w:eastAsia="Times New Roman" w:hAnsi="Times New Roman"/>
          <w:sz w:val="19"/>
          <w:szCs w:val="19"/>
          <w:i w:val="1"/>
          <w:iCs w:val="1"/>
          <w:color w:val="auto"/>
        </w:rPr>
        <w:t xml:space="preserve">“Specified Eligible Investment” </w:t>
      </w:r>
      <w:r>
        <w:rPr>
          <w:rFonts w:ascii="Times New Roman" w:cs="Times New Roman" w:eastAsia="Times New Roman" w:hAnsi="Times New Roman"/>
          <w:sz w:val="19"/>
          <w:szCs w:val="19"/>
          <w:color w:val="auto"/>
        </w:rPr>
        <w:t>means an Eligible Investment meeting the requirements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of Section 8.05(a) and that is available to the Collateral Agent, to be specified by the Collateral Manager to the Collateral Agent (with a copy to the Administrative Agent) on or prior to the initial Borrowing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so long as no Default or Event of Default shall have occurred and then be continuing, at any time with not less than five (5) Business Days’ notice to the Collateral Agent (with a copy to the Administrative Agent) the Collateral Manager may (and, if the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then Specified Eligible Investment is no longer available to the Collateral Agent, shall) designate another Eligible Investment that meets the requirements of Section 8.05(a) and that is available to the Collateral Agent to be the Specified Eligible Investment for purposes hereof.</w:t>
      </w:r>
    </w:p>
    <w:p>
      <w:pPr>
        <w:spacing w:after="0" w:line="19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Specified Rate</w:t>
      </w:r>
      <w:r>
        <w:rPr>
          <w:rFonts w:ascii="Times New Roman" w:cs="Times New Roman" w:eastAsia="Times New Roman" w:hAnsi="Times New Roman"/>
          <w:sz w:val="19"/>
          <w:szCs w:val="19"/>
          <w:color w:val="auto"/>
        </w:rPr>
        <w:t>” means at any time:</w:t>
      </w:r>
    </w:p>
    <w:p>
      <w:pPr>
        <w:spacing w:after="0" w:line="228" w:lineRule="exact"/>
        <w:rPr>
          <w:sz w:val="20"/>
          <w:szCs w:val="20"/>
          <w:color w:val="auto"/>
        </w:rPr>
      </w:pPr>
    </w:p>
    <w:p>
      <w:pPr>
        <w:ind w:left="1640" w:hanging="253"/>
        <w:spacing w:after="0"/>
        <w:tabs>
          <w:tab w:leader="none" w:pos="1640"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no Advances are outstanding, the rate determined by the Administrative Agent as if</w:t>
      </w:r>
    </w:p>
    <w:p>
      <w:pPr>
        <w:spacing w:after="0" w:line="31" w:lineRule="exact"/>
        <w:rPr>
          <w:rFonts w:ascii="Times New Roman" w:cs="Times New Roman" w:eastAsia="Times New Roman" w:hAnsi="Times New Roman"/>
          <w:sz w:val="19"/>
          <w:szCs w:val="19"/>
          <w:color w:val="auto"/>
        </w:rPr>
      </w:pPr>
    </w:p>
    <w:p>
      <w:pPr>
        <w:ind w:left="1340" w:right="820" w:hanging="1"/>
        <w:spacing w:after="0" w:line="253" w:lineRule="auto"/>
        <w:tabs>
          <w:tab w:leader="none" w:pos="1612"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Advances having an aggregate principal balance of $10,000,000 were bearing interest at the applicable Adjusted Term Benchmark Rate hereunder and (2) the related Interest Accrual Period were in effect for the period from the immediately preceding Payment Date (or, if prior to the first Payment Date, the Closing Date) through the next following Payment Date;</w:t>
      </w:r>
    </w:p>
    <w:p>
      <w:pPr>
        <w:spacing w:after="0" w:line="182" w:lineRule="exact"/>
        <w:rPr>
          <w:rFonts w:ascii="Times New Roman" w:cs="Times New Roman" w:eastAsia="Times New Roman" w:hAnsi="Times New Roman"/>
          <w:sz w:val="19"/>
          <w:szCs w:val="19"/>
          <w:color w:val="auto"/>
        </w:rPr>
      </w:pPr>
    </w:p>
    <w:p>
      <w:pPr>
        <w:jc w:val="both"/>
        <w:ind w:left="1340" w:right="1320" w:firstLine="47"/>
        <w:spacing w:after="0" w:line="268" w:lineRule="auto"/>
        <w:tabs>
          <w:tab w:leader="none" w:pos="166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only one Advance is outstanding at such time, the applicable Adjusted Term Benchmark Rate or Daily Simple RFR, as applicable, in effect with respect to such Advance at such time; and</w:t>
      </w:r>
    </w:p>
    <w:p>
      <w:pPr>
        <w:spacing w:after="0" w:line="168" w:lineRule="exact"/>
        <w:rPr>
          <w:rFonts w:ascii="Times New Roman" w:cs="Times New Roman" w:eastAsia="Times New Roman" w:hAnsi="Times New Roman"/>
          <w:sz w:val="19"/>
          <w:szCs w:val="19"/>
          <w:color w:val="auto"/>
        </w:rPr>
      </w:pPr>
    </w:p>
    <w:p>
      <w:pPr>
        <w:ind w:left="1340" w:right="900" w:firstLine="47"/>
        <w:spacing w:after="0" w:line="256" w:lineRule="auto"/>
        <w:tabs>
          <w:tab w:leader="none" w:pos="1649"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more than one Advance is outstanding at such time, a rate per annum equal to (1) the sum of the products, for each such Advance of (A) the applicable Adjusted Term Benchmark Rate or Daily Simple RFR (as determined by the Administrative Agent) in effect with respect to such Advance at such time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(B) the Dollar Equivalent of the principal amount of such Advance, </w:t>
      </w:r>
      <w:r>
        <w:rPr>
          <w:rFonts w:ascii="Times New Roman" w:cs="Times New Roman" w:eastAsia="Times New Roman" w:hAnsi="Times New Roman"/>
          <w:sz w:val="19"/>
          <w:szCs w:val="19"/>
          <w:i w:val="1"/>
          <w:iCs w:val="1"/>
          <w:color w:val="auto"/>
        </w:rPr>
        <w:t>divided by</w:t>
      </w:r>
      <w:r>
        <w:rPr>
          <w:rFonts w:ascii="Times New Roman" w:cs="Times New Roman" w:eastAsia="Times New Roman" w:hAnsi="Times New Roman"/>
          <w:sz w:val="19"/>
          <w:szCs w:val="19"/>
          <w:color w:val="auto"/>
        </w:rPr>
        <w:t xml:space="preserve"> (2) the Dollar Equivalent of the aggregate principal amount of all Advances outstanding at such time, rounded to the nearest 0.01%.</w:t>
      </w:r>
    </w:p>
    <w:p>
      <w:pPr>
        <w:spacing w:after="0" w:line="179" w:lineRule="exact"/>
        <w:rPr>
          <w:sz w:val="20"/>
          <w:szCs w:val="20"/>
          <w:color w:val="auto"/>
        </w:rPr>
      </w:pPr>
    </w:p>
    <w:p>
      <w:pPr>
        <w:ind w:left="760" w:right="820" w:firstLine="576"/>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Split First Lien Loan</w:t>
      </w:r>
      <w:r>
        <w:rPr>
          <w:rFonts w:ascii="Times New Roman" w:cs="Times New Roman" w:eastAsia="Times New Roman" w:hAnsi="Times New Roman"/>
          <w:sz w:val="19"/>
          <w:szCs w:val="19"/>
          <w:color w:val="auto"/>
        </w:rPr>
        <w:t>” means any Collateral Loan that (a) would otherwise satisfy the criteria of a First Lien Loan but which has been structured with a credit facility that is senior in right of payment thereto; and (b) satisfies the following criteria: (i) the aggregate commitment of such senior credit facility is less than or equal to 25.00% of the total first lien indebtedness with respect to such Collateral Loan (including the Split First Lien Loan and such senior credit facility), and (ii) the senior credit facility portion (as measured by commitment) has a trailing twelve -month senior debt to EBITDA ratio of less than or equal to 0.5x. For the avoidance of doubt, Collateral Loans not satisfying the criteria set forth in this definition may be deemed by the Collateral Manager in its reasonable judgment to be either (x) Split Lien Loans or (y) Second Lien Loans.</w:t>
      </w:r>
    </w:p>
    <w:p>
      <w:pPr>
        <w:spacing w:after="0" w:line="184" w:lineRule="exact"/>
        <w:rPr>
          <w:sz w:val="20"/>
          <w:szCs w:val="20"/>
          <w:color w:val="auto"/>
        </w:rPr>
      </w:pPr>
    </w:p>
    <w:p>
      <w:pPr>
        <w:ind w:left="760" w:right="9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Split Lien Loan</w:t>
      </w:r>
      <w:r>
        <w:rPr>
          <w:rFonts w:ascii="Times New Roman" w:cs="Times New Roman" w:eastAsia="Times New Roman" w:hAnsi="Times New Roman"/>
          <w:sz w:val="19"/>
          <w:szCs w:val="19"/>
          <w:color w:val="auto"/>
        </w:rPr>
        <w:t>” means any Collateral Loan that is either a Tier 1 Split Lien Loan or a Tier 2 Split Lien Loan.</w:t>
      </w:r>
    </w:p>
    <w:p>
      <w:pPr>
        <w:spacing w:after="0" w:line="148" w:lineRule="exact"/>
        <w:rPr>
          <w:sz w:val="20"/>
          <w:szCs w:val="20"/>
          <w:color w:val="auto"/>
        </w:rPr>
      </w:pPr>
    </w:p>
    <w:p>
      <w:pPr>
        <w:jc w:val="center"/>
        <w:ind w:left="760" w:right="780"/>
        <w:spacing w:after="0" w:line="26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Stretch Senior Loan</w:t>
      </w:r>
      <w:r>
        <w:rPr>
          <w:rFonts w:ascii="Times New Roman" w:cs="Times New Roman" w:eastAsia="Times New Roman" w:hAnsi="Times New Roman"/>
          <w:sz w:val="19"/>
          <w:szCs w:val="19"/>
          <w:color w:val="auto"/>
        </w:rPr>
        <w:t xml:space="preserve">” means any Collateral Loan (a) that is secured by a valid and perfected first priority Lien on substantially all of the Obligor’s assets constituting the underlying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54</w:t>
      </w:r>
      <w:r>
        <w:rPr>
          <w:rFonts w:ascii="MS PGothic" w:cs="MS PGothic" w:eastAsia="MS PGothic" w:hAnsi="MS PGothic"/>
          <w:sz w:val="19"/>
          <w:szCs w:val="19"/>
          <w:color w:val="auto"/>
        </w:rPr>
        <w:t>‑</w:t>
      </w:r>
    </w:p>
    <w:p>
      <w:pPr>
        <w:spacing w:after="0" w:line="2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6" w:name="page147"/>
    <w:bookmarkEnd w:id="146"/>
    <w:p>
      <w:pPr>
        <w:spacing w:after="0" w:line="200" w:lineRule="exact"/>
        <w:rPr>
          <w:sz w:val="20"/>
          <w:szCs w:val="20"/>
          <w:color w:val="auto"/>
        </w:rPr>
      </w:pPr>
    </w:p>
    <w:p>
      <w:pPr>
        <w:spacing w:after="0" w:line="285" w:lineRule="exact"/>
        <w:rPr>
          <w:sz w:val="20"/>
          <w:szCs w:val="20"/>
          <w:color w:val="auto"/>
        </w:rPr>
      </w:pPr>
    </w:p>
    <w:p>
      <w:pPr>
        <w:ind w:left="760" w:right="800"/>
        <w:spacing w:after="0" w:line="251" w:lineRule="auto"/>
        <w:rPr>
          <w:sz w:val="20"/>
          <w:szCs w:val="20"/>
          <w:color w:val="auto"/>
        </w:rPr>
      </w:pPr>
      <w:r>
        <w:rPr>
          <w:rFonts w:ascii="Times New Roman" w:cs="Times New Roman" w:eastAsia="Times New Roman" w:hAnsi="Times New Roman"/>
          <w:sz w:val="19"/>
          <w:szCs w:val="19"/>
          <w:color w:val="auto"/>
        </w:rPr>
        <w:t xml:space="preserve">collateral for such Collateral Loan, subject to Permitted Liens, (b) for which no other secured indebtedness of the Obligor secured by a lien on substantially all of the Obligor’s assets exists or is outstanding (subject to Permitted Liens), and (c) for which the payment obligation of the Obligor on such Collateral Loan is either senior to, or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all other indebtedness of such Obligor. A Stretch Senior Loan shall be considered a First Lien Loan. For purposes of determining the Advance Rate for a Stretch Senior Loan, (i) if the Obligor of such Stretch Senior Loan is a Tier 1 Obligor at the time of acquisition, then (a) that portion of such Stretch Senior Loan which, when included in the total indebtedness of such Obligor, results in a Total Leverage Ratio of 4.50x or less at the time of acquisition shall be treated as a First Lien Loan, and (b) that portion of such Stretch Senior Loan which, when included in the total indebtedness of such Obligor, results in a Total Leverage Ratio greater than 4.50x but less than or equal to 6.50x at the time of acquisition shall be treated as a Second Lien Loan; (ii) if the Obligor of such Stretch Senior Loan is a Tier 2 Obligor at the time of acquisition, then (a) that portion of such Stretch Senior Loan which, when included in the total indebtedness of such Obligor, results in a Total Leverage Ratio of 4.50x or less at the time of acquisition shall be treated as a First Lien Loan, and (b) that portion of such Stretch Senior Loan which, when included in the total indebtedness of such Obligor, results in a Total Leverage Ratio greater than 4.50x but less than or equal to</w:t>
      </w:r>
    </w:p>
    <w:p>
      <w:pPr>
        <w:spacing w:after="0" w:line="15" w:lineRule="exact"/>
        <w:rPr>
          <w:sz w:val="20"/>
          <w:szCs w:val="20"/>
          <w:color w:val="auto"/>
        </w:rPr>
      </w:pPr>
    </w:p>
    <w:p>
      <w:pPr>
        <w:ind w:left="760" w:right="760"/>
        <w:spacing w:after="0" w:line="252" w:lineRule="auto"/>
        <w:rPr>
          <w:sz w:val="20"/>
          <w:szCs w:val="20"/>
          <w:color w:val="auto"/>
        </w:rPr>
      </w:pPr>
      <w:r>
        <w:rPr>
          <w:rFonts w:ascii="Times New Roman" w:cs="Times New Roman" w:eastAsia="Times New Roman" w:hAnsi="Times New Roman"/>
          <w:sz w:val="19"/>
          <w:szCs w:val="19"/>
          <w:color w:val="auto"/>
        </w:rPr>
        <w:t>5.75x at the time of acquisition shall be treated as a Second Lien Loan; and (iii) if the Obligor of such Stretch Senior Loan is a Tier 3 Obligor at the time of acquisition, then (a) that portion of such Stretch Senior Loan which, when included in the total indebtedness of such Obligor, results in a Total Leverage Ratio of 4.00x or less at the time of acquisition shall be treated as a First Lien Loan, and (b) that portion of such Stretch Senior Loan which, when included in the total indebtedness of such Obligor, results in a Total Leverage Ratio greater than 4.00x but less than or equal to 5.00x at the time of acquisition shall be treated as a Second Lien Loan.</w:t>
      </w:r>
    </w:p>
    <w:p>
      <w:pPr>
        <w:spacing w:after="0" w:line="183" w:lineRule="exact"/>
        <w:rPr>
          <w:sz w:val="20"/>
          <w:szCs w:val="20"/>
          <w:color w:val="auto"/>
        </w:rPr>
      </w:pPr>
    </w:p>
    <w:p>
      <w:pPr>
        <w:ind w:left="760" w:right="840" w:firstLine="576"/>
        <w:spacing w:after="0" w:line="231" w:lineRule="exact"/>
        <w:rPr>
          <w:sz w:val="20"/>
          <w:szCs w:val="20"/>
          <w:color w:val="auto"/>
        </w:rPr>
      </w:pPr>
      <w:r>
        <w:rPr>
          <w:rFonts w:ascii="Times New Roman" w:cs="Times New Roman" w:eastAsia="Times New Roman" w:hAnsi="Times New Roman"/>
          <w:sz w:val="19"/>
          <w:szCs w:val="19"/>
          <w:i w:val="1"/>
          <w:iCs w:val="1"/>
          <w:color w:val="auto"/>
        </w:rPr>
        <w:t xml:space="preserve">“Structured Finance Obligation” </w:t>
      </w:r>
      <w:r>
        <w:rPr>
          <w:rFonts w:ascii="Times New Roman" w:cs="Times New Roman" w:eastAsia="Times New Roman" w:hAnsi="Times New Roman"/>
          <w:sz w:val="19"/>
          <w:szCs w:val="19"/>
          <w:color w:val="auto"/>
        </w:rPr>
        <w:t>means any debt obligation owing by a finance vehicle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is secured directly and primarily by, primarily referenced to, and/or primarily representing ownership of, a pool of receivables or a pool of other assets, including collateralized debt obligations, residential mortgage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backed securities, commercial mortgage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backed securities, other asset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backed securities, “future flow” receivable transactions and other similar obligations;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ABL Facilities, loans to financial service companies, factoring businesses, health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care providers and other genuine operating businesses do not constitute Structured Finance Obligations.</w:t>
      </w:r>
    </w:p>
    <w:p>
      <w:pPr>
        <w:spacing w:after="0" w:line="19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“Subject Laws” </w:t>
      </w:r>
      <w:r>
        <w:rPr>
          <w:rFonts w:ascii="Times New Roman" w:cs="Times New Roman" w:eastAsia="Times New Roman" w:hAnsi="Times New Roman"/>
          <w:sz w:val="19"/>
          <w:szCs w:val="19"/>
          <w:color w:val="auto"/>
        </w:rPr>
        <w:t>has the meaning assigned to such term in Section 4.01(f).</w:t>
      </w:r>
    </w:p>
    <w:p>
      <w:pPr>
        <w:spacing w:after="0" w:line="226" w:lineRule="exact"/>
        <w:rPr>
          <w:sz w:val="20"/>
          <w:szCs w:val="20"/>
          <w:color w:val="auto"/>
        </w:rPr>
      </w:pPr>
    </w:p>
    <w:p>
      <w:pPr>
        <w:ind w:left="760" w:right="82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“Subordinated Collateral Management Fee” </w:t>
      </w:r>
      <w:r>
        <w:rPr>
          <w:rFonts w:ascii="Times New Roman" w:cs="Times New Roman" w:eastAsia="Times New Roman" w:hAnsi="Times New Roman"/>
          <w:sz w:val="19"/>
          <w:szCs w:val="19"/>
          <w:color w:val="auto"/>
        </w:rPr>
        <w:t>means the monthly fee, accruing from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Closing Date, payable in arrears on each Payment Date for the related Interest Accrual Period, in an amount equal to 0.50% </w:t>
      </w:r>
      <w:r>
        <w:rPr>
          <w:rFonts w:ascii="Times New Roman" w:cs="Times New Roman" w:eastAsia="Times New Roman" w:hAnsi="Times New Roman"/>
          <w:sz w:val="19"/>
          <w:szCs w:val="19"/>
          <w:i w:val="1"/>
          <w:iCs w:val="1"/>
          <w:color w:val="auto"/>
        </w:rPr>
        <w:t>per annum</w:t>
      </w:r>
      <w:r>
        <w:rPr>
          <w:rFonts w:ascii="Times New Roman" w:cs="Times New Roman" w:eastAsia="Times New Roman" w:hAnsi="Times New Roman"/>
          <w:sz w:val="19"/>
          <w:szCs w:val="19"/>
          <w:color w:val="auto"/>
        </w:rPr>
        <w:t xml:space="preserve"> (calculated on the basis of a 360 day year and the actual number of days elapsed) of the Monthly Asset Amount.</w:t>
      </w:r>
    </w:p>
    <w:p>
      <w:pPr>
        <w:spacing w:after="0" w:line="171" w:lineRule="exact"/>
        <w:rPr>
          <w:sz w:val="20"/>
          <w:szCs w:val="20"/>
          <w:color w:val="auto"/>
        </w:rPr>
      </w:pPr>
    </w:p>
    <w:p>
      <w:pPr>
        <w:ind w:left="760" w:right="13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“Successor Collateral Manager” </w:t>
      </w:r>
      <w:r>
        <w:rPr>
          <w:rFonts w:ascii="Times New Roman" w:cs="Times New Roman" w:eastAsia="Times New Roman" w:hAnsi="Times New Roman"/>
          <w:sz w:val="19"/>
          <w:szCs w:val="19"/>
          <w:color w:val="auto"/>
        </w:rPr>
        <w:t>has the meaning assigned to such term in Section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11.09(a).</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Swingline Advance</w:t>
      </w:r>
      <w:r>
        <w:rPr>
          <w:rFonts w:ascii="Times New Roman" w:cs="Times New Roman" w:eastAsia="Times New Roman" w:hAnsi="Times New Roman"/>
          <w:sz w:val="19"/>
          <w:szCs w:val="19"/>
          <w:color w:val="auto"/>
        </w:rPr>
        <w:t>” has the meaning assigned to such term in Section 2.01.</w:t>
      </w:r>
    </w:p>
    <w:p>
      <w:pPr>
        <w:spacing w:after="0" w:line="26" w:lineRule="exact"/>
        <w:rPr>
          <w:sz w:val="20"/>
          <w:szCs w:val="20"/>
          <w:color w:val="auto"/>
        </w:rPr>
      </w:pPr>
    </w:p>
    <w:p>
      <w:pPr>
        <w:ind w:left="436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7" w:name="page148"/>
    <w:bookmarkEnd w:id="147"/>
    <w:p>
      <w:pPr>
        <w:spacing w:after="0" w:line="200" w:lineRule="exact"/>
        <w:rPr>
          <w:sz w:val="20"/>
          <w:szCs w:val="20"/>
          <w:color w:val="auto"/>
        </w:rPr>
      </w:pPr>
    </w:p>
    <w:p>
      <w:pPr>
        <w:spacing w:after="0" w:line="2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Swingline Borrowing</w:t>
      </w:r>
      <w:r>
        <w:rPr>
          <w:rFonts w:ascii="Times New Roman" w:cs="Times New Roman" w:eastAsia="Times New Roman" w:hAnsi="Times New Roman"/>
          <w:sz w:val="19"/>
          <w:szCs w:val="19"/>
          <w:color w:val="auto"/>
        </w:rPr>
        <w:t>” has the meaning assigned to such term in Section 2.01.</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Swingline Facility End Date</w:t>
      </w:r>
      <w:r>
        <w:rPr>
          <w:rFonts w:ascii="Times New Roman" w:cs="Times New Roman" w:eastAsia="Times New Roman" w:hAnsi="Times New Roman"/>
          <w:sz w:val="19"/>
          <w:szCs w:val="19"/>
          <w:color w:val="auto"/>
        </w:rPr>
        <w:t>” has the meaning assigned to such term in Section 2.01.</w:t>
      </w:r>
    </w:p>
    <w:p>
      <w:pPr>
        <w:spacing w:after="0" w:line="226" w:lineRule="exact"/>
        <w:rPr>
          <w:sz w:val="20"/>
          <w:szCs w:val="20"/>
          <w:color w:val="auto"/>
        </w:rPr>
      </w:pPr>
    </w:p>
    <w:p>
      <w:pPr>
        <w:ind w:left="760" w:right="94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Swingline Lender</w:t>
      </w:r>
      <w:r>
        <w:rPr>
          <w:rFonts w:ascii="Times New Roman" w:cs="Times New Roman" w:eastAsia="Times New Roman" w:hAnsi="Times New Roman"/>
          <w:sz w:val="19"/>
          <w:szCs w:val="19"/>
          <w:color w:val="auto"/>
        </w:rPr>
        <w:t>” means Truist Bank, in its capacity as lender of Swingline Advances hereunder.</w:t>
      </w:r>
    </w:p>
    <w:p>
      <w:pPr>
        <w:spacing w:after="0" w:line="148" w:lineRule="exact"/>
        <w:rPr>
          <w:sz w:val="20"/>
          <w:szCs w:val="20"/>
          <w:color w:val="auto"/>
        </w:rPr>
      </w:pPr>
    </w:p>
    <w:p>
      <w:pPr>
        <w:ind w:left="760" w:right="11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Swingline Refinancing Advances</w:t>
      </w:r>
      <w:r>
        <w:rPr>
          <w:rFonts w:ascii="Times New Roman" w:cs="Times New Roman" w:eastAsia="Times New Roman" w:hAnsi="Times New Roman"/>
          <w:sz w:val="19"/>
          <w:szCs w:val="19"/>
          <w:color w:val="auto"/>
        </w:rPr>
        <w:t>” has the meaning assigned to such term in Section 2.02(c).</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Swingline Refinancing Date</w:t>
      </w:r>
      <w:r>
        <w:rPr>
          <w:rFonts w:ascii="Times New Roman" w:cs="Times New Roman" w:eastAsia="Times New Roman" w:hAnsi="Times New Roman"/>
          <w:sz w:val="19"/>
          <w:szCs w:val="19"/>
          <w:color w:val="auto"/>
        </w:rPr>
        <w:t>” has the meaning assigned to such term in Section 2.02(c).</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Syndicated Advance</w:t>
      </w:r>
      <w:r>
        <w:rPr>
          <w:rFonts w:ascii="Times New Roman" w:cs="Times New Roman" w:eastAsia="Times New Roman" w:hAnsi="Times New Roman"/>
          <w:sz w:val="19"/>
          <w:szCs w:val="19"/>
          <w:color w:val="auto"/>
        </w:rPr>
        <w:t>” has the meaning assigned to such term in Section 2.01.</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Syndicated Borrowing</w:t>
      </w:r>
      <w:r>
        <w:rPr>
          <w:rFonts w:ascii="Times New Roman" w:cs="Times New Roman" w:eastAsia="Times New Roman" w:hAnsi="Times New Roman"/>
          <w:sz w:val="19"/>
          <w:szCs w:val="19"/>
          <w:color w:val="auto"/>
        </w:rPr>
        <w:t>” has the meaning assigned to such term in Section 2.01.</w:t>
      </w:r>
    </w:p>
    <w:p>
      <w:pPr>
        <w:spacing w:after="0" w:line="226" w:lineRule="exact"/>
        <w:rPr>
          <w:sz w:val="20"/>
          <w:szCs w:val="20"/>
          <w:color w:val="auto"/>
        </w:rPr>
      </w:pPr>
    </w:p>
    <w:p>
      <w:pPr>
        <w:ind w:left="760" w:right="92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TARGET Day</w:t>
      </w:r>
      <w:r>
        <w:rPr>
          <w:rFonts w:ascii="Times New Roman" w:cs="Times New Roman" w:eastAsia="Times New Roman" w:hAnsi="Times New Roman"/>
          <w:sz w:val="19"/>
          <w:szCs w:val="19"/>
          <w:color w:val="auto"/>
        </w:rPr>
        <w:t>” means any day on which the Trans- European Automated Real-time Gross Settlement Express Transfer payment system (or any successor settlement system as determined by the Administrative Agent to be a suitable replacement) is open for the settlement of payments in Euros.</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“Taxes” </w:t>
      </w:r>
      <w:r>
        <w:rPr>
          <w:rFonts w:ascii="Times New Roman" w:cs="Times New Roman" w:eastAsia="Times New Roman" w:hAnsi="Times New Roman"/>
          <w:sz w:val="19"/>
          <w:szCs w:val="19"/>
          <w:color w:val="auto"/>
        </w:rPr>
        <w:t>has the meaning assigned to such term in Section 15.03(a).</w:t>
      </w:r>
    </w:p>
    <w:p>
      <w:pPr>
        <w:spacing w:after="0" w:line="226" w:lineRule="exact"/>
        <w:rPr>
          <w:sz w:val="20"/>
          <w:szCs w:val="20"/>
          <w:color w:val="auto"/>
        </w:rPr>
      </w:pPr>
    </w:p>
    <w:p>
      <w:pPr>
        <w:jc w:val="both"/>
        <w:ind w:left="760" w:right="84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“Term Benchmark” </w:t>
      </w:r>
      <w:r>
        <w:rPr>
          <w:rFonts w:ascii="Times New Roman" w:cs="Times New Roman" w:eastAsia="Times New Roman" w:hAnsi="Times New Roman"/>
          <w:sz w:val="19"/>
          <w:szCs w:val="19"/>
          <w:color w:val="auto"/>
        </w:rPr>
        <w:t>means, when used in reference to any Advance or Borrowing, refers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whether such Advance, or the Advances constituting such Borrowing, are bearing interest at a rate determined by reference to the Adjusted Term Benchmark Rate.</w:t>
      </w:r>
    </w:p>
    <w:p>
      <w:pPr>
        <w:spacing w:after="0" w:line="166" w:lineRule="exact"/>
        <w:rPr>
          <w:sz w:val="20"/>
          <w:szCs w:val="20"/>
          <w:color w:val="auto"/>
        </w:rPr>
      </w:pPr>
    </w:p>
    <w:p>
      <w:pPr>
        <w:ind w:left="760" w:right="142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Benchmark Banking Day</w:t>
      </w:r>
      <w:r>
        <w:rPr>
          <w:rFonts w:ascii="Times New Roman" w:cs="Times New Roman" w:eastAsia="Times New Roman" w:hAnsi="Times New Roman"/>
          <w:sz w:val="19"/>
          <w:szCs w:val="19"/>
          <w:color w:val="auto"/>
        </w:rPr>
        <w:t>” means for Term Benchmark Advances, Term Benchmark Borrowings, interest, fees, commissions or other amounts denominated in, or calculated with respect to:</w:t>
      </w:r>
    </w:p>
    <w:p>
      <w:pPr>
        <w:spacing w:after="0" w:line="180" w:lineRule="exact"/>
        <w:rPr>
          <w:sz w:val="20"/>
          <w:szCs w:val="20"/>
          <w:color w:val="auto"/>
        </w:rPr>
      </w:pPr>
    </w:p>
    <w:p>
      <w:pPr>
        <w:ind w:left="1920" w:right="780" w:hanging="5"/>
        <w:spacing w:after="0" w:line="262" w:lineRule="auto"/>
        <w:tabs>
          <w:tab w:leader="none" w:pos="218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0" w:lineRule="exact"/>
        <w:rPr>
          <w:rFonts w:ascii="Times New Roman" w:cs="Times New Roman" w:eastAsia="Times New Roman" w:hAnsi="Times New Roman"/>
          <w:sz w:val="19"/>
          <w:szCs w:val="19"/>
          <w:color w:val="auto"/>
        </w:rPr>
      </w:pPr>
    </w:p>
    <w:p>
      <w:pPr>
        <w:ind w:left="2180" w:hanging="265"/>
        <w:spacing w:after="0"/>
        <w:tabs>
          <w:tab w:leader="none" w:pos="218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Euros, a TARGET Day;</w:t>
      </w:r>
    </w:p>
    <w:p>
      <w:pPr>
        <w:spacing w:after="0" w:line="201" w:lineRule="exact"/>
        <w:rPr>
          <w:rFonts w:ascii="Times New Roman" w:cs="Times New Roman" w:eastAsia="Times New Roman" w:hAnsi="Times New Roman"/>
          <w:sz w:val="19"/>
          <w:szCs w:val="19"/>
          <w:color w:val="auto"/>
        </w:rPr>
      </w:pPr>
    </w:p>
    <w:p>
      <w:pPr>
        <w:ind w:left="760" w:right="800" w:firstLine="1155"/>
        <w:spacing w:after="0" w:line="286" w:lineRule="auto"/>
        <w:tabs>
          <w:tab w:leader="none" w:pos="2173"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Canadian Dollars, any day except for (i) a Sunday, (ii) a Saturday or (iii) a day on which commercial banks in Toronto are authorized or required by law to remain closed; or</w:t>
      </w:r>
    </w:p>
    <w:p>
      <w:pPr>
        <w:spacing w:after="0" w:line="127" w:lineRule="exact"/>
        <w:rPr>
          <w:rFonts w:ascii="Times New Roman" w:cs="Times New Roman" w:eastAsia="Times New Roman" w:hAnsi="Times New Roman"/>
          <w:sz w:val="19"/>
          <w:szCs w:val="19"/>
          <w:color w:val="auto"/>
        </w:rPr>
      </w:pPr>
    </w:p>
    <w:p>
      <w:pPr>
        <w:ind w:left="760" w:right="820" w:firstLine="1155"/>
        <w:spacing w:after="0" w:line="286" w:lineRule="auto"/>
        <w:tabs>
          <w:tab w:leader="none" w:pos="218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Australian Dollars, any day (other than a Saturday or Sunday) on which banks are open for business in Melbourne, Australia.</w:t>
      </w:r>
    </w:p>
    <w:p>
      <w:pPr>
        <w:spacing w:after="0" w:line="1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“Term Benchmark Rate” </w:t>
      </w:r>
      <w:r>
        <w:rPr>
          <w:rFonts w:ascii="Times New Roman" w:cs="Times New Roman" w:eastAsia="Times New Roman" w:hAnsi="Times New Roman"/>
          <w:sz w:val="19"/>
          <w:szCs w:val="19"/>
          <w:color w:val="auto"/>
        </w:rPr>
        <w:t>means, for any Interest Accrual Period:</w:t>
      </w:r>
    </w:p>
    <w:p>
      <w:pPr>
        <w:spacing w:after="0" w:line="26" w:lineRule="exact"/>
        <w:rPr>
          <w:sz w:val="20"/>
          <w:szCs w:val="20"/>
          <w:color w:val="auto"/>
        </w:rPr>
      </w:pPr>
    </w:p>
    <w:p>
      <w:pPr>
        <w:ind w:left="436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8" w:name="page149"/>
    <w:bookmarkEnd w:id="148"/>
    <w:p>
      <w:pPr>
        <w:spacing w:after="0" w:line="200" w:lineRule="exact"/>
        <w:rPr>
          <w:sz w:val="20"/>
          <w:szCs w:val="20"/>
          <w:color w:val="auto"/>
        </w:rPr>
      </w:pPr>
    </w:p>
    <w:p>
      <w:pPr>
        <w:spacing w:after="0" w:line="285" w:lineRule="exact"/>
        <w:rPr>
          <w:sz w:val="20"/>
          <w:szCs w:val="20"/>
          <w:color w:val="auto"/>
        </w:rPr>
      </w:pPr>
    </w:p>
    <w:p>
      <w:pPr>
        <w:ind w:left="760" w:right="840" w:firstLine="579"/>
        <w:spacing w:after="0" w:line="258" w:lineRule="auto"/>
        <w:tabs>
          <w:tab w:leader="none" w:pos="1597"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Dollars, the rate per annum equal to the Term SOFR Reference Rate for a tenor comparable to the applicable Interest Accrual Period on the day (such day, the “</w:t>
      </w:r>
      <w:r>
        <w:rPr>
          <w:rFonts w:ascii="Times New Roman" w:cs="Times New Roman" w:eastAsia="Times New Roman" w:hAnsi="Times New Roman"/>
          <w:sz w:val="19"/>
          <w:szCs w:val="19"/>
          <w:i w:val="1"/>
          <w:iCs w:val="1"/>
          <w:color w:val="auto"/>
        </w:rPr>
        <w:t>Periodic Term SOFR Determination Day</w:t>
      </w:r>
      <w:r>
        <w:rPr>
          <w:rFonts w:ascii="Times New Roman" w:cs="Times New Roman" w:eastAsia="Times New Roman" w:hAnsi="Times New Roman"/>
          <w:sz w:val="19"/>
          <w:szCs w:val="19"/>
          <w:color w:val="auto"/>
        </w:rPr>
        <w:t>”) that is two</w:t>
      </w:r>
    </w:p>
    <w:p>
      <w:pPr>
        <w:spacing w:after="0" w:line="1" w:lineRule="exact"/>
        <w:rPr>
          <w:rFonts w:ascii="Times New Roman" w:cs="Times New Roman" w:eastAsia="Times New Roman" w:hAnsi="Times New Roman"/>
          <w:sz w:val="19"/>
          <w:szCs w:val="19"/>
          <w:color w:val="auto"/>
        </w:rPr>
      </w:pPr>
    </w:p>
    <w:p>
      <w:pPr>
        <w:ind w:left="760" w:right="780" w:firstLine="2"/>
        <w:spacing w:after="0" w:line="251" w:lineRule="auto"/>
        <w:tabs>
          <w:tab w:leader="none" w:pos="103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 Benchmark Banking Days for Dollars prior to the first day of such Interest Accrual Period, as such rate is published by the Term SOFR Administrator (the “</w:t>
      </w:r>
      <w:r>
        <w:rPr>
          <w:rFonts w:ascii="Times New Roman" w:cs="Times New Roman" w:eastAsia="Times New Roman" w:hAnsi="Times New Roman"/>
          <w:sz w:val="19"/>
          <w:szCs w:val="19"/>
          <w:i w:val="1"/>
          <w:iCs w:val="1"/>
          <w:color w:val="auto"/>
        </w:rPr>
        <w:t>SOFR Screen Rate</w:t>
      </w:r>
      <w:r>
        <w:rPr>
          <w:rFonts w:ascii="Times New Roman" w:cs="Times New Roman" w:eastAsia="Times New Roman" w:hAnsi="Times New Roman"/>
          <w:sz w:val="19"/>
          <w:szCs w:val="19"/>
          <w:color w:val="auto"/>
        </w:rPr>
        <w:t>”); provided, that if as of 5:00 p.m. on any Periodic Term SOFR Determination Day the Term SOFR Reference Rate for the applicable tenor has not been published by the Term SOFR Administrator and a Benchmark Replacement Date with respect to the Term SOFR Reference Rate has not occurred, then the Term Benchmark Rate for Term Benchmark Borrowings denominated in Dollars will be the Term SOFR Reference Rate for such tenor as published by the Term SOFR Administrator on the first preceding Term Benchmark Banking Day for Dollars for which such Term SOFR Reference Rate for such tenor was published by the Term SOFR Administrator so long as such first preceding Term Benchmark Banking Day for Dollars is not more than three (3) Term Benchmark Banking Days for Dollars prior to such Periodic Term SOFR Determination Day (the rate under this clause (a) referred to herein as, “</w:t>
      </w:r>
      <w:r>
        <w:rPr>
          <w:rFonts w:ascii="Times New Roman" w:cs="Times New Roman" w:eastAsia="Times New Roman" w:hAnsi="Times New Roman"/>
          <w:sz w:val="19"/>
          <w:szCs w:val="19"/>
          <w:i w:val="1"/>
          <w:iCs w:val="1"/>
          <w:color w:val="auto"/>
        </w:rPr>
        <w:t>Term SOFR</w:t>
      </w:r>
      <w:r>
        <w:rPr>
          <w:rFonts w:ascii="Times New Roman" w:cs="Times New Roman" w:eastAsia="Times New Roman" w:hAnsi="Times New Roman"/>
          <w:sz w:val="19"/>
          <w:szCs w:val="19"/>
          <w:color w:val="auto"/>
        </w:rPr>
        <w:t>”).</w:t>
      </w:r>
    </w:p>
    <w:p>
      <w:pPr>
        <w:spacing w:after="0" w:line="188" w:lineRule="exact"/>
        <w:rPr>
          <w:rFonts w:ascii="Times New Roman" w:cs="Times New Roman" w:eastAsia="Times New Roman" w:hAnsi="Times New Roman"/>
          <w:sz w:val="19"/>
          <w:szCs w:val="19"/>
          <w:color w:val="auto"/>
        </w:rPr>
      </w:pPr>
    </w:p>
    <w:p>
      <w:pPr>
        <w:ind w:left="760" w:right="780" w:firstLine="579"/>
        <w:spacing w:after="0" w:line="255" w:lineRule="auto"/>
        <w:tabs>
          <w:tab w:leader="none" w:pos="1608"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Accrual Period, as displayed on the applicable Bloomberg page (or on any successor or substitute page or service providing such quotations as determined by the Administrative Agent from time to time; in each case, the “</w:t>
      </w:r>
      <w:r>
        <w:rPr>
          <w:rFonts w:ascii="Times New Roman" w:cs="Times New Roman" w:eastAsia="Times New Roman" w:hAnsi="Times New Roman"/>
          <w:sz w:val="19"/>
          <w:szCs w:val="19"/>
          <w:i w:val="1"/>
          <w:iCs w:val="1"/>
          <w:color w:val="auto"/>
        </w:rPr>
        <w:t>EURIBOR Screen Rate</w:t>
      </w:r>
      <w:r>
        <w:rPr>
          <w:rFonts w:ascii="Times New Roman" w:cs="Times New Roman" w:eastAsia="Times New Roman" w:hAnsi="Times New Roman"/>
          <w:sz w:val="19"/>
          <w:szCs w:val="19"/>
          <w:color w:val="auto"/>
        </w:rPr>
        <w:t>”) at approximately 11:00 a.m. (Brussels time) two Term Benchmark Banking Days for Euros prior to the first day of such Interest Accrual Period;</w:t>
      </w:r>
    </w:p>
    <w:p>
      <w:pPr>
        <w:spacing w:after="0" w:line="183" w:lineRule="exact"/>
        <w:rPr>
          <w:rFonts w:ascii="Times New Roman" w:cs="Times New Roman" w:eastAsia="Times New Roman" w:hAnsi="Times New Roman"/>
          <w:sz w:val="19"/>
          <w:szCs w:val="19"/>
          <w:color w:val="auto"/>
        </w:rPr>
      </w:pPr>
    </w:p>
    <w:p>
      <w:pPr>
        <w:ind w:left="760" w:right="880" w:firstLine="579"/>
        <w:spacing w:after="0" w:line="252" w:lineRule="auto"/>
        <w:tabs>
          <w:tab w:leader="none" w:pos="1597"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Canadian Dollars, the rate per annum equal to the Term CORRA Reference Rate for a tenor comparable to the applicable Interest Accrual Period on the day (such day, the “</w:t>
      </w:r>
      <w:r>
        <w:rPr>
          <w:rFonts w:ascii="Times New Roman" w:cs="Times New Roman" w:eastAsia="Times New Roman" w:hAnsi="Times New Roman"/>
          <w:sz w:val="19"/>
          <w:szCs w:val="19"/>
          <w:i w:val="1"/>
          <w:iCs w:val="1"/>
          <w:color w:val="auto"/>
        </w:rPr>
        <w:t>Periodic Term CORRA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Determination Day</w:t>
      </w:r>
      <w:r>
        <w:rPr>
          <w:rFonts w:ascii="Times New Roman" w:cs="Times New Roman" w:eastAsia="Times New Roman" w:hAnsi="Times New Roman"/>
          <w:sz w:val="19"/>
          <w:szCs w:val="19"/>
          <w:color w:val="auto"/>
        </w:rPr>
        <w:t>”) that is two (2) Term Benchmark Banking Days for Canadian Dollars prior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the first day of such Interest Accrual Period, as such rate is published by the Term CORRA Administrator and is displayed on a screen or other information service, as identified or selected by the Administrative Agent (the “</w:t>
      </w:r>
      <w:r>
        <w:rPr>
          <w:rFonts w:ascii="Times New Roman" w:cs="Times New Roman" w:eastAsia="Times New Roman" w:hAnsi="Times New Roman"/>
          <w:sz w:val="19"/>
          <w:szCs w:val="19"/>
          <w:i w:val="1"/>
          <w:iCs w:val="1"/>
          <w:color w:val="auto"/>
        </w:rPr>
        <w:t>Term CORRA Screen Rate</w:t>
      </w:r>
      <w:r>
        <w:rPr>
          <w:rFonts w:ascii="Times New Roman" w:cs="Times New Roman" w:eastAsia="Times New Roman" w:hAnsi="Times New Roman"/>
          <w:sz w:val="19"/>
          <w:szCs w:val="19"/>
          <w:color w:val="auto"/>
        </w:rPr>
        <w:t>”);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 (the rate under this clause (c) referred to as “</w:t>
      </w:r>
      <w:r>
        <w:rPr>
          <w:rFonts w:ascii="Times New Roman" w:cs="Times New Roman" w:eastAsia="Times New Roman" w:hAnsi="Times New Roman"/>
          <w:sz w:val="19"/>
          <w:szCs w:val="19"/>
          <w:i w:val="1"/>
          <w:iCs w:val="1"/>
          <w:color w:val="auto"/>
        </w:rPr>
        <w:t>Term CORRA</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color w:val="auto"/>
        </w:rPr>
      </w:pPr>
    </w:p>
    <w:p>
      <w:pPr>
        <w:ind w:left="760" w:right="940" w:firstLine="579"/>
        <w:spacing w:after="0" w:line="253" w:lineRule="auto"/>
        <w:tabs>
          <w:tab w:leader="none" w:pos="1608"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Australian Dollars, the rate per annum equal to the Bank Bill Swap Reference Bid rate or a successor thereto approved by the Administrative Agent (“</w:t>
      </w:r>
      <w:r>
        <w:rPr>
          <w:rFonts w:ascii="Times New Roman" w:cs="Times New Roman" w:eastAsia="Times New Roman" w:hAnsi="Times New Roman"/>
          <w:sz w:val="19"/>
          <w:szCs w:val="19"/>
          <w:i w:val="1"/>
          <w:iCs w:val="1"/>
          <w:color w:val="auto"/>
        </w:rPr>
        <w:t>BBSY</w:t>
      </w:r>
      <w:r>
        <w:rPr>
          <w:rFonts w:ascii="Times New Roman" w:cs="Times New Roman" w:eastAsia="Times New Roman" w:hAnsi="Times New Roman"/>
          <w:sz w:val="19"/>
          <w:szCs w:val="19"/>
          <w:color w:val="auto"/>
        </w:rPr>
        <w:t>”) as published by Reuters (or such other page or commercially available source providing BBSY (Bid) quotations as may be designated by the Administrative Agent from time to time) at or about 10:30 a.m. (Melbourne, Australia time) on the day that is two</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9" w:name="page150"/>
    <w:bookmarkEnd w:id="149"/>
    <w:p>
      <w:pPr>
        <w:spacing w:after="0" w:line="200" w:lineRule="exact"/>
        <w:rPr>
          <w:sz w:val="20"/>
          <w:szCs w:val="20"/>
          <w:color w:val="auto"/>
        </w:rPr>
      </w:pPr>
    </w:p>
    <w:p>
      <w:pPr>
        <w:spacing w:after="0" w:line="285" w:lineRule="exact"/>
        <w:rPr>
          <w:sz w:val="20"/>
          <w:szCs w:val="20"/>
          <w:color w:val="auto"/>
        </w:rPr>
      </w:pPr>
    </w:p>
    <w:p>
      <w:pPr>
        <w:ind w:left="760" w:right="820"/>
        <w:spacing w:after="0" w:line="262" w:lineRule="auto"/>
        <w:rPr>
          <w:sz w:val="20"/>
          <w:szCs w:val="20"/>
          <w:color w:val="auto"/>
        </w:rPr>
      </w:pPr>
      <w:r>
        <w:rPr>
          <w:rFonts w:ascii="Times New Roman" w:cs="Times New Roman" w:eastAsia="Times New Roman" w:hAnsi="Times New Roman"/>
          <w:sz w:val="19"/>
          <w:szCs w:val="19"/>
          <w:color w:val="auto"/>
        </w:rPr>
        <w:t>Term Benchmark Banking Days for Australian Dollars prior to the first day of the Interest Accrual Period (or if such day is not an Term Benchmark Banking Day for Australian Dollars, then on the immediately preceding Term Benchmark Banking Day for Australian Dollars) with a term equivalent to such Interest Accrual Period (the “</w:t>
      </w:r>
      <w:r>
        <w:rPr>
          <w:rFonts w:ascii="Times New Roman" w:cs="Times New Roman" w:eastAsia="Times New Roman" w:hAnsi="Times New Roman"/>
          <w:sz w:val="19"/>
          <w:szCs w:val="19"/>
          <w:i w:val="1"/>
          <w:iCs w:val="1"/>
          <w:color w:val="auto"/>
        </w:rPr>
        <w:t>BBSY Screen Rate</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760" w:right="9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CORRA</w:t>
      </w:r>
      <w:r>
        <w:rPr>
          <w:rFonts w:ascii="Times New Roman" w:cs="Times New Roman" w:eastAsia="Times New Roman" w:hAnsi="Times New Roman"/>
          <w:sz w:val="19"/>
          <w:szCs w:val="19"/>
          <w:color w:val="auto"/>
        </w:rPr>
        <w:t>” has the meaning assigned to such term in clause (c) of the definition of Term Benchmark Rate.</w:t>
      </w:r>
    </w:p>
    <w:p>
      <w:pPr>
        <w:spacing w:after="0" w:line="148" w:lineRule="exact"/>
        <w:rPr>
          <w:sz w:val="20"/>
          <w:szCs w:val="20"/>
          <w:color w:val="auto"/>
        </w:rPr>
      </w:pPr>
    </w:p>
    <w:p>
      <w:pPr>
        <w:ind w:left="760" w:right="94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“Term CORRA Adjustment” </w:t>
      </w:r>
      <w:r>
        <w:rPr>
          <w:rFonts w:ascii="Times New Roman" w:cs="Times New Roman" w:eastAsia="Times New Roman" w:hAnsi="Times New Roman"/>
          <w:sz w:val="19"/>
          <w:szCs w:val="19"/>
          <w:color w:val="auto"/>
        </w:rPr>
        <w:t>means a percentage equal to .29547% (29.547 basis points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 annum.</w:t>
      </w:r>
    </w:p>
    <w:p>
      <w:pPr>
        <w:spacing w:after="0" w:line="148" w:lineRule="exact"/>
        <w:rPr>
          <w:sz w:val="20"/>
          <w:szCs w:val="20"/>
          <w:color w:val="auto"/>
        </w:rPr>
      </w:pPr>
    </w:p>
    <w:p>
      <w:pPr>
        <w:ind w:left="760" w:right="8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“Term CORRA Administrator” </w:t>
      </w:r>
      <w:r>
        <w:rPr>
          <w:rFonts w:ascii="Times New Roman" w:cs="Times New Roman" w:eastAsia="Times New Roman" w:hAnsi="Times New Roman"/>
          <w:sz w:val="19"/>
          <w:szCs w:val="19"/>
          <w:color w:val="auto"/>
        </w:rPr>
        <w:t>means Candeal Benchmark Administration Services Inc.,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TSX Inc., or any successor administrator.</w:t>
      </w:r>
    </w:p>
    <w:p>
      <w:pPr>
        <w:spacing w:after="0" w:line="1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“Term CORRA Reference Rate” </w:t>
      </w:r>
      <w:r>
        <w:rPr>
          <w:rFonts w:ascii="Times New Roman" w:cs="Times New Roman" w:eastAsia="Times New Roman" w:hAnsi="Times New Roman"/>
          <w:sz w:val="19"/>
          <w:szCs w:val="19"/>
          <w:color w:val="auto"/>
        </w:rPr>
        <w:t>means the forward-looking term rate based on CORRA</w:t>
      </w:r>
    </w:p>
    <w:p>
      <w:pPr>
        <w:spacing w:after="0" w:line="226" w:lineRule="exact"/>
        <w:rPr>
          <w:sz w:val="20"/>
          <w:szCs w:val="20"/>
          <w:color w:val="auto"/>
        </w:rPr>
      </w:pPr>
    </w:p>
    <w:p>
      <w:pPr>
        <w:ind w:left="760" w:right="10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“Term SOFR” </w:t>
      </w:r>
      <w:r>
        <w:rPr>
          <w:rFonts w:ascii="Times New Roman" w:cs="Times New Roman" w:eastAsia="Times New Roman" w:hAnsi="Times New Roman"/>
          <w:sz w:val="19"/>
          <w:szCs w:val="19"/>
          <w:color w:val="auto"/>
        </w:rPr>
        <w:t>has the meaning assigned to such term in clause (a) of the definition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 Benchmark Rate.</w:t>
      </w:r>
    </w:p>
    <w:p>
      <w:pPr>
        <w:spacing w:after="0" w:line="148" w:lineRule="exact"/>
        <w:rPr>
          <w:sz w:val="20"/>
          <w:szCs w:val="20"/>
          <w:color w:val="auto"/>
        </w:rPr>
      </w:pPr>
    </w:p>
    <w:p>
      <w:pPr>
        <w:ind w:left="760" w:right="80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“Term SOFR Administrator” </w:t>
      </w:r>
      <w:r>
        <w:rPr>
          <w:rFonts w:ascii="Times New Roman" w:cs="Times New Roman" w:eastAsia="Times New Roman" w:hAnsi="Times New Roman"/>
          <w:sz w:val="19"/>
          <w:szCs w:val="19"/>
          <w:color w:val="auto"/>
        </w:rPr>
        <w:t>means the CME Group Benchmark Administration Limited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(CBA) (or a successor administrator of the Term SOFR Reference Rate selected by the Administrative Agent in its reasonable discretion).</w:t>
      </w:r>
    </w:p>
    <w:p>
      <w:pPr>
        <w:spacing w:after="0" w:line="166" w:lineRule="exact"/>
        <w:rPr>
          <w:sz w:val="20"/>
          <w:szCs w:val="20"/>
          <w:color w:val="auto"/>
        </w:rPr>
      </w:pPr>
    </w:p>
    <w:p>
      <w:pPr>
        <w:ind w:left="760" w:right="19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“Term SOFR Reference Rate</w:t>
      </w:r>
      <w:r>
        <w:rPr>
          <w:rFonts w:ascii="Times New Roman" w:cs="Times New Roman" w:eastAsia="Times New Roman" w:hAnsi="Times New Roman"/>
          <w:sz w:val="19"/>
          <w:szCs w:val="19"/>
          <w:color w:val="auto"/>
        </w:rPr>
        <w:t>” means the rate per annum determined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as the forward-looking term rate based on SOFR.</w:t>
      </w:r>
    </w:p>
    <w:p>
      <w:pPr>
        <w:spacing w:after="0" w:line="148" w:lineRule="exact"/>
        <w:rPr>
          <w:sz w:val="20"/>
          <w:szCs w:val="20"/>
          <w:color w:val="auto"/>
        </w:rPr>
      </w:pPr>
    </w:p>
    <w:p>
      <w:pPr>
        <w:ind w:left="760" w:right="90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Tier 1 Obligor</w:t>
      </w:r>
      <w:r>
        <w:rPr>
          <w:rFonts w:ascii="Times New Roman" w:cs="Times New Roman" w:eastAsia="Times New Roman" w:hAnsi="Times New Roman"/>
          <w:sz w:val="19"/>
          <w:szCs w:val="19"/>
          <w:color w:val="auto"/>
        </w:rPr>
        <w:t>” means an Obligor of any Collateral Loan with EBITDA greater than or equal to $50,000,000 (determined at the most recent to occur of such Collateral Loan’s original date of acquisition by the Borrower or the date of any subsequent increase or modification to such Collateral Loan resulting from a material acquisition by the Obligor).</w:t>
      </w:r>
    </w:p>
    <w:p>
      <w:pPr>
        <w:spacing w:after="0" w:line="171" w:lineRule="exact"/>
        <w:rPr>
          <w:sz w:val="20"/>
          <w:szCs w:val="20"/>
          <w:color w:val="auto"/>
        </w:rPr>
      </w:pPr>
    </w:p>
    <w:p>
      <w:pPr>
        <w:ind w:left="760" w:right="800" w:firstLine="576"/>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Tier 1 Split Lien Loan</w:t>
      </w:r>
      <w:r>
        <w:rPr>
          <w:rFonts w:ascii="Times New Roman" w:cs="Times New Roman" w:eastAsia="Times New Roman" w:hAnsi="Times New Roman"/>
          <w:sz w:val="19"/>
          <w:szCs w:val="19"/>
          <w:color w:val="auto"/>
        </w:rPr>
        <w:t>” means any Collateral Loan that (a) would otherwise satisfy the criteria of a First Lien Loan but which has been 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Tier 1 Split Lien Loan and such senior credit facility), and (ii) the senior credit facility portion (as measured by commitment) has a trailing twelve -month senior debt to EBITDA ratio of less than or equal to 1.0x. For the avoidance of doubt, Collateral Loans not satisfying the criteria set forth in this definition or in the Tier 2 Split Lien Loan definition may be deemed by the Collateral Manager in its reasonable judgment to be Second Lien Loans. Such Collateral Loans that meet the criteria set forth in the Tier 2 Split Lien Loan definition and this definition shall be deemed to be Tier 1 Split Lien Loans.</w:t>
      </w:r>
    </w:p>
    <w:p>
      <w:pPr>
        <w:spacing w:after="0" w:line="18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Tier 2 Obligor</w:t>
      </w:r>
      <w:r>
        <w:rPr>
          <w:rFonts w:ascii="Times New Roman" w:cs="Times New Roman" w:eastAsia="Times New Roman" w:hAnsi="Times New Roman"/>
          <w:sz w:val="19"/>
          <w:szCs w:val="19"/>
          <w:color w:val="auto"/>
        </w:rPr>
        <w:t>” means an Obligor of any Collateral Loan with either (a) EBITDA</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greater than or equal to $20,000,000 or (b)(i) EBITDA greater than $5,000,000 and less than</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$20,000,000 and (ii) a Fixed Charge Coverage Ratio of greater than or equal to 1.25x and a Debt</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to</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0" w:name="page151"/>
    <w:bookmarkEnd w:id="150"/>
    <w:p>
      <w:pPr>
        <w:spacing w:after="0" w:line="200" w:lineRule="exact"/>
        <w:rPr>
          <w:sz w:val="20"/>
          <w:szCs w:val="20"/>
          <w:color w:val="auto"/>
        </w:rPr>
      </w:pPr>
    </w:p>
    <w:p>
      <w:pPr>
        <w:spacing w:after="0" w:line="285" w:lineRule="exact"/>
        <w:rPr>
          <w:sz w:val="20"/>
          <w:szCs w:val="20"/>
          <w:color w:val="auto"/>
        </w:rPr>
      </w:pPr>
    </w:p>
    <w:p>
      <w:pPr>
        <w:ind w:left="760" w:right="800"/>
        <w:spacing w:after="0" w:line="262" w:lineRule="auto"/>
        <w:rPr>
          <w:sz w:val="20"/>
          <w:szCs w:val="20"/>
          <w:color w:val="auto"/>
        </w:rPr>
      </w:pPr>
      <w:r>
        <w:rPr>
          <w:rFonts w:ascii="Times New Roman" w:cs="Times New Roman" w:eastAsia="Times New Roman" w:hAnsi="Times New Roman"/>
          <w:sz w:val="19"/>
          <w:szCs w:val="19"/>
          <w:color w:val="auto"/>
        </w:rPr>
        <w:t>Capitalization Ratio of no more than 65.0% (in each case, determined at the most recent to occur of such Collateral Loan’s original date of acquisition by the Borrower or the date of any subsequent increase or modification to such Collateral Loan resulting from a material acquisition by the Obligor).</w:t>
      </w:r>
    </w:p>
    <w:p>
      <w:pPr>
        <w:spacing w:after="0" w:line="172" w:lineRule="exact"/>
        <w:rPr>
          <w:sz w:val="20"/>
          <w:szCs w:val="20"/>
          <w:color w:val="auto"/>
        </w:rPr>
      </w:pPr>
    </w:p>
    <w:p>
      <w:pPr>
        <w:ind w:left="760" w:right="800" w:firstLine="576"/>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Tier 2 Split Lien Loan</w:t>
      </w:r>
      <w:r>
        <w:rPr>
          <w:rFonts w:ascii="Times New Roman" w:cs="Times New Roman" w:eastAsia="Times New Roman" w:hAnsi="Times New Roman"/>
          <w:sz w:val="19"/>
          <w:szCs w:val="19"/>
          <w:color w:val="auto"/>
        </w:rPr>
        <w:t>” means any Collateral Loan that (a) would otherwise satisfy the criteria of a First Lien Loan but which has been 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Tier 2 Split Lien Loan and such senior credit facility), and (ii) the senior credit facility portion (as measured by commitment) has a trailing twelve -month senior debt to EBITDA ratio of less than or equal to 1.5x. For the avoidance of doubt, Collateral Loans not satisfying the criteria set forth in this definition or in the Tier 1 Split Lien Loan definition may be deemed by the Collateral Manager in its reasonable judgment to be Second Lien Loans. Such Collateral Loans that meet the criteria set forth in the Tier 1 Split Lien Loan definition and this definition shall be deemed to be Tier 1 Split Lien Loans.</w:t>
      </w:r>
    </w:p>
    <w:p>
      <w:pPr>
        <w:spacing w:after="0" w:line="189" w:lineRule="exact"/>
        <w:rPr>
          <w:sz w:val="20"/>
          <w:szCs w:val="20"/>
          <w:color w:val="auto"/>
        </w:rPr>
      </w:pPr>
    </w:p>
    <w:p>
      <w:pPr>
        <w:ind w:left="760" w:right="82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Tier 3 Obligor</w:t>
      </w:r>
      <w:r>
        <w:rPr>
          <w:rFonts w:ascii="Times New Roman" w:cs="Times New Roman" w:eastAsia="Times New Roman" w:hAnsi="Times New Roman"/>
          <w:sz w:val="19"/>
          <w:szCs w:val="19"/>
          <w:color w:val="auto"/>
        </w:rPr>
        <w:t>” means an Obligor that does not meet the criteria of a Tier 1 Obligor or a Tier 2 Obligor.</w:t>
      </w:r>
    </w:p>
    <w:p>
      <w:pPr>
        <w:spacing w:after="0" w:line="148" w:lineRule="exact"/>
        <w:rPr>
          <w:sz w:val="20"/>
          <w:szCs w:val="20"/>
          <w:color w:val="auto"/>
        </w:rPr>
      </w:pPr>
    </w:p>
    <w:p>
      <w:pPr>
        <w:ind w:left="760" w:right="780" w:firstLine="57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Total Leverage Ratio</w:t>
      </w:r>
      <w:r>
        <w:rPr>
          <w:rFonts w:ascii="Times New Roman" w:cs="Times New Roman" w:eastAsia="Times New Roman" w:hAnsi="Times New Roman"/>
          <w:sz w:val="19"/>
          <w:szCs w:val="19"/>
          <w:color w:val="auto"/>
        </w:rPr>
        <w:t xml:space="preserve"> ” means, with respect to any Collateral Loan for any Relevant Test Period, the meaning of “Total Leverage Ratio”, “Total Net Leverage Ratio” or any comparable term relating to total indebtedness defined in the Related Documents for such Loan, and in any case that “Total Leverage Ratio”, “Total Net Leverage Ratio” or such comparable term is not defined in such Related Documents, the ratio of (a) total indebtedness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Unrestricted Cash to</w:t>
      </w:r>
    </w:p>
    <w:p>
      <w:pPr>
        <w:spacing w:after="0" w:line="4" w:lineRule="exact"/>
        <w:rPr>
          <w:sz w:val="20"/>
          <w:szCs w:val="20"/>
          <w:color w:val="auto"/>
        </w:rPr>
      </w:pPr>
    </w:p>
    <w:p>
      <w:pPr>
        <w:ind w:left="760" w:right="900" w:firstLine="2"/>
        <w:spacing w:after="0" w:line="254" w:lineRule="auto"/>
        <w:tabs>
          <w:tab w:leader="none" w:pos="1032"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EBITDA as calculated by the Collateral Manager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79" w:lineRule="exact"/>
        <w:rPr>
          <w:sz w:val="20"/>
          <w:szCs w:val="20"/>
          <w:color w:val="auto"/>
        </w:rPr>
      </w:pPr>
    </w:p>
    <w:p>
      <w:pPr>
        <w:ind w:left="760" w:right="800" w:firstLine="576"/>
        <w:spacing w:after="0" w:line="233" w:lineRule="exact"/>
        <w:rPr>
          <w:sz w:val="20"/>
          <w:szCs w:val="20"/>
          <w:color w:val="auto"/>
        </w:rPr>
      </w:pPr>
      <w:r>
        <w:rPr>
          <w:rFonts w:ascii="Times New Roman" w:cs="Times New Roman" w:eastAsia="Times New Roman" w:hAnsi="Times New Roman"/>
          <w:sz w:val="19"/>
          <w:szCs w:val="19"/>
          <w:i w:val="1"/>
          <w:iCs w:val="1"/>
          <w:color w:val="auto"/>
        </w:rPr>
        <w:t xml:space="preserve">“UCC” </w:t>
      </w:r>
      <w:r>
        <w:rPr>
          <w:rFonts w:ascii="Times New Roman" w:cs="Times New Roman" w:eastAsia="Times New Roman" w:hAnsi="Times New Roman"/>
          <w:sz w:val="19"/>
          <w:szCs w:val="19"/>
          <w:color w:val="auto"/>
        </w:rPr>
        <w:t>means the Uniform Commercial Code, as from time to time in effect in the State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of New York;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by reason of any mandatory provisions of law, the perfection, the effect of perfection or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perfection or priority of the security interests granted to the Collateral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perfection or priority.</w:t>
      </w:r>
    </w:p>
    <w:p>
      <w:pPr>
        <w:spacing w:after="0" w:line="170" w:lineRule="exact"/>
        <w:rPr>
          <w:sz w:val="20"/>
          <w:szCs w:val="20"/>
          <w:color w:val="auto"/>
        </w:rPr>
      </w:pPr>
    </w:p>
    <w:p>
      <w:pPr>
        <w:ind w:left="1340"/>
        <w:spacing w:after="0" w:line="219" w:lineRule="exact"/>
        <w:rPr>
          <w:sz w:val="20"/>
          <w:szCs w:val="20"/>
          <w:color w:val="auto"/>
        </w:rPr>
      </w:pPr>
      <w:r>
        <w:rPr>
          <w:rFonts w:ascii="Times New Roman" w:cs="Times New Roman" w:eastAsia="Times New Roman" w:hAnsi="Times New Roman"/>
          <w:sz w:val="19"/>
          <w:szCs w:val="19"/>
          <w:i w:val="1"/>
          <w:iCs w:val="1"/>
          <w:color w:val="auto"/>
        </w:rPr>
        <w:t xml:space="preserve">“Uncertificated Security” </w:t>
      </w:r>
      <w:r>
        <w:rPr>
          <w:rFonts w:ascii="Times New Roman" w:cs="Times New Roman" w:eastAsia="Times New Roman" w:hAnsi="Times New Roman"/>
          <w:sz w:val="19"/>
          <w:szCs w:val="19"/>
          <w:color w:val="auto"/>
        </w:rPr>
        <w:t>has the meaning specified in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102(a)(18) of the UCC.</w:t>
      </w:r>
    </w:p>
    <w:p>
      <w:pPr>
        <w:spacing w:after="0" w:line="243" w:lineRule="exact"/>
        <w:rPr>
          <w:sz w:val="20"/>
          <w:szCs w:val="20"/>
          <w:color w:val="auto"/>
        </w:rPr>
      </w:pPr>
    </w:p>
    <w:p>
      <w:pPr>
        <w:ind w:left="760" w:right="114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Underlying Note</w:t>
      </w:r>
      <w:r>
        <w:rPr>
          <w:rFonts w:ascii="Times New Roman" w:cs="Times New Roman" w:eastAsia="Times New Roman" w:hAnsi="Times New Roman"/>
          <w:sz w:val="19"/>
          <w:szCs w:val="19"/>
          <w:color w:val="auto"/>
        </w:rPr>
        <w:t>” means, with respect to a Collateral Loan, one or more promissory notes executed by an Obligor to evidence such Collateral Loan.</w:t>
      </w:r>
    </w:p>
    <w:p>
      <w:pPr>
        <w:spacing w:after="0" w:line="148" w:lineRule="exact"/>
        <w:rPr>
          <w:sz w:val="20"/>
          <w:szCs w:val="20"/>
          <w:color w:val="auto"/>
        </w:rPr>
      </w:pPr>
    </w:p>
    <w:p>
      <w:pPr>
        <w:ind w:left="760" w:right="900" w:firstLine="57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Unfunded Amount</w:t>
      </w:r>
      <w:r>
        <w:rPr>
          <w:rFonts w:ascii="Times New Roman" w:cs="Times New Roman" w:eastAsia="Times New Roman" w:hAnsi="Times New Roman"/>
          <w:sz w:val="19"/>
          <w:szCs w:val="19"/>
          <w:color w:val="auto"/>
        </w:rPr>
        <w:t>” means, with respect to any Collateral Loan, as of any date of determination, the Dollar Equivalent of the unfunded commitment of the Borrower with respect to such Collateral Loan as of such date.</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1" w:name="page152"/>
    <w:bookmarkEnd w:id="151"/>
    <w:p>
      <w:pPr>
        <w:spacing w:after="0" w:line="200" w:lineRule="exact"/>
        <w:rPr>
          <w:sz w:val="20"/>
          <w:szCs w:val="20"/>
          <w:color w:val="auto"/>
        </w:rPr>
      </w:pPr>
    </w:p>
    <w:p>
      <w:pPr>
        <w:spacing w:after="0" w:line="283" w:lineRule="exact"/>
        <w:rPr>
          <w:sz w:val="20"/>
          <w:szCs w:val="20"/>
          <w:color w:val="auto"/>
        </w:rPr>
      </w:pPr>
    </w:p>
    <w:p>
      <w:pPr>
        <w:ind w:left="760" w:right="84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“Unrestricted Cash” </w:t>
      </w:r>
      <w:r>
        <w:rPr>
          <w:rFonts w:ascii="Times New Roman" w:cs="Times New Roman" w:eastAsia="Times New Roman" w:hAnsi="Times New Roman"/>
          <w:sz w:val="19"/>
          <w:szCs w:val="19"/>
          <w:color w:val="auto"/>
        </w:rPr>
        <w:t>means the meaning of “Unrestricted Cash” or any comparable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definition in the related loan agreement for each Collateral Loan, and in any case that “Unrestricted Cash” or such comparable definition is not defined in such loan agreements, all cash (i) available for use for general corporate purposes and (ii) not held in any reserve account or legally or contractually restricted for any particular purposes inconsistent with the payment of the indebtedness for borrowed money of the relevant Obligor or subject to any lien (other than blanket liens permitted under or granted in accordance with such loan agreement).</w:t>
      </w:r>
    </w:p>
    <w:p>
      <w:pPr>
        <w:spacing w:after="0" w:line="181" w:lineRule="exact"/>
        <w:rPr>
          <w:sz w:val="20"/>
          <w:szCs w:val="20"/>
          <w:color w:val="auto"/>
        </w:rPr>
      </w:pPr>
    </w:p>
    <w:p>
      <w:pPr>
        <w:ind w:left="760" w:right="92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“Voting Shares” </w:t>
      </w:r>
      <w:r>
        <w:rPr>
          <w:rFonts w:ascii="Times New Roman" w:cs="Times New Roman" w:eastAsia="Times New Roman" w:hAnsi="Times New Roman"/>
          <w:sz w:val="19"/>
          <w:szCs w:val="19"/>
          <w:color w:val="auto"/>
        </w:rPr>
        <w:t>of any Person means capital stock or other equity interests of any class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classes (however designated) having ordinary power for the election of directors or other similar governing body of such Person, other than stock or other equity interests having such power only by reason of the happening of a contingency.</w:t>
      </w:r>
    </w:p>
    <w:p>
      <w:pPr>
        <w:spacing w:after="0" w:line="171" w:lineRule="exact"/>
        <w:rPr>
          <w:sz w:val="20"/>
          <w:szCs w:val="20"/>
          <w:color w:val="auto"/>
        </w:rPr>
      </w:pPr>
    </w:p>
    <w:p>
      <w:pPr>
        <w:ind w:left="760" w:right="90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Weighted Average Advance Rate</w:t>
      </w:r>
      <w:r>
        <w:rPr>
          <w:rFonts w:ascii="Times New Roman" w:cs="Times New Roman" w:eastAsia="Times New Roman" w:hAnsi="Times New Roman"/>
          <w:sz w:val="19"/>
          <w:szCs w:val="19"/>
          <w:color w:val="auto"/>
        </w:rPr>
        <w:t>” means, as of any date of determination, the weighted average of the Advance Rates applicable to the Eligible Collateral Loans on such day, weighted according to the proportion of the Borrowing Base that each such Eligible Collateral Loan included in the Collateral represents.</w:t>
      </w:r>
    </w:p>
    <w:p>
      <w:pPr>
        <w:spacing w:after="0" w:line="171" w:lineRule="exact"/>
        <w:rPr>
          <w:sz w:val="20"/>
          <w:szCs w:val="20"/>
          <w:color w:val="auto"/>
        </w:rPr>
      </w:pPr>
    </w:p>
    <w:p>
      <w:pPr>
        <w:ind w:left="760" w:right="11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“Weighted Average Coupon” </w:t>
      </w:r>
      <w:r>
        <w:rPr>
          <w:rFonts w:ascii="Times New Roman" w:cs="Times New Roman" w:eastAsia="Times New Roman" w:hAnsi="Times New Roman"/>
          <w:sz w:val="19"/>
          <w:szCs w:val="19"/>
          <w:color w:val="auto"/>
        </w:rPr>
        <w:t>means, as of any date, an amount equal to the number,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expressed as a percentage, obtained by dividing:</w:t>
      </w:r>
    </w:p>
    <w:p>
      <w:pPr>
        <w:spacing w:after="0" w:line="150" w:lineRule="exact"/>
        <w:rPr>
          <w:sz w:val="20"/>
          <w:szCs w:val="20"/>
          <w:color w:val="auto"/>
        </w:rPr>
      </w:pPr>
    </w:p>
    <w:p>
      <w:pPr>
        <w:ind w:left="1340" w:right="820" w:firstLine="47"/>
        <w:spacing w:after="0" w:line="268" w:lineRule="auto"/>
        <w:tabs>
          <w:tab w:leader="none" w:pos="1649"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sum, for each Fixed Rate Obligation, of the stated interest coupon on such Collateral Loan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the portion of the Aggregate Collateral Balance attributable to such Collateral Loan; by</w:t>
      </w:r>
    </w:p>
    <w:p>
      <w:pPr>
        <w:spacing w:after="0" w:line="168"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Collateral Balance of all Fixed Rate Obligations as of such date.</w:t>
      </w:r>
    </w:p>
    <w:p>
      <w:pPr>
        <w:spacing w:after="0" w:line="224" w:lineRule="exact"/>
        <w:rPr>
          <w:sz w:val="20"/>
          <w:szCs w:val="20"/>
          <w:color w:val="auto"/>
        </w:rPr>
      </w:pPr>
    </w:p>
    <w:p>
      <w:pPr>
        <w:ind w:left="760" w:right="114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“Weighted Average Floating Spread” </w:t>
      </w:r>
      <w:r>
        <w:rPr>
          <w:rFonts w:ascii="Times New Roman" w:cs="Times New Roman" w:eastAsia="Times New Roman" w:hAnsi="Times New Roman"/>
          <w:sz w:val="19"/>
          <w:szCs w:val="19"/>
          <w:color w:val="auto"/>
        </w:rPr>
        <w:t>means, as of any date, the number obtained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dividing:</w:t>
      </w:r>
    </w:p>
    <w:p>
      <w:pPr>
        <w:spacing w:after="0" w:line="150" w:lineRule="exact"/>
        <w:rPr>
          <w:sz w:val="20"/>
          <w:szCs w:val="20"/>
          <w:color w:val="auto"/>
        </w:rPr>
      </w:pPr>
    </w:p>
    <w:p>
      <w:pPr>
        <w:ind w:left="1340" w:right="1040" w:firstLine="47"/>
        <w:spacing w:after="0" w:line="286" w:lineRule="auto"/>
        <w:tabs>
          <w:tab w:leader="none" w:pos="1649"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equal to (A) the Aggregate Funded Spread (with respect to all Floating Rate Obligations),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Aggregate Unfunded Spread, by</w:t>
      </w:r>
    </w:p>
    <w:p>
      <w:pPr>
        <w:spacing w:after="0" w:line="151"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Collateral Balance of all Floating Rate Obligations as of such date.</w:t>
      </w:r>
    </w:p>
    <w:p>
      <w:pPr>
        <w:spacing w:after="0" w:line="24"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2" w:name="page153"/>
    <w:bookmarkEnd w:id="152"/>
    <w:p>
      <w:pPr>
        <w:spacing w:after="0" w:line="200" w:lineRule="exact"/>
        <w:rPr>
          <w:sz w:val="20"/>
          <w:szCs w:val="20"/>
          <w:color w:val="auto"/>
        </w:rPr>
      </w:pPr>
    </w:p>
    <w:p>
      <w:pPr>
        <w:spacing w:after="0" w:line="283" w:lineRule="exact"/>
        <w:rPr>
          <w:sz w:val="20"/>
          <w:szCs w:val="20"/>
          <w:color w:val="auto"/>
        </w:rPr>
      </w:pPr>
    </w:p>
    <w:p>
      <w:pPr>
        <w:ind w:left="760" w:right="114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“Weighted Average Life” </w:t>
      </w:r>
      <w:r>
        <w:rPr>
          <w:rFonts w:ascii="Times New Roman" w:cs="Times New Roman" w:eastAsia="Times New Roman" w:hAnsi="Times New Roman"/>
          <w:sz w:val="19"/>
          <w:szCs w:val="19"/>
          <w:color w:val="auto"/>
        </w:rPr>
        <w:t>means, as of any date of determination with respect to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Eligible Collateral Loans, the number of years following such date obtained by summing the products obtained by multiplying:</w:t>
      </w:r>
    </w:p>
    <w:p>
      <w:pPr>
        <w:sectPr>
          <w:pgSz w:w="11900" w:h="16840" w:orient="portrait"/>
          <w:cols w:equalWidth="0" w:num="1">
            <w:col w:w="9020"/>
          </w:cols>
          <w:pgMar w:left="1440" w:top="1440" w:right="1440" w:bottom="1440" w:gutter="0" w:footer="0" w:header="0"/>
        </w:sectPr>
      </w:pPr>
    </w:p>
    <w:p>
      <w:pPr>
        <w:spacing w:after="0" w:line="192" w:lineRule="exact"/>
        <w:rPr>
          <w:sz w:val="20"/>
          <w:szCs w:val="20"/>
          <w:color w:val="auto"/>
        </w:rPr>
      </w:pPr>
    </w:p>
    <w:p>
      <w:pPr>
        <w:ind w:left="1260"/>
        <w:spacing w:after="0" w:line="282" w:lineRule="auto"/>
        <w:rPr>
          <w:sz w:val="20"/>
          <w:szCs w:val="20"/>
          <w:color w:val="auto"/>
        </w:rPr>
      </w:pPr>
      <w:r>
        <w:rPr>
          <w:rFonts w:ascii="Times New Roman" w:cs="Times New Roman" w:eastAsia="Times New Roman" w:hAnsi="Times New Roman"/>
          <w:sz w:val="18"/>
          <w:szCs w:val="18"/>
          <w:color w:val="auto"/>
        </w:rPr>
        <w:t>The Average Life at such time of each such Collateral Loan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right"/>
        <w:ind w:right="1420"/>
        <w:spacing w:after="0"/>
        <w:rPr>
          <w:sz w:val="20"/>
          <w:szCs w:val="20"/>
          <w:color w:val="auto"/>
        </w:rPr>
      </w:pPr>
      <w:r>
        <w:rPr>
          <w:rFonts w:ascii="Times New Roman" w:cs="Times New Roman" w:eastAsia="Times New Roman" w:hAnsi="Times New Roman"/>
          <w:sz w:val="18"/>
          <w:szCs w:val="18"/>
          <w:color w:val="auto"/>
        </w:rPr>
        <w:t>The portion of the Aggregate Collateral</w:t>
      </w:r>
    </w:p>
    <w:p>
      <w:pPr>
        <w:spacing w:after="0" w:line="27" w:lineRule="exact"/>
        <w:rPr>
          <w:sz w:val="20"/>
          <w:szCs w:val="20"/>
          <w:color w:val="auto"/>
        </w:rPr>
      </w:pPr>
    </w:p>
    <w:p>
      <w:pPr>
        <w:ind w:left="360" w:right="1520" w:hanging="359"/>
        <w:spacing w:after="0" w:line="261" w:lineRule="auto"/>
        <w:tabs>
          <w:tab w:leader="none" w:pos="3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Balance attributable to such Collateral Loan</w:t>
      </w:r>
    </w:p>
    <w:p>
      <w:pPr>
        <w:spacing w:after="0" w:line="179" w:lineRule="exact"/>
        <w:rPr>
          <w:sz w:val="20"/>
          <w:szCs w:val="20"/>
          <w:color w:val="auto"/>
        </w:rPr>
      </w:pPr>
    </w:p>
    <w:p>
      <w:pPr>
        <w:sectPr>
          <w:pgSz w:w="11900" w:h="16840" w:orient="portrait"/>
          <w:cols w:equalWidth="0" w:num="2">
            <w:col w:w="4020" w:space="360"/>
            <w:col w:w="4640"/>
          </w:cols>
          <w:pgMar w:left="1440" w:top="1440"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9"/>
          <w:szCs w:val="19"/>
          <w:color w:val="auto"/>
        </w:rPr>
        <w:t>and dividing such sum by:</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The Aggregate Collateral Balance at such time of all Eligible Collateral Loans.</w:t>
      </w:r>
    </w:p>
    <w:p>
      <w:pPr>
        <w:spacing w:after="0" w:line="226" w:lineRule="exact"/>
        <w:rPr>
          <w:sz w:val="20"/>
          <w:szCs w:val="20"/>
          <w:color w:val="auto"/>
        </w:rPr>
      </w:pPr>
    </w:p>
    <w:p>
      <w:pPr>
        <w:ind w:left="760" w:right="880" w:firstLine="576"/>
        <w:spacing w:after="0" w:line="256" w:lineRule="auto"/>
        <w:rPr>
          <w:sz w:val="20"/>
          <w:szCs w:val="20"/>
          <w:color w:val="auto"/>
        </w:rPr>
      </w:pPr>
      <w:r>
        <w:rPr>
          <w:rFonts w:ascii="Times New Roman" w:cs="Times New Roman" w:eastAsia="Times New Roman" w:hAnsi="Times New Roman"/>
          <w:sz w:val="19"/>
          <w:szCs w:val="19"/>
          <w:color w:val="auto"/>
        </w:rPr>
        <w:t>For the purposes of the foregoing, the “Average Life” is, on any date of determination with respect to any Eligible Collateral Loan, the quotient obtained by dividing (i) the sum of the products of (a) the number of years (rounded to the nearest one hundredth thereof) from such date of determination to the respective dates of each successive Scheduled Distribution of principal of such Collateral Loan and (b) the respective amounts of principal of such Scheduled Distributions by (ii) the sum of all successive Scheduled Distributions of principal on such Collateral Loan.</w:t>
      </w:r>
    </w:p>
    <w:p>
      <w:pPr>
        <w:spacing w:after="0" w:line="179" w:lineRule="exact"/>
        <w:rPr>
          <w:sz w:val="20"/>
          <w:szCs w:val="20"/>
          <w:color w:val="auto"/>
        </w:rPr>
      </w:pPr>
    </w:p>
    <w:p>
      <w:pPr>
        <w:ind w:left="760" w:right="8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“Withdrawal Liability” </w:t>
      </w:r>
      <w:r>
        <w:rPr>
          <w:rFonts w:ascii="Times New Roman" w:cs="Times New Roman" w:eastAsia="Times New Roman" w:hAnsi="Times New Roman"/>
          <w:sz w:val="19"/>
          <w:szCs w:val="19"/>
          <w:color w:val="auto"/>
        </w:rPr>
        <w:t>means liability to a Multiemployer Plan as a result of a complete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partial withdrawal from such Multiemployer Plan, as such terms are defined in Part I of Subtitle E of Title IV of ERISA.</w:t>
      </w:r>
    </w:p>
    <w:p>
      <w:pPr>
        <w:spacing w:after="0" w:line="166" w:lineRule="exact"/>
        <w:rPr>
          <w:sz w:val="20"/>
          <w:szCs w:val="20"/>
          <w:color w:val="auto"/>
        </w:rPr>
      </w:pPr>
    </w:p>
    <w:p>
      <w:pPr>
        <w:ind w:left="760" w:right="76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Write -Down and Conversion Powers</w:t>
      </w:r>
      <w:r>
        <w:rPr>
          <w:rFonts w:ascii="Times New Roman" w:cs="Times New Roman" w:eastAsia="Times New Roman" w:hAnsi="Times New Roman"/>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1" w:lineRule="exact"/>
        <w:rPr>
          <w:sz w:val="20"/>
          <w:szCs w:val="20"/>
          <w:color w:val="auto"/>
        </w:rPr>
      </w:pPr>
    </w:p>
    <w:p>
      <w:pPr>
        <w:ind w:left="760" w:right="104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“Zero Coupon Obligation” </w:t>
      </w:r>
      <w:r>
        <w:rPr>
          <w:rFonts w:ascii="Times New Roman" w:cs="Times New Roman" w:eastAsia="Times New Roman" w:hAnsi="Times New Roman"/>
          <w:sz w:val="19"/>
          <w:szCs w:val="19"/>
          <w:color w:val="auto"/>
        </w:rPr>
        <w:t>means a Collateral Loan that does not provide for periodic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payments of interest in Cash or that pays interest only at its stated maturity.</w:t>
      </w:r>
    </w:p>
    <w:p>
      <w:pPr>
        <w:spacing w:after="0" w:line="148" w:lineRule="exact"/>
        <w:rPr>
          <w:sz w:val="20"/>
          <w:szCs w:val="20"/>
          <w:color w:val="auto"/>
        </w:rPr>
      </w:pPr>
    </w:p>
    <w:p>
      <w:pPr>
        <w:ind w:left="760" w:right="760" w:firstLine="48"/>
        <w:spacing w:after="0" w:line="251" w:lineRule="auto"/>
        <w:rPr>
          <w:sz w:val="20"/>
          <w:szCs w:val="20"/>
          <w:color w:val="auto"/>
        </w:rPr>
      </w:pPr>
      <w:r>
        <w:rPr>
          <w:rFonts w:ascii="Times New Roman" w:cs="Times New Roman" w:eastAsia="Times New Roman" w:hAnsi="Times New Roman"/>
          <w:sz w:val="19"/>
          <w:szCs w:val="19"/>
          <w:i w:val="1"/>
          <w:iCs w:val="1"/>
          <w:color w:val="auto"/>
        </w:rPr>
        <w:t xml:space="preserve">Section 1.02. Rules of Construction. </w:t>
      </w:r>
      <w:r>
        <w:rPr>
          <w:rFonts w:ascii="Times New Roman" w:cs="Times New Roman" w:eastAsia="Times New Roman" w:hAnsi="Times New Roman"/>
          <w:sz w:val="19"/>
          <w:szCs w:val="19"/>
          <w:color w:val="auto"/>
        </w:rPr>
        <w:t>For all purposes of this Agreement, except as otherwise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expressly provided or unless the context otherwise 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 (vi) any definition of or reference to any Facility</w:t>
      </w:r>
    </w:p>
    <w:p>
      <w:pPr>
        <w:spacing w:after="0" w:line="10"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type w:val="continuous"/>
        </w:sectPr>
      </w:pPr>
    </w:p>
    <w:bookmarkStart w:id="153" w:name="page154"/>
    <w:bookmarkEnd w:id="153"/>
    <w:p>
      <w:pPr>
        <w:spacing w:after="0" w:line="200" w:lineRule="exact"/>
        <w:rPr>
          <w:sz w:val="20"/>
          <w:szCs w:val="20"/>
          <w:color w:val="auto"/>
        </w:rPr>
      </w:pPr>
    </w:p>
    <w:p>
      <w:pPr>
        <w:spacing w:after="0" w:line="285" w:lineRule="exact"/>
        <w:rPr>
          <w:sz w:val="20"/>
          <w:szCs w:val="20"/>
          <w:color w:val="auto"/>
        </w:rPr>
      </w:pPr>
    </w:p>
    <w:p>
      <w:pPr>
        <w:ind w:left="760" w:right="780"/>
        <w:spacing w:after="0" w:line="253" w:lineRule="auto"/>
        <w:rPr>
          <w:sz w:val="20"/>
          <w:szCs w:val="20"/>
          <w:color w:val="auto"/>
        </w:rPr>
      </w:pPr>
      <w:r>
        <w:rPr>
          <w:rFonts w:ascii="Times New Roman" w:cs="Times New Roman" w:eastAsia="Times New Roman" w:hAnsi="Times New Roman"/>
          <w:sz w:val="19"/>
          <w:szCs w:val="19"/>
          <w:color w:val="auto"/>
        </w:rPr>
        <w:t>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(vii) any reference herein to any Person shall be 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(ix) unless otherwise specified herein, any use of “material” or “materially” or words of similar meaning in this Agreement shall mean material, as determined by the Lenders, the Administrative Agent, the Collateral Agent, the Collateral Manager, and the Secured Parties, in each respective Person’s reasonable discretion, and (x) unless otherwise indicated herein, all references to time of day refer to Eastern standard time or Eastern daylight saving time, as in effect in Charlotte, North Carolina on such day.</w:t>
      </w:r>
    </w:p>
    <w:p>
      <w:pPr>
        <w:spacing w:after="0" w:line="185" w:lineRule="exact"/>
        <w:rPr>
          <w:sz w:val="20"/>
          <w:szCs w:val="20"/>
          <w:color w:val="auto"/>
        </w:rPr>
      </w:pPr>
    </w:p>
    <w:p>
      <w:pPr>
        <w:jc w:val="both"/>
        <w:ind w:left="760" w:right="960" w:firstLine="48"/>
        <w:spacing w:after="0" w:line="259" w:lineRule="auto"/>
        <w:rPr>
          <w:sz w:val="20"/>
          <w:szCs w:val="20"/>
          <w:color w:val="auto"/>
        </w:rPr>
      </w:pPr>
      <w:r>
        <w:rPr>
          <w:rFonts w:ascii="Times New Roman" w:cs="Times New Roman" w:eastAsia="Times New Roman" w:hAnsi="Times New Roman"/>
          <w:sz w:val="19"/>
          <w:szCs w:val="19"/>
          <w:i w:val="1"/>
          <w:iCs w:val="1"/>
          <w:color w:val="auto"/>
        </w:rPr>
        <w:t>Section 1.03. Computation of Time Periods</w:t>
      </w:r>
      <w:r>
        <w:rPr>
          <w:rFonts w:ascii="Times New Roman" w:cs="Times New Roman" w:eastAsia="Times New Roman" w:hAnsi="Times New Roman"/>
          <w:sz w:val="19"/>
          <w:szCs w:val="19"/>
          <w:color w:val="auto"/>
        </w:rPr>
        <w:t>. Unless otherwise stated in this Agreement,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computation of a period of time from a specified date to a later specified date, the word “from” means “from and including” and the words “to” and “until” both mean “to but excluding”.</w:t>
      </w:r>
    </w:p>
    <w:p>
      <w:pPr>
        <w:spacing w:after="0" w:line="1" w:lineRule="exact"/>
        <w:rPr>
          <w:sz w:val="20"/>
          <w:szCs w:val="20"/>
          <w:color w:val="auto"/>
        </w:rPr>
      </w:pPr>
    </w:p>
    <w:p>
      <w:pPr>
        <w:jc w:val="both"/>
        <w:ind w:left="760" w:right="940"/>
        <w:spacing w:after="0" w:line="262" w:lineRule="auto"/>
        <w:rPr>
          <w:sz w:val="20"/>
          <w:szCs w:val="20"/>
          <w:color w:val="auto"/>
        </w:rPr>
      </w:pPr>
      <w:r>
        <w:rPr>
          <w:rFonts w:ascii="Times New Roman" w:cs="Times New Roman" w:eastAsia="Times New Roman" w:hAnsi="Times New Roman"/>
          <w:sz w:val="19"/>
          <w:szCs w:val="19"/>
          <w:color w:val="auto"/>
        </w:rPr>
        <w:t>Periods of days referred to in this Agreement shall be counted in calendar days unless Business Days are expressly prescribed.</w:t>
      </w:r>
    </w:p>
    <w:p>
      <w:pPr>
        <w:spacing w:after="0" w:line="171" w:lineRule="exact"/>
        <w:rPr>
          <w:sz w:val="20"/>
          <w:szCs w:val="20"/>
          <w:color w:val="auto"/>
        </w:rPr>
      </w:pPr>
    </w:p>
    <w:p>
      <w:pPr>
        <w:ind w:left="760" w:right="90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1.04</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Collateral Value Calculation Procedures</w:t>
      </w:r>
      <w:r>
        <w:rPr>
          <w:rFonts w:ascii="Times New Roman" w:cs="Times New Roman" w:eastAsia="Times New Roman" w:hAnsi="Times New Roman"/>
          <w:sz w:val="19"/>
          <w:szCs w:val="19"/>
          <w:color w:val="auto"/>
        </w:rPr>
        <w:t>. In connection with all calculations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required to be made pursuant to this Agreement with respect to Scheduled Distributions on any Collateral Loans,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Section 1.04 shall be applied. The provisions of this Section 1.04 shall be applicable to any determination or calculation that is covered by this Section 1.04, whether or not reference is specifically made to Section 1.04, unless some other method of calculation or determination is expressly specified in the particular provision.</w:t>
      </w:r>
    </w:p>
    <w:p>
      <w:pPr>
        <w:spacing w:after="0" w:line="186" w:lineRule="exact"/>
        <w:rPr>
          <w:sz w:val="20"/>
          <w:szCs w:val="20"/>
          <w:color w:val="auto"/>
        </w:rPr>
      </w:pPr>
    </w:p>
    <w:p>
      <w:pPr>
        <w:ind w:left="1340" w:right="840" w:firstLine="47"/>
        <w:spacing w:after="0" w:line="257" w:lineRule="auto"/>
        <w:tabs>
          <w:tab w:leader="none" w:pos="1649"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calculations with respect to Scheduled Distributions on the Collateral Loans shall be made on the basis of information as to the terms of each such Collateral Loan and upon reports of payments, if any, received on such Collateral Loans that are furnished by or on behalf of the Obligor of such Collateral Loans and, to the extent they are not manifestly in error, such information or reports may be conclusively relied upon in making such calculations.</w:t>
      </w:r>
    </w:p>
    <w:p>
      <w:pPr>
        <w:spacing w:after="0" w:line="180" w:lineRule="exact"/>
        <w:rPr>
          <w:rFonts w:ascii="Times New Roman" w:cs="Times New Roman" w:eastAsia="Times New Roman" w:hAnsi="Times New Roman"/>
          <w:sz w:val="19"/>
          <w:szCs w:val="19"/>
          <w:color w:val="auto"/>
        </w:rPr>
      </w:pPr>
    </w:p>
    <w:p>
      <w:pPr>
        <w:ind w:left="1340" w:right="900" w:firstLine="47"/>
        <w:spacing w:after="0" w:line="259" w:lineRule="auto"/>
        <w:tabs>
          <w:tab w:leader="none" w:pos="166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calculating the Coverage Tests, except as otherwise specified in the Coverage Tests, such calculations will not include (i) scheduled interest and principal payments on Defaulted Collateral Loans and Ineligible Collateral Loans unless or until such payments are actually made and (ii) ticking fees in respect of Collateral Loans, and other similar fees, unless or until such fees are actually paid.</w:t>
      </w:r>
    </w:p>
    <w:p>
      <w:pPr>
        <w:spacing w:after="0" w:line="177" w:lineRule="exact"/>
        <w:rPr>
          <w:rFonts w:ascii="Times New Roman" w:cs="Times New Roman" w:eastAsia="Times New Roman" w:hAnsi="Times New Roman"/>
          <w:sz w:val="19"/>
          <w:szCs w:val="19"/>
          <w:color w:val="auto"/>
        </w:rPr>
      </w:pPr>
    </w:p>
    <w:p>
      <w:pPr>
        <w:ind w:left="1640" w:hanging="253"/>
        <w:spacing w:after="0"/>
        <w:tabs>
          <w:tab w:leader="none" w:pos="164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each Collection Period and as of any date of determination, the Scheduled</w:t>
      </w:r>
    </w:p>
    <w:p>
      <w:pPr>
        <w:spacing w:after="0" w:line="3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Distribution on any Collateral Loans (other than Defaulted Collateral Loans and</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4" w:name="page155"/>
    <w:bookmarkEnd w:id="154"/>
    <w:p>
      <w:pPr>
        <w:spacing w:after="0" w:line="200" w:lineRule="exact"/>
        <w:rPr>
          <w:sz w:val="20"/>
          <w:szCs w:val="20"/>
          <w:color w:val="auto"/>
        </w:rPr>
      </w:pPr>
    </w:p>
    <w:p>
      <w:pPr>
        <w:spacing w:after="0" w:line="285" w:lineRule="exact"/>
        <w:rPr>
          <w:sz w:val="20"/>
          <w:szCs w:val="20"/>
          <w:color w:val="auto"/>
        </w:rPr>
      </w:pPr>
    </w:p>
    <w:p>
      <w:pPr>
        <w:ind w:left="1340" w:right="800"/>
        <w:spacing w:after="0" w:line="262" w:lineRule="auto"/>
        <w:rPr>
          <w:sz w:val="20"/>
          <w:szCs w:val="20"/>
          <w:color w:val="auto"/>
        </w:rPr>
      </w:pPr>
      <w:r>
        <w:rPr>
          <w:rFonts w:ascii="Times New Roman" w:cs="Times New Roman" w:eastAsia="Times New Roman" w:hAnsi="Times New Roman"/>
          <w:sz w:val="19"/>
          <w:szCs w:val="19"/>
          <w:color w:val="auto"/>
        </w:rPr>
        <w:t>Ineligible Collateral Loans, which, except as otherwise provided herein, shall be assumed to have Scheduled Distributions of zero) shall be the total amount of payments and collections to be received during such Collection Period in respect of such Collateral Loans.</w:t>
      </w:r>
    </w:p>
    <w:p>
      <w:pPr>
        <w:spacing w:after="0" w:line="174" w:lineRule="exact"/>
        <w:rPr>
          <w:sz w:val="20"/>
          <w:szCs w:val="20"/>
          <w:color w:val="auto"/>
        </w:rPr>
      </w:pPr>
    </w:p>
    <w:p>
      <w:pPr>
        <w:ind w:left="1340" w:right="1120" w:firstLine="47"/>
        <w:spacing w:after="0" w:line="286" w:lineRule="auto"/>
        <w:tabs>
          <w:tab w:leader="none" w:pos="166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Scheduled Distribution receivable with respect to a Collateral Loan shall be assumed to be received on the applicable Due Date.</w:t>
      </w:r>
    </w:p>
    <w:p>
      <w:pPr>
        <w:spacing w:after="0" w:line="151" w:lineRule="exact"/>
        <w:rPr>
          <w:rFonts w:ascii="Times New Roman" w:cs="Times New Roman" w:eastAsia="Times New Roman" w:hAnsi="Times New Roman"/>
          <w:sz w:val="19"/>
          <w:szCs w:val="19"/>
          <w:color w:val="auto"/>
        </w:rPr>
      </w:pPr>
    </w:p>
    <w:p>
      <w:pPr>
        <w:jc w:val="both"/>
        <w:ind w:left="1340" w:right="860" w:firstLine="47"/>
        <w:spacing w:after="0" w:line="262" w:lineRule="auto"/>
        <w:tabs>
          <w:tab w:leader="none" w:pos="1649"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w:t>
      </w:r>
    </w:p>
    <w:p>
      <w:pPr>
        <w:spacing w:after="0" w:line="174" w:lineRule="exact"/>
        <w:rPr>
          <w:rFonts w:ascii="Times New Roman" w:cs="Times New Roman" w:eastAsia="Times New Roman" w:hAnsi="Times New Roman"/>
          <w:sz w:val="19"/>
          <w:szCs w:val="19"/>
          <w:color w:val="auto"/>
        </w:rPr>
      </w:pPr>
    </w:p>
    <w:p>
      <w:pPr>
        <w:ind w:left="1340" w:right="800" w:firstLine="47"/>
        <w:spacing w:after="0" w:line="262" w:lineRule="auto"/>
        <w:tabs>
          <w:tab w:leader="none" w:pos="1628"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calculating all Concentration Limitations, in both the numerator and the denominator of any component of the Concentration Limitations, Ineligible Collateral Loans (including any unfunded commitments with respect to such Collateral Loans) will be treated as having a value equal to zero.</w:t>
      </w:r>
    </w:p>
    <w:p>
      <w:pPr>
        <w:spacing w:after="0" w:line="174" w:lineRule="exact"/>
        <w:rPr>
          <w:rFonts w:ascii="Times New Roman" w:cs="Times New Roman" w:eastAsia="Times New Roman" w:hAnsi="Times New Roman"/>
          <w:sz w:val="19"/>
          <w:szCs w:val="19"/>
          <w:color w:val="auto"/>
        </w:rPr>
      </w:pPr>
    </w:p>
    <w:p>
      <w:pPr>
        <w:ind w:left="1340" w:right="780" w:firstLine="47"/>
        <w:spacing w:after="0" w:line="257" w:lineRule="auto"/>
        <w:tabs>
          <w:tab w:leader="none" w:pos="166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such category of Collateral Loans will be deemed, solely for purposes of such determinations, to fall only into the category that produces the highest such Borrowing Base at such time (without duplication).</w:t>
      </w:r>
    </w:p>
    <w:p>
      <w:pPr>
        <w:spacing w:after="0" w:line="180" w:lineRule="exact"/>
        <w:rPr>
          <w:rFonts w:ascii="Times New Roman" w:cs="Times New Roman" w:eastAsia="Times New Roman" w:hAnsi="Times New Roman"/>
          <w:sz w:val="19"/>
          <w:szCs w:val="19"/>
          <w:color w:val="auto"/>
        </w:rPr>
      </w:pPr>
    </w:p>
    <w:p>
      <w:pPr>
        <w:ind w:left="1340" w:right="1040" w:firstLine="47"/>
        <w:spacing w:after="0" w:line="262" w:lineRule="auto"/>
        <w:tabs>
          <w:tab w:leader="none" w:pos="166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herein, the Defaulted Collateral Loan Balance for Defaulted Collateral Loans will be included in the calculation of the Collateral Quality Tests and Ineligible Collateral Loans will not be included in the calculation of the Collateral Quality Tests.</w:t>
      </w:r>
    </w:p>
    <w:p>
      <w:pPr>
        <w:spacing w:after="0" w:line="174" w:lineRule="exact"/>
        <w:rPr>
          <w:rFonts w:ascii="Times New Roman" w:cs="Times New Roman" w:eastAsia="Times New Roman" w:hAnsi="Times New Roman"/>
          <w:sz w:val="19"/>
          <w:szCs w:val="19"/>
          <w:color w:val="auto"/>
        </w:rPr>
      </w:pPr>
    </w:p>
    <w:p>
      <w:pPr>
        <w:ind w:left="1340" w:right="760" w:firstLine="47"/>
        <w:spacing w:after="0" w:line="257" w:lineRule="auto"/>
        <w:tabs>
          <w:tab w:leader="none" w:pos="1617"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determining the Weighted Average Floating Spread and the Weighted Average Coupon (and related computations of stated interest coupons and Aggregate Funded Spread), capitalized or deferred interest (and any other interest that is not required to be paid in cash) will be excluded, regardless of whether, in the case of the calculation of the Weighted Average Floating Spread, such interest is currently being capitalized or deferred.</w:t>
      </w:r>
    </w:p>
    <w:p>
      <w:pPr>
        <w:spacing w:after="0" w:line="180" w:lineRule="exact"/>
        <w:rPr>
          <w:rFonts w:ascii="Times New Roman" w:cs="Times New Roman" w:eastAsia="Times New Roman" w:hAnsi="Times New Roman"/>
          <w:sz w:val="19"/>
          <w:szCs w:val="19"/>
          <w:color w:val="auto"/>
        </w:rPr>
      </w:pPr>
    </w:p>
    <w:p>
      <w:pPr>
        <w:ind w:left="1340" w:right="780" w:firstLine="47"/>
        <w:spacing w:after="0" w:line="253" w:lineRule="auto"/>
        <w:tabs>
          <w:tab w:leader="none" w:pos="1617"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in this Agreement to the Borrower’s “purchase” or “acquisition” of a Collateral Loan include references to the Borrower’s acquisition of such Collateral Loan by way of a sale and/or contribution from the BDC and the Borrower’s making or origination of such Collateral Loan. Portions of the same Collateral Loan acquired by the Borrower on different dates (whether through purchase, receipt by contribution or the making or origination thereof, but excluding subsequent draws under Revolving Collateral Loans or Delayed Drawdown Collateral Loans) will, for purposes of determining the purchase price of such Collateral Loan, be treated as separate purchases on separate dates (and not a weighted average purchase price for any particular Collateral</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Loan).</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5" w:name="page156"/>
    <w:bookmarkEnd w:id="155"/>
    <w:p>
      <w:pPr>
        <w:spacing w:after="0" w:line="200" w:lineRule="exact"/>
        <w:rPr>
          <w:sz w:val="20"/>
          <w:szCs w:val="20"/>
          <w:color w:val="auto"/>
        </w:rPr>
      </w:pPr>
    </w:p>
    <w:p>
      <w:pPr>
        <w:spacing w:after="0" w:line="285" w:lineRule="exact"/>
        <w:rPr>
          <w:sz w:val="20"/>
          <w:szCs w:val="20"/>
          <w:color w:val="auto"/>
        </w:rPr>
      </w:pPr>
    </w:p>
    <w:p>
      <w:pPr>
        <w:ind w:left="1340" w:right="1640" w:firstLine="47"/>
        <w:spacing w:after="0" w:line="286" w:lineRule="auto"/>
        <w:tabs>
          <w:tab w:leader="none" w:pos="166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purposes of calculating compliance with each of the Concentration Limitations all calculations will be rounded to the nearest 0.01%.</w:t>
      </w:r>
    </w:p>
    <w:p>
      <w:pPr>
        <w:spacing w:after="0" w:line="151" w:lineRule="exact"/>
        <w:rPr>
          <w:rFonts w:ascii="Times New Roman" w:cs="Times New Roman" w:eastAsia="Times New Roman" w:hAnsi="Times New Roman"/>
          <w:sz w:val="19"/>
          <w:szCs w:val="19"/>
          <w:color w:val="auto"/>
        </w:rPr>
      </w:pPr>
    </w:p>
    <w:p>
      <w:pPr>
        <w:ind w:left="1340" w:right="840" w:firstLine="47"/>
        <w:spacing w:after="0" w:line="257" w:lineRule="auto"/>
        <w:tabs>
          <w:tab w:leader="none" w:pos="1617"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indicated herein, all monetary calculations under this Agreement shall be in Dollars (and any amounts denominated in an Agreed Foreign Currency shall be converted to the Dollar Equivalent of such Agreed Foreign Currency for such calculations, as applicable). For purposes of this Agreement, calculations with respect to all amounts received or required to be paid in a currency other than Dollars or an Agreed Foreign Currency shall be valued at zero.</w:t>
      </w:r>
    </w:p>
    <w:p>
      <w:pPr>
        <w:spacing w:after="0" w:line="180" w:lineRule="exact"/>
        <w:rPr>
          <w:rFonts w:ascii="Times New Roman" w:cs="Times New Roman" w:eastAsia="Times New Roman" w:hAnsi="Times New Roman"/>
          <w:sz w:val="19"/>
          <w:szCs w:val="19"/>
          <w:color w:val="auto"/>
        </w:rPr>
      </w:pPr>
    </w:p>
    <w:p>
      <w:pPr>
        <w:ind w:left="1340" w:right="780" w:firstLine="47"/>
        <w:spacing w:after="0" w:line="259" w:lineRule="auto"/>
        <w:tabs>
          <w:tab w:leader="none" w:pos="1713"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calculating all Concentration Limitations, (i) at all times during the Reinvestment Period, unfunded commitments shall be included in both the numerator and the denominator of any component of the Concentration Limitations, and (ii) at all other times, unfunded commitments shall not be included in either the numerator or the denominator of any component of the Concentration Limitations.</w:t>
      </w:r>
    </w:p>
    <w:p>
      <w:pPr>
        <w:spacing w:after="0" w:line="176" w:lineRule="exact"/>
        <w:rPr>
          <w:sz w:val="20"/>
          <w:szCs w:val="20"/>
          <w:color w:val="auto"/>
        </w:rPr>
      </w:pPr>
    </w:p>
    <w:p>
      <w:pPr>
        <w:jc w:val="both"/>
        <w:ind w:left="760" w:right="1080"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Section 1.05. Classification of Advances and Borrowings. </w:t>
      </w:r>
      <w:r>
        <w:rPr>
          <w:rFonts w:ascii="Times New Roman" w:cs="Times New Roman" w:eastAsia="Times New Roman" w:hAnsi="Times New Roman"/>
          <w:sz w:val="19"/>
          <w:szCs w:val="19"/>
          <w:color w:val="auto"/>
        </w:rPr>
        <w:t>For purposes of this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Advances may be classified and referred to by Class (e.g., a “Syndicated Dollar Advance” or “Syndicated Multicurrency Advance”). Borrowings also may be classified and referred to by Class (e.g., a “Dollar Borrowing”, “Multicurrency Borrowing” or “Syndicated Borrowing”). Advances and Borrowings may also be identified by Currency.</w:t>
      </w:r>
    </w:p>
    <w:p>
      <w:pPr>
        <w:spacing w:after="0" w:line="173" w:lineRule="exact"/>
        <w:rPr>
          <w:sz w:val="20"/>
          <w:szCs w:val="20"/>
          <w:color w:val="auto"/>
        </w:rPr>
      </w:pPr>
    </w:p>
    <w:p>
      <w:pPr>
        <w:ind w:left="760" w:right="780"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Section 1.06. Currencies Generally. </w:t>
      </w:r>
      <w:r>
        <w:rPr>
          <w:rFonts w:ascii="Times New Roman" w:cs="Times New Roman" w:eastAsia="Times New Roman" w:hAnsi="Times New Roman"/>
          <w:sz w:val="19"/>
          <w:szCs w:val="19"/>
          <w:color w:val="auto"/>
        </w:rPr>
        <w:t>At any time, any reference in the definition of the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“Agreed Foreign Currency” or in any other provision of this Agreement to the Currency of any particular nation means the lawful currency of such nation at such time whether or not the name of such Currency is the same as it was on the date hereof. The outstanding principal amount of any Borrowing that is denominated in any Agreed Foreign Currency shall be deemed to be the Dollar Equivalent of the amount of the Agreed Foreign Currency of such Borrowing determined as of the date of such Borrowing. Wherever in this Agreement (x) in connection with a Borrowing, an amount, such as a required minimum or multiple amount, is expressed in Dollars, but such Borrowing is denominated in an Agreed Foreign Currency or (y) in connection with a Collateral Loan, any applicable criteria including, but not limited to, the Concentration Limitations and the definition of Eligible Collateral Loan, is expressed in Dollars, but such Collateral Loan is denominated in an Agreed Foreign Currency, in each case such amount shall be the relevant Foreign Currency Equivalent of such Dollar amount (rounded to the nearest 1,000 units of such Agreed Foreign Currency).</w:t>
      </w:r>
    </w:p>
    <w:p>
      <w:pPr>
        <w:spacing w:after="0" w:line="185" w:lineRule="exact"/>
        <w:rPr>
          <w:sz w:val="20"/>
          <w:szCs w:val="20"/>
          <w:color w:val="auto"/>
        </w:rPr>
      </w:pPr>
    </w:p>
    <w:p>
      <w:pPr>
        <w:ind w:left="760" w:right="96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1.07. Calculation of Borrowing Base. </w:t>
      </w:r>
      <w:r>
        <w:rPr>
          <w:rFonts w:ascii="Times New Roman" w:cs="Times New Roman" w:eastAsia="Times New Roman" w:hAnsi="Times New Roman"/>
          <w:sz w:val="19"/>
          <w:szCs w:val="19"/>
          <w:color w:val="auto"/>
        </w:rPr>
        <w:t>In connection with amounts to be calculated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purposes of determining the Borrowing Base and generally preparing the Borrowing Base Calculation Statement, all amounts shall be expressed in Dollars. If any such amount is denominated in an Agreed Foreign Currency, such amount shall be the relevant Foreign Currency Equivalent of such Dollar amount (rounded to the nearest 1,000 units of such Agreed Foreign Currency).</w:t>
      </w:r>
    </w:p>
    <w:p>
      <w:pPr>
        <w:spacing w:after="0" w:line="175" w:lineRule="exact"/>
        <w:rPr>
          <w:sz w:val="20"/>
          <w:szCs w:val="20"/>
          <w:color w:val="auto"/>
        </w:rPr>
      </w:pPr>
    </w:p>
    <w:p>
      <w:pPr>
        <w:ind w:left="760" w:right="940" w:firstLine="48"/>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Section 1.08. Rates. </w:t>
      </w:r>
      <w:r>
        <w:rPr>
          <w:rFonts w:ascii="Times New Roman" w:cs="Times New Roman" w:eastAsia="Times New Roman" w:hAnsi="Times New Roman"/>
          <w:sz w:val="19"/>
          <w:szCs w:val="19"/>
          <w:color w:val="auto"/>
        </w:rPr>
        <w:t>Upon the occurrence of a Benchmark Transition Event or an Early Opt-in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Election, Section 2.11(b)(i) provides the mechanism for determining an alternative rate of</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6" w:name="page157"/>
    <w:bookmarkEnd w:id="156"/>
    <w:p>
      <w:pPr>
        <w:spacing w:after="0" w:line="200" w:lineRule="exact"/>
        <w:rPr>
          <w:sz w:val="20"/>
          <w:szCs w:val="20"/>
          <w:color w:val="auto"/>
        </w:rPr>
      </w:pPr>
    </w:p>
    <w:p>
      <w:pPr>
        <w:spacing w:after="0" w:line="285" w:lineRule="exact"/>
        <w:rPr>
          <w:sz w:val="20"/>
          <w:szCs w:val="20"/>
          <w:color w:val="auto"/>
        </w:rPr>
      </w:pPr>
    </w:p>
    <w:p>
      <w:pPr>
        <w:ind w:left="760" w:right="820"/>
        <w:spacing w:after="0" w:line="252" w:lineRule="auto"/>
        <w:rPr>
          <w:sz w:val="20"/>
          <w:szCs w:val="20"/>
          <w:color w:val="auto"/>
        </w:rPr>
      </w:pPr>
      <w:r>
        <w:rPr>
          <w:rFonts w:ascii="Times New Roman" w:cs="Times New Roman" w:eastAsia="Times New Roman" w:hAnsi="Times New Roman"/>
          <w:sz w:val="19"/>
          <w:szCs w:val="19"/>
          <w:color w:val="auto"/>
        </w:rPr>
        <w:t>interest. The Administrative Agent will promptly notify the Borrower, pursuant to Section 2.11(b)(iv), of any change to the reference rates upon which the interest rates on Term Benchmark Advances and RFR Advances are based. However, the Administrative Agent does not warrant or accept any responsibility for, and shall not have any liability with respect to, the administration, submission or any other matter related to LIBOR, the Base Rate, the Term SOFR Reference Rate, Term SOFR, the Term CORRA Reference Rate, Term CORRA or other rates in the definitions of “Adjusted Term Benchmark Rate”, “Term Benchmark Rate”, “Term SOFR”, “Term CORRA” and “RFR Rate” or with respect to any alternative or successor rate thereto, or replacement rate thereof (including, without limitation, (i) any such alternative, successor or replacement rate implemented pursuant to Section 2.11(b)(i), whether upon the occurrence of a Benchmark Transition Event or an Early Opt-in Election, as applicable, and (ii) the implementation of any Benchmark Replacement Conforming Changes pursuant to Section</w:t>
      </w:r>
    </w:p>
    <w:p>
      <w:pPr>
        <w:spacing w:after="0" w:line="6" w:lineRule="exact"/>
        <w:rPr>
          <w:sz w:val="20"/>
          <w:szCs w:val="20"/>
          <w:color w:val="auto"/>
        </w:rPr>
      </w:pPr>
    </w:p>
    <w:p>
      <w:pPr>
        <w:ind w:left="760" w:right="820"/>
        <w:spacing w:after="0" w:line="252" w:lineRule="auto"/>
        <w:rPr>
          <w:sz w:val="20"/>
          <w:szCs w:val="20"/>
          <w:color w:val="auto"/>
        </w:rPr>
      </w:pPr>
      <w:r>
        <w:rPr>
          <w:rFonts w:ascii="Times New Roman" w:cs="Times New Roman" w:eastAsia="Times New Roman" w:hAnsi="Times New Roman"/>
          <w:sz w:val="19"/>
          <w:szCs w:val="19"/>
          <w:color w:val="auto"/>
        </w:rPr>
        <w:t>2.11(b)(iii)), including without limitation, whether the composition or characteristics of any such alternative, successor or replacement reference rate will be similar to, or produce the same value or economic equivalence of, the Base Rate, the Term SOFR Reference Rate, Term SOFR, Term CORRA Reference Rate, Term CORRA, Adjusted Term Benchmark Rate, or RFR Rate, as applicable, or have the same volume or liquidity as did the the Base Rate, the Term SOFR Reference Rate, Term SOFR, Term CORRA Reference Rate, Term CORRA, Adjusted Term Benchmark Rate, or RFR Rate, as applicable, prior to its discontinuance or unavailability.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Advances</w:t>
      </w:r>
    </w:p>
    <w:p>
      <w:pPr>
        <w:spacing w:after="0" w:line="226" w:lineRule="exact"/>
        <w:rPr>
          <w:sz w:val="20"/>
          <w:szCs w:val="20"/>
          <w:color w:val="auto"/>
        </w:rPr>
      </w:pPr>
    </w:p>
    <w:p>
      <w:pPr>
        <w:ind w:left="760" w:right="96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Section 2.01. Revolving Credit Facility</w:t>
      </w:r>
      <w:r>
        <w:rPr>
          <w:rFonts w:ascii="Times New Roman" w:cs="Times New Roman" w:eastAsia="Times New Roman" w:hAnsi="Times New Roman"/>
          <w:sz w:val="19"/>
          <w:szCs w:val="19"/>
          <w:color w:val="auto"/>
        </w:rPr>
        <w:t>. On the terms and subject to the conditions hereinafter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set forth, including Article III:</w:t>
      </w:r>
    </w:p>
    <w:p>
      <w:pPr>
        <w:spacing w:after="0" w:line="150" w:lineRule="exact"/>
        <w:rPr>
          <w:sz w:val="20"/>
          <w:szCs w:val="20"/>
          <w:color w:val="auto"/>
        </w:rPr>
      </w:pPr>
    </w:p>
    <w:p>
      <w:pPr>
        <w:ind w:left="1340" w:right="780" w:firstLine="47"/>
        <w:spacing w:after="0" w:line="256" w:lineRule="auto"/>
        <w:tabs>
          <w:tab w:leader="none" w:pos="1649"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severally agrees to make loans in Dollars and in Agreed Foreign Currencies to the Borrower (each, a </w:t>
      </w:r>
      <w:r>
        <w:rPr>
          <w:rFonts w:ascii="Times New Roman" w:cs="Times New Roman" w:eastAsia="Times New Roman" w:hAnsi="Times New Roman"/>
          <w:sz w:val="19"/>
          <w:szCs w:val="19"/>
          <w:i w:val="1"/>
          <w:iCs w:val="1"/>
          <w:color w:val="auto"/>
        </w:rPr>
        <w:t>“Syndicated Advance”</w:t>
      </w:r>
      <w:r>
        <w:rPr>
          <w:rFonts w:ascii="Times New Roman" w:cs="Times New Roman" w:eastAsia="Times New Roman" w:hAnsi="Times New Roman"/>
          <w:sz w:val="19"/>
          <w:szCs w:val="19"/>
          <w:color w:val="auto"/>
        </w:rPr>
        <w:t xml:space="preserve">) from time to time on any Business Day during the period from the Funding Effective Date until the Commitment Termination Date (or thereafter pursuant to Section 8.04),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in each case in an aggregate principal amount at any one time outstanding up to but not exceeding such Lender’s Commitment and, as to all Lenders, in an aggregate principal amount up to but not exceeding the Maximum Available Amount as then in effect.</w:t>
      </w:r>
    </w:p>
    <w:p>
      <w:pPr>
        <w:spacing w:after="0" w:line="179" w:lineRule="exact"/>
        <w:rPr>
          <w:rFonts w:ascii="Times New Roman" w:cs="Times New Roman" w:eastAsia="Times New Roman" w:hAnsi="Times New Roman"/>
          <w:sz w:val="19"/>
          <w:szCs w:val="19"/>
          <w:color w:val="auto"/>
        </w:rPr>
      </w:pPr>
    </w:p>
    <w:p>
      <w:pPr>
        <w:ind w:left="1340" w:right="760" w:firstLine="47"/>
        <w:spacing w:after="0" w:line="253" w:lineRule="auto"/>
        <w:tabs>
          <w:tab w:leader="none" w:pos="166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Swingline Lender agrees to make loans in Dollars (each, a “</w:t>
      </w:r>
      <w:r>
        <w:rPr>
          <w:rFonts w:ascii="Times New Roman" w:cs="Times New Roman" w:eastAsia="Times New Roman" w:hAnsi="Times New Roman"/>
          <w:sz w:val="19"/>
          <w:szCs w:val="19"/>
          <w:i w:val="1"/>
          <w:iCs w:val="1"/>
          <w:color w:val="auto"/>
        </w:rPr>
        <w:t>Swingline Advance</w:t>
      </w:r>
      <w:r>
        <w:rPr>
          <w:rFonts w:ascii="Times New Roman" w:cs="Times New Roman" w:eastAsia="Times New Roman" w:hAnsi="Times New Roman"/>
          <w:sz w:val="19"/>
          <w:szCs w:val="19"/>
          <w:color w:val="auto"/>
        </w:rPr>
        <w:t>” and, together with the Syndicated Advances, the “</w:t>
      </w:r>
      <w:r>
        <w:rPr>
          <w:rFonts w:ascii="Times New Roman" w:cs="Times New Roman" w:eastAsia="Times New Roman" w:hAnsi="Times New Roman"/>
          <w:sz w:val="19"/>
          <w:szCs w:val="19"/>
          <w:i w:val="1"/>
          <w:iCs w:val="1"/>
          <w:color w:val="auto"/>
        </w:rPr>
        <w:t>Advances</w:t>
      </w:r>
      <w:r>
        <w:rPr>
          <w:rFonts w:ascii="Times New Roman" w:cs="Times New Roman" w:eastAsia="Times New Roman" w:hAnsi="Times New Roman"/>
          <w:sz w:val="19"/>
          <w:szCs w:val="19"/>
          <w:color w:val="auto"/>
        </w:rPr>
        <w:t>”) to the Borrower from time to time on any Business Day during the period from the Funding Effective Date until the date that is five (5) Business Days prior to the Commitment Termination Date (the “</w:t>
      </w:r>
      <w:r>
        <w:rPr>
          <w:rFonts w:ascii="Times New Roman" w:cs="Times New Roman" w:eastAsia="Times New Roman" w:hAnsi="Times New Roman"/>
          <w:sz w:val="19"/>
          <w:szCs w:val="19"/>
          <w:i w:val="1"/>
          <w:iCs w:val="1"/>
          <w:color w:val="auto"/>
        </w:rPr>
        <w:t>Swingline Facility End Date</w:t>
      </w:r>
      <w:r>
        <w:rPr>
          <w:rFonts w:ascii="Times New Roman" w:cs="Times New Roman" w:eastAsia="Times New Roman" w:hAnsi="Times New Roman"/>
          <w:sz w:val="19"/>
          <w:szCs w:val="19"/>
          <w:color w:val="auto"/>
        </w:rPr>
        <w:t>”) in an aggregate principal amount at any one time outstanding up to but not exceeding the lesser of (i) $20,000,000 and (ii) the aggregate unused Commitment of the Swingline Lender. Anything contained in the foregoing to the contrary notwithstanding, the undertaking of the Swingline Lender to make Swingline Advances shall be subject to all of the terms and conditions of this Agreement, and</w:t>
      </w:r>
    </w:p>
    <w:p>
      <w:pPr>
        <w:spacing w:after="0" w:line="4" w:lineRule="exact"/>
        <w:rPr>
          <w:sz w:val="20"/>
          <w:szCs w:val="20"/>
          <w:color w:val="auto"/>
        </w:rPr>
      </w:pPr>
    </w:p>
    <w:p>
      <w:pPr>
        <w:ind w:left="1340" w:right="1000"/>
        <w:spacing w:after="0" w:line="246" w:lineRule="auto"/>
        <w:rPr>
          <w:sz w:val="20"/>
          <w:szCs w:val="20"/>
          <w:color w:val="auto"/>
        </w:rPr>
      </w:pPr>
      <w:r>
        <w:rPr>
          <w:rFonts w:ascii="Times New Roman" w:cs="Times New Roman" w:eastAsia="Times New Roman" w:hAnsi="Times New Roman"/>
          <w:sz w:val="19"/>
          <w:szCs w:val="19"/>
          <w:color w:val="auto"/>
        </w:rPr>
        <w:t xml:space="preserve">Swingline Lender shall not make any Swingline Advances if any of the conditions precedent in Section 3.02 are not satisfied;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Swingline Lender shall be</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7" w:name="page158"/>
    <w:bookmarkEnd w:id="157"/>
    <w:p>
      <w:pPr>
        <w:spacing w:after="0" w:line="200" w:lineRule="exact"/>
        <w:rPr>
          <w:sz w:val="20"/>
          <w:szCs w:val="20"/>
          <w:color w:val="auto"/>
        </w:rPr>
      </w:pPr>
    </w:p>
    <w:p>
      <w:pPr>
        <w:spacing w:after="0" w:line="285" w:lineRule="exact"/>
        <w:rPr>
          <w:sz w:val="20"/>
          <w:szCs w:val="20"/>
          <w:color w:val="auto"/>
        </w:rPr>
      </w:pPr>
    </w:p>
    <w:p>
      <w:pPr>
        <w:ind w:left="1340" w:right="840"/>
        <w:spacing w:after="0" w:line="262" w:lineRule="auto"/>
        <w:rPr>
          <w:sz w:val="20"/>
          <w:szCs w:val="20"/>
          <w:color w:val="auto"/>
        </w:rPr>
      </w:pPr>
      <w:r>
        <w:rPr>
          <w:rFonts w:ascii="Times New Roman" w:cs="Times New Roman" w:eastAsia="Times New Roman" w:hAnsi="Times New Roman"/>
          <w:sz w:val="19"/>
          <w:szCs w:val="19"/>
          <w:color w:val="auto"/>
        </w:rPr>
        <w:t>entitled to assume that the conditions precedent to an advance of any Swingline Advance have been satisfied unless notified to the contrary by the Administrative Agent, the Collateral Agent, the Majority Lenders, the Borrower or the Collateral Manager on the Borrower’s behalf.</w:t>
      </w:r>
    </w:p>
    <w:p>
      <w:pPr>
        <w:spacing w:after="0" w:line="174" w:lineRule="exact"/>
        <w:rPr>
          <w:sz w:val="20"/>
          <w:szCs w:val="20"/>
          <w:color w:val="auto"/>
        </w:rPr>
      </w:pPr>
    </w:p>
    <w:p>
      <w:pPr>
        <w:ind w:left="760" w:right="780" w:firstLine="576"/>
        <w:spacing w:after="0" w:line="262" w:lineRule="auto"/>
        <w:rPr>
          <w:sz w:val="20"/>
          <w:szCs w:val="20"/>
          <w:color w:val="auto"/>
        </w:rPr>
      </w:pPr>
      <w:r>
        <w:rPr>
          <w:rFonts w:ascii="Times New Roman" w:cs="Times New Roman" w:eastAsia="Times New Roman" w:hAnsi="Times New Roman"/>
          <w:sz w:val="19"/>
          <w:szCs w:val="19"/>
          <w:color w:val="auto"/>
        </w:rPr>
        <w:t>Each such borrowing of a Syndicated Advance on any single day is referred to herein as a “</w:t>
      </w:r>
      <w:r>
        <w:rPr>
          <w:rFonts w:ascii="Times New Roman" w:cs="Times New Roman" w:eastAsia="Times New Roman" w:hAnsi="Times New Roman"/>
          <w:sz w:val="19"/>
          <w:szCs w:val="19"/>
          <w:i w:val="1"/>
          <w:iCs w:val="1"/>
          <w:color w:val="auto"/>
        </w:rPr>
        <w:t>Syndicated Borrowing</w:t>
      </w:r>
      <w:r>
        <w:rPr>
          <w:rFonts w:ascii="Times New Roman" w:cs="Times New Roman" w:eastAsia="Times New Roman" w:hAnsi="Times New Roman"/>
          <w:sz w:val="19"/>
          <w:szCs w:val="19"/>
          <w:color w:val="auto"/>
        </w:rPr>
        <w:t>”; each such borrowing of a Swingline Advance on any single day is referred to herein as a “</w:t>
      </w:r>
      <w:r>
        <w:rPr>
          <w:rFonts w:ascii="Times New Roman" w:cs="Times New Roman" w:eastAsia="Times New Roman" w:hAnsi="Times New Roman"/>
          <w:sz w:val="19"/>
          <w:szCs w:val="19"/>
          <w:i w:val="1"/>
          <w:iCs w:val="1"/>
          <w:color w:val="auto"/>
        </w:rPr>
        <w:t>Swingline Borrowing</w:t>
      </w:r>
      <w:r>
        <w:rPr>
          <w:rFonts w:ascii="Times New Roman" w:cs="Times New Roman" w:eastAsia="Times New Roman" w:hAnsi="Times New Roman"/>
          <w:sz w:val="19"/>
          <w:szCs w:val="19"/>
          <w:color w:val="auto"/>
        </w:rPr>
        <w:t>”; and Syndicated Borrowings and Swingline Borrowings are referred to herein collectively as “</w:t>
      </w:r>
      <w:r>
        <w:rPr>
          <w:rFonts w:ascii="Times New Roman" w:cs="Times New Roman" w:eastAsia="Times New Roman" w:hAnsi="Times New Roman"/>
          <w:sz w:val="19"/>
          <w:szCs w:val="19"/>
          <w:i w:val="1"/>
          <w:iCs w:val="1"/>
          <w:color w:val="auto"/>
        </w:rPr>
        <w:t>Borrowings</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760" w:right="960" w:firstLine="50"/>
        <w:spacing w:after="0" w:line="288" w:lineRule="auto"/>
        <w:tabs>
          <w:tab w:leader="none" w:pos="1072"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Type of Advances. </w:t>
      </w:r>
      <w:r>
        <w:rPr>
          <w:rFonts w:ascii="Times New Roman" w:cs="Times New Roman" w:eastAsia="Times New Roman" w:hAnsi="Times New Roman"/>
          <w:sz w:val="19"/>
          <w:szCs w:val="19"/>
          <w:color w:val="auto"/>
        </w:rPr>
        <w:t>Each Syndicated Borrowing of a Class shall be denominated in a single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Currency as the Borrower may request in accordance herewith.</w:t>
      </w:r>
    </w:p>
    <w:p>
      <w:pPr>
        <w:spacing w:after="0" w:line="147" w:lineRule="exact"/>
        <w:rPr>
          <w:rFonts w:ascii="Times New Roman" w:cs="Times New Roman" w:eastAsia="Times New Roman" w:hAnsi="Times New Roman"/>
          <w:sz w:val="19"/>
          <w:szCs w:val="19"/>
          <w:color w:val="auto"/>
        </w:rPr>
      </w:pPr>
    </w:p>
    <w:p>
      <w:pPr>
        <w:ind w:left="760" w:right="880" w:firstLine="50"/>
        <w:spacing w:after="0" w:line="269" w:lineRule="auto"/>
        <w:tabs>
          <w:tab w:leader="none" w:pos="108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Maximum Multicurrency Advances</w:t>
      </w:r>
      <w:r>
        <w:rPr>
          <w:rFonts w:ascii="Times New Roman" w:cs="Times New Roman" w:eastAsia="Times New Roman" w:hAnsi="Times New Roman"/>
          <w:sz w:val="19"/>
          <w:szCs w:val="19"/>
          <w:color w:val="auto"/>
        </w:rPr>
        <w:t>. With respect to Borrowings denominated in an Agreed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Foreign Currency, (i) no more than two (2) Borrowings per week shall be permitted hereunder and (ii) no more than eight (8) Borrowings shall be outstanding hereunder at any one time.</w:t>
      </w:r>
    </w:p>
    <w:p>
      <w:pPr>
        <w:spacing w:after="0" w:line="168" w:lineRule="exact"/>
        <w:rPr>
          <w:sz w:val="20"/>
          <w:szCs w:val="20"/>
          <w:color w:val="auto"/>
        </w:rPr>
      </w:pPr>
    </w:p>
    <w:p>
      <w:pPr>
        <w:ind w:left="760" w:right="760" w:firstLine="576"/>
        <w:spacing w:after="0" w:line="262" w:lineRule="auto"/>
        <w:rPr>
          <w:sz w:val="20"/>
          <w:szCs w:val="20"/>
          <w:color w:val="auto"/>
        </w:rPr>
      </w:pPr>
      <w:r>
        <w:rPr>
          <w:rFonts w:ascii="Times New Roman" w:cs="Times New Roman" w:eastAsia="Times New Roman" w:hAnsi="Times New Roman"/>
          <w:sz w:val="19"/>
          <w:szCs w:val="19"/>
          <w:color w:val="auto"/>
        </w:rPr>
        <w:t>Within such limits and subject to the other terms and conditions of this Agreement, the Borrower may borrow (and re-borrow) Advances under this Section 2.01 and prepay Advances under Section 2.05; provided that the Swingline Lender shall not be required to make a Swingline Advance to refinance an outstanding Swingline Advance.</w:t>
      </w:r>
    </w:p>
    <w:p>
      <w:pPr>
        <w:spacing w:after="0" w:line="172" w:lineRule="exact"/>
        <w:rPr>
          <w:sz w:val="20"/>
          <w:szCs w:val="20"/>
          <w:color w:val="auto"/>
        </w:rPr>
      </w:pPr>
    </w:p>
    <w:p>
      <w:pPr>
        <w:ind w:left="760" w:right="880"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Section 2.02. Making of the Advances</w:t>
      </w:r>
      <w:r>
        <w:rPr>
          <w:rFonts w:ascii="Times New Roman" w:cs="Times New Roman" w:eastAsia="Times New Roman" w:hAnsi="Times New Roman"/>
          <w:sz w:val="19"/>
          <w:szCs w:val="19"/>
          <w:color w:val="auto"/>
        </w:rPr>
        <w:t>. (a) If the Borrower desires to make a Borrowing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this Agreement, the Borrower, or the Collateral Manager on its behalf, shall give the Administrative Agent and the Collateral Agent a written notice (each, a “</w:t>
      </w:r>
      <w:r>
        <w:rPr>
          <w:rFonts w:ascii="Times New Roman" w:cs="Times New Roman" w:eastAsia="Times New Roman" w:hAnsi="Times New Roman"/>
          <w:sz w:val="19"/>
          <w:szCs w:val="19"/>
          <w:i w:val="1"/>
          <w:iCs w:val="1"/>
          <w:color w:val="auto"/>
        </w:rPr>
        <w:t>Notice of Borrowing</w:t>
      </w:r>
      <w:r>
        <w:rPr>
          <w:rFonts w:ascii="Times New Roman" w:cs="Times New Roman" w:eastAsia="Times New Roman" w:hAnsi="Times New Roman"/>
          <w:sz w:val="19"/>
          <w:szCs w:val="19"/>
          <w:color w:val="auto"/>
        </w:rPr>
        <w:t>”) for such Borrowing (which notice shall be irrevocable and effective upon receipt) not later than:</w:t>
      </w:r>
    </w:p>
    <w:p>
      <w:pPr>
        <w:spacing w:after="0" w:line="173" w:lineRule="exact"/>
        <w:rPr>
          <w:sz w:val="20"/>
          <w:szCs w:val="20"/>
          <w:color w:val="auto"/>
        </w:rPr>
      </w:pPr>
    </w:p>
    <w:p>
      <w:pPr>
        <w:ind w:left="1620" w:hanging="233"/>
        <w:spacing w:after="0"/>
        <w:tabs>
          <w:tab w:leader="none" w:pos="1620"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Syndicated Borrowings denominated in Dollars, 2:00 p.m. at least one</w:t>
      </w:r>
    </w:p>
    <w:p>
      <w:pPr>
        <w:spacing w:after="0" w:line="31" w:lineRule="exact"/>
        <w:rPr>
          <w:rFonts w:ascii="Times New Roman" w:cs="Times New Roman" w:eastAsia="Times New Roman" w:hAnsi="Times New Roman"/>
          <w:sz w:val="19"/>
          <w:szCs w:val="19"/>
          <w:color w:val="auto"/>
        </w:rPr>
      </w:pPr>
    </w:p>
    <w:p>
      <w:pPr>
        <w:ind w:left="1340" w:right="1040" w:hanging="1"/>
        <w:spacing w:after="0" w:line="262" w:lineRule="auto"/>
        <w:tabs>
          <w:tab w:leader="none" w:pos="161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 prior to the day of the requested Borrowing. A Notice of Borrowing received after 2:00 p.m. shall be deemed received on the following Business Day;</w:t>
      </w:r>
    </w:p>
    <w:p>
      <w:pPr>
        <w:spacing w:after="0" w:line="173" w:lineRule="exact"/>
        <w:rPr>
          <w:rFonts w:ascii="Times New Roman" w:cs="Times New Roman" w:eastAsia="Times New Roman" w:hAnsi="Times New Roman"/>
          <w:sz w:val="19"/>
          <w:szCs w:val="19"/>
          <w:color w:val="auto"/>
        </w:rPr>
      </w:pPr>
    </w:p>
    <w:p>
      <w:pPr>
        <w:ind w:left="1340" w:right="820" w:firstLine="47"/>
        <w:spacing w:after="0" w:line="262" w:lineRule="auto"/>
        <w:tabs>
          <w:tab w:leader="none" w:pos="1670"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Syndicated Borrowings denominated in an Agreed Foreign Currency, 2:00 p.m. at least three (3) Business Days prior to the day of the requested Borrowing. A Notice of Borrowing received after 2:00 p.m. shall be deemed received on the following Business Day; and</w:t>
      </w:r>
    </w:p>
    <w:p>
      <w:pPr>
        <w:spacing w:after="0" w:line="174" w:lineRule="exact"/>
        <w:rPr>
          <w:rFonts w:ascii="Times New Roman" w:cs="Times New Roman" w:eastAsia="Times New Roman" w:hAnsi="Times New Roman"/>
          <w:sz w:val="19"/>
          <w:szCs w:val="19"/>
          <w:color w:val="auto"/>
        </w:rPr>
      </w:pPr>
    </w:p>
    <w:p>
      <w:pPr>
        <w:ind w:left="1340" w:right="940" w:firstLine="47"/>
        <w:spacing w:after="0" w:line="286" w:lineRule="auto"/>
        <w:tabs>
          <w:tab w:leader="none" w:pos="1724"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Swingline Borrowings denominated in Dollars, 2:00 p.m. on the date of the requested Swingline Borrowing.</w:t>
      </w:r>
    </w:p>
    <w:p>
      <w:pPr>
        <w:spacing w:after="0" w:line="151" w:lineRule="exact"/>
        <w:rPr>
          <w:sz w:val="20"/>
          <w:szCs w:val="20"/>
          <w:color w:val="auto"/>
        </w:rPr>
      </w:pPr>
    </w:p>
    <w:p>
      <w:pPr>
        <w:ind w:left="760" w:right="820" w:firstLine="576"/>
        <w:spacing w:after="0" w:line="253" w:lineRule="auto"/>
        <w:rPr>
          <w:sz w:val="20"/>
          <w:szCs w:val="20"/>
          <w:color w:val="auto"/>
        </w:rPr>
      </w:pPr>
      <w:r>
        <w:rPr>
          <w:rFonts w:ascii="Times New Roman" w:cs="Times New Roman" w:eastAsia="Times New Roman" w:hAnsi="Times New Roman"/>
          <w:sz w:val="19"/>
          <w:szCs w:val="19"/>
          <w:color w:val="auto"/>
        </w:rPr>
        <w:t>Promptly following receipt of a Notice of Borrowing in accordance with this Section, the Administrative Agent shall advise each applicable Lender of the details thereof and of the amounts of such Lender’s Advance to be made as part of the requested Borrowing. Each Notice of Borrowing shall be substantially in the form of Exhibit B hereto, dated the date the request for the related Borrowing is being made, signed by a Responsible Officer of the Borrower or the Collateral</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8" w:name="page159"/>
    <w:bookmarkEnd w:id="158"/>
    <w:p>
      <w:pPr>
        <w:spacing w:after="0" w:line="200" w:lineRule="exact"/>
        <w:rPr>
          <w:sz w:val="20"/>
          <w:szCs w:val="20"/>
          <w:color w:val="auto"/>
        </w:rPr>
      </w:pPr>
    </w:p>
    <w:p>
      <w:pPr>
        <w:spacing w:after="0" w:line="285" w:lineRule="exact"/>
        <w:rPr>
          <w:sz w:val="20"/>
          <w:szCs w:val="20"/>
          <w:color w:val="auto"/>
        </w:rPr>
      </w:pPr>
    </w:p>
    <w:p>
      <w:pPr>
        <w:ind w:left="760" w:right="760"/>
        <w:spacing w:after="0" w:line="254" w:lineRule="auto"/>
        <w:rPr>
          <w:sz w:val="20"/>
          <w:szCs w:val="20"/>
          <w:color w:val="auto"/>
        </w:rPr>
      </w:pPr>
      <w:r>
        <w:rPr>
          <w:rFonts w:ascii="Times New Roman" w:cs="Times New Roman" w:eastAsia="Times New Roman" w:hAnsi="Times New Roman"/>
          <w:sz w:val="19"/>
          <w:szCs w:val="19"/>
          <w:color w:val="auto"/>
        </w:rPr>
        <w:t xml:space="preserve">Manager, as applicable, shall attach a Borrowing Base Calculation Statement, and shall otherwise be appropriately completed. If no election as to the Currency of a Syndicated Borrowing is specified, then the requested Syndicated Borrowing shall be denominated in Dollars. The proposed Borrowing Date specified in each Notice of Borrowing shall be a Business Day falling on or prior to (in the case of Syndicated Borrowings) the Commitment Termination Date and (in the case of Swingline Borrowings) the Swingline Facility End Date, and the amount of the Borrowing requested in such Notice of Borrowing (the </w:t>
      </w:r>
      <w:r>
        <w:rPr>
          <w:rFonts w:ascii="Times New Roman" w:cs="Times New Roman" w:eastAsia="Times New Roman" w:hAnsi="Times New Roman"/>
          <w:sz w:val="19"/>
          <w:szCs w:val="19"/>
          <w:i w:val="1"/>
          <w:iCs w:val="1"/>
          <w:color w:val="auto"/>
        </w:rPr>
        <w:t>“Requested Amount”</w:t>
      </w:r>
      <w:r>
        <w:rPr>
          <w:rFonts w:ascii="Times New Roman" w:cs="Times New Roman" w:eastAsia="Times New Roman" w:hAnsi="Times New Roman"/>
          <w:sz w:val="19"/>
          <w:szCs w:val="19"/>
          <w:color w:val="auto"/>
        </w:rPr>
        <w:t>) shall be equal to at least $250,000 or an integral multiple of $100,000 in excess thereof (or, if less, the remaining unfunded Commitments hereunder). Borrowings of more than one Class and Currency may be outstanding at the same time.</w:t>
      </w:r>
    </w:p>
    <w:p>
      <w:pPr>
        <w:spacing w:after="0" w:line="182" w:lineRule="exact"/>
        <w:rPr>
          <w:sz w:val="20"/>
          <w:szCs w:val="20"/>
          <w:color w:val="auto"/>
        </w:rPr>
      </w:pPr>
    </w:p>
    <w:p>
      <w:pPr>
        <w:ind w:left="760" w:right="860" w:firstLine="50"/>
        <w:spacing w:after="0" w:line="253" w:lineRule="auto"/>
        <w:tabs>
          <w:tab w:leader="none" w:pos="1084"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Funding by Lenders. </w:t>
      </w:r>
      <w:r>
        <w:rPr>
          <w:rFonts w:ascii="Times New Roman" w:cs="Times New Roman" w:eastAsia="Times New Roman" w:hAnsi="Times New Roman"/>
          <w:sz w:val="19"/>
          <w:szCs w:val="19"/>
          <w:color w:val="auto"/>
        </w:rPr>
        <w:t>Each Lender, in respect of Syndicated Advances, shall make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Percentage of the applicable Requested Amount on each Borrowing Date by wire transfer of immediately available funds by 11:00 a.m. to the account of the Administrative Agent most recently designated by it for such purpose by notice to the Lenders. The Administrative Agent will make such Advances available to the Borrower by promptly crediting the amounts so received, in like funds, to the Principal Collection Subaccount. The Swingline Lender shall not later than 4:00 p.m. on each Borrowing Date, in respect of Swingline Advances, make the applicable Requested Amount available to the Borrower by disbursing such funds to the Principal Collection Subaccount;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the Swingline Lender shall have no obligation hereunder to make any Swingline Advance at any time if, at such time, one or more Lenders has announced that it is not obligated (or has disputed, in good faith or otherwise, whether it is obligated) to make additional Advances hereunder (including its portion of any Swingline Refinancing Advance).</w:t>
      </w:r>
    </w:p>
    <w:p>
      <w:pPr>
        <w:spacing w:after="0" w:line="188" w:lineRule="exact"/>
        <w:rPr>
          <w:rFonts w:ascii="Times New Roman" w:cs="Times New Roman" w:eastAsia="Times New Roman" w:hAnsi="Times New Roman"/>
          <w:sz w:val="19"/>
          <w:szCs w:val="19"/>
          <w:color w:val="auto"/>
        </w:rPr>
      </w:pPr>
    </w:p>
    <w:p>
      <w:pPr>
        <w:ind w:left="760" w:right="800" w:firstLine="50"/>
        <w:spacing w:after="0" w:line="254" w:lineRule="auto"/>
        <w:tabs>
          <w:tab w:leader="none" w:pos="1069"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Notice of Borrowing for a Swingline Advance shall also be deemed to constitute a Notice of Borrowing for Syndicated Advances (such Advances, “</w:t>
      </w:r>
      <w:r>
        <w:rPr>
          <w:rFonts w:ascii="Times New Roman" w:cs="Times New Roman" w:eastAsia="Times New Roman" w:hAnsi="Times New Roman"/>
          <w:sz w:val="19"/>
          <w:szCs w:val="19"/>
          <w:i w:val="1"/>
          <w:iCs w:val="1"/>
          <w:color w:val="auto"/>
        </w:rPr>
        <w:t>Swingline Refinancing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Advances</w:t>
      </w:r>
      <w:r>
        <w:rPr>
          <w:rFonts w:ascii="Times New Roman" w:cs="Times New Roman" w:eastAsia="Times New Roman" w:hAnsi="Times New Roman"/>
          <w:sz w:val="19"/>
          <w:szCs w:val="19"/>
          <w:color w:val="auto"/>
        </w:rPr>
        <w:t>”), in an amount equal to (1) the same Requested Amount or (2) if the Borrower has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submitted a Notice of Prepayment in tandem with the Notice of Borrowing for a Swingline Borrowing, such portion of the Requested Amount that will not be repaid by the Borrower on the next Business Day. The Borrowing Date for the Swingline Refinancing Advance shall fall on the day (the “</w:t>
      </w:r>
      <w:r>
        <w:rPr>
          <w:rFonts w:ascii="Times New Roman" w:cs="Times New Roman" w:eastAsia="Times New Roman" w:hAnsi="Times New Roman"/>
          <w:sz w:val="19"/>
          <w:szCs w:val="19"/>
          <w:i w:val="1"/>
          <w:iCs w:val="1"/>
          <w:color w:val="auto"/>
        </w:rPr>
        <w:t>Swingline Refinancing Date</w:t>
      </w:r>
      <w:r>
        <w:rPr>
          <w:rFonts w:ascii="Times New Roman" w:cs="Times New Roman" w:eastAsia="Times New Roman" w:hAnsi="Times New Roman"/>
          <w:sz w:val="19"/>
          <w:szCs w:val="19"/>
          <w:color w:val="auto"/>
        </w:rPr>
        <w:t>”) that is one (1) Business Day after the date on which such Swingline Borrowing is made (and the applicable Notice of Borrowing shall specify both applicable information for the Swingline Advance and the related Swingline Refinancing Advance). Notwithstanding anything to the contrary contained herein:</w:t>
      </w:r>
    </w:p>
    <w:p>
      <w:pPr>
        <w:spacing w:after="0" w:line="182" w:lineRule="exact"/>
        <w:rPr>
          <w:rFonts w:ascii="Times New Roman" w:cs="Times New Roman" w:eastAsia="Times New Roman" w:hAnsi="Times New Roman"/>
          <w:sz w:val="19"/>
          <w:szCs w:val="19"/>
          <w:color w:val="auto"/>
        </w:rPr>
      </w:pPr>
    </w:p>
    <w:p>
      <w:pPr>
        <w:ind w:left="1340" w:right="820" w:firstLine="47"/>
        <w:spacing w:after="0" w:line="258" w:lineRule="auto"/>
        <w:tabs>
          <w:tab w:leader="none" w:pos="1617"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it is understood and agreed that each Lender shall acquire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risk participation in each Swingline Advance upon the date such Swingline Advance is made and each Lender shall make Syndicated Advances on each Swingline Refinancing Date in an amount equal to its Percentage of such Requested Amount and (unless it is the Swingline Lender) shall disburse such funds in Dollars to the Principal Collection Subaccount for the exclusive benefit of the Swingline Lender; and</w:t>
      </w:r>
    </w:p>
    <w:p>
      <w:pPr>
        <w:spacing w:after="0" w:line="177" w:lineRule="exact"/>
        <w:rPr>
          <w:rFonts w:ascii="Times New Roman" w:cs="Times New Roman" w:eastAsia="Times New Roman" w:hAnsi="Times New Roman"/>
          <w:sz w:val="19"/>
          <w:szCs w:val="19"/>
          <w:color w:val="auto"/>
        </w:rPr>
      </w:pPr>
    </w:p>
    <w:p>
      <w:pPr>
        <w:ind w:left="1340" w:right="780" w:firstLine="47"/>
        <w:spacing w:after="0" w:line="255" w:lineRule="auto"/>
        <w:tabs>
          <w:tab w:leader="none" w:pos="1670"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Agent shall immediately apply all amounts received from the Lenders under clause (i) above to the repayment of the outstanding Swingline Advances by paying the same to the Swingline Lender.</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9" w:name="page160"/>
    <w:bookmarkEnd w:id="159"/>
    <w:p>
      <w:pPr>
        <w:spacing w:after="0" w:line="200" w:lineRule="exact"/>
        <w:rPr>
          <w:sz w:val="20"/>
          <w:szCs w:val="20"/>
          <w:color w:val="auto"/>
        </w:rPr>
      </w:pPr>
    </w:p>
    <w:p>
      <w:pPr>
        <w:spacing w:after="0" w:line="285" w:lineRule="exact"/>
        <w:rPr>
          <w:sz w:val="20"/>
          <w:szCs w:val="20"/>
          <w:color w:val="auto"/>
        </w:rPr>
      </w:pPr>
    </w:p>
    <w:p>
      <w:pPr>
        <w:ind w:left="760" w:right="780"/>
        <w:spacing w:after="0" w:line="254" w:lineRule="auto"/>
        <w:rPr>
          <w:sz w:val="20"/>
          <w:szCs w:val="20"/>
          <w:color w:val="auto"/>
        </w:rPr>
      </w:pPr>
      <w:r>
        <w:rPr>
          <w:rFonts w:ascii="Times New Roman" w:cs="Times New Roman" w:eastAsia="Times New Roman" w:hAnsi="Times New Roman"/>
          <w:sz w:val="19"/>
          <w:szCs w:val="19"/>
          <w:color w:val="auto"/>
        </w:rPr>
        <w:t>If the Swingline Lender is also a Lender, it will be deemed to have automatically funded its portion of each Swingline Refinancing Advance on the relevant Swingline Refinancing Date. The obligations of the Lenders under clause (i) above, and the obligations of the Collateral Agent to apply amounts received from the Lenders under clause (ii) above, shall be absolute and unconditional, shall not be affected by any event or circumstance whatsoever, including the occurrence and continuance of a Default or reduction or termination of the Commitments, shall be made without any offset, abatement, withholding or reduction whatsoever, and shall survive the termination of this Agreement. For the avoidance of doubt, at no time will the Administrative Agent have any duty (express or implied) to fund (or front or advance) any Lender’s Percentage of a Requested Amount.</w:t>
      </w:r>
    </w:p>
    <w:p>
      <w:pPr>
        <w:spacing w:after="0" w:line="182" w:lineRule="exact"/>
        <w:rPr>
          <w:sz w:val="20"/>
          <w:szCs w:val="20"/>
          <w:color w:val="auto"/>
        </w:rPr>
      </w:pPr>
    </w:p>
    <w:p>
      <w:pPr>
        <w:ind w:left="760" w:right="760" w:firstLine="50"/>
        <w:spacing w:after="0" w:line="253" w:lineRule="auto"/>
        <w:tabs>
          <w:tab w:leader="none" w:pos="1084"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Presumption by the Administrative Agent. </w:t>
      </w:r>
      <w:r>
        <w:rPr>
          <w:rFonts w:ascii="Times New Roman" w:cs="Times New Roman" w:eastAsia="Times New Roman" w:hAnsi="Times New Roman"/>
          <w:sz w:val="19"/>
          <w:szCs w:val="19"/>
          <w:color w:val="auto"/>
        </w:rPr>
        <w:t>Unless the Administrative Agent shall have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received notice from a Lender prior to the applicable proposed Borrowing Date that such Lender will not make available to the Administrative Agent such Lender’s Percentage of the applicable Requested Amount, the Administrative Agent may assume that such Lender has made such Percentage of the applicable Requested Amount available on the Borrowing Date in accordance with paragraph (b) of this Section and may, in reliance upon such assumption, make available to the Borrower a corresponding amount. In such event, if a Lender has not in fact made its Percentage of the applicable Requested Amount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Rate or (ii) in the case of the Borrower, the Interest Rate applicable to Advances not funded through the issuance of commercial paper. If such Lender pays such amount to the Administrative Agent, then such amount shall constitute such Lender’s Advance included in such Borrowing.</w:t>
      </w:r>
    </w:p>
    <w:p>
      <w:pPr>
        <w:spacing w:after="0" w:line="182" w:lineRule="exact"/>
        <w:rPr>
          <w:sz w:val="20"/>
          <w:szCs w:val="20"/>
          <w:color w:val="auto"/>
        </w:rPr>
      </w:pPr>
    </w:p>
    <w:p>
      <w:pPr>
        <w:ind w:left="760" w:right="860"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Section 2.03. Evidence of Indebtedness</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i w:val="1"/>
          <w:iCs w:val="1"/>
          <w:color w:val="auto"/>
        </w:rPr>
        <w:t xml:space="preserve"> Maintenance of Records by Lenders. </w:t>
      </w:r>
      <w:r>
        <w:rPr>
          <w:rFonts w:ascii="Times New Roman" w:cs="Times New Roman" w:eastAsia="Times New Roman" w:hAnsi="Times New Roman"/>
          <w:sz w:val="19"/>
          <w:szCs w:val="19"/>
          <w:color w:val="auto"/>
        </w:rPr>
        <w:t>Each Lender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maintain in accordance with its usual practice an account or accounts evidencing the indebtedness of the Borrower to it and resulting from the Advances made by such Lender to the Borrower, from time to time, including the amounts of principal and interest thereon and paid to it, from time to time hereunder.</w:t>
      </w:r>
    </w:p>
    <w:p>
      <w:pPr>
        <w:spacing w:after="0" w:line="173" w:lineRule="exact"/>
        <w:rPr>
          <w:sz w:val="20"/>
          <w:szCs w:val="20"/>
          <w:color w:val="auto"/>
        </w:rPr>
      </w:pPr>
    </w:p>
    <w:p>
      <w:pPr>
        <w:ind w:left="760" w:right="860" w:firstLine="50"/>
        <w:spacing w:after="0" w:line="260" w:lineRule="auto"/>
        <w:tabs>
          <w:tab w:leader="none" w:pos="1084"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Maintenance of Records by Administrative Agent. </w:t>
      </w:r>
      <w:r>
        <w:rPr>
          <w:rFonts w:ascii="Times New Roman" w:cs="Times New Roman" w:eastAsia="Times New Roman" w:hAnsi="Times New Roman"/>
          <w:sz w:val="19"/>
          <w:szCs w:val="19"/>
          <w:color w:val="auto"/>
        </w:rPr>
        <w:t>The Administrative Agent shall maintain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records in which it shall record (i) the amount of each Advance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2" w:lineRule="exact"/>
        <w:rPr>
          <w:rFonts w:ascii="Times New Roman" w:cs="Times New Roman" w:eastAsia="Times New Roman" w:hAnsi="Times New Roman"/>
          <w:sz w:val="19"/>
          <w:szCs w:val="19"/>
          <w:color w:val="auto"/>
        </w:rPr>
      </w:pPr>
    </w:p>
    <w:p>
      <w:pPr>
        <w:ind w:left="760" w:right="780" w:firstLine="50"/>
        <w:spacing w:after="0" w:line="259" w:lineRule="auto"/>
        <w:tabs>
          <w:tab w:leader="none" w:pos="107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Effect of Entries. </w:t>
      </w:r>
      <w:r>
        <w:rPr>
          <w:rFonts w:ascii="Times New Roman" w:cs="Times New Roman" w:eastAsia="Times New Roman" w:hAnsi="Times New Roman"/>
          <w:sz w:val="19"/>
          <w:szCs w:val="19"/>
          <w:color w:val="auto"/>
        </w:rPr>
        <w:t>The entries made in the records maintained pursuant to paragraph (a) or (b)</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of this Section shall be prima facie evidence, absent obvious error, of the existence and amounts of the obligations recorded therein;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failure of any Lender or the Administrative</w:t>
      </w:r>
    </w:p>
    <w:p>
      <w:pPr>
        <w:spacing w:after="0" w:line="1" w:lineRule="exact"/>
        <w:rPr>
          <w:sz w:val="20"/>
          <w:szCs w:val="20"/>
          <w:color w:val="auto"/>
        </w:rPr>
      </w:pPr>
    </w:p>
    <w:p>
      <w:pPr>
        <w:ind w:left="760" w:right="880"/>
        <w:spacing w:after="0" w:line="246" w:lineRule="auto"/>
        <w:rPr>
          <w:sz w:val="20"/>
          <w:szCs w:val="20"/>
          <w:color w:val="auto"/>
        </w:rPr>
      </w:pPr>
      <w:r>
        <w:rPr>
          <w:rFonts w:ascii="Times New Roman" w:cs="Times New Roman" w:eastAsia="Times New Roman" w:hAnsi="Times New Roman"/>
          <w:sz w:val="19"/>
          <w:szCs w:val="19"/>
          <w:color w:val="auto"/>
        </w:rPr>
        <w:t>Agent to maintain such records or any error therein shall not in any manner affect the obligation of the Borrower to repay the Advances in accordance with the terms of this Agreement.</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0" w:name="page161"/>
    <w:bookmarkEnd w:id="160"/>
    <w:p>
      <w:pPr>
        <w:spacing w:after="0" w:line="200" w:lineRule="exact"/>
        <w:rPr>
          <w:sz w:val="20"/>
          <w:szCs w:val="20"/>
          <w:color w:val="auto"/>
        </w:rPr>
      </w:pPr>
    </w:p>
    <w:p>
      <w:pPr>
        <w:spacing w:after="0" w:line="283" w:lineRule="exact"/>
        <w:rPr>
          <w:sz w:val="20"/>
          <w:szCs w:val="20"/>
          <w:color w:val="auto"/>
        </w:rPr>
      </w:pPr>
    </w:p>
    <w:p>
      <w:pPr>
        <w:ind w:left="760" w:right="90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Section 2.04. Payment of Principal and Interest</w:t>
      </w:r>
      <w:r>
        <w:rPr>
          <w:rFonts w:ascii="Times New Roman" w:cs="Times New Roman" w:eastAsia="Times New Roman" w:hAnsi="Times New Roman"/>
          <w:sz w:val="19"/>
          <w:szCs w:val="19"/>
          <w:color w:val="auto"/>
        </w:rPr>
        <w:t>. The Borrower shall pay principal and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the Advances as follows:</w:t>
      </w:r>
    </w:p>
    <w:p>
      <w:pPr>
        <w:spacing w:after="0" w:line="150" w:lineRule="exact"/>
        <w:rPr>
          <w:sz w:val="20"/>
          <w:szCs w:val="20"/>
          <w:color w:val="auto"/>
        </w:rPr>
      </w:pPr>
    </w:p>
    <w:p>
      <w:pPr>
        <w:ind w:left="1340" w:right="800" w:firstLine="47"/>
        <w:spacing w:after="0" w:line="286" w:lineRule="auto"/>
        <w:tabs>
          <w:tab w:leader="none" w:pos="1649"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100% of the outstanding principal amount of each Advance, together with all accrued and unpaid Interest thereon, shall be payable on the Final Maturity Date.</w:t>
      </w:r>
    </w:p>
    <w:p>
      <w:pPr>
        <w:spacing w:after="0" w:line="151" w:lineRule="exact"/>
        <w:rPr>
          <w:rFonts w:ascii="Times New Roman" w:cs="Times New Roman" w:eastAsia="Times New Roman" w:hAnsi="Times New Roman"/>
          <w:sz w:val="19"/>
          <w:szCs w:val="19"/>
          <w:color w:val="auto"/>
        </w:rPr>
      </w:pPr>
    </w:p>
    <w:p>
      <w:pPr>
        <w:ind w:left="1340" w:right="820" w:firstLine="47"/>
        <w:spacing w:after="0" w:line="254" w:lineRule="auto"/>
        <w:tabs>
          <w:tab w:leader="none" w:pos="166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shall accrue at the applicable Interest Rate on the unpaid principal amount of each Advance from the date of such Advance until such principal amount is paid in full. The Administrative Agent shall determine the unpaid Interest and Commitment Fees payable thereto prior to each Payment Date (using the applicable Interest Rate for each day during the related Interest Accrual Period) to be paid by the Borrower with respect to each Advance on each Payment Date for the related Interest Accrual Period and shall advise the Collateral Manager and the Collateral Administrator thereof on the sixth Business Day prior to such Payment Date. The Administrative Agent shall send a consolidated invoice of all such Interest and Commitment Fees to the Borrower on the Business Day following the Administrative Agent’s receipt of all such information from the Lenders.</w:t>
      </w:r>
    </w:p>
    <w:p>
      <w:pPr>
        <w:spacing w:after="0" w:line="181" w:lineRule="exact"/>
        <w:rPr>
          <w:rFonts w:ascii="Times New Roman" w:cs="Times New Roman" w:eastAsia="Times New Roman" w:hAnsi="Times New Roman"/>
          <w:sz w:val="19"/>
          <w:szCs w:val="19"/>
          <w:color w:val="auto"/>
        </w:rPr>
      </w:pPr>
    </w:p>
    <w:p>
      <w:pPr>
        <w:ind w:left="1340" w:right="800" w:firstLine="47"/>
        <w:spacing w:after="0" w:line="255" w:lineRule="auto"/>
        <w:tabs>
          <w:tab w:leader="none" w:pos="1649"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Accrued Interest on each Advance shall be payable in arrears (x) on each Payment Date, and (y) in connection with any prepayment in full of the Advances pursuant to Section 2.05(a); provided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Advances outstanding, accrued Interest on such amount to but excluding the date of prepayment shall be payable following such prepayment on the applicable Payment Date for the Collection Period in which such prepayment occurred.</w:t>
      </w:r>
    </w:p>
    <w:p>
      <w:pPr>
        <w:spacing w:after="0" w:line="179" w:lineRule="exact"/>
        <w:rPr>
          <w:rFonts w:ascii="Times New Roman" w:cs="Times New Roman" w:eastAsia="Times New Roman" w:hAnsi="Times New Roman"/>
          <w:sz w:val="19"/>
          <w:szCs w:val="19"/>
          <w:color w:val="auto"/>
        </w:rPr>
      </w:pPr>
    </w:p>
    <w:p>
      <w:pPr>
        <w:ind w:left="1340" w:right="880" w:firstLine="47"/>
        <w:spacing w:after="0" w:line="256" w:lineRule="auto"/>
        <w:tabs>
          <w:tab w:leader="none" w:pos="166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in all cases to Section 2.04(f),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Section 2.14), under any and all circumstances and irrespective of any setoff, counterclaim or defense to payment which the Borrower or any other Person may have or have had against any Secured Party or any other Person.</w:t>
      </w:r>
    </w:p>
    <w:p>
      <w:pPr>
        <w:spacing w:after="0" w:line="181" w:lineRule="exact"/>
        <w:rPr>
          <w:rFonts w:ascii="Times New Roman" w:cs="Times New Roman" w:eastAsia="Times New Roman" w:hAnsi="Times New Roman"/>
          <w:sz w:val="19"/>
          <w:szCs w:val="19"/>
          <w:color w:val="auto"/>
        </w:rPr>
      </w:pPr>
    </w:p>
    <w:p>
      <w:pPr>
        <w:ind w:left="1340" w:right="780" w:firstLine="47"/>
        <w:spacing w:after="0" w:line="255" w:lineRule="auto"/>
        <w:tabs>
          <w:tab w:leader="none" w:pos="1649"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in all cases to Section 15.03, as a condition to the payment of principal of and Interest on any Advance without the imposition of withholding tax, the Borrower or either Agent may require certification acceptable to it to enable the Borrower and the Agents to determine their duties and liabilities with respect to any taxes or other charges that they may be required to deduct or withhold from payments in respect of such</w:t>
      </w:r>
    </w:p>
    <w:p>
      <w:pPr>
        <w:spacing w:after="0" w:line="2" w:lineRule="exact"/>
        <w:rPr>
          <w:sz w:val="20"/>
          <w:szCs w:val="20"/>
          <w:color w:val="auto"/>
        </w:rPr>
      </w:pPr>
    </w:p>
    <w:p>
      <w:pPr>
        <w:ind w:left="1340" w:right="860"/>
        <w:spacing w:after="0" w:line="248" w:lineRule="auto"/>
        <w:rPr>
          <w:sz w:val="20"/>
          <w:szCs w:val="20"/>
          <w:color w:val="auto"/>
        </w:rPr>
      </w:pPr>
      <w:r>
        <w:rPr>
          <w:rFonts w:ascii="Times New Roman" w:cs="Times New Roman" w:eastAsia="Times New Roman" w:hAnsi="Times New Roman"/>
          <w:sz w:val="19"/>
          <w:szCs w:val="19"/>
          <w:color w:val="auto"/>
        </w:rPr>
        <w:t>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1" w:name="page162"/>
    <w:bookmarkEnd w:id="161"/>
    <w:p>
      <w:pPr>
        <w:spacing w:after="0" w:line="200" w:lineRule="exact"/>
        <w:rPr>
          <w:sz w:val="20"/>
          <w:szCs w:val="20"/>
          <w:color w:val="auto"/>
        </w:rPr>
      </w:pPr>
    </w:p>
    <w:p>
      <w:pPr>
        <w:spacing w:after="0" w:line="285" w:lineRule="exact"/>
        <w:rPr>
          <w:sz w:val="20"/>
          <w:szCs w:val="20"/>
          <w:color w:val="auto"/>
        </w:rPr>
      </w:pPr>
    </w:p>
    <w:p>
      <w:pPr>
        <w:ind w:left="1340" w:right="780" w:firstLine="47"/>
        <w:spacing w:after="0" w:line="252" w:lineRule="auto"/>
        <w:tabs>
          <w:tab w:leader="none" w:pos="1628"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the obligations of the Borrower under this Agreement are limited recourse obligations of the Borrower payable solely from the Collateral and, following realization of the Collateral, and application of the proceeds thereof in accordance with the Priority of Payments and, subject to Section 2.12,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for any amounts payable under this Agreement. It is understood that the foregoing provisions of this clause (f) shall not (i) 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 understood that the foregoing provisions of this clause (f)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w:t>
      </w:r>
    </w:p>
    <w:p>
      <w:pPr>
        <w:spacing w:after="0" w:line="190" w:lineRule="exact"/>
        <w:rPr>
          <w:sz w:val="20"/>
          <w:szCs w:val="20"/>
          <w:color w:val="auto"/>
        </w:rPr>
      </w:pPr>
    </w:p>
    <w:p>
      <w:pPr>
        <w:ind w:left="760" w:right="800" w:firstLine="48"/>
        <w:spacing w:after="0" w:line="251" w:lineRule="auto"/>
        <w:rPr>
          <w:sz w:val="20"/>
          <w:szCs w:val="20"/>
          <w:color w:val="auto"/>
        </w:rPr>
      </w:pPr>
      <w:r>
        <w:rPr>
          <w:rFonts w:ascii="Times New Roman" w:cs="Times New Roman" w:eastAsia="Times New Roman" w:hAnsi="Times New Roman"/>
          <w:sz w:val="19"/>
          <w:szCs w:val="19"/>
          <w:i w:val="1"/>
          <w:iCs w:val="1"/>
          <w:color w:val="auto"/>
        </w:rPr>
        <w:t xml:space="preserve">Section 2.05. Prepayment of Advances </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i w:val="1"/>
          <w:iCs w:val="1"/>
          <w:color w:val="auto"/>
        </w:rPr>
        <w:t xml:space="preserve"> Optional Prepayments. </w:t>
      </w:r>
      <w:r>
        <w:rPr>
          <w:rFonts w:ascii="Times New Roman" w:cs="Times New Roman" w:eastAsia="Times New Roman" w:hAnsi="Times New Roman"/>
          <w:sz w:val="19"/>
          <w:szCs w:val="19"/>
          <w:color w:val="auto"/>
        </w:rPr>
        <w:t>The Borrower may, from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time to time on any Business Day (and with respect to Advances denominated in Agreed Foreign Currencies, no more than twice per week on any Business Day), voluntarily prepay Advances in whole or in part, without penalty or premium;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shall have delivered to the Administrative Agent written notice of such prepayment (such notice, a </w:t>
      </w:r>
      <w:r>
        <w:rPr>
          <w:rFonts w:ascii="Times New Roman" w:cs="Times New Roman" w:eastAsia="Times New Roman" w:hAnsi="Times New Roman"/>
          <w:sz w:val="19"/>
          <w:szCs w:val="19"/>
          <w:i w:val="1"/>
          <w:iCs w:val="1"/>
          <w:color w:val="auto"/>
        </w:rPr>
        <w:t>“Notice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Prepayment”</w:t>
      </w:r>
      <w:r>
        <w:rPr>
          <w:rFonts w:ascii="Times New Roman" w:cs="Times New Roman" w:eastAsia="Times New Roman" w:hAnsi="Times New Roman"/>
          <w:sz w:val="19"/>
          <w:szCs w:val="19"/>
          <w:color w:val="auto"/>
        </w:rPr>
        <w:t>) in the form of Exhibit C hereto (i) in the case of a prepayment of a Syndicated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Advance denominated in Dollars, by no later than 2:00 p.m. at least one (1) Business Day prior to the day of such prepayment, (ii) in the case of a prepayment of a Syndicated Advance denominated in an Agreed Foreign Currency, by no later than 2:00 p.m. at least three (3) Business Days prior to the day of such prepayment, and (iii) in the case of a prepayment of a Swingline Advance denominated in Dollars, by no later than 2:00 p.m. on the date of such prepayment,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there shall not be more than two (2) such prepayments during any calendar month which are made in whole or in part with any Interest Proceeds. Any Notice of Prepayment received by the Administrative Agent after 2:00 p.m. shall be deemed received on the next Business Day. Upon receipt of such Notice of Prepayment, the Administrative Agent shall promptly notify each Lender. Each such Notice of Prepayment shall be irrevocable and effective upon the date received and shall be dated the date such notice is given, signed by a Responsible Officer of the Borrower and otherwise appropriately completed. Each prepayment of any Advance by the Borrower pursuant to this Section 2.05(a) shall in each case be in a principal amount of at least $500,000 or, if less, the entire outstanding principal amount of the Advances of the Borrower. If a Notice of Prepayment is given by the Borrower, the Borrower shall make such prepayment and the payment amount specified in such notice shall be due and payable on the date specified therein. The Borrower shall make the payment amount specified in such notice by wire transfer of immediately available funds by 11:00 a.m. to the Agent’s Account. The Administrative Agent promptly will make such payment amount specified in such notice available to each Lender in the amount of each Lender’s Percentage of the payment amount by wire transfer to such Lender’s account. Any funds for purposes of a voluntary prepayment received by the Administrative Agent after 11:00</w:t>
      </w:r>
    </w:p>
    <w:p>
      <w:pPr>
        <w:spacing w:after="0" w:line="5"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70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2" w:name="page163"/>
    <w:bookmarkEnd w:id="162"/>
    <w:p>
      <w:pPr>
        <w:spacing w:after="0" w:line="200" w:lineRule="exact"/>
        <w:rPr>
          <w:sz w:val="20"/>
          <w:szCs w:val="20"/>
          <w:color w:val="auto"/>
        </w:rPr>
      </w:pPr>
    </w:p>
    <w:p>
      <w:pPr>
        <w:spacing w:after="0" w:line="285" w:lineRule="exact"/>
        <w:rPr>
          <w:sz w:val="20"/>
          <w:szCs w:val="20"/>
          <w:color w:val="auto"/>
        </w:rPr>
      </w:pPr>
    </w:p>
    <w:p>
      <w:pPr>
        <w:ind w:left="760" w:right="740"/>
        <w:spacing w:after="0" w:line="254" w:lineRule="auto"/>
        <w:rPr>
          <w:sz w:val="20"/>
          <w:szCs w:val="20"/>
          <w:color w:val="auto"/>
        </w:rPr>
      </w:pPr>
      <w:r>
        <w:rPr>
          <w:rFonts w:ascii="Times New Roman" w:cs="Times New Roman" w:eastAsia="Times New Roman" w:hAnsi="Times New Roman"/>
          <w:sz w:val="19"/>
          <w:szCs w:val="19"/>
          <w:color w:val="auto"/>
        </w:rPr>
        <w:t>a.m. shall be deemed received on the next Business Day. The Borrower (or the Collateral Manager on its behalf) shall have discretion to determine whether any such prepayment is paid from available Interest Proceeds and/or from available Principal Proceeds. If any such prepayment is to be paid, in whole or in part, from available Interest Proceeds, the aggregate amount of Interest Proceeds which are used to make such prepayment shall not exceed the Excess Interest Proceeds Amount and the Borrower (or the Collateral Manager on its behalf) shall deliver to the Agents an Excess Interest Proceeds Estimate together with the related Notice of Prepayment. For the avoidance of any doubt, the Borrower may only provide a Notice of Prepayment to prepay Advances that are outstanding on the date such Notice of Prepayment is delivered and may not provide a Notice of Prepayment to prepay any future Advances.</w:t>
      </w:r>
    </w:p>
    <w:p>
      <w:pPr>
        <w:spacing w:after="0" w:line="182" w:lineRule="exact"/>
        <w:rPr>
          <w:sz w:val="20"/>
          <w:szCs w:val="20"/>
          <w:color w:val="auto"/>
        </w:rPr>
      </w:pPr>
    </w:p>
    <w:p>
      <w:pPr>
        <w:ind w:left="760" w:right="760" w:firstLine="50"/>
        <w:spacing w:after="0" w:line="263" w:lineRule="auto"/>
        <w:tabs>
          <w:tab w:leader="none" w:pos="1084"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Mandatory Prepayments. </w:t>
      </w:r>
      <w:r>
        <w:rPr>
          <w:rFonts w:ascii="Times New Roman" w:cs="Times New Roman" w:eastAsia="Times New Roman" w:hAnsi="Times New Roman"/>
          <w:sz w:val="19"/>
          <w:szCs w:val="19"/>
          <w:color w:val="auto"/>
        </w:rPr>
        <w:t>The Borrower shall prepay the Advances on each Payment Date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manner and to the extent provided in the Priority of Payments. The Borrower shall provide, in each Payment Date Report, notice of the aggregate amounts of Advances that are to be prepaid on the related Payment Date in accordance with the Priority of Payments.</w:t>
      </w:r>
    </w:p>
    <w:p>
      <w:pPr>
        <w:spacing w:after="0" w:line="170" w:lineRule="exact"/>
        <w:rPr>
          <w:rFonts w:ascii="Times New Roman" w:cs="Times New Roman" w:eastAsia="Times New Roman" w:hAnsi="Times New Roman"/>
          <w:sz w:val="19"/>
          <w:szCs w:val="19"/>
          <w:color w:val="auto"/>
        </w:rPr>
      </w:pPr>
    </w:p>
    <w:p>
      <w:pPr>
        <w:ind w:left="760" w:right="780" w:firstLine="50"/>
        <w:spacing w:after="0" w:line="260" w:lineRule="auto"/>
        <w:tabs>
          <w:tab w:leader="none" w:pos="1072"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Additional Prepayment Provisions. </w:t>
      </w:r>
      <w:r>
        <w:rPr>
          <w:rFonts w:ascii="Times New Roman" w:cs="Times New Roman" w:eastAsia="Times New Roman" w:hAnsi="Times New Roman"/>
          <w:sz w:val="19"/>
          <w:szCs w:val="19"/>
          <w:color w:val="auto"/>
        </w:rPr>
        <w:t>Each prepayment pursuant to this Section 2.05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subject to Sections 2.04(c) and 2.10 and applied to the Syndicated Advances in accordance with the Lenders’ respective Percentages (unless a Notice of Prepayment is submitted in tandem with a Notice of Borrowing for a Swingline Borrowing, in which case the prepayment shall be applied first to the Swingline Advance).</w:t>
      </w:r>
    </w:p>
    <w:p>
      <w:pPr>
        <w:spacing w:after="0" w:line="172" w:lineRule="exact"/>
        <w:rPr>
          <w:rFonts w:ascii="Times New Roman" w:cs="Times New Roman" w:eastAsia="Times New Roman" w:hAnsi="Times New Roman"/>
          <w:sz w:val="19"/>
          <w:szCs w:val="19"/>
          <w:color w:val="auto"/>
        </w:rPr>
      </w:pPr>
    </w:p>
    <w:p>
      <w:pPr>
        <w:ind w:left="760" w:right="840" w:firstLine="50"/>
        <w:spacing w:after="0" w:line="288" w:lineRule="auto"/>
        <w:tabs>
          <w:tab w:leader="none" w:pos="1084"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Interest on Prepaid Advances. </w:t>
      </w:r>
      <w:r>
        <w:rPr>
          <w:rFonts w:ascii="Times New Roman" w:cs="Times New Roman" w:eastAsia="Times New Roman" w:hAnsi="Times New Roman"/>
          <w:sz w:val="19"/>
          <w:szCs w:val="19"/>
          <w:color w:val="auto"/>
        </w:rPr>
        <w:t>If requested by the Administrative Agent, the Borrower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 all accrued and unpaid Interest on Advances prepaid on the date of such prepayment.</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2.06. Changes of Commitments</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1400" w:firstLine="50"/>
        <w:spacing w:after="0" w:line="269" w:lineRule="auto"/>
        <w:tabs>
          <w:tab w:leader="none" w:pos="1072"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Automatic Reduction and Termination. </w:t>
      </w:r>
      <w:r>
        <w:rPr>
          <w:rFonts w:ascii="Times New Roman" w:cs="Times New Roman" w:eastAsia="Times New Roman" w:hAnsi="Times New Roman"/>
          <w:sz w:val="19"/>
          <w:szCs w:val="19"/>
          <w:color w:val="auto"/>
        </w:rPr>
        <w:t>Subject to the provisions of Section 8.04,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Commitments of all Lenders shall be automatically reduced to zero at 5:00 p.m. on the Commitment Termination Date.</w:t>
      </w:r>
    </w:p>
    <w:p>
      <w:pPr>
        <w:spacing w:after="0" w:line="165" w:lineRule="exact"/>
        <w:rPr>
          <w:rFonts w:ascii="Times New Roman" w:cs="Times New Roman" w:eastAsia="Times New Roman" w:hAnsi="Times New Roman"/>
          <w:sz w:val="19"/>
          <w:szCs w:val="19"/>
          <w:color w:val="auto"/>
        </w:rPr>
      </w:pPr>
    </w:p>
    <w:p>
      <w:pPr>
        <w:ind w:left="760" w:right="800" w:firstLine="50"/>
        <w:spacing w:after="0" w:line="253" w:lineRule="auto"/>
        <w:tabs>
          <w:tab w:leader="none" w:pos="1084"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Optional Reductions. </w:t>
      </w:r>
      <w:r>
        <w:rPr>
          <w:rFonts w:ascii="Times New Roman" w:cs="Times New Roman" w:eastAsia="Times New Roman" w:hAnsi="Times New Roman"/>
          <w:sz w:val="19"/>
          <w:szCs w:val="19"/>
          <w:color w:val="auto"/>
        </w:rPr>
        <w:t>Prior to the Commitment Termination Date, the Borrower shall have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right to terminate or reduce the unused amount of the Facility Amount at any time or from time to time without any fee or penalty upon not less than five (5) Business Days’ prior notice to the Lenders, Collateral Agent and the Administrative Agent of each such termination or reduction, which notice shall specify the effective date of such termination or reduction and the amount of any such reduction;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the amount of any such reduction of the Facility Amount shall be equal to at least $500,000 or an integral multiple of $100,000 in excess thereof or, if less, the remaining unused portion thereof, and (ii) no such reduction will reduce the Facility Amount below the sum of (x) aggregate principal amount of Advances outstanding (including Swingline Advances) at such time and (y) the Revolving Exposure at such time. Such</w:t>
      </w:r>
    </w:p>
    <w:p>
      <w:pPr>
        <w:spacing w:after="0" w:line="2" w:lineRule="exact"/>
        <w:rPr>
          <w:sz w:val="20"/>
          <w:szCs w:val="20"/>
          <w:color w:val="auto"/>
        </w:rPr>
      </w:pPr>
    </w:p>
    <w:p>
      <w:pPr>
        <w:ind w:left="760" w:right="940"/>
        <w:spacing w:after="0" w:line="246" w:lineRule="auto"/>
        <w:rPr>
          <w:sz w:val="20"/>
          <w:szCs w:val="20"/>
          <w:color w:val="auto"/>
        </w:rPr>
      </w:pPr>
      <w:r>
        <w:rPr>
          <w:rFonts w:ascii="Times New Roman" w:cs="Times New Roman" w:eastAsia="Times New Roman" w:hAnsi="Times New Roman"/>
          <w:sz w:val="19"/>
          <w:szCs w:val="19"/>
          <w:color w:val="auto"/>
        </w:rPr>
        <w:t xml:space="preserve">notice of termination or reduction shall be irrevocable and effective only upon receipt and shall be applied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to reduce the respective Commitments of each Lender.</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71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3" w:name="page164"/>
    <w:bookmarkEnd w:id="163"/>
    <w:p>
      <w:pPr>
        <w:spacing w:after="0" w:line="200" w:lineRule="exact"/>
        <w:rPr>
          <w:sz w:val="20"/>
          <w:szCs w:val="20"/>
          <w:color w:val="auto"/>
        </w:rPr>
      </w:pPr>
    </w:p>
    <w:p>
      <w:pPr>
        <w:spacing w:after="0" w:line="283" w:lineRule="exact"/>
        <w:rPr>
          <w:sz w:val="20"/>
          <w:szCs w:val="20"/>
          <w:color w:val="auto"/>
        </w:rPr>
      </w:pPr>
    </w:p>
    <w:p>
      <w:pPr>
        <w:jc w:val="both"/>
        <w:ind w:left="760" w:right="1000" w:firstLine="50"/>
        <w:spacing w:after="0" w:line="263" w:lineRule="auto"/>
        <w:tabs>
          <w:tab w:leader="none" w:pos="1072"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Effect of Termination or Reduction. </w:t>
      </w:r>
      <w:r>
        <w:rPr>
          <w:rFonts w:ascii="Times New Roman" w:cs="Times New Roman" w:eastAsia="Times New Roman" w:hAnsi="Times New Roman"/>
          <w:sz w:val="19"/>
          <w:szCs w:val="19"/>
          <w:color w:val="auto"/>
        </w:rPr>
        <w:t>The Commitments of the Lenders once terminated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reduced may not be reinstated. Each reduction of the Facility Amount pursuant to this Section 2.06 shall be applied ratably among the Lenders in accordance with their respective Commitments.</w:t>
      </w:r>
    </w:p>
    <w:p>
      <w:pPr>
        <w:spacing w:after="0" w:line="171" w:lineRule="exact"/>
        <w:rPr>
          <w:sz w:val="20"/>
          <w:szCs w:val="20"/>
          <w:color w:val="auto"/>
        </w:rPr>
      </w:pPr>
    </w:p>
    <w:p>
      <w:pPr>
        <w:ind w:left="760" w:right="80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2.07. Maximum Lawful Rate</w:t>
      </w:r>
      <w:r>
        <w:rPr>
          <w:rFonts w:ascii="Times New Roman" w:cs="Times New Roman" w:eastAsia="Times New Roman" w:hAnsi="Times New Roman"/>
          <w:sz w:val="19"/>
          <w:szCs w:val="19"/>
          <w:color w:val="auto"/>
        </w:rPr>
        <w:t>. It is the intention of the parties hereto that the interest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Advances shall not exceed the maximum rate permissible under Applicable Law. Accordingly, anything herein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179" w:lineRule="exact"/>
        <w:rPr>
          <w:sz w:val="20"/>
          <w:szCs w:val="20"/>
          <w:color w:val="auto"/>
        </w:rPr>
      </w:pPr>
    </w:p>
    <w:p>
      <w:pPr>
        <w:ind w:left="760" w:right="840"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Section 2.08. Several Obligations</w:t>
      </w:r>
      <w:r>
        <w:rPr>
          <w:rFonts w:ascii="Times New Roman" w:cs="Times New Roman" w:eastAsia="Times New Roman" w:hAnsi="Times New Roman"/>
          <w:sz w:val="19"/>
          <w:szCs w:val="19"/>
          <w:color w:val="auto"/>
        </w:rPr>
        <w:t>. The failure of any Lender to make any Advance to be made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by it on the date specified therefor shall not relieve 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73" w:lineRule="exact"/>
        <w:rPr>
          <w:sz w:val="20"/>
          <w:szCs w:val="20"/>
          <w:color w:val="auto"/>
        </w:rPr>
      </w:pPr>
    </w:p>
    <w:p>
      <w:pPr>
        <w:ind w:left="760" w:right="740" w:firstLine="48"/>
        <w:spacing w:after="0" w:line="229" w:lineRule="exact"/>
        <w:rPr>
          <w:sz w:val="20"/>
          <w:szCs w:val="20"/>
          <w:color w:val="auto"/>
        </w:rPr>
      </w:pPr>
      <w:r>
        <w:rPr>
          <w:rFonts w:ascii="Times New Roman" w:cs="Times New Roman" w:eastAsia="Times New Roman" w:hAnsi="Times New Roman"/>
          <w:sz w:val="19"/>
          <w:szCs w:val="19"/>
          <w:i w:val="1"/>
          <w:iCs w:val="1"/>
          <w:color w:val="auto"/>
        </w:rPr>
        <w:t>Section 2.09. Increased Costs</w:t>
      </w:r>
      <w:r>
        <w:rPr>
          <w:rFonts w:ascii="Times New Roman" w:cs="Times New Roman" w:eastAsia="Times New Roman" w:hAnsi="Times New Roman"/>
          <w:sz w:val="19"/>
          <w:szCs w:val="19"/>
          <w:color w:val="auto"/>
        </w:rPr>
        <w:t>. (a) Except with respect to taxes, which shall be governed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exclusively by Section 15.03, if, due to either (i) the introduction 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 Governmental Authority (whether or not having the force of law) after the date hereof (a </w:t>
      </w:r>
      <w:r>
        <w:rPr>
          <w:rFonts w:ascii="Times New Roman" w:cs="Times New Roman" w:eastAsia="Times New Roman" w:hAnsi="Times New Roman"/>
          <w:sz w:val="19"/>
          <w:szCs w:val="19"/>
          <w:i w:val="1"/>
          <w:iCs w:val="1"/>
          <w:color w:val="auto"/>
        </w:rPr>
        <w:t>“Regulatory Change”</w:t>
      </w:r>
      <w:r>
        <w:rPr>
          <w:rFonts w:ascii="Times New Roman" w:cs="Times New Roman" w:eastAsia="Times New Roman" w:hAnsi="Times New Roman"/>
          <w:sz w:val="19"/>
          <w:szCs w:val="19"/>
          <w:color w:val="auto"/>
        </w:rPr>
        <w:t>), there shall be any increase in the cost to any Affected Person of agreeing to make or making, funding or maintaining Advances to the Borrower, then the Borrower shall from time to time, on the Payment Dates, following such Affected Person’s demand, pay in accordance with the Priority of Payments such Affected Person such additional amounts as may be sufficient to compensate such Affected Person for such increased cost. A certificate setting forth in reasonable detail the amount of such increased cost, submitted to the Borrower by an Affected Person (with a copy to the Agents), shall be conclusive and binding for all purposes, absent manifest error. Notwithstanding anything herein to the contrary, each of (i) the Dodd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Frank Wall Street Reform and Consumer Protection Act, as amended, and all rules and regulations promulgated thereunder or issued in connection therewith and (ii) all requests, rules, guidelines or directives promulgated by the Bank for International Settlements, the Basel Committee on Banking Supervision (or any successor or similar authority) or the United States of America or foreign regulatory authorities, in each case pursuant to Basel II or Basel III, and in each case all rules and regulations promulgated thereunder or issued in connection therewith shall be deemed to have been introduced after the Closing Date, thereby constituting a Regulatory Change hereunder with respect to the Affected Parties as of the Closing Date, regardless of the date enacted, adopted or issued.</w:t>
      </w:r>
    </w:p>
    <w:p>
      <w:pPr>
        <w:spacing w:after="0" w:line="7"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72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4" w:name="page165"/>
    <w:bookmarkEnd w:id="164"/>
    <w:p>
      <w:pPr>
        <w:spacing w:after="0" w:line="200" w:lineRule="exact"/>
        <w:rPr>
          <w:sz w:val="20"/>
          <w:szCs w:val="20"/>
          <w:color w:val="auto"/>
        </w:rPr>
      </w:pPr>
    </w:p>
    <w:p>
      <w:pPr>
        <w:spacing w:after="0" w:line="285" w:lineRule="exact"/>
        <w:rPr>
          <w:sz w:val="20"/>
          <w:szCs w:val="20"/>
          <w:color w:val="auto"/>
        </w:rPr>
      </w:pPr>
    </w:p>
    <w:p>
      <w:pPr>
        <w:ind w:left="760" w:right="760" w:firstLine="50"/>
        <w:spacing w:after="0" w:line="252" w:lineRule="auto"/>
        <w:tabs>
          <w:tab w:leader="none" w:pos="108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Affected Person determines that compliance with any Applicable Law or request from any central bank or other Governmental Authority charged with the interpretation or administration thereof (whether or not having the force of law), in each case, introduced or made after the date hereof (i) affects the amount of capital or liquidity required to be maintained by such Affected Person and that the amount of such capital or liquidity is increased by or based upon the existence of such Affected Person’s Commitment under this Agreement or upon such Affected Person’s making, funding or maintaining Advances or (ii) reduces the rate of return of an Affected Person to a level below that which such Affected Person could have achieved but for such compliance (taking into consideration such Affected Person’s policies with respect to capital adequacy and liquidity), then the Borrower shall from time to time, on the Payment Dates, following such Affected Person’s demand, pay in accordance with the Priority of Payments such additional amounts which are sufficient to compensate such Affected Person for such increase in capital or liquidity or reduced return. If any Affected Person becomes entitled to claim any additional amounts pursuant to this Section 2.09(b), it shall promptly notify the Borrower (with a copy to the Agents) of the event by reason of which it has become so entitled. A certificate setting forth in reasonable detail such amounts submitted to the Borrower by an Affected Person shall be conclusive and binding for all purposes, absent manifest error.</w:t>
      </w:r>
    </w:p>
    <w:p>
      <w:pPr>
        <w:spacing w:after="0" w:line="193" w:lineRule="exact"/>
        <w:rPr>
          <w:rFonts w:ascii="Times New Roman" w:cs="Times New Roman" w:eastAsia="Times New Roman" w:hAnsi="Times New Roman"/>
          <w:sz w:val="19"/>
          <w:szCs w:val="19"/>
          <w:color w:val="auto"/>
        </w:rPr>
      </w:pPr>
    </w:p>
    <w:p>
      <w:pPr>
        <w:ind w:left="760" w:right="920" w:firstLine="50"/>
        <w:spacing w:after="0" w:line="255" w:lineRule="auto"/>
        <w:tabs>
          <w:tab w:leader="none" w:pos="1069"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occurrence of any event giving rise to the Borrower’s obligation to pay additional amounts to a Lender pursuant to clauses (a) or (b) of this Section 2.09,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79" w:lineRule="exact"/>
        <w:rPr>
          <w:rFonts w:ascii="Times New Roman" w:cs="Times New Roman" w:eastAsia="Times New Roman" w:hAnsi="Times New Roman"/>
          <w:sz w:val="19"/>
          <w:szCs w:val="19"/>
          <w:color w:val="auto"/>
        </w:rPr>
      </w:pPr>
    </w:p>
    <w:p>
      <w:pPr>
        <w:ind w:left="760" w:right="1440" w:firstLine="50"/>
        <w:spacing w:after="0" w:line="286" w:lineRule="auto"/>
        <w:tabs>
          <w:tab w:leader="none" w:pos="108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amounts under this Section 2.09 shall be free and clear of any Taxes determined in accordance with Section 15.03.</w:t>
      </w:r>
    </w:p>
    <w:p>
      <w:pPr>
        <w:spacing w:after="0" w:line="1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2.10. Compensation; Breakage Payments</w:t>
      </w:r>
      <w:r>
        <w:rPr>
          <w:rFonts w:ascii="Times New Roman" w:cs="Times New Roman" w:eastAsia="Times New Roman" w:hAnsi="Times New Roman"/>
          <w:sz w:val="19"/>
          <w:szCs w:val="19"/>
          <w:color w:val="auto"/>
        </w:rPr>
        <w:t>. The Borrower agrees to compensate each</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Affected Person from time to time, on the Payment Dates, following such Affected Person’s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written request (which request shall set forth the basis for requesting such amounts), in</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accordance with the Priority of Payments for all reasonable losses, expenses and liabilities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(including any interest paid by such Affected Person to lenders of funds borrowed to make or</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carry an Advance and any loss sustained by such Affected Person in connection with the</w:t>
      </w:r>
    </w:p>
    <w:p>
      <w:pPr>
        <w:spacing w:after="0" w:line="10" w:lineRule="exact"/>
        <w:rPr>
          <w:sz w:val="20"/>
          <w:szCs w:val="20"/>
          <w:color w:val="auto"/>
        </w:rPr>
      </w:pPr>
    </w:p>
    <w:p>
      <w:pPr>
        <w:ind w:left="760"/>
        <w:spacing w:after="0" w:line="219" w:lineRule="exact"/>
        <w:rPr>
          <w:sz w:val="20"/>
          <w:szCs w:val="20"/>
          <w:color w:val="auto"/>
        </w:rPr>
      </w:pPr>
      <w:r>
        <w:rPr>
          <w:rFonts w:ascii="Times New Roman" w:cs="Times New Roman" w:eastAsia="Times New Roman" w:hAnsi="Times New Roman"/>
          <w:sz w:val="19"/>
          <w:szCs w:val="19"/>
          <w:color w:val="auto"/>
        </w:rPr>
        <w:t>re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employment of such funds but excluding loss of anticipated profits), which such Affected</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Person may sustain: (i) if for any reason (including any failure of a condition precedent set forth</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in Article III but excluding a default by the applicable Lender) a Borrowing of any Advance by</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the Borrower does not occur on the Borrowing Date specified therefor in the applicable Notice of</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Borrowing delivered by the Borrower, (ii) if any payment, prepayment or conversion of any of</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the Borrower’s Advances occurs on a date that is not the last day of the relevant Interest Accrual</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Period, (iii) if any payment or prepayment of any Advance is not made on any date specified in a</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Notice of Prepayment given by the Borrower or (iv) as a consequence of any other default by the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Borrower to repay its Advances when required by the terms of this Agreement. In the case of a</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Term Benchmark</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73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5" w:name="page166"/>
    <w:bookmarkEnd w:id="165"/>
    <w:p>
      <w:pPr>
        <w:spacing w:after="0" w:line="200" w:lineRule="exact"/>
        <w:rPr>
          <w:sz w:val="20"/>
          <w:szCs w:val="20"/>
          <w:color w:val="auto"/>
        </w:rPr>
      </w:pPr>
    </w:p>
    <w:p>
      <w:pPr>
        <w:spacing w:after="0" w:line="285" w:lineRule="exact"/>
        <w:rPr>
          <w:sz w:val="20"/>
          <w:szCs w:val="20"/>
          <w:color w:val="auto"/>
        </w:rPr>
      </w:pPr>
    </w:p>
    <w:p>
      <w:pPr>
        <w:ind w:left="760" w:right="860"/>
        <w:spacing w:after="0" w:line="286" w:lineRule="auto"/>
        <w:rPr>
          <w:sz w:val="20"/>
          <w:szCs w:val="20"/>
          <w:color w:val="auto"/>
        </w:rPr>
      </w:pPr>
      <w:r>
        <w:rPr>
          <w:rFonts w:ascii="Times New Roman" w:cs="Times New Roman" w:eastAsia="Times New Roman" w:hAnsi="Times New Roman"/>
          <w:sz w:val="19"/>
          <w:szCs w:val="19"/>
          <w:color w:val="auto"/>
        </w:rPr>
        <w:t>Advance, the loss to any Lender attributable to such event shall be deemed to include an amount determined by such Lender to be equal to the excess, if any, of</w:t>
      </w:r>
    </w:p>
    <w:p>
      <w:pPr>
        <w:spacing w:after="0" w:line="151" w:lineRule="exact"/>
        <w:rPr>
          <w:sz w:val="20"/>
          <w:szCs w:val="20"/>
          <w:color w:val="auto"/>
        </w:rPr>
      </w:pPr>
    </w:p>
    <w:p>
      <w:pPr>
        <w:ind w:left="760" w:right="760" w:firstLine="98"/>
        <w:spacing w:after="0" w:line="256" w:lineRule="auto"/>
        <w:tabs>
          <w:tab w:leader="none" w:pos="1085"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interest that such Lender would pay for a deposit equal to the principal amount of such Advance denominated in the Currency of such Advance for the period from the date of such payment, conversion, failure or assignment to the last day of the then current Interest Accrual Period for such Advance (or, in the case of a failure to borrow, convert or continue, the duration of the Interest Accrual Period that would have resulted from such borrowing, conversion or continuation) if the interest rate payable on such deposit were equal to the Adjusted Term Benchmark Rate for such Currency for such Interest Accrual Period, </w:t>
      </w:r>
      <w:r>
        <w:rPr>
          <w:rFonts w:ascii="Times New Roman" w:cs="Times New Roman" w:eastAsia="Times New Roman" w:hAnsi="Times New Roman"/>
          <w:sz w:val="19"/>
          <w:szCs w:val="19"/>
          <w:i w:val="1"/>
          <w:iCs w:val="1"/>
          <w:color w:val="auto"/>
        </w:rPr>
        <w:t>over</w:t>
      </w:r>
    </w:p>
    <w:p>
      <w:pPr>
        <w:spacing w:after="0" w:line="181" w:lineRule="exact"/>
        <w:rPr>
          <w:rFonts w:ascii="Times New Roman" w:cs="Times New Roman" w:eastAsia="Times New Roman" w:hAnsi="Times New Roman"/>
          <w:sz w:val="19"/>
          <w:szCs w:val="19"/>
          <w:color w:val="auto"/>
        </w:rPr>
      </w:pPr>
    </w:p>
    <w:p>
      <w:pPr>
        <w:ind w:left="760" w:right="760" w:firstLine="98"/>
        <w:spacing w:after="0" w:line="259" w:lineRule="auto"/>
        <w:tabs>
          <w:tab w:leader="none" w:pos="1139"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pacing w:after="0" w:line="178" w:lineRule="exact"/>
        <w:rPr>
          <w:sz w:val="20"/>
          <w:szCs w:val="20"/>
          <w:color w:val="auto"/>
        </w:rPr>
      </w:pPr>
    </w:p>
    <w:p>
      <w:pPr>
        <w:jc w:val="both"/>
        <w:ind w:left="760" w:right="840"/>
        <w:spacing w:after="0" w:line="262" w:lineRule="auto"/>
        <w:rPr>
          <w:sz w:val="20"/>
          <w:szCs w:val="20"/>
          <w:color w:val="auto"/>
        </w:rPr>
      </w:pPr>
      <w:r>
        <w:rPr>
          <w:rFonts w:ascii="Times New Roman" w:cs="Times New Roman" w:eastAsia="Times New Roman" w:hAnsi="Times New Roman"/>
          <w:sz w:val="19"/>
          <w:szCs w:val="19"/>
          <w:color w:val="auto"/>
        </w:rPr>
        <w:t>A certificate as to any amounts payable pursuant to this Section 2.10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2.11. Illegality; Inability to Determine Rates</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1000" w:firstLine="50"/>
        <w:spacing w:after="0" w:line="269" w:lineRule="auto"/>
        <w:tabs>
          <w:tab w:leader="none" w:pos="1072"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Temporary Inability</w:t>
      </w:r>
      <w:r>
        <w:rPr>
          <w:rFonts w:ascii="Times New Roman" w:cs="Times New Roman" w:eastAsia="Times New Roman" w:hAnsi="Times New Roman"/>
          <w:sz w:val="19"/>
          <w:szCs w:val="19"/>
          <w:color w:val="auto"/>
        </w:rPr>
        <w:t>. If prior to the commencement of any Interest Accrual Period for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 Benchmark Borrowing of a Class or at any time for a RFR Borrowing (the Currency of such Borrowing herein called the “</w:t>
      </w:r>
      <w:r>
        <w:rPr>
          <w:rFonts w:ascii="Times New Roman" w:cs="Times New Roman" w:eastAsia="Times New Roman" w:hAnsi="Times New Roman"/>
          <w:sz w:val="19"/>
          <w:szCs w:val="19"/>
          <w:i w:val="1"/>
          <w:iCs w:val="1"/>
          <w:color w:val="auto"/>
        </w:rPr>
        <w:t>Affected Currency</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left="1500" w:right="900" w:firstLine="55"/>
        <w:spacing w:after="0" w:line="259" w:lineRule="auto"/>
        <w:tabs>
          <w:tab w:leader="none" w:pos="1777"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or Liquidity Bank shall have notified the Administrative Agent of a determination by such Lender or Liquidity Bank or any of its assignees or participants that it would be contrary to law or to the directive of any central bank or other governmental authority (whether or not having the force of law) to obtain such Affected Currency to fund any Advance;</w:t>
      </w:r>
    </w:p>
    <w:p>
      <w:pPr>
        <w:spacing w:after="0" w:line="177" w:lineRule="exact"/>
        <w:rPr>
          <w:rFonts w:ascii="Times New Roman" w:cs="Times New Roman" w:eastAsia="Times New Roman" w:hAnsi="Times New Roman"/>
          <w:sz w:val="19"/>
          <w:szCs w:val="19"/>
          <w:color w:val="auto"/>
        </w:rPr>
      </w:pPr>
    </w:p>
    <w:p>
      <w:pPr>
        <w:ind w:left="1500" w:right="840" w:firstLine="55"/>
        <w:spacing w:after="0" w:line="255" w:lineRule="auto"/>
        <w:tabs>
          <w:tab w:leader="none" w:pos="1831"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in the case of a Term Benchmark Borrowing, the Administrative Agent shall have determined (which determination shall be conclusive and binding upon the Borrower absent manifest error) that adequate and reasonable means do not exist for ascertaining the Adjusted Term Benchmark Rate for the Affected Currency (including, without limitation, because the applicable Screen Rate is not available or published on a current basis) for such Interest Accrual Period, or (B) in the case of a RFR Borrowing, the Administrative Agent determines that adequate and reasonable means do not exist for ascertaining the Daily Simple RFR for the Affected Currency; or</w:t>
      </w:r>
    </w:p>
    <w:p>
      <w:pPr>
        <w:spacing w:after="0" w:line="183" w:lineRule="exact"/>
        <w:rPr>
          <w:rFonts w:ascii="Times New Roman" w:cs="Times New Roman" w:eastAsia="Times New Roman" w:hAnsi="Times New Roman"/>
          <w:sz w:val="19"/>
          <w:szCs w:val="19"/>
          <w:color w:val="auto"/>
        </w:rPr>
      </w:pPr>
    </w:p>
    <w:p>
      <w:pPr>
        <w:ind w:left="1500" w:right="780" w:firstLine="55"/>
        <w:spacing w:after="0" w:line="255" w:lineRule="auto"/>
        <w:tabs>
          <w:tab w:leader="none" w:pos="1884"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in the case of a Term Benchmark Borrowing, the Administrative Agent shall have received notice from the Required Lenders of such Class of Commitments that the Adjusted Term Benchmark Rate for the Affected Currency for such Interest</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74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6" w:name="page167"/>
    <w:bookmarkEnd w:id="166"/>
    <w:p>
      <w:pPr>
        <w:spacing w:after="0" w:line="200" w:lineRule="exact"/>
        <w:rPr>
          <w:sz w:val="20"/>
          <w:szCs w:val="20"/>
          <w:color w:val="auto"/>
        </w:rPr>
      </w:pPr>
    </w:p>
    <w:p>
      <w:pPr>
        <w:spacing w:after="0" w:line="285" w:lineRule="exact"/>
        <w:rPr>
          <w:sz w:val="20"/>
          <w:szCs w:val="20"/>
          <w:color w:val="auto"/>
        </w:rPr>
      </w:pPr>
    </w:p>
    <w:p>
      <w:pPr>
        <w:ind w:left="1500" w:right="780"/>
        <w:spacing w:after="0" w:line="257" w:lineRule="auto"/>
        <w:rPr>
          <w:sz w:val="20"/>
          <w:szCs w:val="20"/>
          <w:color w:val="auto"/>
        </w:rPr>
      </w:pPr>
      <w:r>
        <w:rPr>
          <w:rFonts w:ascii="Times New Roman" w:cs="Times New Roman" w:eastAsia="Times New Roman" w:hAnsi="Times New Roman"/>
          <w:sz w:val="19"/>
          <w:szCs w:val="19"/>
          <w:color w:val="auto"/>
        </w:rPr>
        <w:t>Accrual Period will not adequately and fairly reflect the cost to such Lenders of making or maintaining their respective Advances included in such Borrowing for such Interest Accrual Period or (B) in the case of a RFR Borrowing, the Administrative Agent shall have received notice from the Required Lenders that the Daily Simple RFR for the Affected Currency will not adequately and fairly reflect the cost to such Lenders of making or maintaining the Advances included in such RFR Borrowing;</w:t>
      </w:r>
    </w:p>
    <w:p>
      <w:pPr>
        <w:spacing w:after="0" w:line="181" w:lineRule="exact"/>
        <w:rPr>
          <w:sz w:val="20"/>
          <w:szCs w:val="20"/>
          <w:color w:val="auto"/>
        </w:rPr>
      </w:pPr>
    </w:p>
    <w:p>
      <w:pPr>
        <w:ind w:left="760" w:right="780" w:firstLine="96"/>
        <w:spacing w:after="0" w:line="252" w:lineRule="auto"/>
        <w:rPr>
          <w:sz w:val="20"/>
          <w:szCs w:val="20"/>
          <w:color w:val="auto"/>
        </w:rPr>
      </w:pPr>
      <w:r>
        <w:rPr>
          <w:rFonts w:ascii="Times New Roman" w:cs="Times New Roman" w:eastAsia="Times New Roman" w:hAnsi="Times New Roman"/>
          <w:sz w:val="19"/>
          <w:szCs w:val="19"/>
          <w:color w:val="auto"/>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if the Affected Currency is Dollars and any Notice of Borrowing requests a Term Benchmark Borrowing denominated in Dollars, such Borrowing shall be made as a Base Rate Syndicated Borrowing and (ii) if the Affected Currency is an Agreed Foreign Currency, then either, at the Borrower’s election, (A) any Notice of Borrowing that requests a Term Benchmark Borrowing or RFR Borrowing denominated in the Affected Currency shall be ineffective, or (B) the Term Benchmark Rate for such Term Benchmark Borrowing or the Daily Simple RFR for such RFR Borrowing shall be a rate quoted as being representative of the cost to each Lender to fund its pro rata share of such Borrowing (from whatever source and using whatever representative methodologies as such Lender may select in its reasonable discretion), which each Lender shall provide to the Administrative Agent, and the Administrative Agent shall provide to the Borrower, within five (5) Business Days of the Borrower’s request to the Administrative Agent therefor; provided that any rate provided under this clause (B) shall expire, to the extent the Borrower has not elected to use such rate, on the date that is five (5) Business Days after the delivery by the Administrative Agent thereof.</w:t>
      </w:r>
    </w:p>
    <w:p>
      <w:pPr>
        <w:spacing w:after="0" w:line="191" w:lineRule="exact"/>
        <w:rPr>
          <w:sz w:val="20"/>
          <w:szCs w:val="20"/>
          <w:color w:val="auto"/>
        </w:rPr>
      </w:pPr>
    </w:p>
    <w:p>
      <w:pPr>
        <w:ind w:left="760" w:right="780" w:firstLine="50"/>
        <w:spacing w:after="0" w:line="252" w:lineRule="auto"/>
        <w:tabs>
          <w:tab w:leader="none" w:pos="1128"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w:t>
      </w:r>
      <w:r>
        <w:rPr>
          <w:rFonts w:ascii="Times New Roman" w:cs="Times New Roman" w:eastAsia="Times New Roman" w:hAnsi="Times New Roman"/>
          <w:sz w:val="19"/>
          <w:szCs w:val="19"/>
          <w:i w:val="1"/>
          <w:iCs w:val="1"/>
          <w:color w:val="auto"/>
        </w:rPr>
        <w:t>Benchmark Replacement</w:t>
      </w:r>
      <w:r>
        <w:rPr>
          <w:rFonts w:ascii="Times New Roman" w:cs="Times New Roman" w:eastAsia="Times New Roman" w:hAnsi="Times New Roman"/>
          <w:sz w:val="19"/>
          <w:szCs w:val="19"/>
          <w:color w:val="auto"/>
        </w:rPr>
        <w:t>. Notwithstanding anything to the contrary herein or in any other Facility Document, if a Benchmark Transition Event or an Early Opt-in Election, as applicable, and its related Benchmark Replacement Date have occurred prior to any setting of the then-current Benchmark for a Currency, then (x) if a Benchmark Replacement for such Currency is determined in accordance with clause (1) of the definition of “Benchmark Replacement” for such Benchmark Replacement Date, such Benchmark Replacement will replace such Benchmark for all purposes hereunder and under any Facility Document in respect of such Benchmark setting and subsequent Benchmark settings without any amendment to, or further action or consent of any other party to, this Agreement or any other Facility Document and (y) if a Benchmark Replacement is determined in accordance with clause (2) of the definition of “Benchmark Replacement” for such Benchmark Replacement Date, such Benchmark Replacement will replace such Benchmark for such Currency for all purposes hereunder and under any Facility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Facility Document so long as the Administrative Agent has not received, by such time, written notice of objection to such Benchmark Replacement from Lenders comprising the Required Lenders.</w:t>
      </w:r>
    </w:p>
    <w:p>
      <w:pPr>
        <w:spacing w:after="0" w:line="192" w:lineRule="exact"/>
        <w:rPr>
          <w:sz w:val="20"/>
          <w:szCs w:val="20"/>
          <w:color w:val="auto"/>
        </w:rPr>
      </w:pPr>
    </w:p>
    <w:p>
      <w:pPr>
        <w:ind w:left="1100" w:hanging="290"/>
        <w:spacing w:after="0"/>
        <w:tabs>
          <w:tab w:leader="none" w:pos="110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75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7" w:name="page168"/>
    <w:bookmarkEnd w:id="167"/>
    <w:p>
      <w:pPr>
        <w:spacing w:after="0" w:line="200" w:lineRule="exact"/>
        <w:rPr>
          <w:sz w:val="20"/>
          <w:szCs w:val="20"/>
          <w:color w:val="auto"/>
        </w:rPr>
      </w:pPr>
    </w:p>
    <w:p>
      <w:pPr>
        <w:spacing w:after="0" w:line="283" w:lineRule="exact"/>
        <w:rPr>
          <w:sz w:val="20"/>
          <w:szCs w:val="20"/>
          <w:color w:val="auto"/>
        </w:rPr>
      </w:pPr>
    </w:p>
    <w:p>
      <w:pPr>
        <w:ind w:left="760" w:right="840" w:firstLine="50"/>
        <w:spacing w:after="0" w:line="256" w:lineRule="auto"/>
        <w:tabs>
          <w:tab w:leader="none" w:pos="1144"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Benchmark Replacement Conforming Changes</w:t>
      </w:r>
      <w:r>
        <w:rPr>
          <w:rFonts w:ascii="Times New Roman" w:cs="Times New Roman" w:eastAsia="Times New Roman" w:hAnsi="Times New Roman"/>
          <w:sz w:val="19"/>
          <w:szCs w:val="19"/>
          <w:color w:val="auto"/>
        </w:rPr>
        <w:t>. In connection with the use, administration,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adoption, or implementation of a Benchmark Replacement, the Administrative Agent will have the right to make Benchmark Replacement Conforming Changes from time to time and, notwithstanding anything to the contrary herein or in any other Facility Document, any amendments implementing such Benchmark Replacement Conforming Changes will become effective without any further action or consent of any other party to this Agreement or any other Facility Document.</w:t>
      </w:r>
    </w:p>
    <w:p>
      <w:pPr>
        <w:spacing w:after="0" w:line="181" w:lineRule="exact"/>
        <w:rPr>
          <w:rFonts w:ascii="Times New Roman" w:cs="Times New Roman" w:eastAsia="Times New Roman" w:hAnsi="Times New Roman"/>
          <w:sz w:val="19"/>
          <w:szCs w:val="19"/>
          <w:color w:val="auto"/>
        </w:rPr>
      </w:pPr>
    </w:p>
    <w:p>
      <w:pPr>
        <w:ind w:left="760" w:right="780" w:firstLine="50"/>
        <w:spacing w:after="0" w:line="253" w:lineRule="auto"/>
        <w:tabs>
          <w:tab w:leader="none" w:pos="1132"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Notices; Standards for Decisions and Determinations</w:t>
      </w:r>
      <w:r>
        <w:rPr>
          <w:rFonts w:ascii="Times New Roman" w:cs="Times New Roman" w:eastAsia="Times New Roman" w:hAnsi="Times New Roman"/>
          <w:sz w:val="19"/>
          <w:szCs w:val="19"/>
          <w:color w:val="auto"/>
        </w:rPr>
        <w:t>. The Administrative Agent will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promptly notify the Borrower and the Lenders of (a) the implementation of any Benchmark Replacement, and (b) the effectiveness of any Benchmark Replacement Conforming Changes in connection with the use, administration, adoption or implementation of a Benchmark Replacement. The Administrative Agent will notify the Borrower of (x) the removal or reinstatement of any tenor of a Benchmark pursuant to clause (v) below and (y) the commencement of any Benchmark Unavailability Period. Any determination, decision or election that may be made by the Administrative Agent or, if applicable, any Lender (or group of Lenders) pursuant to this Section 2.11,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Facility Document, except, in each case, as expressly required pursuant to this Section.</w:t>
      </w:r>
    </w:p>
    <w:p>
      <w:pPr>
        <w:spacing w:after="0" w:line="184" w:lineRule="exact"/>
        <w:rPr>
          <w:rFonts w:ascii="Times New Roman" w:cs="Times New Roman" w:eastAsia="Times New Roman" w:hAnsi="Times New Roman"/>
          <w:sz w:val="19"/>
          <w:szCs w:val="19"/>
          <w:color w:val="auto"/>
        </w:rPr>
      </w:pPr>
    </w:p>
    <w:p>
      <w:pPr>
        <w:ind w:left="760" w:right="760" w:firstLine="50"/>
        <w:spacing w:after="0" w:line="252" w:lineRule="auto"/>
        <w:tabs>
          <w:tab w:leader="none" w:pos="1084"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Unavailability of Tenor of Benchmark</w:t>
      </w:r>
      <w:r>
        <w:rPr>
          <w:rFonts w:ascii="Times New Roman" w:cs="Times New Roman" w:eastAsia="Times New Roman" w:hAnsi="Times New Roman"/>
          <w:sz w:val="19"/>
          <w:szCs w:val="19"/>
          <w:color w:val="auto"/>
        </w:rPr>
        <w:t>. Notwithstanding anything to the contrary herein or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other Facility Document, at any time (including in connection with the implementation of a Benchmark Replacement), (i) if the then-current Benchmark for a Currency is a term rate (including Term SOFR Reference Rate, the Term CORRA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or will be no longer representative, then the Administrative Agent may modify the definition of “Interest Accrual Period”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or will no longer be representative for a Benchmark for such Currency (including a Benchmark Replacement), then the Administrative Agent may modify the definition of “Interest Accrual Period” for all Benchmark settings for such Currency at or after such time to reinstate such previously removed tenor.</w:t>
      </w:r>
    </w:p>
    <w:p>
      <w:pPr>
        <w:spacing w:after="0" w:line="192" w:lineRule="exact"/>
        <w:rPr>
          <w:rFonts w:ascii="Times New Roman" w:cs="Times New Roman" w:eastAsia="Times New Roman" w:hAnsi="Times New Roman"/>
          <w:sz w:val="19"/>
          <w:szCs w:val="19"/>
          <w:color w:val="auto"/>
        </w:rPr>
      </w:pPr>
    </w:p>
    <w:p>
      <w:pPr>
        <w:ind w:left="760" w:right="820" w:firstLine="50"/>
        <w:spacing w:after="0" w:line="255" w:lineRule="auto"/>
        <w:tabs>
          <w:tab w:leader="none" w:pos="1132"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Benchmark Unavailability Period</w:t>
      </w:r>
      <w:r>
        <w:rPr>
          <w:rFonts w:ascii="Times New Roman" w:cs="Times New Roman" w:eastAsia="Times New Roman" w:hAnsi="Times New Roman"/>
          <w:sz w:val="19"/>
          <w:szCs w:val="19"/>
          <w:color w:val="auto"/>
        </w:rPr>
        <w:t>. Upon the Borrower’s receipt of notice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commencement of a Benchmark Unavailability Period, the Borrower may revoke any request for a Term Benchmark Borrowing or RFR Borrowing of, conversion to or continuation of Term Benchmark Advances or RFR Advances, as applicable, in each affected Currency to be made,</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76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8" w:name="page169"/>
    <w:bookmarkEnd w:id="168"/>
    <w:p>
      <w:pPr>
        <w:spacing w:after="0" w:line="200" w:lineRule="exact"/>
        <w:rPr>
          <w:sz w:val="20"/>
          <w:szCs w:val="20"/>
          <w:color w:val="auto"/>
        </w:rPr>
      </w:pPr>
    </w:p>
    <w:p>
      <w:pPr>
        <w:spacing w:after="0" w:line="285" w:lineRule="exact"/>
        <w:rPr>
          <w:sz w:val="20"/>
          <w:szCs w:val="20"/>
          <w:color w:val="auto"/>
        </w:rPr>
      </w:pPr>
    </w:p>
    <w:p>
      <w:pPr>
        <w:ind w:left="760" w:right="780"/>
        <w:spacing w:after="0" w:line="253" w:lineRule="auto"/>
        <w:rPr>
          <w:sz w:val="20"/>
          <w:szCs w:val="20"/>
          <w:color w:val="auto"/>
        </w:rPr>
      </w:pPr>
      <w:r>
        <w:rPr>
          <w:rFonts w:ascii="Times New Roman" w:cs="Times New Roman" w:eastAsia="Times New Roman" w:hAnsi="Times New Roman"/>
          <w:sz w:val="19"/>
          <w:szCs w:val="19"/>
          <w:color w:val="auto"/>
        </w:rPr>
        <w:t>converted or continued during any Benchmark Unavailability Period and, failing that, (i) in the case of a request for a Dollar Borrowing, the Borrower will be deemed to have converted such request into a request for a Borrowing of or conversion to a Base Rate Loan, and (ii) in the case of a request for a Term Benchmark Borrowing other than in Dollars or a RFR Borrowing, the Term Benchmark Rate for such Term Benchmark Borrowing or Daily Simple RFR for such RFR Borrowing shall be a rate quoted as being representative of the cost to each Lender to fund its pro rata share of such Term Benchmark Borrowing or RFR Borrowing, as applicable (from whatever source and using whatever representative methodologies as such Lender may select in its reasonable discretion), which each Lender shall provide to the Administrative Agent, and the Administrative Agent shall provide to the Borrower, within five (5) Business Days of the Borrower’s request to the Administrative Agent therefor. During any Benchmark Unavailability Period or at any time that a tenor for the then-current Benchmark is not an Available Tenor, the component of Base Rate based upon the then- current Benchmark or such tenor for such Benchmark, as applicable, will not be used in any determination of Base Rate.</w:t>
      </w:r>
    </w:p>
    <w:p>
      <w:pPr>
        <w:spacing w:after="0" w:line="183" w:lineRule="exact"/>
        <w:rPr>
          <w:sz w:val="20"/>
          <w:szCs w:val="20"/>
          <w:color w:val="auto"/>
        </w:rPr>
      </w:pPr>
    </w:p>
    <w:p>
      <w:pPr>
        <w:ind w:left="1200" w:hanging="390"/>
        <w:spacing w:after="0"/>
        <w:tabs>
          <w:tab w:leader="none" w:pos="120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Definitions</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880" w:firstLine="57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Accrual Period” pursuant to clause (v) above.</w:t>
      </w:r>
    </w:p>
    <w:p>
      <w:pPr>
        <w:spacing w:after="0" w:line="179" w:lineRule="exact"/>
        <w:rPr>
          <w:sz w:val="20"/>
          <w:szCs w:val="20"/>
          <w:color w:val="auto"/>
        </w:rPr>
      </w:pPr>
    </w:p>
    <w:p>
      <w:pPr>
        <w:ind w:left="760" w:right="88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w:t>
      </w:r>
      <w:r>
        <w:rPr>
          <w:rFonts w:ascii="Times New Roman" w:cs="Times New Roman" w:eastAsia="Times New Roman" w:hAnsi="Times New Roman"/>
          <w:sz w:val="19"/>
          <w:szCs w:val="19"/>
          <w:color w:val="auto"/>
        </w:rPr>
        <w:t>” means, initially, with respect to Advances denominated in (a) Pounds Sterling, the Daily Simple RFR for such Currency, (b) Dollars, the Term SOFR Reference Rate,</w:t>
      </w:r>
    </w:p>
    <w:p>
      <w:pPr>
        <w:spacing w:after="0" w:line="1" w:lineRule="exact"/>
        <w:rPr>
          <w:sz w:val="20"/>
          <w:szCs w:val="20"/>
          <w:color w:val="auto"/>
        </w:rPr>
      </w:pPr>
    </w:p>
    <w:p>
      <w:pPr>
        <w:ind w:left="760" w:right="860" w:firstLine="2"/>
        <w:spacing w:after="0" w:line="252" w:lineRule="auto"/>
        <w:tabs>
          <w:tab w:leader="none" w:pos="1021"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Canadian Dollars, the Term CORRA Reference Rate, and (d) each other Agreed Foreign Currency, the Term Benchmark Rate for such Currency; provided that, if a Benchmark Transition Event or an Early Opt-in Election, as applicable, and its related Benchmark Replacement Date have occurred with respect to the Daily Simple RFR or the Term Benchmark Rate, as applicable, for such Currency or the then-current Benchmark, then “Benchmark” means the applicable Benchmark Replacement to the extent that such Benchmark Replacement has replaced such prior benchmark rate pursuant to clause (b)(i) of this Section 2.11.</w:t>
      </w:r>
    </w:p>
    <w:p>
      <w:pPr>
        <w:spacing w:after="0" w:line="183" w:lineRule="exact"/>
        <w:rPr>
          <w:sz w:val="20"/>
          <w:szCs w:val="20"/>
          <w:color w:val="auto"/>
        </w:rPr>
      </w:pPr>
    </w:p>
    <w:p>
      <w:pPr>
        <w:ind w:left="760" w:right="900" w:firstLine="57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w:t>
      </w:r>
      <w:r>
        <w:rPr>
          <w:rFonts w:ascii="Times New Roman" w:cs="Times New Roman" w:eastAsia="Times New Roman" w:hAnsi="Times New Roman"/>
          <w:sz w:val="19"/>
          <w:szCs w:val="19"/>
          <w:color w:val="auto"/>
        </w:rPr>
        <w:t>” means, for any Available Tenor, the first alternative set forth in the order below that can be determined by the Administrative Agent for the applicable Benchmark Replacement Date provided that, in the case of a Benchmark with respect to any obligations, interest, fees, commissions or other amounts owing hereunder denominated in any currency other than Dollars or calculated with respect thereto, the alternative set forth in clause (2) below:</w:t>
      </w:r>
    </w:p>
    <w:p>
      <w:pPr>
        <w:spacing w:after="0" w:line="177" w:lineRule="exact"/>
        <w:rPr>
          <w:sz w:val="20"/>
          <w:szCs w:val="20"/>
          <w:color w:val="auto"/>
        </w:rPr>
      </w:pPr>
    </w:p>
    <w:p>
      <w:pPr>
        <w:ind w:left="1920" w:right="1680" w:firstLine="43"/>
        <w:spacing w:after="0" w:line="258" w:lineRule="auto"/>
        <w:tabs>
          <w:tab w:leader="none" w:pos="224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Daily Simple SOFR and (b) the related Benchmark Replacement Adjustment; and</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77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9" w:name="page170"/>
    <w:bookmarkEnd w:id="169"/>
    <w:p>
      <w:pPr>
        <w:spacing w:after="0" w:line="200" w:lineRule="exact"/>
        <w:rPr>
          <w:sz w:val="20"/>
          <w:szCs w:val="20"/>
          <w:color w:val="auto"/>
        </w:rPr>
      </w:pPr>
    </w:p>
    <w:p>
      <w:pPr>
        <w:spacing w:after="0" w:line="285" w:lineRule="exact"/>
        <w:rPr>
          <w:sz w:val="20"/>
          <w:szCs w:val="20"/>
          <w:color w:val="auto"/>
        </w:rPr>
      </w:pPr>
    </w:p>
    <w:p>
      <w:pPr>
        <w:ind w:left="1920" w:right="900" w:firstLine="43"/>
        <w:spacing w:after="0" w:line="255" w:lineRule="auto"/>
        <w:tabs>
          <w:tab w:leader="none" w:pos="2240"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179" w:lineRule="exact"/>
        <w:rPr>
          <w:sz w:val="20"/>
          <w:szCs w:val="20"/>
          <w:color w:val="auto"/>
        </w:rPr>
      </w:pPr>
    </w:p>
    <w:p>
      <w:pPr>
        <w:jc w:val="both"/>
        <w:ind w:left="760" w:right="960"/>
        <w:spacing w:after="0" w:line="268" w:lineRule="auto"/>
        <w:rPr>
          <w:sz w:val="20"/>
          <w:szCs w:val="20"/>
          <w:color w:val="auto"/>
        </w:rPr>
      </w:pPr>
      <w:r>
        <w:rPr>
          <w:rFonts w:ascii="Times New Roman" w:cs="Times New Roman" w:eastAsia="Times New Roman" w:hAnsi="Times New Roman"/>
          <w:sz w:val="19"/>
          <w:szCs w:val="19"/>
          <w:color w:val="auto"/>
        </w:rPr>
        <w:t>If the Benchmark Replacement as determined pursuant to clause (1) or (2) above would be less than the Floor, the Benchmark Replacement will be deemed to be the Floor for the purposes of this Agreement and the other Facility Documents</w:t>
      </w:r>
      <w:r>
        <w:rPr>
          <w:rFonts w:ascii="Times New Roman" w:cs="Times New Roman" w:eastAsia="Times New Roman" w:hAnsi="Times New Roman"/>
          <w:sz w:val="19"/>
          <w:szCs w:val="19"/>
          <w:i w:val="1"/>
          <w:iCs w:val="1"/>
          <w:color w:val="auto"/>
        </w:rPr>
        <w:t>.</w:t>
      </w:r>
    </w:p>
    <w:p>
      <w:pPr>
        <w:spacing w:after="0" w:line="166" w:lineRule="exact"/>
        <w:rPr>
          <w:sz w:val="20"/>
          <w:szCs w:val="20"/>
          <w:color w:val="auto"/>
        </w:rPr>
      </w:pPr>
    </w:p>
    <w:p>
      <w:pPr>
        <w:ind w:left="760" w:right="820" w:firstLine="552"/>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for a Currency with an Unadjusted Benchmark Replacement, the spread adjustment, or method for calculating or determining such spread adjustment (which may be a positive or negative value or zero) that has been selected by the Administrative Agent and the Borrower for the applicable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spacing w:after="0" w:line="189" w:lineRule="exact"/>
        <w:rPr>
          <w:sz w:val="20"/>
          <w:szCs w:val="20"/>
          <w:color w:val="auto"/>
        </w:rPr>
      </w:pPr>
    </w:p>
    <w:p>
      <w:pPr>
        <w:ind w:left="760" w:right="820" w:firstLine="576"/>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 Conforming Changes</w:t>
      </w:r>
      <w:r>
        <w:rPr>
          <w:rFonts w:ascii="Times New Roman" w:cs="Times New Roman" w:eastAsia="Times New Roman" w:hAnsi="Times New Roman"/>
          <w:sz w:val="19"/>
          <w:szCs w:val="19"/>
          <w:color w:val="auto"/>
        </w:rPr>
        <w:t>” means, with respect to any Benchmark Replacement, any technical, administrative or operational changes (including changes to the definition of “Term Benchmark Rate”, the definition of “Base Rate”, the definition of “Business Day”, the definition of “Term Benchmark Banking Day”, the definition of “Daily Simple RFR”, the definition of “Interest Accrual Period”, the definition of “RFR Business Day”, the definition of “RFR Interest Day”, the definition of “RFR Reference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Facility Documents).</w:t>
      </w:r>
    </w:p>
    <w:p>
      <w:pPr>
        <w:spacing w:after="0" w:line="10"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78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0" w:name="page171"/>
    <w:bookmarkEnd w:id="170"/>
    <w:p>
      <w:pPr>
        <w:spacing w:after="0" w:line="200" w:lineRule="exact"/>
        <w:rPr>
          <w:sz w:val="20"/>
          <w:szCs w:val="20"/>
          <w:color w:val="auto"/>
        </w:rPr>
      </w:pPr>
    </w:p>
    <w:p>
      <w:pPr>
        <w:spacing w:after="0" w:line="283" w:lineRule="exact"/>
        <w:rPr>
          <w:sz w:val="20"/>
          <w:szCs w:val="20"/>
          <w:color w:val="auto"/>
        </w:rPr>
      </w:pPr>
    </w:p>
    <w:p>
      <w:pPr>
        <w:ind w:left="760" w:right="8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 Date</w:t>
      </w:r>
      <w:r>
        <w:rPr>
          <w:rFonts w:ascii="Times New Roman" w:cs="Times New Roman" w:eastAsia="Times New Roman" w:hAnsi="Times New Roman"/>
          <w:sz w:val="19"/>
          <w:szCs w:val="19"/>
          <w:color w:val="auto"/>
        </w:rPr>
        <w:t>” means the earliest to occur of the following events with respect to the then-current Benchmark:</w:t>
      </w:r>
    </w:p>
    <w:p>
      <w:pPr>
        <w:spacing w:after="0" w:line="150" w:lineRule="exact"/>
        <w:rPr>
          <w:sz w:val="20"/>
          <w:szCs w:val="20"/>
          <w:color w:val="auto"/>
        </w:rPr>
      </w:pPr>
    </w:p>
    <w:p>
      <w:pPr>
        <w:ind w:left="1920" w:right="1100" w:firstLine="43"/>
        <w:spacing w:after="0" w:line="286" w:lineRule="auto"/>
        <w:tabs>
          <w:tab w:leader="none" w:pos="2288"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(1) or (2) of the definition of “Benchmark Transition Event,” the later of:</w:t>
      </w:r>
    </w:p>
    <w:p>
      <w:pPr>
        <w:spacing w:after="0" w:line="151" w:lineRule="exact"/>
        <w:rPr>
          <w:rFonts w:ascii="Times New Roman" w:cs="Times New Roman" w:eastAsia="Times New Roman" w:hAnsi="Times New Roman"/>
          <w:sz w:val="19"/>
          <w:szCs w:val="19"/>
          <w:color w:val="auto"/>
        </w:rPr>
      </w:pPr>
    </w:p>
    <w:p>
      <w:pPr>
        <w:ind w:left="2500" w:right="1580" w:hanging="9"/>
        <w:spacing w:after="0" w:line="286" w:lineRule="auto"/>
        <w:tabs>
          <w:tab w:leader="none" w:pos="2761"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of the public statement or publication of information referenced therein; and</w:t>
      </w:r>
    </w:p>
    <w:p>
      <w:pPr>
        <w:spacing w:after="0" w:line="151" w:lineRule="exact"/>
        <w:rPr>
          <w:rFonts w:ascii="Times New Roman" w:cs="Times New Roman" w:eastAsia="Times New Roman" w:hAnsi="Times New Roman"/>
          <w:sz w:val="19"/>
          <w:szCs w:val="19"/>
          <w:color w:val="auto"/>
        </w:rPr>
      </w:pPr>
    </w:p>
    <w:p>
      <w:pPr>
        <w:ind w:left="2500" w:right="840" w:hanging="9"/>
        <w:spacing w:after="0" w:line="262" w:lineRule="auto"/>
        <w:tabs>
          <w:tab w:leader="none" w:pos="2772"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174" w:lineRule="exact"/>
        <w:rPr>
          <w:rFonts w:ascii="Times New Roman" w:cs="Times New Roman" w:eastAsia="Times New Roman" w:hAnsi="Times New Roman"/>
          <w:sz w:val="19"/>
          <w:szCs w:val="19"/>
          <w:color w:val="auto"/>
        </w:rPr>
      </w:pPr>
    </w:p>
    <w:p>
      <w:pPr>
        <w:jc w:val="both"/>
        <w:ind w:left="1920" w:right="920" w:firstLine="43"/>
        <w:spacing w:after="0" w:line="268" w:lineRule="auto"/>
        <w:tabs>
          <w:tab w:leader="none" w:pos="224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(3) of the definition of “Benchmark Transition Event,” the date of the public statement or publication of information referenced therein; or</w:t>
      </w:r>
    </w:p>
    <w:p>
      <w:pPr>
        <w:spacing w:after="0" w:line="168" w:lineRule="exact"/>
        <w:rPr>
          <w:rFonts w:ascii="Times New Roman" w:cs="Times New Roman" w:eastAsia="Times New Roman" w:hAnsi="Times New Roman"/>
          <w:sz w:val="19"/>
          <w:szCs w:val="19"/>
          <w:color w:val="auto"/>
        </w:rPr>
      </w:pPr>
    </w:p>
    <w:p>
      <w:pPr>
        <w:ind w:left="2240" w:hanging="277"/>
        <w:spacing w:after="0"/>
        <w:tabs>
          <w:tab w:leader="none" w:pos="224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or</w:t>
      </w:r>
    </w:p>
    <w:p>
      <w:pPr>
        <w:spacing w:after="0" w:line="225" w:lineRule="exact"/>
        <w:rPr>
          <w:rFonts w:ascii="Times New Roman" w:cs="Times New Roman" w:eastAsia="Times New Roman" w:hAnsi="Times New Roman"/>
          <w:sz w:val="19"/>
          <w:szCs w:val="19"/>
          <w:color w:val="auto"/>
        </w:rPr>
      </w:pPr>
    </w:p>
    <w:p>
      <w:pPr>
        <w:ind w:left="1920" w:right="760" w:firstLine="43"/>
        <w:spacing w:after="0" w:line="257" w:lineRule="auto"/>
        <w:tabs>
          <w:tab w:leader="none" w:pos="224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1" w:lineRule="exact"/>
        <w:rPr>
          <w:sz w:val="20"/>
          <w:szCs w:val="20"/>
          <w:color w:val="auto"/>
        </w:rPr>
      </w:pPr>
    </w:p>
    <w:p>
      <w:pPr>
        <w:ind w:left="760" w:right="880" w:firstLine="576"/>
        <w:spacing w:after="0" w:line="259" w:lineRule="auto"/>
        <w:rPr>
          <w:sz w:val="20"/>
          <w:szCs w:val="20"/>
          <w:color w:val="auto"/>
        </w:rPr>
      </w:pPr>
      <w:r>
        <w:rPr>
          <w:rFonts w:ascii="Times New Roman" w:cs="Times New Roman" w:eastAsia="Times New Roman" w:hAnsi="Times New Roman"/>
          <w:sz w:val="19"/>
          <w:szCs w:val="19"/>
          <w:color w:val="auto"/>
        </w:rPr>
        <w:t>For the avoidance of doubt, if such Benchmark is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760" w:right="8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Transition Event</w:t>
      </w:r>
      <w:r>
        <w:rPr>
          <w:rFonts w:ascii="Times New Roman" w:cs="Times New Roman" w:eastAsia="Times New Roman" w:hAnsi="Times New Roman"/>
          <w:sz w:val="19"/>
          <w:szCs w:val="19"/>
          <w:color w:val="auto"/>
        </w:rPr>
        <w:t>” means, with respect to any Benchmark, the occurrence of one or more of the following events with respect to the then-current Benchmark:</w:t>
      </w:r>
    </w:p>
    <w:p>
      <w:pPr>
        <w:spacing w:after="0" w:line="150" w:lineRule="exact"/>
        <w:rPr>
          <w:sz w:val="20"/>
          <w:szCs w:val="20"/>
          <w:color w:val="auto"/>
        </w:rPr>
      </w:pPr>
    </w:p>
    <w:p>
      <w:pPr>
        <w:ind w:left="1920" w:right="780" w:hanging="5"/>
        <w:spacing w:after="0" w:line="256" w:lineRule="auto"/>
        <w:tabs>
          <w:tab w:leader="none" w:pos="219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1" w:lineRule="exact"/>
        <w:rPr>
          <w:rFonts w:ascii="Times New Roman" w:cs="Times New Roman" w:eastAsia="Times New Roman" w:hAnsi="Times New Roman"/>
          <w:sz w:val="19"/>
          <w:szCs w:val="19"/>
          <w:color w:val="auto"/>
        </w:rPr>
      </w:pPr>
    </w:p>
    <w:p>
      <w:pPr>
        <w:ind w:left="1920" w:right="940" w:hanging="5"/>
        <w:spacing w:after="0" w:line="258" w:lineRule="auto"/>
        <w:tabs>
          <w:tab w:leader="none" w:pos="219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79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1" w:name="page172"/>
    <w:bookmarkEnd w:id="171"/>
    <w:p>
      <w:pPr>
        <w:spacing w:after="0" w:line="200" w:lineRule="exact"/>
        <w:rPr>
          <w:sz w:val="20"/>
          <w:szCs w:val="20"/>
          <w:color w:val="auto"/>
        </w:rPr>
      </w:pPr>
    </w:p>
    <w:p>
      <w:pPr>
        <w:spacing w:after="0" w:line="285" w:lineRule="exact"/>
        <w:rPr>
          <w:sz w:val="20"/>
          <w:szCs w:val="20"/>
          <w:color w:val="auto"/>
        </w:rPr>
      </w:pPr>
    </w:p>
    <w:p>
      <w:pPr>
        <w:ind w:left="1920" w:right="840"/>
        <w:spacing w:after="0" w:line="253" w:lineRule="auto"/>
        <w:rPr>
          <w:sz w:val="20"/>
          <w:szCs w:val="20"/>
          <w:color w:val="auto"/>
        </w:rPr>
      </w:pPr>
      <w:r>
        <w:rPr>
          <w:rFonts w:ascii="Times New Roman" w:cs="Times New Roman" w:eastAsia="Times New Roman" w:hAnsi="Times New Roman"/>
          <w:sz w:val="19"/>
          <w:szCs w:val="19"/>
          <w:color w:val="auto"/>
        </w:rPr>
        <w:t>used in the calculation thereof), including the Federal Reserve Board, the Federal Reserve Bank of New York, or the Bank of Canada, as applicable,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9" w:lineRule="exact"/>
        <w:rPr>
          <w:sz w:val="20"/>
          <w:szCs w:val="20"/>
          <w:color w:val="auto"/>
        </w:rPr>
      </w:pPr>
    </w:p>
    <w:p>
      <w:pPr>
        <w:ind w:left="1920" w:right="860" w:hanging="5"/>
        <w:spacing w:after="0" w:line="259" w:lineRule="auto"/>
        <w:tabs>
          <w:tab w:leader="none" w:pos="2192"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8" w:lineRule="exact"/>
        <w:rPr>
          <w:sz w:val="20"/>
          <w:szCs w:val="20"/>
          <w:color w:val="auto"/>
        </w:rPr>
      </w:pPr>
    </w:p>
    <w:p>
      <w:pPr>
        <w:ind w:left="760" w:right="960" w:firstLine="576"/>
        <w:spacing w:after="0" w:line="262"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left="760" w:right="820" w:firstLine="57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Unavailability Period</w:t>
      </w:r>
      <w:r>
        <w:rPr>
          <w:rFonts w:ascii="Times New Roman" w:cs="Times New Roman" w:eastAsia="Times New Roman" w:hAnsi="Times New Roman"/>
          <w:sz w:val="19"/>
          <w:szCs w:val="19"/>
          <w:color w:val="auto"/>
        </w:rPr>
        <w:t>” means, with respect to any then -current Benchmark, the period (if any) (x) beginning at the time that a Benchmark Replacement Date pursuant to clauses (1) or (2) of that definition has occurred if, at such time, no Benchmark Replacement has replaced such then-current Benchmark for all purposes hereunder and under any Facility Document in accordance with this Section 2.11(b) and (y) ending at the time that a Benchmark Replacement has replaced such then-current Benchmark for all purposes hereunder and under any Facility Document in accordance with this Section 2.11(b).</w:t>
      </w:r>
    </w:p>
    <w:p>
      <w:pPr>
        <w:spacing w:after="0" w:line="181" w:lineRule="exact"/>
        <w:rPr>
          <w:sz w:val="20"/>
          <w:szCs w:val="20"/>
          <w:color w:val="auto"/>
        </w:rPr>
      </w:pPr>
    </w:p>
    <w:p>
      <w:pPr>
        <w:ind w:left="760" w:right="860" w:firstLine="57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Daily Simple SOFR</w:t>
      </w:r>
      <w:r>
        <w:rPr>
          <w:rFonts w:ascii="Times New Roman" w:cs="Times New Roman" w:eastAsia="Times New Roman" w:hAnsi="Times New Roman"/>
          <w:sz w:val="19"/>
          <w:szCs w:val="19"/>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Early Opt-in Election</w:t>
      </w:r>
      <w:r>
        <w:rPr>
          <w:rFonts w:ascii="Times New Roman" w:cs="Times New Roman" w:eastAsia="Times New Roman" w:hAnsi="Times New Roman"/>
          <w:sz w:val="19"/>
          <w:szCs w:val="19"/>
          <w:color w:val="auto"/>
        </w:rPr>
        <w:t>” means, if the then-current Benchmark for any Currency is the</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Adjusted Term Benchmark Rate, the occurrence of:</w:t>
      </w:r>
    </w:p>
    <w:p>
      <w:pPr>
        <w:spacing w:after="0" w:line="204" w:lineRule="exact"/>
        <w:rPr>
          <w:sz w:val="20"/>
          <w:szCs w:val="20"/>
          <w:color w:val="auto"/>
        </w:rPr>
      </w:pPr>
    </w:p>
    <w:p>
      <w:pPr>
        <w:jc w:val="both"/>
        <w:ind w:left="1920" w:right="840" w:firstLine="43"/>
        <w:spacing w:after="0" w:line="254" w:lineRule="auto"/>
        <w:tabs>
          <w:tab w:leader="none" w:pos="222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notification by the Administrative Agent to (or the request by the Borrower to the Administrative Agent to notify) each of the other parties hereto that at least five currently outstanding syndicated credit facilities denominated in such Currency at such time contain (as a result of amendment or as originally</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2" w:name="page173"/>
    <w:bookmarkEnd w:id="172"/>
    <w:p>
      <w:pPr>
        <w:spacing w:after="0" w:line="200" w:lineRule="exact"/>
        <w:rPr>
          <w:sz w:val="20"/>
          <w:szCs w:val="20"/>
          <w:color w:val="auto"/>
        </w:rPr>
      </w:pPr>
    </w:p>
    <w:p>
      <w:pPr>
        <w:spacing w:after="0" w:line="285" w:lineRule="exact"/>
        <w:rPr>
          <w:sz w:val="20"/>
          <w:szCs w:val="20"/>
          <w:color w:val="auto"/>
        </w:rPr>
      </w:pPr>
    </w:p>
    <w:p>
      <w:pPr>
        <w:ind w:left="1920" w:right="960"/>
        <w:spacing w:after="0" w:line="286" w:lineRule="auto"/>
        <w:rPr>
          <w:sz w:val="20"/>
          <w:szCs w:val="20"/>
          <w:color w:val="auto"/>
        </w:rPr>
      </w:pPr>
      <w:r>
        <w:rPr>
          <w:rFonts w:ascii="Times New Roman" w:cs="Times New Roman" w:eastAsia="Times New Roman" w:hAnsi="Times New Roman"/>
          <w:sz w:val="19"/>
          <w:szCs w:val="19"/>
          <w:color w:val="auto"/>
        </w:rPr>
        <w:t>executed) any applicable replacement benchmark (and such syndicated credit facilities are identified in such notice and are publicly available for review), and</w:t>
      </w:r>
    </w:p>
    <w:p>
      <w:pPr>
        <w:spacing w:after="0" w:line="151" w:lineRule="exact"/>
        <w:rPr>
          <w:sz w:val="20"/>
          <w:szCs w:val="20"/>
          <w:color w:val="auto"/>
        </w:rPr>
      </w:pPr>
    </w:p>
    <w:p>
      <w:pPr>
        <w:ind w:left="1920" w:right="800" w:firstLine="547"/>
        <w:spacing w:after="0" w:line="262" w:lineRule="auto"/>
        <w:tabs>
          <w:tab w:leader="none" w:pos="2744"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joint election by the Administrative Agent and the Borrower to trigger a fallback from the Adjusted Term Benchmark Rate for such Currency and the provision by the Administrative Agent of written notice of such election to the Lenders.</w:t>
      </w:r>
    </w:p>
    <w:p>
      <w:pPr>
        <w:spacing w:after="0" w:line="172" w:lineRule="exact"/>
        <w:rPr>
          <w:sz w:val="20"/>
          <w:szCs w:val="20"/>
          <w:color w:val="auto"/>
        </w:rPr>
      </w:pPr>
    </w:p>
    <w:p>
      <w:pPr>
        <w:jc w:val="both"/>
        <w:ind w:left="760" w:right="94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Floor</w:t>
      </w:r>
      <w:r>
        <w:rPr>
          <w:rFonts w:ascii="Times New Roman" w:cs="Times New Roman" w:eastAsia="Times New Roman" w:hAnsi="Times New Roman"/>
          <w:sz w:val="19"/>
          <w:szCs w:val="19"/>
          <w:color w:val="auto"/>
        </w:rPr>
        <w:t>” means the benchmark rate floor, if any, provided in this Agreement initially (as of the execution of this Agreement, the modification, amendment or renewal of this Agreement or otherwise) with respect to any applicable Benchmark.</w:t>
      </w:r>
    </w:p>
    <w:p>
      <w:pPr>
        <w:spacing w:after="0" w:line="166" w:lineRule="exact"/>
        <w:rPr>
          <w:sz w:val="20"/>
          <w:szCs w:val="20"/>
          <w:color w:val="auto"/>
        </w:rPr>
      </w:pPr>
    </w:p>
    <w:p>
      <w:pPr>
        <w:ind w:left="760" w:right="82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ISDA Definitions</w:t>
      </w:r>
      <w:r>
        <w:rPr>
          <w:rFonts w:ascii="Times New Roman" w:cs="Times New Roman" w:eastAsia="Times New Roman" w:hAnsi="Times New Roman"/>
          <w:sz w:val="19"/>
          <w:szCs w:val="19"/>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3" w:lineRule="exact"/>
        <w:rPr>
          <w:sz w:val="20"/>
          <w:szCs w:val="20"/>
          <w:color w:val="auto"/>
        </w:rPr>
      </w:pPr>
    </w:p>
    <w:p>
      <w:pPr>
        <w:ind w:left="760" w:right="920" w:firstLine="576"/>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Relevant Governmental Body</w:t>
      </w:r>
      <w:r>
        <w:rPr>
          <w:rFonts w:ascii="Times New Roman" w:cs="Times New Roman" w:eastAsia="Times New Roman" w:hAnsi="Times New Roman"/>
          <w:sz w:val="19"/>
          <w:szCs w:val="19"/>
          <w:color w:val="auto"/>
        </w:rPr>
        <w:t>” means (a) with respect to a Benchmark Replacement in respect of obligations, interest, fees, commissions or other amounts owing hereunder denominated in Dollars, the Federal Reserve Board and/or the Federal Reserve Bank of New York, or a committee officially endorsed or convened by the Federal Reserve Board and/or the Federal Reserve Bank of New York or any successor thereto, and (b) with respect to a Benchmark Replacement in respect of obligations, interest, fees, commissions or other amounts owing hereunder denominated in any Currency other than Dollars, (1) the central bank for the Currency in which such obligations, interest, fees, commissions or other amounts are denominated or any central bank or other supervisor which is responsible for supervising either</w:t>
      </w:r>
    </w:p>
    <w:p>
      <w:pPr>
        <w:spacing w:after="0" w:line="4" w:lineRule="exact"/>
        <w:rPr>
          <w:sz w:val="20"/>
          <w:szCs w:val="20"/>
          <w:color w:val="auto"/>
        </w:rPr>
      </w:pPr>
    </w:p>
    <w:p>
      <w:pPr>
        <w:ind w:left="1080" w:hanging="318"/>
        <w:spacing w:after="0"/>
        <w:tabs>
          <w:tab w:leader="none" w:pos="108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Benchmark Replacement or (B) the administrator of such Benchmark Replacement or</w:t>
      </w:r>
    </w:p>
    <w:p>
      <w:pPr>
        <w:spacing w:after="0" w:line="9" w:lineRule="exact"/>
        <w:rPr>
          <w:rFonts w:ascii="Times New Roman" w:cs="Times New Roman" w:eastAsia="Times New Roman" w:hAnsi="Times New Roman"/>
          <w:sz w:val="19"/>
          <w:szCs w:val="19"/>
          <w:color w:val="auto"/>
        </w:rPr>
      </w:pPr>
    </w:p>
    <w:p>
      <w:pPr>
        <w:ind w:left="760" w:right="88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 any working group or committee officially endorsed or convened by (A) the central bank for the Currency in which such obligations, interest, fees, commissions or other amounts are denominated, (B) any central bank or other supervisor that is responsible for supervising either</w:t>
      </w:r>
    </w:p>
    <w:p>
      <w:pPr>
        <w:spacing w:after="0" w:line="1" w:lineRule="exact"/>
        <w:rPr>
          <w:rFonts w:ascii="Times New Roman" w:cs="Times New Roman" w:eastAsia="Times New Roman" w:hAnsi="Times New Roman"/>
          <w:sz w:val="19"/>
          <w:szCs w:val="19"/>
          <w:color w:val="auto"/>
        </w:rPr>
      </w:pPr>
    </w:p>
    <w:p>
      <w:pPr>
        <w:ind w:left="760" w:right="78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such Benchmark Replacement or (ii) the administrator of such Benchmark Replacement, (C) a group of those central banks or other supervisors or (D) the Financial Stability Board or any part thereof.</w:t>
      </w:r>
    </w:p>
    <w:p>
      <w:pPr>
        <w:spacing w:after="0" w:line="177" w:lineRule="exact"/>
        <w:rPr>
          <w:sz w:val="20"/>
          <w:szCs w:val="20"/>
          <w:color w:val="auto"/>
        </w:rPr>
      </w:pPr>
    </w:p>
    <w:p>
      <w:pPr>
        <w:ind w:left="760" w:right="102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48" w:lineRule="exact"/>
        <w:rPr>
          <w:sz w:val="20"/>
          <w:szCs w:val="20"/>
          <w:color w:val="auto"/>
        </w:rPr>
      </w:pPr>
    </w:p>
    <w:p>
      <w:pPr>
        <w:ind w:left="760" w:right="86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Section 2.12. Rescission or Return of Payment</w:t>
      </w:r>
      <w:r>
        <w:rPr>
          <w:rFonts w:ascii="Times New Roman" w:cs="Times New Roman" w:eastAsia="Times New Roman" w:hAnsi="Times New Roman"/>
          <w:sz w:val="19"/>
          <w:szCs w:val="19"/>
          <w:color w:val="auto"/>
        </w:rPr>
        <w:t>. The Borrower agrees that, if at any time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after the occurrence 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maybe, as to such obligations, all as though such payment had not been made.</w:t>
      </w:r>
    </w:p>
    <w:p>
      <w:pPr>
        <w:spacing w:after="0" w:line="5"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3" w:name="page174"/>
    <w:bookmarkEnd w:id="173"/>
    <w:p>
      <w:pPr>
        <w:spacing w:after="0" w:line="200" w:lineRule="exact"/>
        <w:rPr>
          <w:sz w:val="20"/>
          <w:szCs w:val="20"/>
          <w:color w:val="auto"/>
        </w:rPr>
      </w:pPr>
    </w:p>
    <w:p>
      <w:pPr>
        <w:spacing w:after="0" w:line="266" w:lineRule="exact"/>
        <w:rPr>
          <w:sz w:val="20"/>
          <w:szCs w:val="20"/>
          <w:color w:val="auto"/>
        </w:rPr>
      </w:pPr>
    </w:p>
    <w:p>
      <w:pPr>
        <w:ind w:left="760" w:right="900" w:firstLine="48"/>
        <w:spacing w:after="0" w:line="236" w:lineRule="exact"/>
        <w:rPr>
          <w:sz w:val="20"/>
          <w:szCs w:val="20"/>
          <w:color w:val="auto"/>
        </w:rPr>
      </w:pPr>
      <w:r>
        <w:rPr>
          <w:rFonts w:ascii="Times New Roman" w:cs="Times New Roman" w:eastAsia="Times New Roman" w:hAnsi="Times New Roman"/>
          <w:sz w:val="19"/>
          <w:szCs w:val="19"/>
          <w:i w:val="1"/>
          <w:iCs w:val="1"/>
          <w:color w:val="auto"/>
        </w:rPr>
        <w:t>Section 2.13. Post</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Default Interest</w:t>
      </w:r>
      <w:r>
        <w:rPr>
          <w:rFonts w:ascii="Times New Roman" w:cs="Times New Roman" w:eastAsia="Times New Roman" w:hAnsi="Times New Roman"/>
          <w:sz w:val="19"/>
          <w:szCs w:val="19"/>
          <w:color w:val="auto"/>
        </w:rPr>
        <w:t>. The Borrower shall pay interest on all Obligations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than principal and interest on the Advances, where the default rate is reflected in the Applicable Margin) that are not paid when due for the period from the due date thereof until the date the same is paid in full at the Post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Default Rate. Interest payable at the Post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 Rate shall be payable on each Payment Date in accordance with the Priority of Payments.</w:t>
      </w:r>
    </w:p>
    <w:p>
      <w:pPr>
        <w:spacing w:after="0" w:line="195" w:lineRule="exact"/>
        <w:rPr>
          <w:sz w:val="20"/>
          <w:szCs w:val="20"/>
          <w:color w:val="auto"/>
        </w:rPr>
      </w:pPr>
    </w:p>
    <w:p>
      <w:pPr>
        <w:ind w:left="760" w:right="760"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2.14. Payments Generally</w:t>
      </w:r>
      <w:r>
        <w:rPr>
          <w:rFonts w:ascii="Times New Roman" w:cs="Times New Roman" w:eastAsia="Times New Roman" w:hAnsi="Times New Roman"/>
          <w:sz w:val="19"/>
          <w:szCs w:val="19"/>
          <w:color w:val="auto"/>
        </w:rPr>
        <w:t>. (a) Principal and interest on any Advance denominated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any Agreed Foreign Currency and payments relating to any such Advance required under Section 2.10 shall be payable in the applicable Agreed Foreign Currency. All other amounts owing and payable to any Secured Party, any Affected Person or any Indemnified Party, in respect of the Advances and other Obligations, including the principal thereof, interest, fees, indemnities, expenses or other amount payable under this Agreement, shall be paid by the Borrower to the Administrative Agent for the account of the applicable recipient in Dollars, in immediately available funds, in accordance with the Priority of Payments, and all without counterclaim, setoff, deduction, defense, abatement, suspension or deferment. The Administrative Agent and each Lender shall provide wire instructions to the Borrower, the Administrative Agent and the Collateral Agent. Payments must be received by the Administrative Agent for account of the Lenders on or prior to 12:00 noon on a Business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payments received by the Administrative Agent after 12:00 noon on a Business Day will be deemed to have been paid on the next following Business Day.</w:t>
      </w:r>
    </w:p>
    <w:p>
      <w:pPr>
        <w:spacing w:after="0" w:line="187" w:lineRule="exact"/>
        <w:rPr>
          <w:sz w:val="20"/>
          <w:szCs w:val="20"/>
          <w:color w:val="auto"/>
        </w:rPr>
      </w:pPr>
    </w:p>
    <w:p>
      <w:pPr>
        <w:ind w:left="760" w:right="840" w:firstLine="624"/>
        <w:spacing w:after="0" w:line="255" w:lineRule="auto"/>
        <w:rPr>
          <w:sz w:val="20"/>
          <w:szCs w:val="20"/>
          <w:color w:val="auto"/>
        </w:rPr>
      </w:pPr>
      <w:r>
        <w:rPr>
          <w:rFonts w:ascii="Times New Roman" w:cs="Times New Roman" w:eastAsia="Times New Roman" w:hAnsi="Times New Roman"/>
          <w:sz w:val="19"/>
          <w:szCs w:val="19"/>
          <w:color w:val="auto"/>
        </w:rPr>
        <w:t xml:space="preserve">Notwithstanding the foregoing provisions of this Section, if, after the making of any Borrowing in any Agreed Foreign Currency, currency control or exchange regulations are imposed in the country which issues such currency with the result that the type of currency in which the Borrowing was made (the </w:t>
      </w:r>
      <w:r>
        <w:rPr>
          <w:rFonts w:ascii="Times New Roman" w:cs="Times New Roman" w:eastAsia="Times New Roman" w:hAnsi="Times New Roman"/>
          <w:sz w:val="19"/>
          <w:szCs w:val="19"/>
          <w:i w:val="1"/>
          <w:iCs w:val="1"/>
          <w:color w:val="auto"/>
        </w:rPr>
        <w:t>“Original Currency”</w:t>
      </w:r>
      <w:r>
        <w:rPr>
          <w:rFonts w:ascii="Times New Roman" w:cs="Times New Roman" w:eastAsia="Times New Roman" w:hAnsi="Times New Roman"/>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79" w:lineRule="exact"/>
        <w:rPr>
          <w:sz w:val="20"/>
          <w:szCs w:val="20"/>
          <w:color w:val="auto"/>
        </w:rPr>
      </w:pPr>
    </w:p>
    <w:p>
      <w:pPr>
        <w:ind w:left="760" w:right="840" w:firstLine="50"/>
        <w:spacing w:after="0" w:line="254" w:lineRule="auto"/>
        <w:tabs>
          <w:tab w:leader="none" w:pos="108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expressly provided herein, all computations of interest, fees and other Obligations shall be made on the basis of a year of 360 days for the actual number of days elapsed in computing interest on any Advance (except that interest computed (i) by reference to the Base Rate at times when the Base Rate is based on the Prime Rate and (ii) on Multicurrency Advances denominated in Pounds Sterling shall be computed on the basis of a year of 365 (or 366 days in a leap year), the date of the making of the Advance shall be included and the date of payment shall be excluded;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an Advance is repaid on the same day on which it is made, one day’s Interest shall be paid on such Advance. All computations made by a Lender, the Collateral Agent or the Administrative Agent under this Agreement shall be conclusive absent manifest error.</w:t>
      </w:r>
    </w:p>
    <w:p>
      <w:pPr>
        <w:spacing w:after="0" w:line="182" w:lineRule="exact"/>
        <w:rPr>
          <w:sz w:val="20"/>
          <w:szCs w:val="20"/>
          <w:color w:val="auto"/>
        </w:rPr>
      </w:pPr>
    </w:p>
    <w:p>
      <w:pPr>
        <w:ind w:left="760" w:right="80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2.15. Increase in Facility Amount</w:t>
      </w:r>
      <w:r>
        <w:rPr>
          <w:rFonts w:ascii="Times New Roman" w:cs="Times New Roman" w:eastAsia="Times New Roman" w:hAnsi="Times New Roman"/>
          <w:sz w:val="19"/>
          <w:szCs w:val="19"/>
          <w:color w:val="auto"/>
        </w:rPr>
        <w:t>. The Borrower may, on any Business Day prior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Commitment Termination Date, increase the Facility Amount by delivering a request substantially in the form attached hereto as Exhibit F (each, a </w:t>
      </w:r>
      <w:r>
        <w:rPr>
          <w:rFonts w:ascii="Times New Roman" w:cs="Times New Roman" w:eastAsia="Times New Roman" w:hAnsi="Times New Roman"/>
          <w:sz w:val="19"/>
          <w:szCs w:val="19"/>
          <w:i w:val="1"/>
          <w:iCs w:val="1"/>
          <w:color w:val="auto"/>
        </w:rPr>
        <w:t>“Facility Amount Increase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Request”</w:t>
      </w:r>
      <w:r>
        <w:rPr>
          <w:rFonts w:ascii="Times New Roman" w:cs="Times New Roman" w:eastAsia="Times New Roman" w:hAnsi="Times New Roman"/>
          <w:sz w:val="19"/>
          <w:szCs w:val="19"/>
          <w:color w:val="auto"/>
        </w:rPr>
        <w:t>) or in such other form acceptable to the Administrative Agent at least five (5) Business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Days prior</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4" w:name="page175"/>
    <w:bookmarkEnd w:id="174"/>
    <w:p>
      <w:pPr>
        <w:spacing w:after="0" w:line="200" w:lineRule="exact"/>
        <w:rPr>
          <w:sz w:val="20"/>
          <w:szCs w:val="20"/>
          <w:color w:val="auto"/>
        </w:rPr>
      </w:pPr>
    </w:p>
    <w:p>
      <w:pPr>
        <w:spacing w:after="0" w:line="2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 xml:space="preserve">to the desired effective date of such increase (the </w:t>
      </w:r>
      <w:r>
        <w:rPr>
          <w:rFonts w:ascii="Times New Roman" w:cs="Times New Roman" w:eastAsia="Times New Roman" w:hAnsi="Times New Roman"/>
          <w:sz w:val="19"/>
          <w:szCs w:val="19"/>
          <w:i w:val="1"/>
          <w:iCs w:val="1"/>
          <w:color w:val="auto"/>
        </w:rPr>
        <w:t>“Facility Amount Increase”</w:t>
      </w:r>
      <w:r>
        <w:rPr>
          <w:rFonts w:ascii="Times New Roman" w:cs="Times New Roman" w:eastAsia="Times New Roman" w:hAnsi="Times New Roman"/>
          <w:sz w:val="19"/>
          <w:szCs w:val="19"/>
          <w:color w:val="auto"/>
        </w:rPr>
        <w:t>) identifying an</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additional Lender that is a Permitted Assignee (or additional Commitments for existing</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Lender(s)), and the amount of its Commitment (or additional amount of its Commitment(s));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 any increase of the Facility Amount to an amount in excess of</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$900,000,000 will require the approval of all Lenders, (ii) any increase of the aggregate amount</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of the Facility Amount shall be in an amount not less than $10,000,000, (iii) no Default or Event</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of Default shall have occurred and be continuing at the time of the request or the effective date of</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the Facility Amount Increase, (iv) all representations and warranties contained in Article IV</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hereof (as the same may be amended from time to time) shall be true and correct in all material</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respects (except for representations and warranties already qualified by materiality or Material</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Adverse Effect, which shall be true and correct) at the time of such request and on the effective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date of such Facility Amount Increase, and (v) unless such increase is increasing the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Commitment of an existing Lender, the Administrative Agent shall have provided its written</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consent to such increase (which consent shall not be unreasonably withheld or delayed). The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effective date of the Facility Amount Increase shall be agreed upon by the Borrower and the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Administrative Agent. Upon the effectiveness thereof, the new Lender(s) (or, if applicable,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existing Lender(s)) shall make Advances in an amount sufficient such that after giving effect to</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its advance each Lender shall have outstanding its Percentage of Advances. It shall be a</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condition to such effectiveness that (i) if any Advances are bearing interest at the Adjusted Term</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Benchmark Rate on the date of such effectiveness, such Advances shall be deemed to be prepaid</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on such date and the Borrower shall pay any amounts owing to the Lenders pursuant to Section</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 xml:space="preserve">2.10 hereof,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a Facility Amount Increase is made among the existing</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 xml:space="preserve">Lenders and the amount of the increase in each such Lender’s Commitment is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in accordance with the existing Commitments of such Lenders on the date of such Facility</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Amount Increase, such Advances bearing interest at the Adjusted Term Benchmark Rate shall</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not be deemed to be prepaid on such date and (ii) the Borrower shall not have terminated any</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portion of the Commitments pursuant to Section 2.06 hereof. The Borrower agrees to pay any</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reasonable expenses of the Administrative Agent relating to any Facility Amount Increase.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Notwithstanding anything herein to the contrary, no Lender shall have any obligation to increase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its Commitment and no Lender’s Commitment shall be increased without its consent thereto, and</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each Lender may at its option, unconditionally and without cause, decline to increase its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Commitment. For the avoidance of doubt, each Advance made under a Facility Amount Increase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shall be subject to the same terms (including pricing) as Advances under the existing Facility</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Amount.</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2.16. Defaulting Lenders</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jc w:val="both"/>
        <w:ind w:left="760" w:right="860" w:firstLine="50"/>
        <w:spacing w:after="0" w:line="269" w:lineRule="auto"/>
        <w:tabs>
          <w:tab w:leader="none" w:pos="1120"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Defaulting Lender Adjustments</w:t>
      </w:r>
      <w:r>
        <w:rPr>
          <w:rFonts w:ascii="Times New Roman" w:cs="Times New Roman" w:eastAsia="Times New Roman" w:hAnsi="Times New Roman"/>
          <w:sz w:val="19"/>
          <w:szCs w:val="19"/>
          <w:color w:val="auto"/>
        </w:rPr>
        <w:t>. Notwithstanding anything to the contrary contained in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if any Lender becomes a Defaulting Lender, then, until such time as such Lender is no longer a Defaulting Lender, to the extent permitted by applicable law:</w:t>
      </w:r>
    </w:p>
    <w:p>
      <w:pPr>
        <w:spacing w:after="0" w:line="167" w:lineRule="exact"/>
        <w:rPr>
          <w:rFonts w:ascii="Times New Roman" w:cs="Times New Roman" w:eastAsia="Times New Roman" w:hAnsi="Times New Roman"/>
          <w:sz w:val="19"/>
          <w:szCs w:val="19"/>
          <w:color w:val="auto"/>
        </w:rPr>
      </w:pPr>
    </w:p>
    <w:p>
      <w:pPr>
        <w:jc w:val="both"/>
        <w:ind w:left="1340" w:right="1140" w:firstLine="623"/>
        <w:spacing w:after="0" w:line="268" w:lineRule="auto"/>
        <w:tabs>
          <w:tab w:leader="none" w:pos="2193"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Defaulting Lender’s right to approve or disapprove any amendment, waiver or consent with respect to this Agreement shall be restricted as set forth in the definition of Required Lenders and in Section 15.01.</w:t>
      </w:r>
    </w:p>
    <w:p>
      <w:pPr>
        <w:spacing w:after="0" w:line="168" w:lineRule="exact"/>
        <w:rPr>
          <w:rFonts w:ascii="Times New Roman" w:cs="Times New Roman" w:eastAsia="Times New Roman" w:hAnsi="Times New Roman"/>
          <w:sz w:val="19"/>
          <w:szCs w:val="19"/>
          <w:color w:val="auto"/>
        </w:rPr>
      </w:pPr>
    </w:p>
    <w:p>
      <w:pPr>
        <w:ind w:left="1340" w:right="1160" w:firstLine="623"/>
        <w:spacing w:after="0" w:line="258" w:lineRule="auto"/>
        <w:tabs>
          <w:tab w:leader="none" w:pos="2247"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of principal, interest, fees or other amounts received by the Administrative Agent for the account of such Defaulting Lender (whether voluntary</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5" w:name="page176"/>
    <w:bookmarkEnd w:id="175"/>
    <w:p>
      <w:pPr>
        <w:spacing w:after="0" w:line="200" w:lineRule="exact"/>
        <w:rPr>
          <w:sz w:val="20"/>
          <w:szCs w:val="20"/>
          <w:color w:val="auto"/>
        </w:rPr>
      </w:pPr>
    </w:p>
    <w:p>
      <w:pPr>
        <w:spacing w:after="0" w:line="285" w:lineRule="exact"/>
        <w:rPr>
          <w:sz w:val="20"/>
          <w:szCs w:val="20"/>
          <w:color w:val="auto"/>
        </w:rPr>
      </w:pPr>
    </w:p>
    <w:p>
      <w:pPr>
        <w:ind w:left="1340" w:right="740"/>
        <w:spacing w:after="0" w:line="251" w:lineRule="auto"/>
        <w:rPr>
          <w:sz w:val="20"/>
          <w:szCs w:val="20"/>
          <w:color w:val="auto"/>
        </w:rPr>
      </w:pPr>
      <w:r>
        <w:rPr>
          <w:rFonts w:ascii="Times New Roman" w:cs="Times New Roman" w:eastAsia="Times New Roman" w:hAnsi="Times New Roman"/>
          <w:sz w:val="19"/>
          <w:szCs w:val="19"/>
          <w:color w:val="auto"/>
        </w:rPr>
        <w:t xml:space="preserve">or mandatory, at maturity, pursuant to Article VI or otherwise) or received by the Administrative Agent from a Defaulting Lender pursuant to Section 15.23 shall be applied at such time or times as may be determined by the Administrative Agent as follows: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the Swingline Lender hereunder;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as the Borrower may request (so long as no Default or Event of Default exists), to the funding of any Advance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if so determined by the Administrative Agent and the Borrower, to be held in a deposit account and released pro rata in order to satisfy such Defaulting Lender’s potential future funding obligations with respect to Advances under this Agreement;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to the payment of any amounts owing to the Lenders or Swingline Lender as a result of any judgment of a court of competent jurisdiction obtained by any Lender or Swingline Lender against such Defaulting Lender as a result of such Defaulting Lender’s breach of its obligations under this Agreement;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to such Defaulting Lender or as otherwise directed by a court of competent jurisdiction; provided that if (x) such payment is a payment of the principal amount of any Advances in respect of which such Defaulting Lender has not fully funded its appropriate share, and (y) such Advances were made at a time when the conditions set forth in Section 3.02 were satisfied or waived, such payment shall be applied solely to pay the Advances of all Non-Defaulting Lenders on a pro rata basis prior to being applied to the payment of any Advances of such Defaulting Lender until such time as all Advances and funded and unfunded participations in Swingline Advances are held by the Lenders pro rata in accordance with the Commitments without giving effect to sub -section (iv) below. Any payments, prepayments or other amounts paid or payable to a Defaulting Lender that are applied (or held) to pay amounts owed by a Defaulting Lender pursuant to this Section 2.16(a)(ii) shall be deemed paid to and redirected by such Defaulting Lender, and each Lender irrevocably consents hereto.</w:t>
      </w:r>
    </w:p>
    <w:p>
      <w:pPr>
        <w:spacing w:after="0" w:line="202" w:lineRule="exact"/>
        <w:rPr>
          <w:sz w:val="20"/>
          <w:szCs w:val="20"/>
          <w:color w:val="auto"/>
        </w:rPr>
      </w:pPr>
    </w:p>
    <w:p>
      <w:pPr>
        <w:ind w:left="1340" w:right="820" w:firstLine="623"/>
        <w:spacing w:after="0" w:line="262" w:lineRule="auto"/>
        <w:tabs>
          <w:tab w:leader="none" w:pos="230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Defaulting Lender shall be entitled to receive any Commitment Fee pursuant to the Lender Fee Letter for any period during which that Lender is a Defaulting Lender (and the Borrower shall not be required to pay any such fee that otherwise would have been required to have been paid to that Defaulting Lender).</w:t>
      </w:r>
    </w:p>
    <w:p>
      <w:pPr>
        <w:spacing w:after="0" w:line="174" w:lineRule="exact"/>
        <w:rPr>
          <w:rFonts w:ascii="Times New Roman" w:cs="Times New Roman" w:eastAsia="Times New Roman" w:hAnsi="Times New Roman"/>
          <w:sz w:val="19"/>
          <w:szCs w:val="19"/>
          <w:color w:val="auto"/>
        </w:rPr>
      </w:pPr>
    </w:p>
    <w:p>
      <w:pPr>
        <w:ind w:left="1340" w:right="900" w:firstLine="623"/>
        <w:spacing w:after="0" w:line="255" w:lineRule="auto"/>
        <w:tabs>
          <w:tab w:leader="none" w:pos="228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or any part of such Defaulting Lender’s participation in Swingline Advances shall be reallocated among the Non-Defaulting Lenders in accordance with their respective Percentages of the Commitments (calculated without regard to such Defaulting Lender’s Commitment) but only to the extent that (x) the conditions set forth in Section 3.02 are satisfied at the time of such reallocation (and, unless the Borrower</w:t>
      </w:r>
    </w:p>
    <w:p>
      <w:pPr>
        <w:spacing w:after="0" w:line="2" w:lineRule="exact"/>
        <w:rPr>
          <w:sz w:val="20"/>
          <w:szCs w:val="20"/>
          <w:color w:val="auto"/>
        </w:rPr>
      </w:pPr>
    </w:p>
    <w:p>
      <w:pPr>
        <w:ind w:left="1340" w:right="800"/>
        <w:spacing w:after="0" w:line="251" w:lineRule="auto"/>
        <w:rPr>
          <w:sz w:val="20"/>
          <w:szCs w:val="20"/>
          <w:color w:val="auto"/>
        </w:rPr>
      </w:pPr>
      <w:r>
        <w:rPr>
          <w:rFonts w:ascii="Times New Roman" w:cs="Times New Roman" w:eastAsia="Times New Roman" w:hAnsi="Times New Roman"/>
          <w:sz w:val="19"/>
          <w:szCs w:val="19"/>
          <w:color w:val="auto"/>
        </w:rPr>
        <w:t>shall have otherwise notified the Administrative Agent at such time, the Borrower shall be deemed to have represented and warranted that such conditions are satisfied at such time), and (y) such reallocation does not cause the sum of the outstanding Advances of any Non-Defaulting Lender plus such Non-Defaulting Lender’s pro rata risk participation in each</w:t>
      </w:r>
    </w:p>
    <w:p>
      <w:pPr>
        <w:spacing w:after="0" w:line="219"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6" w:name="page177"/>
    <w:bookmarkEnd w:id="176"/>
    <w:p>
      <w:pPr>
        <w:spacing w:after="0" w:line="200" w:lineRule="exact"/>
        <w:rPr>
          <w:sz w:val="20"/>
          <w:szCs w:val="20"/>
          <w:color w:val="auto"/>
        </w:rPr>
      </w:pPr>
    </w:p>
    <w:p>
      <w:pPr>
        <w:spacing w:after="0" w:line="285" w:lineRule="exact"/>
        <w:rPr>
          <w:sz w:val="20"/>
          <w:szCs w:val="20"/>
          <w:color w:val="auto"/>
        </w:rPr>
      </w:pPr>
    </w:p>
    <w:p>
      <w:pPr>
        <w:ind w:left="1340" w:right="860"/>
        <w:spacing w:after="0" w:line="259" w:lineRule="auto"/>
        <w:rPr>
          <w:sz w:val="20"/>
          <w:szCs w:val="20"/>
          <w:color w:val="auto"/>
        </w:rPr>
      </w:pPr>
      <w:r>
        <w:rPr>
          <w:rFonts w:ascii="Times New Roman" w:cs="Times New Roman" w:eastAsia="Times New Roman" w:hAnsi="Times New Roman"/>
          <w:sz w:val="19"/>
          <w:szCs w:val="19"/>
          <w:color w:val="auto"/>
        </w:rPr>
        <w:t>Swingline Advance to exceed such Non- Defaulting Lender’s Commitment. Subject to Section 15.25,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8" w:lineRule="exact"/>
        <w:rPr>
          <w:sz w:val="20"/>
          <w:szCs w:val="20"/>
          <w:color w:val="auto"/>
        </w:rPr>
      </w:pPr>
    </w:p>
    <w:p>
      <w:pPr>
        <w:ind w:left="1340" w:right="780" w:firstLine="623"/>
        <w:spacing w:after="0" w:line="262" w:lineRule="auto"/>
        <w:tabs>
          <w:tab w:leader="none" w:pos="2236"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reallocation described in clause (iv) above cannot, or can only partially, be effected, the Borrower shall, without prejudice to any right or remedy available to it hereunder or under law, prepay Swingline Advances in an amount equal to the Defaulting Lender’s Percentage of such Swingline Advances.</w:t>
      </w:r>
    </w:p>
    <w:p>
      <w:pPr>
        <w:spacing w:after="0" w:line="172" w:lineRule="exact"/>
        <w:rPr>
          <w:rFonts w:ascii="Times New Roman" w:cs="Times New Roman" w:eastAsia="Times New Roman" w:hAnsi="Times New Roman"/>
          <w:sz w:val="19"/>
          <w:szCs w:val="19"/>
          <w:color w:val="auto"/>
        </w:rPr>
      </w:pPr>
    </w:p>
    <w:p>
      <w:pPr>
        <w:ind w:left="760" w:right="800" w:firstLine="50"/>
        <w:spacing w:after="0" w:line="253" w:lineRule="auto"/>
        <w:tabs>
          <w:tab w:leader="none" w:pos="1084"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Defaulting Lender Cure</w:t>
      </w:r>
      <w:r>
        <w:rPr>
          <w:rFonts w:ascii="Times New Roman" w:cs="Times New Roman" w:eastAsia="Times New Roman" w:hAnsi="Times New Roman"/>
          <w:sz w:val="19"/>
          <w:szCs w:val="19"/>
          <w:color w:val="auto"/>
        </w:rPr>
        <w:t>. If the Borrower, the Administrative Agent and Swingline Lender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 determine to be necessary to cause the Advances and funded and unfunded participations in Swingline Advances to be held pro rata by the Lenders in accordance with the applicable Commitments (without giving effect to Section 2.16(a)(iv), whereupon such Lender will cease to be a Defaulting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2" w:lineRule="exact"/>
        <w:rPr>
          <w:rFonts w:ascii="Times New Roman" w:cs="Times New Roman" w:eastAsia="Times New Roman" w:hAnsi="Times New Roman"/>
          <w:sz w:val="19"/>
          <w:szCs w:val="19"/>
          <w:color w:val="auto"/>
        </w:rPr>
      </w:pPr>
    </w:p>
    <w:p>
      <w:pPr>
        <w:ind w:left="760" w:right="1220" w:firstLine="50"/>
        <w:spacing w:after="0" w:line="288" w:lineRule="auto"/>
        <w:tabs>
          <w:tab w:leader="none" w:pos="1072"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New Swingline Advances</w:t>
      </w:r>
      <w:r>
        <w:rPr>
          <w:rFonts w:ascii="Times New Roman" w:cs="Times New Roman" w:eastAsia="Times New Roman" w:hAnsi="Times New Roman"/>
          <w:sz w:val="19"/>
          <w:szCs w:val="19"/>
          <w:color w:val="auto"/>
        </w:rPr>
        <w:t>. So long as any Lender is a Defaulting Lender, the Swingline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 shall not be required to fund any Swingline Advances.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Conditions Precedent</w:t>
      </w:r>
    </w:p>
    <w:p>
      <w:pPr>
        <w:spacing w:after="0" w:line="226" w:lineRule="exact"/>
        <w:rPr>
          <w:sz w:val="20"/>
          <w:szCs w:val="20"/>
          <w:color w:val="auto"/>
        </w:rPr>
      </w:pPr>
    </w:p>
    <w:p>
      <w:pPr>
        <w:ind w:left="760" w:right="780"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Section 3.01. Conditions Precedent to Initial Borrowing</w:t>
      </w:r>
      <w:r>
        <w:rPr>
          <w:rFonts w:ascii="Times New Roman" w:cs="Times New Roman" w:eastAsia="Times New Roman" w:hAnsi="Times New Roman"/>
          <w:sz w:val="19"/>
          <w:szCs w:val="19"/>
          <w:color w:val="auto"/>
        </w:rPr>
        <w:t>. The obligation of each Lender to make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its initial Advance hereunder shall be subject to the conditions precedent that the Administrative Agent shall have received on or before the Closing Date the following, each in form and substance reasonably satisfactory to the Administrative Agent:</w:t>
      </w:r>
    </w:p>
    <w:p>
      <w:pPr>
        <w:spacing w:after="0" w:line="173" w:lineRule="exact"/>
        <w:rPr>
          <w:sz w:val="20"/>
          <w:szCs w:val="20"/>
          <w:color w:val="auto"/>
        </w:rPr>
      </w:pPr>
    </w:p>
    <w:p>
      <w:pPr>
        <w:ind w:left="1340" w:right="1060" w:firstLine="47"/>
        <w:spacing w:after="0" w:line="286" w:lineRule="auto"/>
        <w:tabs>
          <w:tab w:leader="none" w:pos="1649"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Facility Documents duly executed and delivered by the parties thereto, which shall each be in full force and effect;</w:t>
      </w:r>
    </w:p>
    <w:p>
      <w:pPr>
        <w:spacing w:after="0" w:line="151" w:lineRule="exact"/>
        <w:rPr>
          <w:rFonts w:ascii="Times New Roman" w:cs="Times New Roman" w:eastAsia="Times New Roman" w:hAnsi="Times New Roman"/>
          <w:sz w:val="19"/>
          <w:szCs w:val="19"/>
          <w:color w:val="auto"/>
        </w:rPr>
      </w:pPr>
    </w:p>
    <w:p>
      <w:pPr>
        <w:ind w:left="1340" w:right="1220" w:firstLine="47"/>
        <w:spacing w:after="0" w:line="258" w:lineRule="auto"/>
        <w:tabs>
          <w:tab w:leader="none" w:pos="166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true and complete copies of the Constituent Documents of the Borrower and the Collateral Manager as in effect on the Funding Effective Date;</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7" w:name="page178"/>
    <w:bookmarkEnd w:id="177"/>
    <w:p>
      <w:pPr>
        <w:spacing w:after="0" w:line="200" w:lineRule="exact"/>
        <w:rPr>
          <w:sz w:val="20"/>
          <w:szCs w:val="20"/>
          <w:color w:val="auto"/>
        </w:rPr>
      </w:pPr>
    </w:p>
    <w:p>
      <w:pPr>
        <w:spacing w:after="0" w:line="285" w:lineRule="exact"/>
        <w:rPr>
          <w:sz w:val="20"/>
          <w:szCs w:val="20"/>
          <w:color w:val="auto"/>
        </w:rPr>
      </w:pPr>
    </w:p>
    <w:p>
      <w:pPr>
        <w:ind w:left="1340" w:right="920" w:firstLine="47"/>
        <w:spacing w:after="0" w:line="268" w:lineRule="auto"/>
        <w:tabs>
          <w:tab w:leader="none" w:pos="1649"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true and complete copies certified by a Responsible Officer of the Borrower of all Governmental Authorizations, Private Authorizations and Governmental Filings, if any, required in connection with the transactions contemplated by this Agreement;</w:t>
      </w:r>
    </w:p>
    <w:p>
      <w:pPr>
        <w:spacing w:after="0" w:line="168" w:lineRule="exact"/>
        <w:rPr>
          <w:rFonts w:ascii="Times New Roman" w:cs="Times New Roman" w:eastAsia="Times New Roman" w:hAnsi="Times New Roman"/>
          <w:sz w:val="19"/>
          <w:szCs w:val="19"/>
          <w:color w:val="auto"/>
        </w:rPr>
      </w:pPr>
    </w:p>
    <w:p>
      <w:pPr>
        <w:ind w:left="1340" w:right="840" w:firstLine="47"/>
        <w:spacing w:after="0" w:line="253" w:lineRule="auto"/>
        <w:tabs>
          <w:tab w:leader="none" w:pos="166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a Responsible Officer of the Borrower and of the Collateral Manager certifying (i) as to its Constituent Documents, (ii) its certificate of good standing issued by the jurisdiction of its organization, (iii) as to its resolutions or other action of its board of directors or members approving this Agreement and the other Facility Documents to which it is a party and the transactions contemplated thereby, (iv)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(v) no Default or Event of Default has occurred and is continuing, and (vi) as to the incumbency and specimen signature of each of its Responsible Officers authorized to execute the Facility Documents to which it is a party;</w:t>
      </w:r>
    </w:p>
    <w:p>
      <w:pPr>
        <w:spacing w:after="0" w:line="189" w:lineRule="exact"/>
        <w:rPr>
          <w:rFonts w:ascii="Times New Roman" w:cs="Times New Roman" w:eastAsia="Times New Roman" w:hAnsi="Times New Roman"/>
          <w:sz w:val="19"/>
          <w:szCs w:val="19"/>
          <w:color w:val="auto"/>
        </w:rPr>
      </w:pPr>
    </w:p>
    <w:p>
      <w:pPr>
        <w:ind w:left="1340" w:right="760" w:firstLine="47"/>
        <w:spacing w:after="0" w:line="268" w:lineRule="auto"/>
        <w:tabs>
          <w:tab w:leader="none" w:pos="1649"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proper financing statements, duly filed on or before the Funding Effective Date, under the UCC in all jurisdictions that the Administrative Agent deems necessary or desirable in order to perfect the interests in the Collateral contemplated by this Agreement;</w:t>
      </w:r>
    </w:p>
    <w:p>
      <w:pPr>
        <w:spacing w:after="0" w:line="168" w:lineRule="exact"/>
        <w:rPr>
          <w:rFonts w:ascii="Times New Roman" w:cs="Times New Roman" w:eastAsia="Times New Roman" w:hAnsi="Times New Roman"/>
          <w:sz w:val="19"/>
          <w:szCs w:val="19"/>
          <w:color w:val="auto"/>
        </w:rPr>
      </w:pPr>
    </w:p>
    <w:p>
      <w:pPr>
        <w:ind w:left="1340" w:right="920" w:firstLine="47"/>
        <w:spacing w:after="0" w:line="259" w:lineRule="auto"/>
        <w:tabs>
          <w:tab w:leader="none" w:pos="162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payoff or release letters evidencing the termination of, and repayment in full of obligations under, the Prior Credit Agreement, and copies of proper financing statement filings necessary to release or assign (in the discretion of the Administrative Agent) all security interests and other rights of any Person in the Collateral previously granted by the Borrower or any transferor in connection with the Prior Credit Agreement;</w:t>
      </w:r>
    </w:p>
    <w:p>
      <w:pPr>
        <w:spacing w:after="0" w:line="177" w:lineRule="exact"/>
        <w:rPr>
          <w:rFonts w:ascii="Times New Roman" w:cs="Times New Roman" w:eastAsia="Times New Roman" w:hAnsi="Times New Roman"/>
          <w:sz w:val="19"/>
          <w:szCs w:val="19"/>
          <w:color w:val="auto"/>
        </w:rPr>
      </w:pPr>
    </w:p>
    <w:p>
      <w:pPr>
        <w:jc w:val="both"/>
        <w:ind w:left="1340" w:right="860" w:firstLine="47"/>
        <w:spacing w:after="0" w:line="262" w:lineRule="auto"/>
        <w:tabs>
          <w:tab w:leader="none" w:pos="166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legal opinions (addressed to each of the Secured Parties) of Dechert LLP, New York counsel to the Borrower and the Collateral Manager and Nixon Peabody LLP, counsel to the Collateral Agent, covering such matters as the Administrative Agent and its counsel shall reasonably request;</w:t>
      </w:r>
    </w:p>
    <w:p>
      <w:pPr>
        <w:spacing w:after="0" w:line="174" w:lineRule="exact"/>
        <w:rPr>
          <w:rFonts w:ascii="Times New Roman" w:cs="Times New Roman" w:eastAsia="Times New Roman" w:hAnsi="Times New Roman"/>
          <w:sz w:val="19"/>
          <w:szCs w:val="19"/>
          <w:color w:val="auto"/>
        </w:rPr>
      </w:pPr>
    </w:p>
    <w:p>
      <w:pPr>
        <w:ind w:left="1340" w:right="1100" w:firstLine="47"/>
        <w:spacing w:after="0" w:line="262" w:lineRule="auto"/>
        <w:tabs>
          <w:tab w:leader="none" w:pos="166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reasonably satisfactory to it that all of the Covered Accounts shall have been established; and the Account Control Agreement shall have been executed and delivered by the Borrower, the Collateral Agent and the Custodian and shall be in full force and effect;</w:t>
      </w:r>
    </w:p>
    <w:p>
      <w:pPr>
        <w:spacing w:after="0" w:line="174" w:lineRule="exact"/>
        <w:rPr>
          <w:rFonts w:ascii="Times New Roman" w:cs="Times New Roman" w:eastAsia="Times New Roman" w:hAnsi="Times New Roman"/>
          <w:sz w:val="19"/>
          <w:szCs w:val="19"/>
          <w:color w:val="auto"/>
        </w:rPr>
      </w:pPr>
    </w:p>
    <w:p>
      <w:pPr>
        <w:ind w:left="1340" w:right="760" w:firstLine="47"/>
        <w:spacing w:after="0" w:line="259" w:lineRule="auto"/>
        <w:tabs>
          <w:tab w:leader="none" w:pos="1617"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that (x) all fees to be received by each Lender on or prior to the Closing Date have been received; and (y) the accrued fees and expenses of Chapman and Cutler, counsel to the Administrative Agent, in connection with the transactions contemplated hereby (to the extent invoiced prior to the Closing Date), shall have been paid by the Borrower;</w:t>
      </w:r>
    </w:p>
    <w:p>
      <w:pPr>
        <w:spacing w:after="0" w:line="177" w:lineRule="exact"/>
        <w:rPr>
          <w:rFonts w:ascii="Times New Roman" w:cs="Times New Roman" w:eastAsia="Times New Roman" w:hAnsi="Times New Roman"/>
          <w:sz w:val="19"/>
          <w:szCs w:val="19"/>
          <w:color w:val="auto"/>
        </w:rPr>
      </w:pPr>
    </w:p>
    <w:p>
      <w:pPr>
        <w:ind w:left="1620" w:hanging="233"/>
        <w:spacing w:after="0"/>
        <w:tabs>
          <w:tab w:leader="none" w:pos="162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executed counterpart of the Collateral Agent Fee Letter;</w:t>
      </w:r>
    </w:p>
    <w:p>
      <w:pPr>
        <w:spacing w:after="0" w:line="24"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8" w:name="page179"/>
    <w:bookmarkEnd w:id="178"/>
    <w:p>
      <w:pPr>
        <w:spacing w:after="0" w:line="200" w:lineRule="exact"/>
        <w:rPr>
          <w:sz w:val="20"/>
          <w:szCs w:val="20"/>
          <w:color w:val="auto"/>
        </w:rPr>
      </w:pPr>
    </w:p>
    <w:p>
      <w:pPr>
        <w:spacing w:after="0" w:line="285" w:lineRule="exact"/>
        <w:rPr>
          <w:sz w:val="20"/>
          <w:szCs w:val="20"/>
          <w:color w:val="auto"/>
        </w:rPr>
      </w:pPr>
    </w:p>
    <w:p>
      <w:pPr>
        <w:ind w:left="1340" w:right="1140" w:firstLine="47"/>
        <w:spacing w:after="0" w:line="262" w:lineRule="auto"/>
        <w:tabs>
          <w:tab w:leader="none" w:pos="166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Delivery of such Collateral (including any promissory note, executed assignment agreements and word or pdf copies of the principal credit agreement for each initial Collateral Loan, to the extent received by the Borrower) in accordance with the provisions of Article XIV shall have been effected;</w:t>
      </w:r>
    </w:p>
    <w:p>
      <w:pPr>
        <w:spacing w:after="0" w:line="174" w:lineRule="exact"/>
        <w:rPr>
          <w:rFonts w:ascii="Times New Roman" w:cs="Times New Roman" w:eastAsia="Times New Roman" w:hAnsi="Times New Roman"/>
          <w:sz w:val="19"/>
          <w:szCs w:val="19"/>
          <w:color w:val="auto"/>
        </w:rPr>
      </w:pPr>
    </w:p>
    <w:p>
      <w:pPr>
        <w:ind w:left="1340" w:right="800" w:firstLine="47"/>
        <w:spacing w:after="0" w:line="268" w:lineRule="auto"/>
        <w:tabs>
          <w:tab w:leader="none" w:pos="1617"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a Responsible Officer of the Borrower, dated as of the Closing Date, to the effect that, in the case of each item of Collateral pledged to the Collateral Agent, on the Closing Date and immediately prior to the delivery thereof on the Closing Date:</w:t>
      </w:r>
    </w:p>
    <w:p>
      <w:pPr>
        <w:spacing w:after="0" w:line="168" w:lineRule="exact"/>
        <w:rPr>
          <w:rFonts w:ascii="Times New Roman" w:cs="Times New Roman" w:eastAsia="Times New Roman" w:hAnsi="Times New Roman"/>
          <w:sz w:val="19"/>
          <w:szCs w:val="19"/>
          <w:color w:val="auto"/>
        </w:rPr>
      </w:pPr>
    </w:p>
    <w:p>
      <w:pPr>
        <w:ind w:left="1920" w:right="780" w:firstLine="43"/>
        <w:spacing w:after="0" w:line="268" w:lineRule="auto"/>
        <w:tabs>
          <w:tab w:leader="none" w:pos="2197"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is the owner of such Collateral free and clear of any liens, claims or encumbrances of any nature whatsoever except for (A) those which are being released on the Closing Date and (B) those granted pursuant to this Agreement;</w:t>
      </w:r>
    </w:p>
    <w:p>
      <w:pPr>
        <w:spacing w:after="0" w:line="168" w:lineRule="exact"/>
        <w:rPr>
          <w:rFonts w:ascii="Times New Roman" w:cs="Times New Roman" w:eastAsia="Times New Roman" w:hAnsi="Times New Roman"/>
          <w:sz w:val="19"/>
          <w:szCs w:val="19"/>
          <w:color w:val="auto"/>
        </w:rPr>
      </w:pPr>
    </w:p>
    <w:p>
      <w:pPr>
        <w:jc w:val="both"/>
        <w:ind w:left="1920" w:right="1240" w:firstLine="43"/>
        <w:spacing w:after="0" w:line="286" w:lineRule="auto"/>
        <w:tabs>
          <w:tab w:leader="none" w:pos="2250"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acquired its ownership in such Collateral in good faith without notice of any adverse claim, except as described in clause (i) above;</w:t>
      </w:r>
    </w:p>
    <w:p>
      <w:pPr>
        <w:spacing w:after="0" w:line="151" w:lineRule="exact"/>
        <w:rPr>
          <w:rFonts w:ascii="Times New Roman" w:cs="Times New Roman" w:eastAsia="Times New Roman" w:hAnsi="Times New Roman"/>
          <w:sz w:val="19"/>
          <w:szCs w:val="19"/>
          <w:color w:val="auto"/>
        </w:rPr>
      </w:pPr>
    </w:p>
    <w:p>
      <w:pPr>
        <w:jc w:val="both"/>
        <w:ind w:left="1920" w:right="760" w:firstLine="43"/>
        <w:spacing w:after="0" w:line="262" w:lineRule="auto"/>
        <w:tabs>
          <w:tab w:leader="none" w:pos="2304"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not assigned, pledged or otherwise encumbered any interest in such Collateral (or, if any such interest has been assigned, pledged or otherwise encumbered, it has been released) other than interests granted pursuant to this Agreement;</w:t>
      </w:r>
    </w:p>
    <w:p>
      <w:pPr>
        <w:spacing w:after="0" w:line="174" w:lineRule="exact"/>
        <w:rPr>
          <w:rFonts w:ascii="Times New Roman" w:cs="Times New Roman" w:eastAsia="Times New Roman" w:hAnsi="Times New Roman"/>
          <w:sz w:val="19"/>
          <w:szCs w:val="19"/>
          <w:color w:val="auto"/>
        </w:rPr>
      </w:pPr>
    </w:p>
    <w:p>
      <w:pPr>
        <w:ind w:left="1920" w:right="1260" w:firstLine="43"/>
        <w:spacing w:after="0" w:line="286" w:lineRule="auto"/>
        <w:tabs>
          <w:tab w:leader="none" w:pos="2293"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full right to grant a security interest in and assign and pledge such Collateral to the Collateral Agent; and</w:t>
      </w:r>
    </w:p>
    <w:p>
      <w:pPr>
        <w:spacing w:after="0" w:line="151" w:lineRule="exact"/>
        <w:rPr>
          <w:rFonts w:ascii="Times New Roman" w:cs="Times New Roman" w:eastAsia="Times New Roman" w:hAnsi="Times New Roman"/>
          <w:sz w:val="19"/>
          <w:szCs w:val="19"/>
          <w:color w:val="auto"/>
        </w:rPr>
      </w:pPr>
    </w:p>
    <w:p>
      <w:pPr>
        <w:ind w:left="1920" w:right="760" w:firstLine="43"/>
        <w:spacing w:after="0" w:line="262" w:lineRule="auto"/>
        <w:tabs>
          <w:tab w:leader="none" w:pos="2240"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creates, upon Delivery of Collateral, filing of the financing statements required hereunder and execution of the Account Control Agreement, a first priority, perfected security interest in the Collateral, except as permitted by this Agreement;</w:t>
      </w:r>
    </w:p>
    <w:p>
      <w:pPr>
        <w:spacing w:after="0" w:line="172" w:lineRule="exact"/>
        <w:rPr>
          <w:rFonts w:ascii="Times New Roman" w:cs="Times New Roman" w:eastAsia="Times New Roman" w:hAnsi="Times New Roman"/>
          <w:sz w:val="19"/>
          <w:szCs w:val="19"/>
          <w:color w:val="auto"/>
        </w:rPr>
      </w:pPr>
    </w:p>
    <w:p>
      <w:pPr>
        <w:ind w:left="1720" w:hanging="333"/>
        <w:spacing w:after="0"/>
        <w:tabs>
          <w:tab w:leader="none" w:pos="172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1340" w:right="900" w:firstLine="47"/>
        <w:spacing w:after="0" w:line="258" w:lineRule="auto"/>
        <w:tabs>
          <w:tab w:leader="none" w:pos="166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executed Certificate of Beneficial Ownership and all documentation and other information requested by any such Lender required by bank regulatory authorities under applicable “know your customer” and anti-money laundering rules and regulations,</w:t>
      </w:r>
    </w:p>
    <w:p>
      <w:pPr>
        <w:spacing w:after="0" w:line="2" w:lineRule="exact"/>
        <w:rPr>
          <w:sz w:val="20"/>
          <w:szCs w:val="20"/>
          <w:color w:val="auto"/>
        </w:rPr>
      </w:pPr>
    </w:p>
    <w:p>
      <w:pPr>
        <w:ind w:left="1340" w:right="1080"/>
        <w:spacing w:after="0" w:line="247" w:lineRule="auto"/>
        <w:rPr>
          <w:sz w:val="20"/>
          <w:szCs w:val="20"/>
          <w:color w:val="auto"/>
        </w:rPr>
      </w:pPr>
      <w:r>
        <w:rPr>
          <w:rFonts w:ascii="Times New Roman" w:cs="Times New Roman" w:eastAsia="Times New Roman" w:hAnsi="Times New Roman"/>
          <w:sz w:val="19"/>
          <w:szCs w:val="19"/>
          <w:color w:val="auto"/>
        </w:rPr>
        <w:t>including the Patriot Act; and the Administrative Agent shall have received a fully executed Internal Revenue Service Form W-9 (or its equivalent) for the Borrower, the Collateral Manager and the BDC;</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79" w:name="page180"/>
    <w:bookmarkEnd w:id="179"/>
    <w:p>
      <w:pPr>
        <w:spacing w:after="0" w:line="200" w:lineRule="exact"/>
        <w:rPr>
          <w:sz w:val="20"/>
          <w:szCs w:val="20"/>
          <w:color w:val="auto"/>
        </w:rPr>
      </w:pPr>
    </w:p>
    <w:p>
      <w:pPr>
        <w:spacing w:after="0" w:line="285" w:lineRule="exact"/>
        <w:rPr>
          <w:sz w:val="20"/>
          <w:szCs w:val="20"/>
          <w:color w:val="auto"/>
        </w:rPr>
      </w:pPr>
    </w:p>
    <w:p>
      <w:pPr>
        <w:ind w:left="760" w:right="1320" w:firstLine="50"/>
        <w:spacing w:after="0" w:line="286" w:lineRule="auto"/>
        <w:tabs>
          <w:tab w:leader="none" w:pos="108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closing certificate from the Borrower substantially in the form set forth on Exhibit H hereto;</w:t>
      </w:r>
    </w:p>
    <w:p>
      <w:pPr>
        <w:spacing w:after="0" w:line="151" w:lineRule="exact"/>
        <w:rPr>
          <w:rFonts w:ascii="Times New Roman" w:cs="Times New Roman" w:eastAsia="Times New Roman" w:hAnsi="Times New Roman"/>
          <w:sz w:val="19"/>
          <w:szCs w:val="19"/>
          <w:color w:val="auto"/>
        </w:rPr>
      </w:pPr>
    </w:p>
    <w:p>
      <w:pPr>
        <w:ind w:left="760" w:right="1100" w:firstLine="50"/>
        <w:spacing w:after="0" w:line="286" w:lineRule="auto"/>
        <w:tabs>
          <w:tab w:leader="none" w:pos="108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before the Closing Date, delivery to the Custodian of Related Documents for initial Eligible Collateral Loans;</w:t>
      </w:r>
    </w:p>
    <w:p>
      <w:pPr>
        <w:spacing w:after="0" w:line="151" w:lineRule="exact"/>
        <w:rPr>
          <w:rFonts w:ascii="Times New Roman" w:cs="Times New Roman" w:eastAsia="Times New Roman" w:hAnsi="Times New Roman"/>
          <w:sz w:val="19"/>
          <w:szCs w:val="19"/>
          <w:color w:val="auto"/>
        </w:rPr>
      </w:pPr>
    </w:p>
    <w:p>
      <w:pPr>
        <w:ind w:left="760" w:right="1320" w:firstLine="50"/>
        <w:spacing w:after="0" w:line="286" w:lineRule="auto"/>
        <w:tabs>
          <w:tab w:leader="none" w:pos="108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opinions, instruments, certificates and documents from the Borrower as the Agents or any Lender shall have reasonably requested.</w:t>
      </w:r>
    </w:p>
    <w:p>
      <w:pPr>
        <w:spacing w:after="0" w:line="149" w:lineRule="exact"/>
        <w:rPr>
          <w:sz w:val="20"/>
          <w:szCs w:val="20"/>
          <w:color w:val="auto"/>
        </w:rPr>
      </w:pPr>
    </w:p>
    <w:p>
      <w:pPr>
        <w:ind w:left="760" w:right="82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3.02. Conditions Precedent to Each Borrowing</w:t>
      </w:r>
      <w:r>
        <w:rPr>
          <w:rFonts w:ascii="Times New Roman" w:cs="Times New Roman" w:eastAsia="Times New Roman" w:hAnsi="Times New Roman"/>
          <w:sz w:val="19"/>
          <w:szCs w:val="19"/>
          <w:color w:val="auto"/>
        </w:rPr>
        <w:t>. The obligation of each Lender to make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each Advance to be made by it (including the initial Advance) on each Borrowing Date shall be subject to the fulfillment of the following conditions;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conditions described in clauses (b) and (c) (other than a Default or Event of Default described in Sections 6.01(c) or (f) or in Sections 6.02(c), (e) or (f)) below need not be satisfied if the proceeds of the Borrowing are used to fund Revolving Collateral Loans or Delayed Drawdown Collateral Loans then owned by the Borrower or to settle trades committed to by the Borrower prior to the end of the Reinvestment Period or to fund the Revolving Reserve Account to the extent required under Section 8.04; and this Section 3.02 shall not apply with respect to any Swingline Refinancing Advances:</w:t>
      </w:r>
    </w:p>
    <w:p>
      <w:pPr>
        <w:spacing w:after="0" w:line="186" w:lineRule="exact"/>
        <w:rPr>
          <w:sz w:val="20"/>
          <w:szCs w:val="20"/>
          <w:color w:val="auto"/>
        </w:rPr>
      </w:pPr>
    </w:p>
    <w:p>
      <w:pPr>
        <w:ind w:left="1340" w:right="880" w:firstLine="47"/>
        <w:spacing w:after="0" w:line="268" w:lineRule="auto"/>
        <w:tabs>
          <w:tab w:leader="none" w:pos="1649"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Notice of Borrowing with respect to such Advance (including the Borrowing Base Calculation Statement attached thereto, all duly completed) delivered in accordance with Section 2.02;</w:t>
      </w:r>
    </w:p>
    <w:p>
      <w:pPr>
        <w:spacing w:after="0" w:line="168" w:lineRule="exact"/>
        <w:rPr>
          <w:rFonts w:ascii="Times New Roman" w:cs="Times New Roman" w:eastAsia="Times New Roman" w:hAnsi="Times New Roman"/>
          <w:sz w:val="19"/>
          <w:szCs w:val="19"/>
          <w:color w:val="auto"/>
        </w:rPr>
      </w:pPr>
    </w:p>
    <w:p>
      <w:pPr>
        <w:ind w:left="1340" w:right="1060" w:firstLine="47"/>
        <w:spacing w:after="0" w:line="268" w:lineRule="auto"/>
        <w:tabs>
          <w:tab w:leader="none" w:pos="166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the making of such Advance on the applicable Borrowing Date, each Coverage Test shall be satisfied (as demonstrated on the Borrowing Base Calculation Statement attached to such Notice of Borrowing);</w:t>
      </w:r>
    </w:p>
    <w:p>
      <w:pPr>
        <w:spacing w:after="0" w:line="168" w:lineRule="exact"/>
        <w:rPr>
          <w:rFonts w:ascii="Times New Roman" w:cs="Times New Roman" w:eastAsia="Times New Roman" w:hAnsi="Times New Roman"/>
          <w:sz w:val="19"/>
          <w:szCs w:val="19"/>
          <w:color w:val="auto"/>
        </w:rPr>
      </w:pPr>
    </w:p>
    <w:p>
      <w:pPr>
        <w:ind w:left="1340" w:right="760" w:firstLine="47"/>
        <w:spacing w:after="0" w:line="256" w:lineRule="auto"/>
        <w:tabs>
          <w:tab w:leader="none" w:pos="1649"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representations and warranties of the Borrower contained in this Agreement shall be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shall be true and correct in all material respects as of such earlier date as if made on such date);</w:t>
      </w:r>
    </w:p>
    <w:p>
      <w:pPr>
        <w:spacing w:after="0" w:line="181" w:lineRule="exact"/>
        <w:rPr>
          <w:rFonts w:ascii="Times New Roman" w:cs="Times New Roman" w:eastAsia="Times New Roman" w:hAnsi="Times New Roman"/>
          <w:sz w:val="19"/>
          <w:szCs w:val="19"/>
          <w:color w:val="auto"/>
        </w:rPr>
      </w:pPr>
    </w:p>
    <w:p>
      <w:pPr>
        <w:ind w:left="1340" w:right="940" w:firstLine="47"/>
        <w:spacing w:after="0" w:line="257" w:lineRule="auto"/>
        <w:tabs>
          <w:tab w:leader="none" w:pos="166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requested Advance is denominated in an Agreed Foreign Currency, after giving effect to such Advance, the aggregate outstanding principal balance of all Advances denominated in such currency shall not exceed the Aggregate Principal Balance of all Eligible Collateral Loans denominated in such currency by more than 10% of the Aggregate Principal Balance of all Eligible Collateral Loans denominated in such currency;</w:t>
      </w:r>
    </w:p>
    <w:p>
      <w:pPr>
        <w:spacing w:after="0" w:line="180" w:lineRule="exact"/>
        <w:rPr>
          <w:rFonts w:ascii="Times New Roman" w:cs="Times New Roman" w:eastAsia="Times New Roman" w:hAnsi="Times New Roman"/>
          <w:sz w:val="19"/>
          <w:szCs w:val="19"/>
          <w:color w:val="auto"/>
        </w:rPr>
      </w:pPr>
    </w:p>
    <w:p>
      <w:pPr>
        <w:ind w:left="1340" w:right="1080" w:firstLine="47"/>
        <w:spacing w:after="0" w:line="255" w:lineRule="auto"/>
        <w:tabs>
          <w:tab w:leader="none" w:pos="1649"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Event of Default or Collateral Manager Replacement Event shall have occurred and be continuing at the time of the making of such Advance or shall result upon the making of such Advance; and</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0" w:name="page181"/>
    <w:bookmarkEnd w:id="180"/>
    <w:p>
      <w:pPr>
        <w:spacing w:after="0" w:line="200" w:lineRule="exact"/>
        <w:rPr>
          <w:sz w:val="20"/>
          <w:szCs w:val="20"/>
          <w:color w:val="auto"/>
        </w:rPr>
      </w:pPr>
    </w:p>
    <w:p>
      <w:pPr>
        <w:spacing w:after="0" w:line="28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9"/>
          <w:szCs w:val="19"/>
          <w:color w:val="auto"/>
        </w:rPr>
        <w:t>(f) the Reinvestment Period shall not have terminated.</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Article IV</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226" w:lineRule="exact"/>
        <w:rPr>
          <w:sz w:val="20"/>
          <w:szCs w:val="20"/>
          <w:color w:val="auto"/>
        </w:rPr>
      </w:pPr>
    </w:p>
    <w:p>
      <w:pPr>
        <w:jc w:val="both"/>
        <w:ind w:left="760" w:right="96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Section 4.01. Representations and Warranties of the Borrower</w:t>
      </w:r>
      <w:r>
        <w:rPr>
          <w:rFonts w:ascii="Times New Roman" w:cs="Times New Roman" w:eastAsia="Times New Roman" w:hAnsi="Times New Roman"/>
          <w:sz w:val="19"/>
          <w:szCs w:val="19"/>
          <w:color w:val="auto"/>
        </w:rPr>
        <w:t>. The Borrower represents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warrants to each of the Secured Parties on and as of each Measurement Date (and, in respect of clause (i) below, each date such information is provided by or on behalf of it), as follows:</w:t>
      </w:r>
    </w:p>
    <w:p>
      <w:pPr>
        <w:spacing w:after="0" w:line="166" w:lineRule="exact"/>
        <w:rPr>
          <w:sz w:val="20"/>
          <w:szCs w:val="20"/>
          <w:color w:val="auto"/>
        </w:rPr>
      </w:pPr>
    </w:p>
    <w:p>
      <w:pPr>
        <w:ind w:left="1340" w:right="820" w:firstLine="47"/>
        <w:spacing w:after="0" w:line="260" w:lineRule="auto"/>
        <w:tabs>
          <w:tab w:leader="none" w:pos="1652"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Due Organization</w:t>
      </w:r>
      <w:r>
        <w:rPr>
          <w:rFonts w:ascii="Times New Roman" w:cs="Times New Roman" w:eastAsia="Times New Roman" w:hAnsi="Times New Roman"/>
          <w:sz w:val="19"/>
          <w:szCs w:val="19"/>
          <w:color w:val="auto"/>
        </w:rPr>
        <w:t>. The Borrower is a limited liability company duly organized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72" w:lineRule="exact"/>
        <w:rPr>
          <w:rFonts w:ascii="Times New Roman" w:cs="Times New Roman" w:eastAsia="Times New Roman" w:hAnsi="Times New Roman"/>
          <w:sz w:val="19"/>
          <w:szCs w:val="19"/>
          <w:color w:val="auto"/>
        </w:rPr>
      </w:pPr>
    </w:p>
    <w:p>
      <w:pPr>
        <w:ind w:left="1340" w:right="780" w:firstLine="47"/>
        <w:spacing w:after="0" w:line="256" w:lineRule="auto"/>
        <w:tabs>
          <w:tab w:leader="none" w:pos="1664"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Due Qualification and Good Standing</w:t>
      </w:r>
      <w:r>
        <w:rPr>
          <w:rFonts w:ascii="Times New Roman" w:cs="Times New Roman" w:eastAsia="Times New Roman" w:hAnsi="Times New Roman"/>
          <w:sz w:val="19"/>
          <w:szCs w:val="19"/>
          <w:color w:val="auto"/>
        </w:rPr>
        <w:t>. The Borrower is in good standing in the State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Delaware. The Borrower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81" w:lineRule="exact"/>
        <w:rPr>
          <w:rFonts w:ascii="Times New Roman" w:cs="Times New Roman" w:eastAsia="Times New Roman" w:hAnsi="Times New Roman"/>
          <w:sz w:val="19"/>
          <w:szCs w:val="19"/>
          <w:color w:val="auto"/>
        </w:rPr>
      </w:pPr>
    </w:p>
    <w:p>
      <w:pPr>
        <w:ind w:left="1340" w:right="780" w:firstLine="47"/>
        <w:spacing w:after="0" w:line="254" w:lineRule="auto"/>
        <w:tabs>
          <w:tab w:leader="none" w:pos="1652"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Due Authorization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Execution and Delivery; Legal, Valid and Binding; Enforceability</w:t>
      </w:r>
      <w:r>
        <w:rPr>
          <w:rFonts w:ascii="Times New Roman" w:cs="Times New Roman" w:eastAsia="Times New Roman" w:hAnsi="Times New Roman"/>
          <w:sz w:val="19"/>
          <w:szCs w:val="19"/>
          <w:color w:val="auto"/>
        </w:rPr>
        <w:t>. The execution and delivery by the Borrower of, and the performance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67" w:lineRule="exact"/>
        <w:rPr>
          <w:rFonts w:ascii="Times New Roman" w:cs="Times New Roman" w:eastAsia="Times New Roman" w:hAnsi="Times New Roman"/>
          <w:sz w:val="19"/>
          <w:szCs w:val="19"/>
          <w:color w:val="auto"/>
        </w:rPr>
      </w:pPr>
    </w:p>
    <w:p>
      <w:pPr>
        <w:ind w:left="1340" w:right="780" w:firstLine="47"/>
        <w:spacing w:after="0" w:line="234" w:lineRule="exact"/>
        <w:tabs>
          <w:tab w:leader="none" w:pos="1664"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Contravention</w:t>
      </w:r>
      <w:r>
        <w:rPr>
          <w:rFonts w:ascii="Times New Roman" w:cs="Times New Roman" w:eastAsia="Times New Roman" w:hAnsi="Times New Roman"/>
          <w:sz w:val="19"/>
          <w:szCs w:val="19"/>
          <w:color w:val="auto"/>
        </w:rPr>
        <w:t>. None of the execution and delivery by the Borrower of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or the other Facility Documents to which it is a party, the Borrowings or the pledge of the Collateral hereunder,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w:t>
      </w:r>
    </w:p>
    <w:p>
      <w:pPr>
        <w:spacing w:after="0" w:line="6" w:lineRule="exact"/>
        <w:rPr>
          <w:sz w:val="20"/>
          <w:szCs w:val="20"/>
          <w:color w:val="auto"/>
        </w:rPr>
      </w:pPr>
    </w:p>
    <w:p>
      <w:pPr>
        <w:ind w:left="1340" w:right="860"/>
        <w:spacing w:after="0" w:line="250" w:lineRule="auto"/>
        <w:rPr>
          <w:sz w:val="20"/>
          <w:szCs w:val="20"/>
          <w:color w:val="auto"/>
        </w:rPr>
      </w:pPr>
      <w:r>
        <w:rPr>
          <w:rFonts w:ascii="Times New Roman" w:cs="Times New Roman" w:eastAsia="Times New Roman" w:hAnsi="Times New Roman"/>
          <w:sz w:val="19"/>
          <w:szCs w:val="19"/>
          <w:color w:val="auto"/>
        </w:rPr>
        <w:t>it or any of its assets, including any Related Document, or (C) any order, writ, judgment, award, injunction or decree binding on or affecting it or any of its assets or properties or</w:t>
      </w:r>
    </w:p>
    <w:p>
      <w:pPr>
        <w:spacing w:after="0" w:line="1" w:lineRule="exact"/>
        <w:rPr>
          <w:sz w:val="20"/>
          <w:szCs w:val="20"/>
          <w:color w:val="auto"/>
        </w:rPr>
      </w:pPr>
    </w:p>
    <w:p>
      <w:pPr>
        <w:ind w:left="1340" w:right="980" w:hanging="1"/>
        <w:spacing w:after="0" w:line="247" w:lineRule="auto"/>
        <w:tabs>
          <w:tab w:leader="none" w:pos="1676"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result in a breach or violation of, or constitute a default under, or permit the acceleration of any obligation or liability in, or but for any requirement of the giving of notice or the passage</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1" w:name="page182"/>
    <w:bookmarkEnd w:id="181"/>
    <w:p>
      <w:pPr>
        <w:spacing w:after="0" w:line="200" w:lineRule="exact"/>
        <w:rPr>
          <w:sz w:val="20"/>
          <w:szCs w:val="20"/>
          <w:color w:val="auto"/>
        </w:rPr>
      </w:pPr>
    </w:p>
    <w:p>
      <w:pPr>
        <w:spacing w:after="0" w:line="285" w:lineRule="exact"/>
        <w:rPr>
          <w:sz w:val="20"/>
          <w:szCs w:val="20"/>
          <w:color w:val="auto"/>
        </w:rPr>
      </w:pPr>
    </w:p>
    <w:p>
      <w:pPr>
        <w:ind w:left="1340" w:right="860"/>
        <w:spacing w:after="0" w:line="257" w:lineRule="auto"/>
        <w:rPr>
          <w:sz w:val="20"/>
          <w:szCs w:val="20"/>
          <w:color w:val="auto"/>
        </w:rPr>
      </w:pPr>
      <w:r>
        <w:rPr>
          <w:rFonts w:ascii="Times New Roman" w:cs="Times New Roman" w:eastAsia="Times New Roman" w:hAnsi="Times New Roman"/>
          <w:sz w:val="19"/>
          <w:szCs w:val="19"/>
          <w:color w:val="auto"/>
        </w:rPr>
        <w:t>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179" w:lineRule="exact"/>
        <w:rPr>
          <w:sz w:val="20"/>
          <w:szCs w:val="20"/>
          <w:color w:val="auto"/>
        </w:rPr>
      </w:pPr>
    </w:p>
    <w:p>
      <w:pPr>
        <w:ind w:left="1340" w:right="760" w:firstLine="47"/>
        <w:spacing w:after="0" w:line="253" w:lineRule="auto"/>
        <w:tabs>
          <w:tab w:leader="none" w:pos="1652"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Governmental Authorizations; Private Authorizations; Governmental Filings</w:t>
      </w:r>
      <w:r>
        <w:rPr>
          <w:rFonts w:ascii="Times New Roman" w:cs="Times New Roman" w:eastAsia="Times New Roman" w:hAnsi="Times New Roman"/>
          <w:sz w:val="19"/>
          <w:szCs w:val="19"/>
          <w:color w:val="auto"/>
        </w:rPr>
        <w: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has obtained, maintained 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182" w:lineRule="exact"/>
        <w:rPr>
          <w:rFonts w:ascii="Times New Roman" w:cs="Times New Roman" w:eastAsia="Times New Roman" w:hAnsi="Times New Roman"/>
          <w:sz w:val="19"/>
          <w:szCs w:val="19"/>
          <w:color w:val="auto"/>
        </w:rPr>
      </w:pPr>
    </w:p>
    <w:p>
      <w:pPr>
        <w:ind w:left="1620" w:hanging="233"/>
        <w:spacing w:after="0"/>
        <w:tabs>
          <w:tab w:leader="none" w:pos="162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Compliance with Agreements, Laws, Etc</w:t>
      </w:r>
      <w:r>
        <w:rPr>
          <w:rFonts w:ascii="Times New Roman" w:cs="Times New Roman" w:eastAsia="Times New Roman" w:hAnsi="Times New Roman"/>
          <w:sz w:val="19"/>
          <w:szCs w:val="19"/>
          <w:color w:val="auto"/>
        </w:rPr>
        <w:t>. The Borrower has duly observed and</w:t>
      </w:r>
    </w:p>
    <w:p>
      <w:pPr>
        <w:spacing w:after="0" w:line="33" w:lineRule="exact"/>
        <w:rPr>
          <w:rFonts w:ascii="Times New Roman" w:cs="Times New Roman" w:eastAsia="Times New Roman" w:hAnsi="Times New Roman"/>
          <w:sz w:val="19"/>
          <w:szCs w:val="19"/>
          <w:color w:val="auto"/>
        </w:rPr>
      </w:pPr>
    </w:p>
    <w:p>
      <w:pPr>
        <w:ind w:left="1340" w:right="88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complied in all material respects with all Applicable Laws relating to the conduct 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(1) economic or financial sanctions or trade embargoes (or similar measures) imposed, administered or enforced from time to time by the United States of America, including the U.S. Department of Treasury and/or the U.S. Office of Foreign Asset Controls (</w:t>
      </w:r>
      <w:r>
        <w:rPr>
          <w:rFonts w:ascii="Times New Roman" w:cs="Times New Roman" w:eastAsia="Times New Roman" w:hAnsi="Times New Roman"/>
          <w:sz w:val="19"/>
          <w:szCs w:val="19"/>
          <w:i w:val="1"/>
          <w:iCs w:val="1"/>
          <w:color w:val="auto"/>
        </w:rPr>
        <w:t>“OFAC”</w:t>
      </w:r>
      <w:r>
        <w:rPr>
          <w:rFonts w:ascii="Times New Roman" w:cs="Times New Roman" w:eastAsia="Times New Roman" w:hAnsi="Times New Roman"/>
          <w:sz w:val="19"/>
          <w:szCs w:val="19"/>
          <w:color w:val="auto"/>
        </w:rPr>
        <w:t xml:space="preserve">), including U.S. Executive Order No. 13224, and other related statutes, laws and regulations and (2) Anti-Corruption Laws (collectively, the </w:t>
      </w:r>
      <w:r>
        <w:rPr>
          <w:rFonts w:ascii="Times New Roman" w:cs="Times New Roman" w:eastAsia="Times New Roman" w:hAnsi="Times New Roman"/>
          <w:sz w:val="19"/>
          <w:szCs w:val="19"/>
          <w:i w:val="1"/>
          <w:iCs w:val="1"/>
          <w:color w:val="auto"/>
        </w:rPr>
        <w:t>“Subject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Laws”</w:t>
      </w:r>
      <w:r>
        <w:rPr>
          <w:rFonts w:ascii="Times New Roman" w:cs="Times New Roman" w:eastAsia="Times New Roman" w:hAnsi="Times New Roman"/>
          <w:sz w:val="19"/>
          <w:szCs w:val="19"/>
          <w:color w:val="auto"/>
        </w:rPr>
        <w:t>), (y) the Borrower has adopted internal controls and procedures designed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ensure its continued compliance with the applicable provisions of the Subject Laws and to the extent applicable, will adopt procedures consistent with the PATRIOT Act and implementing regulations, and (z) to the knowledge of the Borrower (based on the implementation of its internal procedures and controls), no investor in the Borrower is a Person whose name appears on the “List of Specially Designated Nationals” and “Blocked Persons” maintained by the OFAC.</w:t>
      </w:r>
    </w:p>
    <w:p>
      <w:pPr>
        <w:spacing w:after="0" w:line="184" w:lineRule="exact"/>
        <w:rPr>
          <w:rFonts w:ascii="Times New Roman" w:cs="Times New Roman" w:eastAsia="Times New Roman" w:hAnsi="Times New Roman"/>
          <w:sz w:val="19"/>
          <w:szCs w:val="19"/>
          <w:color w:val="auto"/>
        </w:rPr>
      </w:pPr>
    </w:p>
    <w:p>
      <w:pPr>
        <w:ind w:left="1340" w:right="920" w:firstLine="47"/>
        <w:spacing w:after="0" w:line="259" w:lineRule="auto"/>
        <w:tabs>
          <w:tab w:leader="none" w:pos="1664"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Location</w:t>
      </w:r>
      <w:r>
        <w:rPr>
          <w:rFonts w:ascii="Times New Roman" w:cs="Times New Roman" w:eastAsia="Times New Roman" w:hAnsi="Times New Roman"/>
          <w:sz w:val="19"/>
          <w:szCs w:val="19"/>
          <w:color w:val="auto"/>
        </w:rPr>
        <w:t>. The Borrower’s chief place of business, its chief executive office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office in which the Borrower maintains its books and records are located in the</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2" w:name="page183"/>
    <w:bookmarkEnd w:id="182"/>
    <w:p>
      <w:pPr>
        <w:spacing w:after="0" w:line="200" w:lineRule="exact"/>
        <w:rPr>
          <w:sz w:val="20"/>
          <w:szCs w:val="20"/>
          <w:color w:val="auto"/>
        </w:rPr>
      </w:pPr>
    </w:p>
    <w:p>
      <w:pPr>
        <w:spacing w:after="0" w:line="285" w:lineRule="exact"/>
        <w:rPr>
          <w:sz w:val="20"/>
          <w:szCs w:val="20"/>
          <w:color w:val="auto"/>
        </w:rPr>
      </w:pPr>
    </w:p>
    <w:p>
      <w:pPr>
        <w:ind w:left="1340" w:right="820"/>
        <w:spacing w:after="0" w:line="286" w:lineRule="auto"/>
        <w:rPr>
          <w:sz w:val="20"/>
          <w:szCs w:val="20"/>
          <w:color w:val="auto"/>
        </w:rPr>
      </w:pPr>
      <w:r>
        <w:rPr>
          <w:rFonts w:ascii="Times New Roman" w:cs="Times New Roman" w:eastAsia="Times New Roman" w:hAnsi="Times New Roman"/>
          <w:sz w:val="19"/>
          <w:szCs w:val="19"/>
          <w:color w:val="auto"/>
        </w:rPr>
        <w:t>State of New York. The Borrower’s registered office and the jurisdiction of organization of the Borrower is the jurisdiction referred to in Section 4.01(a).</w:t>
      </w:r>
    </w:p>
    <w:p>
      <w:pPr>
        <w:spacing w:after="0" w:line="149" w:lineRule="exact"/>
        <w:rPr>
          <w:sz w:val="20"/>
          <w:szCs w:val="20"/>
          <w:color w:val="auto"/>
        </w:rPr>
      </w:pPr>
    </w:p>
    <w:p>
      <w:pPr>
        <w:ind w:left="1340" w:right="1140" w:firstLine="47"/>
        <w:spacing w:after="0" w:line="269" w:lineRule="auto"/>
        <w:tabs>
          <w:tab w:leader="none" w:pos="1664"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Investment Company Act</w:t>
      </w:r>
      <w:r>
        <w:rPr>
          <w:rFonts w:ascii="Times New Roman" w:cs="Times New Roman" w:eastAsia="Times New Roman" w:hAnsi="Times New Roman"/>
          <w:sz w:val="19"/>
          <w:szCs w:val="19"/>
          <w:color w:val="auto"/>
        </w:rPr>
        <w:t>. Assuming compliance by each of the Lenders and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participant with Section 15.06(e), neither the Borrower nor the pool of Collateral is required to register as an “investment company” under the Investment Company Act.</w:t>
      </w:r>
    </w:p>
    <w:p>
      <w:pPr>
        <w:spacing w:after="0" w:line="165" w:lineRule="exact"/>
        <w:rPr>
          <w:rFonts w:ascii="Times New Roman" w:cs="Times New Roman" w:eastAsia="Times New Roman" w:hAnsi="Times New Roman"/>
          <w:sz w:val="19"/>
          <w:szCs w:val="19"/>
          <w:color w:val="auto"/>
        </w:rPr>
      </w:pPr>
    </w:p>
    <w:p>
      <w:pPr>
        <w:ind w:left="1340" w:right="880" w:firstLine="47"/>
        <w:spacing w:after="0" w:line="231" w:lineRule="exact"/>
        <w:tabs>
          <w:tab w:leader="none" w:pos="1616"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Information and Reports</w:t>
      </w:r>
      <w:r>
        <w:rPr>
          <w:rFonts w:ascii="Times New Roman" w:cs="Times New Roman" w:eastAsia="Times New Roman" w:hAnsi="Times New Roman"/>
          <w:sz w:val="19"/>
          <w:szCs w:val="19"/>
          <w:color w:val="auto"/>
        </w:rPr>
        <w:t>. Each Notice of Borrowing, each Monthly Report,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Payment Date Report and all other written information, reports, certificates and statements (other than projections and forward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looking statements) furnished by or on behalf of the Borrower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looking statements furnished by or on behalf of the Borrower were prepared reasonably and in good faith as the date stated herein or as of which they were provided.</w:t>
      </w:r>
    </w:p>
    <w:p>
      <w:pPr>
        <w:spacing w:after="0" w:line="195" w:lineRule="exact"/>
        <w:rPr>
          <w:rFonts w:ascii="Times New Roman" w:cs="Times New Roman" w:eastAsia="Times New Roman" w:hAnsi="Times New Roman"/>
          <w:sz w:val="19"/>
          <w:szCs w:val="19"/>
          <w:color w:val="auto"/>
        </w:rPr>
      </w:pPr>
    </w:p>
    <w:p>
      <w:pPr>
        <w:ind w:left="1340" w:right="780" w:firstLine="47"/>
        <w:spacing w:after="0" w:line="269" w:lineRule="auto"/>
        <w:tabs>
          <w:tab w:leader="none" w:pos="1616"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ERISA</w:t>
      </w:r>
      <w:r>
        <w:rPr>
          <w:rFonts w:ascii="Times New Roman" w:cs="Times New Roman" w:eastAsia="Times New Roman" w:hAnsi="Times New Roman"/>
          <w:sz w:val="19"/>
          <w:szCs w:val="19"/>
          <w:color w:val="auto"/>
        </w:rPr>
        <w:t>. Neither the Borrower nor any member of the ERISA Group has, or during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past five years had, any liability or obligation with respect to any Plan or Multiemployer Plan.</w:t>
      </w:r>
    </w:p>
    <w:p>
      <w:pPr>
        <w:spacing w:after="0" w:line="165" w:lineRule="exact"/>
        <w:rPr>
          <w:rFonts w:ascii="Times New Roman" w:cs="Times New Roman" w:eastAsia="Times New Roman" w:hAnsi="Times New Roman"/>
          <w:sz w:val="19"/>
          <w:szCs w:val="19"/>
          <w:color w:val="auto"/>
        </w:rPr>
      </w:pPr>
    </w:p>
    <w:p>
      <w:pPr>
        <w:ind w:left="1340" w:right="880" w:firstLine="47"/>
        <w:spacing w:after="0" w:line="258" w:lineRule="auto"/>
        <w:tabs>
          <w:tab w:leader="none" w:pos="1664"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 The Borrower has filed all income tax returns and all other material tax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returns which are required to be filed by it, if any, and has paid all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spacing w:after="0" w:line="175" w:lineRule="exact"/>
        <w:rPr>
          <w:rFonts w:ascii="Times New Roman" w:cs="Times New Roman" w:eastAsia="Times New Roman" w:hAnsi="Times New Roman"/>
          <w:sz w:val="19"/>
          <w:szCs w:val="19"/>
          <w:color w:val="auto"/>
        </w:rPr>
      </w:pPr>
    </w:p>
    <w:p>
      <w:pPr>
        <w:ind w:left="1340" w:right="880" w:firstLine="47"/>
        <w:spacing w:after="0" w:line="236" w:lineRule="exact"/>
        <w:tabs>
          <w:tab w:leader="none" w:pos="1616"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Tax Status</w:t>
      </w:r>
      <w:r>
        <w:rPr>
          <w:rFonts w:ascii="Times New Roman" w:cs="Times New Roman" w:eastAsia="Times New Roman" w:hAnsi="Times New Roman"/>
          <w:sz w:val="19"/>
          <w:szCs w:val="19"/>
          <w:color w:val="auto"/>
        </w:rPr>
        <w:t>. For U.S. Federal income tax purposes, assuming that the Advances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constitute debt for such purposes, the Borrower is (i) disregarded as an entity separate from its owner and (ii) has not made an election under U.S. Treasury Regulation Section 301.7701</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 and is not otherwise treated as an association taxable as a corporation.</w:t>
      </w:r>
    </w:p>
    <w:p>
      <w:pPr>
        <w:spacing w:after="0" w:line="185" w:lineRule="exact"/>
        <w:rPr>
          <w:rFonts w:ascii="Times New Roman" w:cs="Times New Roman" w:eastAsia="Times New Roman" w:hAnsi="Times New Roman"/>
          <w:sz w:val="19"/>
          <w:szCs w:val="19"/>
          <w:color w:val="auto"/>
        </w:rPr>
      </w:pPr>
    </w:p>
    <w:p>
      <w:pPr>
        <w:ind w:left="1340" w:right="780" w:firstLine="47"/>
        <w:spacing w:after="0" w:line="269" w:lineRule="auto"/>
        <w:tabs>
          <w:tab w:leader="none" w:pos="1712"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Collections</w:t>
      </w:r>
      <w:r>
        <w:rPr>
          <w:rFonts w:ascii="Times New Roman" w:cs="Times New Roman" w:eastAsia="Times New Roman" w:hAnsi="Times New Roman"/>
          <w:sz w:val="19"/>
          <w:szCs w:val="19"/>
          <w:color w:val="auto"/>
        </w:rPr>
        <w:t>. All Collections payable to the Borrower shall be remitted directly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 Interest Collection Subaccount (in the case of Interest Proceeds) or the applicable Principal Collection Subaccount (in the case of Principal Proceeds).</w:t>
      </w:r>
    </w:p>
    <w:p>
      <w:pPr>
        <w:spacing w:after="0" w:line="165" w:lineRule="exact"/>
        <w:rPr>
          <w:rFonts w:ascii="Times New Roman" w:cs="Times New Roman" w:eastAsia="Times New Roman" w:hAnsi="Times New Roman"/>
          <w:sz w:val="19"/>
          <w:szCs w:val="19"/>
          <w:color w:val="auto"/>
        </w:rPr>
      </w:pPr>
    </w:p>
    <w:p>
      <w:pPr>
        <w:ind w:left="1340" w:right="780" w:firstLine="47"/>
        <w:spacing w:after="0" w:line="258" w:lineRule="auto"/>
        <w:tabs>
          <w:tab w:leader="none" w:pos="1664"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Plan Assets</w:t>
      </w:r>
      <w:r>
        <w:rPr>
          <w:rFonts w:ascii="Times New Roman" w:cs="Times New Roman" w:eastAsia="Times New Roman" w:hAnsi="Times New Roman"/>
          <w:sz w:val="19"/>
          <w:szCs w:val="19"/>
          <w:color w:val="auto"/>
        </w:rPr>
        <w:t>. The assets of the Borrower are not treated as “plan assets” for purposes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Section 3(42) of ERISA and the Collateral is not deemed to be “plan assets” for purposes of Section 3(42) of ERISA. The Borrower has not taken, or omitted to take, any action which would result in any of the Collateral being treated as “plan assets” for purposes of Section 3(42) of ERISA or the occurrence of any Prohibited Transaction in connection with the transactions contemplated hereunder.</w:t>
      </w:r>
    </w:p>
    <w:p>
      <w:pPr>
        <w:spacing w:after="0" w:line="175" w:lineRule="exact"/>
        <w:rPr>
          <w:rFonts w:ascii="Times New Roman" w:cs="Times New Roman" w:eastAsia="Times New Roman" w:hAnsi="Times New Roman"/>
          <w:sz w:val="19"/>
          <w:szCs w:val="19"/>
          <w:color w:val="auto"/>
        </w:rPr>
      </w:pPr>
    </w:p>
    <w:p>
      <w:pPr>
        <w:ind w:left="1340" w:right="1020" w:firstLine="47"/>
        <w:spacing w:after="0" w:line="259" w:lineRule="auto"/>
        <w:tabs>
          <w:tab w:leader="none" w:pos="1664"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Solvency</w:t>
      </w:r>
      <w:r>
        <w:rPr>
          <w:rFonts w:ascii="Times New Roman" w:cs="Times New Roman" w:eastAsia="Times New Roman" w:hAnsi="Times New Roman"/>
          <w:sz w:val="19"/>
          <w:szCs w:val="19"/>
          <w:color w:val="auto"/>
        </w:rPr>
        <w:t>. After giving effect to each Advance hereunder, and the disbursement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proceeds of such Advance, the Borrower is and will be Solvent.</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3" w:name="page184"/>
    <w:bookmarkEnd w:id="183"/>
    <w:p>
      <w:pPr>
        <w:spacing w:after="0" w:line="200" w:lineRule="exact"/>
        <w:rPr>
          <w:sz w:val="20"/>
          <w:szCs w:val="20"/>
          <w:color w:val="auto"/>
        </w:rPr>
      </w:pPr>
    </w:p>
    <w:p>
      <w:pPr>
        <w:spacing w:after="0" w:line="283" w:lineRule="exact"/>
        <w:rPr>
          <w:sz w:val="20"/>
          <w:szCs w:val="20"/>
          <w:color w:val="auto"/>
        </w:rPr>
      </w:pPr>
    </w:p>
    <w:p>
      <w:pPr>
        <w:ind w:left="1340" w:right="1160" w:firstLine="47"/>
        <w:spacing w:after="0" w:line="288" w:lineRule="auto"/>
        <w:tabs>
          <w:tab w:leader="none" w:pos="1664"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Representations Relating to the Collateral</w:t>
      </w:r>
      <w:r>
        <w:rPr>
          <w:rFonts w:ascii="Times New Roman" w:cs="Times New Roman" w:eastAsia="Times New Roman" w:hAnsi="Times New Roman"/>
          <w:sz w:val="19"/>
          <w:szCs w:val="19"/>
          <w:color w:val="auto"/>
        </w:rPr>
        <w:t>. The Borrower hereby represents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warrants that:</w:t>
      </w:r>
    </w:p>
    <w:p>
      <w:pPr>
        <w:spacing w:after="0" w:line="149" w:lineRule="exact"/>
        <w:rPr>
          <w:rFonts w:ascii="Times New Roman" w:cs="Times New Roman" w:eastAsia="Times New Roman" w:hAnsi="Times New Roman"/>
          <w:sz w:val="19"/>
          <w:szCs w:val="19"/>
          <w:color w:val="auto"/>
        </w:rPr>
      </w:pPr>
    </w:p>
    <w:p>
      <w:pPr>
        <w:ind w:left="2200" w:hanging="237"/>
        <w:spacing w:after="0"/>
        <w:tabs>
          <w:tab w:leader="none" w:pos="220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owns and has legal and beneficial title to all Collateral Loans and other</w:t>
      </w:r>
    </w:p>
    <w:p>
      <w:pPr>
        <w:spacing w:after="0" w:line="31" w:lineRule="exact"/>
        <w:rPr>
          <w:rFonts w:ascii="Times New Roman" w:cs="Times New Roman" w:eastAsia="Times New Roman" w:hAnsi="Times New Roman"/>
          <w:sz w:val="19"/>
          <w:szCs w:val="19"/>
          <w:color w:val="auto"/>
        </w:rPr>
      </w:pPr>
    </w:p>
    <w:p>
      <w:pPr>
        <w:ind w:left="1920" w:right="94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Collateral free and clear of any Lien, claim or encumbrance of any person, other than Permitted Liens;</w:t>
      </w:r>
    </w:p>
    <w:p>
      <w:pPr>
        <w:spacing w:after="0" w:line="173" w:lineRule="exact"/>
        <w:rPr>
          <w:rFonts w:ascii="Times New Roman" w:cs="Times New Roman" w:eastAsia="Times New Roman" w:hAnsi="Times New Roman"/>
          <w:sz w:val="19"/>
          <w:szCs w:val="19"/>
          <w:color w:val="auto"/>
        </w:rPr>
      </w:pPr>
    </w:p>
    <w:p>
      <w:pPr>
        <w:ind w:left="1920" w:right="840" w:firstLine="43"/>
        <w:spacing w:after="0" w:line="255" w:lineRule="auto"/>
        <w:tabs>
          <w:tab w:leader="none" w:pos="225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Permitted Liens,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183" w:lineRule="exact"/>
        <w:rPr>
          <w:rFonts w:ascii="Times New Roman" w:cs="Times New Roman" w:eastAsia="Times New Roman" w:hAnsi="Times New Roman"/>
          <w:sz w:val="19"/>
          <w:szCs w:val="19"/>
          <w:color w:val="auto"/>
        </w:rPr>
      </w:pPr>
    </w:p>
    <w:p>
      <w:pPr>
        <w:ind w:left="2300" w:hanging="337"/>
        <w:spacing w:after="0"/>
        <w:tabs>
          <w:tab w:leader="none" w:pos="2300"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constitutes Money, Cash, accounts (as defined in Section</w:t>
      </w:r>
    </w:p>
    <w:p>
      <w:pPr>
        <w:spacing w:after="0" w:line="24" w:lineRule="exact"/>
        <w:rPr>
          <w:sz w:val="20"/>
          <w:szCs w:val="20"/>
          <w:color w:val="auto"/>
        </w:rPr>
      </w:pPr>
    </w:p>
    <w:p>
      <w:pPr>
        <w:ind w:left="1920"/>
        <w:spacing w:after="0" w:line="219" w:lineRule="exact"/>
        <w:rPr>
          <w:sz w:val="20"/>
          <w:szCs w:val="20"/>
          <w:color w:val="auto"/>
        </w:rPr>
      </w:pPr>
      <w:r>
        <w:rPr>
          <w:rFonts w:ascii="Times New Roman" w:cs="Times New Roman" w:eastAsia="Times New Roman" w:hAnsi="Times New Roman"/>
          <w:sz w:val="19"/>
          <w:szCs w:val="19"/>
          <w:color w:val="auto"/>
        </w:rPr>
        <w:t>9</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102(a)(2) of the UCC), Instruments, general intangibles (as defined in Section</w:t>
      </w:r>
    </w:p>
    <w:p>
      <w:pPr>
        <w:spacing w:after="0" w:line="17" w:lineRule="exact"/>
        <w:rPr>
          <w:sz w:val="20"/>
          <w:szCs w:val="20"/>
          <w:color w:val="auto"/>
        </w:rPr>
      </w:pPr>
    </w:p>
    <w:p>
      <w:pPr>
        <w:ind w:left="1920"/>
        <w:spacing w:after="0" w:line="219" w:lineRule="exact"/>
        <w:rPr>
          <w:sz w:val="20"/>
          <w:szCs w:val="20"/>
          <w:color w:val="auto"/>
        </w:rPr>
      </w:pPr>
      <w:r>
        <w:rPr>
          <w:rFonts w:ascii="Times New Roman" w:cs="Times New Roman" w:eastAsia="Times New Roman" w:hAnsi="Times New Roman"/>
          <w:sz w:val="19"/>
          <w:szCs w:val="19"/>
          <w:color w:val="auto"/>
        </w:rPr>
        <w:t>9</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102(a)(42) of the UCC), uncertificated securities (as defined in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w:t>
      </w:r>
    </w:p>
    <w:p>
      <w:pPr>
        <w:spacing w:after="0" w:line="10" w:lineRule="exact"/>
        <w:rPr>
          <w:sz w:val="20"/>
          <w:szCs w:val="20"/>
          <w:color w:val="auto"/>
        </w:rPr>
      </w:pPr>
    </w:p>
    <w:p>
      <w:pPr>
        <w:ind w:left="1920" w:right="900" w:hanging="5"/>
        <w:spacing w:after="0" w:line="231" w:lineRule="exact"/>
        <w:tabs>
          <w:tab w:leader="none" w:pos="2292"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UCC), Certificated Securities or security entitlements to financial assets resulting from the crediting of financial assets to a “securities account” (as defined in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501(a) of the UCC);</w:t>
      </w:r>
    </w:p>
    <w:p>
      <w:pPr>
        <w:spacing w:after="0" w:line="168" w:lineRule="exact"/>
        <w:rPr>
          <w:rFonts w:ascii="Times New Roman" w:cs="Times New Roman" w:eastAsia="Times New Roman" w:hAnsi="Times New Roman"/>
          <w:sz w:val="19"/>
          <w:szCs w:val="19"/>
          <w:color w:val="auto"/>
        </w:rPr>
      </w:pPr>
    </w:p>
    <w:p>
      <w:pPr>
        <w:ind w:left="1920" w:right="800" w:firstLine="43"/>
        <w:spacing w:after="0" w:line="249" w:lineRule="exact"/>
        <w:tabs>
          <w:tab w:leader="none" w:pos="2293"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Covered Accounts constitute “securities accounts” under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501(a) of the UCC;</w:t>
      </w:r>
    </w:p>
    <w:p>
      <w:pPr>
        <w:spacing w:after="0" w:line="194" w:lineRule="exact"/>
        <w:rPr>
          <w:rFonts w:ascii="Times New Roman" w:cs="Times New Roman" w:eastAsia="Times New Roman" w:hAnsi="Times New Roman"/>
          <w:sz w:val="19"/>
          <w:szCs w:val="19"/>
          <w:color w:val="auto"/>
        </w:rPr>
      </w:pPr>
    </w:p>
    <w:p>
      <w:pPr>
        <w:jc w:val="both"/>
        <w:ind w:left="1920" w:right="960" w:firstLine="43"/>
        <w:spacing w:after="0" w:line="258" w:lineRule="auto"/>
        <w:tabs>
          <w:tab w:leader="none" w:pos="2240"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creates a valid, continuing and, upon Delivery of Collateral, filing of the financing statement referred to in clause (viii) and execution of the Account Control Agreement, perfected security interest (as defined in Section</w:t>
      </w:r>
    </w:p>
    <w:p>
      <w:pPr>
        <w:spacing w:after="0" w:line="1" w:lineRule="exact"/>
        <w:rPr>
          <w:rFonts w:ascii="Times New Roman" w:cs="Times New Roman" w:eastAsia="Times New Roman" w:hAnsi="Times New Roman"/>
          <w:sz w:val="19"/>
          <w:szCs w:val="19"/>
          <w:color w:val="auto"/>
        </w:rPr>
      </w:pPr>
    </w:p>
    <w:p>
      <w:pPr>
        <w:ind w:left="1920" w:right="1000"/>
        <w:spacing w:after="0" w:line="228"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201(37) of the UCC) in the Collateral in favor of the Collateral Agent, for the benefit and security of the Secured Parties, which security interest is prior to all other liens (other than Permitted Liens), claims and encumbrances and is enforceable as such against creditors of and purchasers from the Borrower;</w:t>
      </w:r>
    </w:p>
    <w:p>
      <w:pPr>
        <w:spacing w:after="0" w:line="195" w:lineRule="exact"/>
        <w:rPr>
          <w:rFonts w:ascii="Times New Roman" w:cs="Times New Roman" w:eastAsia="Times New Roman" w:hAnsi="Times New Roman"/>
          <w:sz w:val="19"/>
          <w:szCs w:val="19"/>
          <w:color w:val="auto"/>
        </w:rPr>
      </w:pPr>
    </w:p>
    <w:p>
      <w:pPr>
        <w:ind w:left="1920" w:right="860" w:firstLine="43"/>
        <w:spacing w:after="0" w:line="268" w:lineRule="auto"/>
        <w:tabs>
          <w:tab w:leader="none" w:pos="2293"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received all consents and approvals required by the terms of the Related Documents in respect of such Collateral to the pledge hereunder to the Collateral Agent of its interest and rights in such Collateral;</w:t>
      </w:r>
    </w:p>
    <w:p>
      <w:pPr>
        <w:spacing w:after="0" w:line="168" w:lineRule="exact"/>
        <w:rPr>
          <w:rFonts w:ascii="Times New Roman" w:cs="Times New Roman" w:eastAsia="Times New Roman" w:hAnsi="Times New Roman"/>
          <w:sz w:val="19"/>
          <w:szCs w:val="19"/>
          <w:color w:val="auto"/>
        </w:rPr>
      </w:pPr>
    </w:p>
    <w:p>
      <w:pPr>
        <w:ind w:left="1920" w:right="860" w:firstLine="43"/>
        <w:spacing w:after="0" w:line="286" w:lineRule="auto"/>
        <w:tabs>
          <w:tab w:leader="none" w:pos="2346"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Collateral that constitutes Security Entitlements, all such Collateral has been and will have been credited to the Custodial Account; and</w:t>
      </w:r>
    </w:p>
    <w:p>
      <w:pPr>
        <w:spacing w:after="0" w:line="151" w:lineRule="exact"/>
        <w:rPr>
          <w:rFonts w:ascii="Times New Roman" w:cs="Times New Roman" w:eastAsia="Times New Roman" w:hAnsi="Times New Roman"/>
          <w:sz w:val="19"/>
          <w:szCs w:val="19"/>
          <w:color w:val="auto"/>
        </w:rPr>
      </w:pPr>
    </w:p>
    <w:p>
      <w:pPr>
        <w:ind w:left="1920" w:right="900" w:firstLine="43"/>
        <w:spacing w:after="0" w:line="253" w:lineRule="auto"/>
        <w:tabs>
          <w:tab w:leader="none" w:pos="2400"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Collateral that constitutes accounts or general intangibles, the 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4" w:name="page185"/>
    <w:bookmarkEnd w:id="184"/>
    <w:p>
      <w:pPr>
        <w:spacing w:after="0" w:line="200" w:lineRule="exact"/>
        <w:rPr>
          <w:sz w:val="20"/>
          <w:szCs w:val="20"/>
          <w:color w:val="auto"/>
        </w:rPr>
      </w:pPr>
    </w:p>
    <w:p>
      <w:pPr>
        <w:spacing w:after="0" w:line="285" w:lineRule="exact"/>
        <w:rPr>
          <w:sz w:val="20"/>
          <w:szCs w:val="20"/>
          <w:color w:val="auto"/>
        </w:rPr>
      </w:pPr>
    </w:p>
    <w:p>
      <w:pPr>
        <w:ind w:left="1920" w:right="980"/>
        <w:spacing w:after="0" w:line="286" w:lineRule="auto"/>
        <w:rPr>
          <w:sz w:val="20"/>
          <w:szCs w:val="20"/>
          <w:color w:val="auto"/>
        </w:rPr>
      </w:pPr>
      <w:r>
        <w:rPr>
          <w:rFonts w:ascii="Times New Roman" w:cs="Times New Roman" w:eastAsia="Times New Roman" w:hAnsi="Times New Roman"/>
          <w:sz w:val="19"/>
          <w:szCs w:val="19"/>
          <w:color w:val="auto"/>
        </w:rPr>
        <w:t>of the Secured Parties, hereunder (which the Borrower hereby agrees may be an “all asset” filing).</w:t>
      </w:r>
    </w:p>
    <w:p>
      <w:pPr>
        <w:spacing w:after="0" w:line="149" w:lineRule="exact"/>
        <w:rPr>
          <w:sz w:val="20"/>
          <w:szCs w:val="20"/>
          <w:color w:val="auto"/>
        </w:rPr>
      </w:pPr>
    </w:p>
    <w:p>
      <w:pPr>
        <w:ind w:left="760" w:right="920"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Section 4.02. Representations and Warranties of the Collateral Manager</w:t>
      </w:r>
      <w:r>
        <w:rPr>
          <w:rFonts w:ascii="Times New Roman" w:cs="Times New Roman" w:eastAsia="Times New Roman" w:hAnsi="Times New Roman"/>
          <w:sz w:val="19"/>
          <w:szCs w:val="19"/>
          <w:color w:val="auto"/>
        </w:rPr>
        <w:t>. The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Manager represents and warrants to each of the Secured Parties on and as of each Measurement Date (and in respect of clause (i) below, each date such information is provided by or on behalf of it), as follows:</w:t>
      </w:r>
    </w:p>
    <w:p>
      <w:pPr>
        <w:spacing w:after="0" w:line="171" w:lineRule="exact"/>
        <w:rPr>
          <w:sz w:val="20"/>
          <w:szCs w:val="20"/>
          <w:color w:val="auto"/>
        </w:rPr>
      </w:pPr>
    </w:p>
    <w:p>
      <w:pPr>
        <w:ind w:left="1660" w:hanging="273"/>
        <w:spacing w:after="0"/>
        <w:tabs>
          <w:tab w:leader="none" w:pos="166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Due Organization</w:t>
      </w:r>
      <w:r>
        <w:rPr>
          <w:rFonts w:ascii="Times New Roman" w:cs="Times New Roman" w:eastAsia="Times New Roman" w:hAnsi="Times New Roman"/>
          <w:sz w:val="19"/>
          <w:szCs w:val="19"/>
          <w:color w:val="auto"/>
        </w:rPr>
        <w:t>. The Collateral Manager is a limited liability company duly</w:t>
      </w:r>
    </w:p>
    <w:p>
      <w:pPr>
        <w:spacing w:after="0" w:line="33" w:lineRule="exact"/>
        <w:rPr>
          <w:rFonts w:ascii="Times New Roman" w:cs="Times New Roman" w:eastAsia="Times New Roman" w:hAnsi="Times New Roman"/>
          <w:sz w:val="19"/>
          <w:szCs w:val="19"/>
          <w:color w:val="auto"/>
        </w:rPr>
      </w:pPr>
    </w:p>
    <w:p>
      <w:pPr>
        <w:ind w:left="1340" w:right="880"/>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organized and 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79" w:lineRule="exact"/>
        <w:rPr>
          <w:rFonts w:ascii="Times New Roman" w:cs="Times New Roman" w:eastAsia="Times New Roman" w:hAnsi="Times New Roman"/>
          <w:sz w:val="19"/>
          <w:szCs w:val="19"/>
          <w:color w:val="auto"/>
        </w:rPr>
      </w:pPr>
    </w:p>
    <w:p>
      <w:pPr>
        <w:ind w:left="1340" w:right="840" w:firstLine="47"/>
        <w:spacing w:after="0" w:line="255" w:lineRule="auto"/>
        <w:tabs>
          <w:tab w:leader="none" w:pos="1664"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Due Qualification and Good Standing</w:t>
      </w:r>
      <w:r>
        <w:rPr>
          <w:rFonts w:ascii="Times New Roman" w:cs="Times New Roman" w:eastAsia="Times New Roman" w:hAnsi="Times New Roman"/>
          <w:sz w:val="19"/>
          <w:szCs w:val="19"/>
          <w:color w:val="auto"/>
        </w:rPr>
        <w:t>. The Collateral Manager is in good standing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the State of Delaware. The Collateral Manager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183" w:lineRule="exact"/>
        <w:rPr>
          <w:rFonts w:ascii="Times New Roman" w:cs="Times New Roman" w:eastAsia="Times New Roman" w:hAnsi="Times New Roman"/>
          <w:sz w:val="19"/>
          <w:szCs w:val="19"/>
          <w:color w:val="auto"/>
        </w:rPr>
      </w:pPr>
    </w:p>
    <w:p>
      <w:pPr>
        <w:ind w:left="1340" w:right="780" w:firstLine="47"/>
        <w:spacing w:after="0" w:line="254" w:lineRule="auto"/>
        <w:tabs>
          <w:tab w:leader="none" w:pos="1652"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Due Authorization; Execution and Delivery; Legal, Valid and Binding; Enforceability</w:t>
      </w:r>
      <w:r>
        <w:rPr>
          <w:rFonts w:ascii="Times New Roman" w:cs="Times New Roman" w:eastAsia="Times New Roman" w:hAnsi="Times New Roman"/>
          <w:sz w:val="19"/>
          <w:szCs w:val="19"/>
          <w:color w:val="auto"/>
        </w:rPr>
        <w:t>. The execution and delivery by the Collateral Manager of,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67" w:lineRule="exact"/>
        <w:rPr>
          <w:rFonts w:ascii="Times New Roman" w:cs="Times New Roman" w:eastAsia="Times New Roman" w:hAnsi="Times New Roman"/>
          <w:sz w:val="19"/>
          <w:szCs w:val="19"/>
          <w:color w:val="auto"/>
        </w:rPr>
      </w:pPr>
    </w:p>
    <w:p>
      <w:pPr>
        <w:ind w:left="1340" w:right="760" w:firstLine="47"/>
        <w:spacing w:after="0" w:line="233" w:lineRule="exact"/>
        <w:tabs>
          <w:tab w:leader="none" w:pos="1664"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Contravention</w:t>
      </w:r>
      <w:r>
        <w:rPr>
          <w:rFonts w:ascii="Times New Roman" w:cs="Times New Roman" w:eastAsia="Times New Roman" w:hAnsi="Times New Roman"/>
          <w:sz w:val="19"/>
          <w:szCs w:val="19"/>
          <w:color w:val="auto"/>
        </w:rPr>
        <w:t>. None of the execution and delivery by the Collateral Manager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this Agreement or the other Facility Documents to which it is a party,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w:t>
      </w:r>
    </w:p>
    <w:p>
      <w:pPr>
        <w:ind w:left="1340" w:right="780"/>
        <w:spacing w:after="0" w:line="247" w:lineRule="auto"/>
        <w:rPr>
          <w:sz w:val="20"/>
          <w:szCs w:val="20"/>
          <w:color w:val="auto"/>
        </w:rPr>
      </w:pPr>
      <w:r>
        <w:rPr>
          <w:rFonts w:ascii="Times New Roman" w:cs="Times New Roman" w:eastAsia="Times New Roman" w:hAnsi="Times New Roman"/>
          <w:sz w:val="19"/>
          <w:szCs w:val="19"/>
          <w:color w:val="auto"/>
        </w:rPr>
        <w:t>but for any requirement of the giving of notice or the passage of time (or both) would constitute such a conflict with, breach or violation of, or default under, or permit any such acceleration</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5" w:name="page186"/>
    <w:bookmarkEnd w:id="185"/>
    <w:p>
      <w:pPr>
        <w:spacing w:after="0" w:line="200" w:lineRule="exact"/>
        <w:rPr>
          <w:sz w:val="20"/>
          <w:szCs w:val="20"/>
          <w:color w:val="auto"/>
        </w:rPr>
      </w:pPr>
    </w:p>
    <w:p>
      <w:pPr>
        <w:spacing w:after="0" w:line="285" w:lineRule="exact"/>
        <w:rPr>
          <w:sz w:val="20"/>
          <w:szCs w:val="20"/>
          <w:color w:val="auto"/>
        </w:rPr>
      </w:pPr>
    </w:p>
    <w:p>
      <w:pPr>
        <w:ind w:left="1340" w:right="960"/>
        <w:spacing w:after="0" w:line="259" w:lineRule="auto"/>
        <w:rPr>
          <w:sz w:val="20"/>
          <w:szCs w:val="20"/>
          <w:color w:val="auto"/>
        </w:rPr>
      </w:pPr>
      <w:r>
        <w:rPr>
          <w:rFonts w:ascii="Times New Roman" w:cs="Times New Roman" w:eastAsia="Times New Roman" w:hAnsi="Times New Roman"/>
          <w:sz w:val="19"/>
          <w:szCs w:val="19"/>
          <w:color w:val="auto"/>
        </w:rPr>
        <w:t>of,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176" w:lineRule="exact"/>
        <w:rPr>
          <w:sz w:val="20"/>
          <w:szCs w:val="20"/>
          <w:color w:val="auto"/>
        </w:rPr>
      </w:pPr>
    </w:p>
    <w:p>
      <w:pPr>
        <w:ind w:left="1340" w:right="760" w:firstLine="47"/>
        <w:spacing w:after="0" w:line="253" w:lineRule="auto"/>
        <w:tabs>
          <w:tab w:leader="none" w:pos="1652"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Governmental Authorizations; Private Authorizations; Governmental Filings</w:t>
      </w:r>
      <w:r>
        <w:rPr>
          <w:rFonts w:ascii="Times New Roman" w:cs="Times New Roman" w:eastAsia="Times New Roman" w:hAnsi="Times New Roman"/>
          <w:sz w:val="19"/>
          <w:szCs w:val="19"/>
          <w:color w:val="auto"/>
        </w:rPr>
        <w: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Collateral Manager has obtained, maintained 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the Collateral Manager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spacing w:after="0" w:line="189" w:lineRule="exact"/>
        <w:rPr>
          <w:rFonts w:ascii="Times New Roman" w:cs="Times New Roman" w:eastAsia="Times New Roman" w:hAnsi="Times New Roman"/>
          <w:sz w:val="19"/>
          <w:szCs w:val="19"/>
          <w:color w:val="auto"/>
        </w:rPr>
      </w:pPr>
    </w:p>
    <w:p>
      <w:pPr>
        <w:ind w:left="1340" w:right="780" w:firstLine="47"/>
        <w:spacing w:after="0" w:line="253" w:lineRule="auto"/>
        <w:tabs>
          <w:tab w:leader="none" w:pos="1628"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Compliance with Agreements, Laws, Etc. </w:t>
      </w:r>
      <w:r>
        <w:rPr>
          <w:rFonts w:ascii="Times New Roman" w:cs="Times New Roman" w:eastAsia="Times New Roman" w:hAnsi="Times New Roman"/>
          <w:sz w:val="19"/>
          <w:szCs w:val="19"/>
          <w:color w:val="auto"/>
        </w:rPr>
        <w:t>The Collateral Manager has duly observed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complied in all material respects with all Applicable Laws, including the Securities Act and the Investment Company Act, relating to the conduct of its business and its assets. The Collateral Manager has preserved and kept in full force and effect its legal existence. The Collateral Manager has preserved and kept in full force and effect its rights, privileges, qualifications and franchises, except where the failure to do so could not reasonably be expected to result in a Material Adverse Effect. Without limiting the foregoing, (x) to the extent applicable, the Collateral Manager is in compliance in all material respects with Subject Laws, (y) the Collateral Manager has adopted internal controls and procedures designed to ensure its continued compliance with the applicable provisions of the Subject Laws and to the extent applicable, will adopt procedures consistent with the PATRIOT Act and implementing regulations, once such regulations have been finalized, and (z) to the knowledge of the Collateral Manager (based on the implementation of its internal procedures and controls), no investor in the Collateral Manager is a Person whose name appears on the “List of Specially Designated Nationals” and “Blocked Persons” maintained by the OFAC.</w:t>
      </w:r>
    </w:p>
    <w:p>
      <w:pPr>
        <w:spacing w:after="0" w:line="180" w:lineRule="exact"/>
        <w:rPr>
          <w:rFonts w:ascii="Times New Roman" w:cs="Times New Roman" w:eastAsia="Times New Roman" w:hAnsi="Times New Roman"/>
          <w:sz w:val="19"/>
          <w:szCs w:val="19"/>
          <w:color w:val="auto"/>
        </w:rPr>
      </w:pPr>
    </w:p>
    <w:p>
      <w:pPr>
        <w:ind w:left="1340" w:right="840" w:firstLine="47"/>
        <w:spacing w:after="0" w:line="260" w:lineRule="auto"/>
        <w:tabs>
          <w:tab w:leader="none" w:pos="1664"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Location of Records</w:t>
      </w:r>
      <w:r>
        <w:rPr>
          <w:rFonts w:ascii="Times New Roman" w:cs="Times New Roman" w:eastAsia="Times New Roman" w:hAnsi="Times New Roman"/>
          <w:sz w:val="19"/>
          <w:szCs w:val="19"/>
          <w:color w:val="auto"/>
        </w:rPr>
        <w:t>. The Collateral Manager’s chief place of business, its chief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executive office and the office in which the Collateral Manager maintains its books and records are located in the State of New York. The Collateral Manager’s registered office and the jurisdiction of organization of the Collateral Manager is the jurisdiction referred to in Section 4.02(a).</w:t>
      </w:r>
    </w:p>
    <w:p>
      <w:pPr>
        <w:spacing w:after="0" w:line="172"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Investment Company Act</w:t>
      </w:r>
      <w:r>
        <w:rPr>
          <w:rFonts w:ascii="Times New Roman" w:cs="Times New Roman" w:eastAsia="Times New Roman" w:hAnsi="Times New Roman"/>
          <w:sz w:val="19"/>
          <w:szCs w:val="19"/>
          <w:color w:val="auto"/>
        </w:rPr>
        <w:t>. The Collateral Manager is registered as an “investment</w:t>
      </w:r>
    </w:p>
    <w:p>
      <w:pPr>
        <w:spacing w:after="0" w:line="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company” under the Investment Company Act.</w:t>
      </w:r>
    </w:p>
    <w:p>
      <w:pPr>
        <w:spacing w:after="0" w:line="2" w:lineRule="exact"/>
        <w:rPr>
          <w:sz w:val="20"/>
          <w:szCs w:val="20"/>
          <w:color w:val="auto"/>
        </w:rPr>
      </w:pPr>
    </w:p>
    <w:p>
      <w:pPr>
        <w:ind w:left="436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6" w:name="page187"/>
    <w:bookmarkEnd w:id="186"/>
    <w:p>
      <w:pPr>
        <w:spacing w:after="0" w:line="200" w:lineRule="exact"/>
        <w:rPr>
          <w:sz w:val="20"/>
          <w:szCs w:val="20"/>
          <w:color w:val="auto"/>
        </w:rPr>
      </w:pPr>
    </w:p>
    <w:p>
      <w:pPr>
        <w:spacing w:after="0" w:line="283" w:lineRule="exact"/>
        <w:rPr>
          <w:sz w:val="20"/>
          <w:szCs w:val="20"/>
          <w:color w:val="auto"/>
        </w:rPr>
      </w:pPr>
    </w:p>
    <w:p>
      <w:pPr>
        <w:ind w:left="1340" w:right="1160" w:firstLine="47"/>
        <w:spacing w:after="0" w:line="231" w:lineRule="exact"/>
        <w:tabs>
          <w:tab w:leader="none" w:pos="1616"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Information and Reports</w:t>
      </w:r>
      <w:r>
        <w:rPr>
          <w:rFonts w:ascii="Times New Roman" w:cs="Times New Roman" w:eastAsia="Times New Roman" w:hAnsi="Times New Roman"/>
          <w:sz w:val="19"/>
          <w:szCs w:val="19"/>
          <w:color w:val="auto"/>
        </w:rPr>
        <w:t>. Each Notice of Borrowing, each Monthly Report,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Payment Date Report and all other written information, reports, certificates and statements (other than projections and forward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looking statements) furnished by the Collateral Manager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looking statements furnished by or on behalf of the Collateral Manager were prepared reasonably and in good faith as the date stated herein or as of which they were provided.</w:t>
      </w:r>
    </w:p>
    <w:p>
      <w:pPr>
        <w:spacing w:after="0" w:line="195" w:lineRule="exact"/>
        <w:rPr>
          <w:rFonts w:ascii="Times New Roman" w:cs="Times New Roman" w:eastAsia="Times New Roman" w:hAnsi="Times New Roman"/>
          <w:sz w:val="19"/>
          <w:szCs w:val="19"/>
          <w:color w:val="auto"/>
        </w:rPr>
      </w:pPr>
    </w:p>
    <w:p>
      <w:pPr>
        <w:ind w:left="1340" w:right="860" w:firstLine="47"/>
        <w:spacing w:after="0" w:line="269" w:lineRule="auto"/>
        <w:tabs>
          <w:tab w:leader="none" w:pos="1616"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ERISA</w:t>
      </w:r>
      <w:r>
        <w:rPr>
          <w:rFonts w:ascii="Times New Roman" w:cs="Times New Roman" w:eastAsia="Times New Roman" w:hAnsi="Times New Roman"/>
          <w:sz w:val="19"/>
          <w:szCs w:val="19"/>
          <w:color w:val="auto"/>
        </w:rPr>
        <w:t>. Neither the Collateral Manager nor any member of the ERISA Group has,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during the past five years had, any liability or obligation with respect to any Plan or Multiemployer Plan.</w:t>
      </w:r>
    </w:p>
    <w:p>
      <w:pPr>
        <w:spacing w:after="0" w:line="165" w:lineRule="exact"/>
        <w:rPr>
          <w:rFonts w:ascii="Times New Roman" w:cs="Times New Roman" w:eastAsia="Times New Roman" w:hAnsi="Times New Roman"/>
          <w:sz w:val="19"/>
          <w:szCs w:val="19"/>
          <w:color w:val="auto"/>
        </w:rPr>
      </w:pPr>
    </w:p>
    <w:p>
      <w:pPr>
        <w:ind w:left="1340" w:right="840" w:firstLine="47"/>
        <w:spacing w:after="0" w:line="258" w:lineRule="auto"/>
        <w:tabs>
          <w:tab w:leader="none" w:pos="1664"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 The Collateral Manager has filed all income tax returns and all other material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tax returns which are required to be filed by it, if any, and has paid all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Article V</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226" w:lineRule="exact"/>
        <w:rPr>
          <w:sz w:val="20"/>
          <w:szCs w:val="20"/>
          <w:color w:val="auto"/>
        </w:rPr>
      </w:pPr>
    </w:p>
    <w:p>
      <w:pPr>
        <w:jc w:val="both"/>
        <w:ind w:left="760" w:right="88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5.01. Affirmative Covenants of the Borrower </w:t>
      </w:r>
      <w:r>
        <w:rPr>
          <w:rFonts w:ascii="Times New Roman" w:cs="Times New Roman" w:eastAsia="Times New Roman" w:hAnsi="Times New Roman"/>
          <w:sz w:val="19"/>
          <w:szCs w:val="19"/>
          <w:color w:val="auto"/>
        </w:rPr>
        <w:t>. The Borrower covenants and agrees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until the Final Maturity Date (and thereafter until the date that all Obligations have been paid in full):</w:t>
      </w:r>
    </w:p>
    <w:p>
      <w:pPr>
        <w:spacing w:after="0" w:line="166" w:lineRule="exact"/>
        <w:rPr>
          <w:sz w:val="20"/>
          <w:szCs w:val="20"/>
          <w:color w:val="auto"/>
        </w:rPr>
      </w:pPr>
    </w:p>
    <w:p>
      <w:pPr>
        <w:ind w:left="1340" w:right="840" w:firstLine="47"/>
        <w:spacing w:after="0" w:line="253" w:lineRule="auto"/>
        <w:tabs>
          <w:tab w:leader="none" w:pos="1652"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Compliance with Agreements, Laws, Etc</w:t>
      </w:r>
      <w:r>
        <w:rPr>
          <w:rFonts w:ascii="Times New Roman" w:cs="Times New Roman" w:eastAsia="Times New Roman" w:hAnsi="Times New Roman"/>
          <w:sz w:val="19"/>
          <w:szCs w:val="19"/>
          <w:color w:val="auto"/>
        </w:rPr>
        <w:t>. It shall (i) duly observe, comply in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its Constituent Documents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its Constituent Documents and the Related Documents to which it is a party.</w:t>
      </w:r>
    </w:p>
    <w:p>
      <w:pPr>
        <w:spacing w:after="0" w:line="189" w:lineRule="exact"/>
        <w:rPr>
          <w:rFonts w:ascii="Times New Roman" w:cs="Times New Roman" w:eastAsia="Times New Roman" w:hAnsi="Times New Roman"/>
          <w:sz w:val="19"/>
          <w:szCs w:val="19"/>
          <w:color w:val="auto"/>
        </w:rPr>
      </w:pPr>
    </w:p>
    <w:p>
      <w:pPr>
        <w:ind w:left="1340" w:right="840" w:firstLine="47"/>
        <w:spacing w:after="0" w:line="255" w:lineRule="auto"/>
        <w:tabs>
          <w:tab w:leader="none" w:pos="1664"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Enforcement</w:t>
      </w:r>
      <w:r>
        <w:rPr>
          <w:rFonts w:ascii="Times New Roman" w:cs="Times New Roman" w:eastAsia="Times New Roman" w:hAnsi="Times New Roman"/>
          <w:sz w:val="19"/>
          <w:szCs w:val="19"/>
          <w:color w:val="auto"/>
        </w:rPr>
        <w:t>. (i) It shall not take any action, and will use commercially reasonable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efforts not to permit any action to be taken by others, that would release any Person from any of such Person’s covenants or obligations under any instrument included in the Collateral, except in the case of (A) repayment of Collateral Loans, (B) subject to</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7" w:name="page188"/>
    <w:bookmarkEnd w:id="187"/>
    <w:p>
      <w:pPr>
        <w:spacing w:after="0" w:line="200" w:lineRule="exact"/>
        <w:rPr>
          <w:sz w:val="20"/>
          <w:szCs w:val="20"/>
          <w:color w:val="auto"/>
        </w:rPr>
      </w:pPr>
    </w:p>
    <w:p>
      <w:pPr>
        <w:spacing w:after="0" w:line="285" w:lineRule="exact"/>
        <w:rPr>
          <w:sz w:val="20"/>
          <w:szCs w:val="20"/>
          <w:color w:val="auto"/>
        </w:rPr>
      </w:pPr>
    </w:p>
    <w:p>
      <w:pPr>
        <w:ind w:left="1340" w:right="780"/>
        <w:spacing w:after="0" w:line="232" w:lineRule="exact"/>
        <w:rPr>
          <w:sz w:val="20"/>
          <w:szCs w:val="20"/>
          <w:color w:val="auto"/>
        </w:rPr>
      </w:pPr>
      <w:r>
        <w:rPr>
          <w:rFonts w:ascii="Times New Roman" w:cs="Times New Roman" w:eastAsia="Times New Roman" w:hAnsi="Times New Roman"/>
          <w:sz w:val="19"/>
          <w:szCs w:val="19"/>
          <w:color w:val="auto"/>
        </w:rPr>
        <w:t>Section 5.01(k) hereof and the other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actions taken or work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outs with respect to any Defaulted Collateral Loan in accordance with the provisions hereof, and (C) actions by the Collateral Manager under this Agreement and in conformity with this Agreement or as otherwise required hereby.</w:t>
      </w:r>
    </w:p>
    <w:p>
      <w:pPr>
        <w:spacing w:after="0" w:line="194" w:lineRule="exact"/>
        <w:rPr>
          <w:sz w:val="20"/>
          <w:szCs w:val="20"/>
          <w:color w:val="auto"/>
        </w:rPr>
      </w:pPr>
    </w:p>
    <w:p>
      <w:pPr>
        <w:ind w:left="1340" w:right="940" w:firstLine="47"/>
        <w:spacing w:after="0" w:line="255" w:lineRule="auto"/>
        <w:tabs>
          <w:tab w:leader="none" w:pos="167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will not, without the prior written consent of the Administrative Agent and the Required Lenders, contract with other Persons for the performance of actions and obligations to be performed by the Borrower or the Collateral Manager hereunder. Notwithstanding any such arrangement, the Borrower shall remain primarily liable with respect thereto. The Borrower will punctually perform, and use its reasonably commercial efforts to cause the Collateral Manager, the Collateral Administrator and such other Person to perform, all of their obligations and agreements contained in this Agreement or any other Facility Document.</w:t>
      </w:r>
    </w:p>
    <w:p>
      <w:pPr>
        <w:spacing w:after="0" w:line="182" w:lineRule="exact"/>
        <w:rPr>
          <w:sz w:val="20"/>
          <w:szCs w:val="20"/>
          <w:color w:val="auto"/>
        </w:rPr>
      </w:pPr>
    </w:p>
    <w:p>
      <w:pPr>
        <w:ind w:left="1340" w:right="780" w:firstLine="47"/>
        <w:spacing w:after="0" w:line="229" w:lineRule="exact"/>
        <w:tabs>
          <w:tab w:leader="none" w:pos="1652"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Further Assurances</w:t>
      </w:r>
      <w:r>
        <w:rPr>
          <w:rFonts w:ascii="Times New Roman" w:cs="Times New Roman" w:eastAsia="Times New Roman" w:hAnsi="Times New Roman"/>
          <w:sz w:val="19"/>
          <w:szCs w:val="19"/>
          <w:color w:val="auto"/>
        </w:rPr>
        <w:t>. It shall promptly upon the reasonable request of either Agent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Required Lenders (through the Administrative Agent), at the Borrower’s expense, execute and deliver such further instruments and take such further action in order to maintain and protect the Collateral Agent’s first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priority perfected security interest in the Collateral pledged by the Borrower for the benefit of the Secured Parties free and clear of any Liens (other than Permitted Liens). At the reasonable request of either Agent or the Required Lenders (through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Subject to Section 7.02, and without limiting its obligation to maintain and protect the Collateral Agent’s first priority security interest in the Collateral, the Borrower authorizes the Collateral Agent to file or record financing statements (including financing statements describing the Collateral as “all assets” or the equivalent) and other filing or recording documents or instruments with respect to the Collateral in such form and in such offices as are necessary to perfect the security interests of the Collateral Agent under this Agreement under each method of perfection required herein with respect to the Collateral,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Collateral Agent does not hereby assume any obligation of the Borrower to maintain and protect its security interest under this Section 5.01 or Section 7.07.</w:t>
      </w:r>
    </w:p>
    <w:p>
      <w:pPr>
        <w:spacing w:after="0" w:line="209" w:lineRule="exact"/>
        <w:rPr>
          <w:sz w:val="20"/>
          <w:szCs w:val="20"/>
          <w:color w:val="auto"/>
        </w:rPr>
      </w:pPr>
    </w:p>
    <w:p>
      <w:pPr>
        <w:ind w:left="1340" w:right="760" w:firstLine="576"/>
        <w:spacing w:after="0" w:line="252" w:lineRule="auto"/>
        <w:rPr>
          <w:sz w:val="20"/>
          <w:szCs w:val="20"/>
          <w:color w:val="auto"/>
        </w:rPr>
      </w:pPr>
      <w:r>
        <w:rPr>
          <w:rFonts w:ascii="Times New Roman" w:cs="Times New Roman" w:eastAsia="Times New Roman" w:hAnsi="Times New Roman"/>
          <w:sz w:val="19"/>
          <w:szCs w:val="19"/>
          <w:color w:val="auto"/>
        </w:rPr>
        <w:t>In addition, the Borrower will take such reasonable action from time to time as shall be necessary to ensure that all assets (including all Covered Accounts) of the Borrower constitute “Collateral” hereunder. Subject to the foregoing, the Borrower will, and, upon the reasonable request of either Agent shall, at the Borrower’s expense, take such other action (including executing and delivering or authorizing for filing any required UCC financing statements) as shall be necessary to create and perfect a valid and enforceable</w:t>
      </w:r>
    </w:p>
    <w:p>
      <w:pPr>
        <w:spacing w:after="0" w:line="6"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8" w:name="page189"/>
    <w:bookmarkEnd w:id="188"/>
    <w:p>
      <w:pPr>
        <w:spacing w:after="0" w:line="200" w:lineRule="exact"/>
        <w:rPr>
          <w:sz w:val="20"/>
          <w:szCs w:val="20"/>
          <w:color w:val="auto"/>
        </w:rPr>
      </w:pPr>
    </w:p>
    <w:p>
      <w:pPr>
        <w:spacing w:after="0" w:line="266" w:lineRule="exact"/>
        <w:rPr>
          <w:sz w:val="20"/>
          <w:szCs w:val="20"/>
          <w:color w:val="auto"/>
        </w:rPr>
      </w:pPr>
    </w:p>
    <w:p>
      <w:pPr>
        <w:ind w:left="1340" w:right="880"/>
        <w:spacing w:after="0" w:line="235" w:lineRule="exact"/>
        <w:rPr>
          <w:sz w:val="20"/>
          <w:szCs w:val="20"/>
          <w:color w:val="auto"/>
        </w:rPr>
      </w:pPr>
      <w:r>
        <w:rPr>
          <w:rFonts w:ascii="Times New Roman" w:cs="Times New Roman" w:eastAsia="Times New Roman" w:hAnsi="Times New Roman"/>
          <w:sz w:val="19"/>
          <w:szCs w:val="19"/>
          <w:color w:val="auto"/>
        </w:rPr>
        <w:t>first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Section 3.01 on the Funding Effective Date or as either Agent or the Required Lenders (through the Administrative Agent) shall have reasonably requested.</w:t>
      </w:r>
    </w:p>
    <w:p>
      <w:pPr>
        <w:spacing w:after="0" w:line="192" w:lineRule="exact"/>
        <w:rPr>
          <w:sz w:val="20"/>
          <w:szCs w:val="20"/>
          <w:color w:val="auto"/>
        </w:rPr>
      </w:pPr>
    </w:p>
    <w:p>
      <w:pPr>
        <w:ind w:left="1340" w:right="1080" w:firstLine="47"/>
        <w:spacing w:after="0" w:line="263" w:lineRule="auto"/>
        <w:tabs>
          <w:tab w:leader="none" w:pos="1664"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Financial Statements; Other Information</w:t>
      </w:r>
      <w:r>
        <w:rPr>
          <w:rFonts w:ascii="Times New Roman" w:cs="Times New Roman" w:eastAsia="Times New Roman" w:hAnsi="Times New Roman"/>
          <w:sz w:val="19"/>
          <w:szCs w:val="19"/>
          <w:color w:val="auto"/>
        </w:rPr>
        <w:t>. It shall provide to the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Agent or cause to be provided to the Administrative Agent (with enough additional copies for each Lender) with a copy to the Collateral Agent and the Backup Collateral Manager:</w:t>
      </w:r>
    </w:p>
    <w:p>
      <w:pPr>
        <w:spacing w:after="0" w:line="172" w:lineRule="exact"/>
        <w:rPr>
          <w:rFonts w:ascii="Times New Roman" w:cs="Times New Roman" w:eastAsia="Times New Roman" w:hAnsi="Times New Roman"/>
          <w:sz w:val="19"/>
          <w:szCs w:val="19"/>
          <w:color w:val="auto"/>
        </w:rPr>
      </w:pPr>
    </w:p>
    <w:p>
      <w:pPr>
        <w:ind w:left="1920" w:right="760" w:firstLine="43"/>
        <w:spacing w:after="0" w:line="254" w:lineRule="auto"/>
        <w:tabs>
          <w:tab w:leader="none" w:pos="2197"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ninety (90) days after the end of each fiscal year of the BDC, its audited consolidated balance sheet and related statements of operations, stockholders’ equity and cash flows (with a consolidating schedule showing such statements for the Borrower)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BDC and its consolidated subsidiaries on a consolidated basis in accordance with GAAP consistently applied;</w:t>
      </w:r>
    </w:p>
    <w:p>
      <w:pPr>
        <w:spacing w:after="0" w:line="162" w:lineRule="exact"/>
        <w:rPr>
          <w:rFonts w:ascii="Times New Roman" w:cs="Times New Roman" w:eastAsia="Times New Roman" w:hAnsi="Times New Roman"/>
          <w:sz w:val="19"/>
          <w:szCs w:val="19"/>
          <w:color w:val="auto"/>
        </w:rPr>
      </w:pPr>
    </w:p>
    <w:p>
      <w:pPr>
        <w:ind w:left="1920" w:right="760" w:firstLine="43"/>
        <w:spacing w:after="0" w:line="232" w:lineRule="exact"/>
        <w:tabs>
          <w:tab w:leader="none" w:pos="2250"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forty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five (45) days after the end of each of the first three fiscal quarters of each fiscal year of the BDC, its unaudited consolidated balance sheet and related statements of operations, stockholders’ equity and cash flows (with a consolidating schedule showing such statements for the Borrower)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senior financial officers as presenting fairly in all material respects the financial condition and results of operations of the BDC and its consolidated subsidiaries on a consolidated basis in accordance with GAAP consistently applied, subject to normal year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end audit adjustments and the absence of footnotes;</w:t>
      </w:r>
    </w:p>
    <w:p>
      <w:pPr>
        <w:spacing w:after="0" w:line="178" w:lineRule="exact"/>
        <w:rPr>
          <w:rFonts w:ascii="Times New Roman" w:cs="Times New Roman" w:eastAsia="Times New Roman" w:hAnsi="Times New Roman"/>
          <w:sz w:val="19"/>
          <w:szCs w:val="19"/>
          <w:color w:val="auto"/>
        </w:rPr>
      </w:pPr>
    </w:p>
    <w:p>
      <w:pPr>
        <w:jc w:val="both"/>
        <w:ind w:left="1920" w:right="1000" w:firstLine="43"/>
        <w:spacing w:after="0" w:line="239" w:lineRule="exact"/>
        <w:tabs>
          <w:tab w:leader="none" w:pos="2304"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forty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five (45) days after the end of each fiscal quarter (other than a fiscal year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end) and ninety (90) days after the end of each fiscal year, copies of the quarterly valuation statements for the BDC in accordance with Applicable Law;</w:t>
      </w:r>
    </w:p>
    <w:p>
      <w:pPr>
        <w:spacing w:after="0" w:line="193" w:lineRule="exact"/>
        <w:rPr>
          <w:rFonts w:ascii="Times New Roman" w:cs="Times New Roman" w:eastAsia="Times New Roman" w:hAnsi="Times New Roman"/>
          <w:sz w:val="19"/>
          <w:szCs w:val="19"/>
          <w:color w:val="auto"/>
        </w:rPr>
      </w:pPr>
    </w:p>
    <w:p>
      <w:pPr>
        <w:ind w:left="1920" w:right="840" w:firstLine="43"/>
        <w:spacing w:after="0" w:line="254" w:lineRule="auto"/>
        <w:tabs>
          <w:tab w:leader="none" w:pos="2293"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possible, and in any event within two Business Days after a Responsible Officer of the Collateral Manager or a Responsible Officer of the Borrower obtains actual knowledge of the occurrence and continuance of any (w) Default or (x) Event of Default, a certificate of a Responsible Officer of the</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89" w:name="page190"/>
    <w:bookmarkEnd w:id="189"/>
    <w:p>
      <w:pPr>
        <w:spacing w:after="0" w:line="200" w:lineRule="exact"/>
        <w:rPr>
          <w:sz w:val="20"/>
          <w:szCs w:val="20"/>
          <w:color w:val="auto"/>
        </w:rPr>
      </w:pPr>
    </w:p>
    <w:p>
      <w:pPr>
        <w:spacing w:after="0" w:line="285" w:lineRule="exact"/>
        <w:rPr>
          <w:sz w:val="20"/>
          <w:szCs w:val="20"/>
          <w:color w:val="auto"/>
        </w:rPr>
      </w:pPr>
    </w:p>
    <w:p>
      <w:pPr>
        <w:ind w:left="1920" w:right="1080"/>
        <w:spacing w:after="0" w:line="286" w:lineRule="auto"/>
        <w:rPr>
          <w:sz w:val="20"/>
          <w:szCs w:val="20"/>
          <w:color w:val="auto"/>
        </w:rPr>
      </w:pPr>
      <w:r>
        <w:rPr>
          <w:rFonts w:ascii="Times New Roman" w:cs="Times New Roman" w:eastAsia="Times New Roman" w:hAnsi="Times New Roman"/>
          <w:sz w:val="19"/>
          <w:szCs w:val="19"/>
          <w:color w:val="auto"/>
        </w:rPr>
        <w:t>Borrower setting forth the details thereof and the action which the Borrower is taking or proposes to take with respect thereto;</w:t>
      </w:r>
    </w:p>
    <w:p>
      <w:pPr>
        <w:spacing w:after="0" w:line="151" w:lineRule="exact"/>
        <w:rPr>
          <w:sz w:val="20"/>
          <w:szCs w:val="20"/>
          <w:color w:val="auto"/>
        </w:rPr>
      </w:pPr>
    </w:p>
    <w:p>
      <w:pPr>
        <w:ind w:left="1920" w:right="1080" w:firstLine="43"/>
        <w:spacing w:after="0" w:line="259" w:lineRule="auto"/>
        <w:tabs>
          <w:tab w:leader="none" w:pos="224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time to time such additional information regarding the Borrower’s financial position or business and the Collateral (including reasonably detailed calculations of each Coverage Test and Collateral Quality Test) as the Administrative Agent or the Required Lenders (through the Administrative Agent) may request if reasonably available to the Borrower;</w:t>
      </w:r>
    </w:p>
    <w:p>
      <w:pPr>
        <w:spacing w:after="0" w:line="177" w:lineRule="exact"/>
        <w:rPr>
          <w:rFonts w:ascii="Times New Roman" w:cs="Times New Roman" w:eastAsia="Times New Roman" w:hAnsi="Times New Roman"/>
          <w:sz w:val="19"/>
          <w:szCs w:val="19"/>
          <w:color w:val="auto"/>
        </w:rPr>
      </w:pPr>
    </w:p>
    <w:p>
      <w:pPr>
        <w:jc w:val="both"/>
        <w:ind w:left="1920" w:right="1060" w:firstLine="43"/>
        <w:spacing w:after="0" w:line="268" w:lineRule="auto"/>
        <w:tabs>
          <w:tab w:leader="none" w:pos="2293"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occurrence of any ERISA Event, notice of such ERISA Event and copies of any communications with all Governmental Authorities or any Multiemployer Plan with respect to such ERISA Event;</w:t>
      </w:r>
    </w:p>
    <w:p>
      <w:pPr>
        <w:spacing w:after="0" w:line="168" w:lineRule="exact"/>
        <w:rPr>
          <w:rFonts w:ascii="Times New Roman" w:cs="Times New Roman" w:eastAsia="Times New Roman" w:hAnsi="Times New Roman"/>
          <w:sz w:val="19"/>
          <w:szCs w:val="19"/>
          <w:color w:val="auto"/>
        </w:rPr>
      </w:pPr>
    </w:p>
    <w:p>
      <w:pPr>
        <w:ind w:left="1920" w:right="1160" w:firstLine="43"/>
        <w:spacing w:after="0" w:line="244" w:lineRule="exact"/>
        <w:tabs>
          <w:tab w:leader="none" w:pos="2346"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occurrence of any change in the Borrower’s taxpayer identification number, notice of such change on an IRS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w:t>
      </w:r>
    </w:p>
    <w:p>
      <w:pPr>
        <w:spacing w:after="0" w:line="186" w:lineRule="exact"/>
        <w:rPr>
          <w:rFonts w:ascii="Times New Roman" w:cs="Times New Roman" w:eastAsia="Times New Roman" w:hAnsi="Times New Roman"/>
          <w:sz w:val="19"/>
          <w:szCs w:val="19"/>
          <w:color w:val="auto"/>
        </w:rPr>
      </w:pPr>
    </w:p>
    <w:p>
      <w:pPr>
        <w:ind w:left="1920" w:right="880" w:firstLine="43"/>
        <w:spacing w:after="0" w:line="262" w:lineRule="auto"/>
        <w:tabs>
          <w:tab w:leader="none" w:pos="2400"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possible and in any event at least two (2) Business Days prior to doing so, the Borrower shall provide notice of any change in its chief place of business, its chief executive office or the office in which the Borrower maintains its books and records; and</w:t>
      </w:r>
    </w:p>
    <w:p>
      <w:pPr>
        <w:spacing w:after="0" w:line="174" w:lineRule="exact"/>
        <w:rPr>
          <w:rFonts w:ascii="Times New Roman" w:cs="Times New Roman" w:eastAsia="Times New Roman" w:hAnsi="Times New Roman"/>
          <w:sz w:val="19"/>
          <w:szCs w:val="19"/>
          <w:color w:val="auto"/>
        </w:rPr>
      </w:pPr>
    </w:p>
    <w:p>
      <w:pPr>
        <w:ind w:left="1920" w:right="1100" w:firstLine="43"/>
        <w:spacing w:after="0" w:line="259" w:lineRule="auto"/>
        <w:tabs>
          <w:tab w:leader="none" w:pos="2293"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possible, and in any event within two Business Days after a Responsible Officer of the Collateral Manager or a Responsible Officer of the Borrower obtains actual knowledge of the occurrence and continuance of any Currency Valuation Trigger Event, notice of such Currency Valuation Trigger Event.</w:t>
      </w:r>
    </w:p>
    <w:p>
      <w:pPr>
        <w:spacing w:after="0" w:line="175" w:lineRule="exact"/>
        <w:rPr>
          <w:rFonts w:ascii="Times New Roman" w:cs="Times New Roman" w:eastAsia="Times New Roman" w:hAnsi="Times New Roman"/>
          <w:sz w:val="19"/>
          <w:szCs w:val="19"/>
          <w:color w:val="auto"/>
        </w:rPr>
      </w:pPr>
    </w:p>
    <w:p>
      <w:pPr>
        <w:ind w:left="1340" w:right="780" w:firstLine="47"/>
        <w:spacing w:after="0" w:line="252" w:lineRule="auto"/>
        <w:tabs>
          <w:tab w:leader="none" w:pos="1652"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Access to Records and Documents</w:t>
      </w:r>
      <w:r>
        <w:rPr>
          <w:rFonts w:ascii="Times New Roman" w:cs="Times New Roman" w:eastAsia="Times New Roman" w:hAnsi="Times New Roman"/>
          <w:sz w:val="19"/>
          <w:szCs w:val="19"/>
          <w:color w:val="auto"/>
        </w:rPr>
        <w:t>. It shall permit the Administrative Agent and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Lender (or any Person designated by the 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the foregoing, so long as no Event of Default has occurred and is continuing, each Person entitled to so visit and inspect the Borrower’s records under this clause (e) may only exercise its rights under this clause (e) twice during any fiscal year of the Borrower (it being understood that the Borrower shall be responsible for all reasonable and documented costs and expenses for only one such visit per fiscal year). Each Lender agrees to use commercially reasonable efforts to coordinate with the other Lenders in exercising their respective rights under this</w:t>
      </w:r>
    </w:p>
    <w:p>
      <w:pPr>
        <w:spacing w:after="0" w:line="4" w:lineRule="exact"/>
        <w:rPr>
          <w:sz w:val="20"/>
          <w:szCs w:val="20"/>
          <w:color w:val="auto"/>
        </w:rPr>
      </w:pPr>
    </w:p>
    <w:p>
      <w:pPr>
        <w:ind w:left="1340" w:right="1040"/>
        <w:spacing w:after="0" w:line="246" w:lineRule="auto"/>
        <w:rPr>
          <w:sz w:val="20"/>
          <w:szCs w:val="20"/>
          <w:color w:val="auto"/>
        </w:rPr>
      </w:pPr>
      <w:r>
        <w:rPr>
          <w:rFonts w:ascii="Times New Roman" w:cs="Times New Roman" w:eastAsia="Times New Roman" w:hAnsi="Times New Roman"/>
          <w:sz w:val="19"/>
          <w:szCs w:val="19"/>
          <w:color w:val="auto"/>
        </w:rPr>
        <w:t>paragraph (e) and under paragraph (g) below with a view to minimizing duplication of effort and expense by the Borrower.</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0" w:name="page191"/>
    <w:bookmarkEnd w:id="190"/>
    <w:p>
      <w:pPr>
        <w:spacing w:after="0" w:line="200" w:lineRule="exact"/>
        <w:rPr>
          <w:sz w:val="20"/>
          <w:szCs w:val="20"/>
          <w:color w:val="auto"/>
        </w:rPr>
      </w:pPr>
    </w:p>
    <w:p>
      <w:pPr>
        <w:spacing w:after="0" w:line="283" w:lineRule="exact"/>
        <w:rPr>
          <w:sz w:val="20"/>
          <w:szCs w:val="20"/>
          <w:color w:val="auto"/>
        </w:rPr>
      </w:pPr>
    </w:p>
    <w:p>
      <w:pPr>
        <w:ind w:left="1620" w:hanging="233"/>
        <w:spacing w:after="0"/>
        <w:tabs>
          <w:tab w:leader="none" w:pos="162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Use of Proceeds</w:t>
      </w:r>
      <w:r>
        <w:rPr>
          <w:rFonts w:ascii="Times New Roman" w:cs="Times New Roman" w:eastAsia="Times New Roman" w:hAnsi="Times New Roman"/>
          <w:sz w:val="19"/>
          <w:szCs w:val="19"/>
          <w:color w:val="auto"/>
        </w:rPr>
        <w:t>. It shall use the proceeds of each Advance made hereunder solely:</w:t>
      </w:r>
    </w:p>
    <w:p>
      <w:pPr>
        <w:spacing w:after="0" w:line="227" w:lineRule="exact"/>
        <w:rPr>
          <w:rFonts w:ascii="Times New Roman" w:cs="Times New Roman" w:eastAsia="Times New Roman" w:hAnsi="Times New Roman"/>
          <w:sz w:val="19"/>
          <w:szCs w:val="19"/>
          <w:color w:val="auto"/>
        </w:rPr>
      </w:pPr>
    </w:p>
    <w:p>
      <w:pPr>
        <w:ind w:left="1920" w:right="800" w:firstLine="43"/>
        <w:spacing w:after="0" w:line="268" w:lineRule="auto"/>
        <w:tabs>
          <w:tab w:leader="none" w:pos="2197"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fund or pay the purchase price of Collateral Loans (other than Ineligible Collateral Loans) or Eligible Investments acquired by the Borrower in accordance with the terms and conditions set forth herein or for general corporate purposes;</w:t>
      </w:r>
    </w:p>
    <w:p>
      <w:pPr>
        <w:spacing w:after="0" w:line="168" w:lineRule="exact"/>
        <w:rPr>
          <w:rFonts w:ascii="Times New Roman" w:cs="Times New Roman" w:eastAsia="Times New Roman" w:hAnsi="Times New Roman"/>
          <w:sz w:val="19"/>
          <w:szCs w:val="19"/>
          <w:color w:val="auto"/>
        </w:rPr>
      </w:pPr>
    </w:p>
    <w:p>
      <w:pPr>
        <w:ind w:left="1920" w:right="880" w:firstLine="43"/>
        <w:spacing w:after="0" w:line="268" w:lineRule="auto"/>
        <w:tabs>
          <w:tab w:leader="none" w:pos="2250"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fund additional extensions of credit under Revolving Collateral Loans and Delayed Drawdown Collateral Loans purchased in accordance with the terms of this Agreement;</w:t>
      </w:r>
    </w:p>
    <w:p>
      <w:pPr>
        <w:spacing w:after="0" w:line="168" w:lineRule="exact"/>
        <w:rPr>
          <w:rFonts w:ascii="Times New Roman" w:cs="Times New Roman" w:eastAsia="Times New Roman" w:hAnsi="Times New Roman"/>
          <w:sz w:val="19"/>
          <w:szCs w:val="19"/>
          <w:color w:val="auto"/>
        </w:rPr>
      </w:pPr>
    </w:p>
    <w:p>
      <w:pPr>
        <w:ind w:left="2300" w:hanging="337"/>
        <w:spacing w:after="0"/>
        <w:tabs>
          <w:tab w:leader="none" w:pos="2300"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repay outstanding Swingline Advances;</w:t>
      </w:r>
    </w:p>
    <w:p>
      <w:pPr>
        <w:spacing w:after="0" w:line="225" w:lineRule="exact"/>
        <w:rPr>
          <w:rFonts w:ascii="Times New Roman" w:cs="Times New Roman" w:eastAsia="Times New Roman" w:hAnsi="Times New Roman"/>
          <w:sz w:val="19"/>
          <w:szCs w:val="19"/>
          <w:color w:val="auto"/>
        </w:rPr>
      </w:pPr>
    </w:p>
    <w:p>
      <w:pPr>
        <w:ind w:left="1920" w:right="780" w:firstLine="43"/>
        <w:spacing w:after="0" w:line="256" w:lineRule="auto"/>
        <w:tabs>
          <w:tab w:leader="none" w:pos="2293"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fund the Revolving Reserve Account on or prior to the Commitment Termination Date to the extent the Revolving Reserve Account is required to be funded pursuant to Section 8.04 (and the Borrower shall submit a Notice of Borrowing requesting a Borrowing of Advances for a Borrowing Date falling no more than five and no less than one Business Day prior to the Commitment Termination Date with a Requested Amount sufficient to fully fund the Revolving Reserve Account under Section 8.04); and</w:t>
      </w:r>
    </w:p>
    <w:p>
      <w:pPr>
        <w:spacing w:after="0" w:line="181" w:lineRule="exact"/>
        <w:rPr>
          <w:rFonts w:ascii="Times New Roman" w:cs="Times New Roman" w:eastAsia="Times New Roman" w:hAnsi="Times New Roman"/>
          <w:sz w:val="19"/>
          <w:szCs w:val="19"/>
          <w:color w:val="auto"/>
        </w:rPr>
      </w:pPr>
    </w:p>
    <w:p>
      <w:pPr>
        <w:jc w:val="both"/>
        <w:ind w:left="1920" w:right="880" w:firstLine="43"/>
        <w:spacing w:after="0" w:line="262" w:lineRule="auto"/>
        <w:tabs>
          <w:tab w:leader="none" w:pos="2240"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such other legal and proper purposes as are consistent with all applicable laws; provided, that proceeds shall only be used to make a Restricted Payment to the BDC if the Collateral Quality Tests are satisfied both immediately before and after such payment.</w:t>
      </w:r>
    </w:p>
    <w:p>
      <w:pPr>
        <w:spacing w:after="0" w:line="174" w:lineRule="exact"/>
        <w:rPr>
          <w:sz w:val="20"/>
          <w:szCs w:val="20"/>
          <w:color w:val="auto"/>
        </w:rPr>
      </w:pPr>
    </w:p>
    <w:p>
      <w:pPr>
        <w:ind w:left="1340" w:right="780" w:firstLine="576"/>
        <w:spacing w:after="0" w:line="262" w:lineRule="auto"/>
        <w:rPr>
          <w:sz w:val="20"/>
          <w:szCs w:val="20"/>
          <w:color w:val="auto"/>
        </w:rPr>
      </w:pPr>
      <w:r>
        <w:rPr>
          <w:rFonts w:ascii="Times New Roman" w:cs="Times New Roman" w:eastAsia="Times New Roman" w:hAnsi="Times New Roman"/>
          <w:sz w:val="19"/>
          <w:szCs w:val="19"/>
          <w:color w:val="auto"/>
        </w:rPr>
        <w:t>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172" w:lineRule="exact"/>
        <w:rPr>
          <w:sz w:val="20"/>
          <w:szCs w:val="20"/>
          <w:color w:val="auto"/>
        </w:rPr>
      </w:pPr>
    </w:p>
    <w:p>
      <w:pPr>
        <w:ind w:left="1340" w:right="860" w:firstLine="47"/>
        <w:spacing w:after="0" w:line="253" w:lineRule="auto"/>
        <w:tabs>
          <w:tab w:leader="none" w:pos="1664" w:val="left"/>
        </w:tabs>
        <w:numPr>
          <w:ilvl w:val="1"/>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Audit Rights</w:t>
      </w:r>
      <w:r>
        <w:rPr>
          <w:rFonts w:ascii="Times New Roman" w:cs="Times New Roman" w:eastAsia="Times New Roman" w:hAnsi="Times New Roman"/>
          <w:sz w:val="19"/>
          <w:szCs w:val="19"/>
          <w:color w:val="auto"/>
        </w:rPr>
        <w:t>. It will permit the Administrative Agent and any Lender (or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representatives thereof (including any consultants, accountants, lawyers and appraisers)) to conduct evaluations and appraisals of the Borrower’s computation of the Borrowing Base and the assets included in the Borrowing Base no more than twice during any fiscal year of the Borrower. The Borrower shall pay the reasonable and documented fees and expenses of any representatives retained by the Administrative Agent or any Lender to conduct any such evaluation or appraisal;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the Borrower shall not be required to pay such fees and expenses for more than one such evaluation or appraisal during any calendar year unless an Event of Default has occurred and is continuing and</w:t>
      </w:r>
    </w:p>
    <w:p>
      <w:pPr>
        <w:spacing w:after="0" w:line="3" w:lineRule="exact"/>
        <w:rPr>
          <w:rFonts w:ascii="Times New Roman" w:cs="Times New Roman" w:eastAsia="Times New Roman" w:hAnsi="Times New Roman"/>
          <w:sz w:val="19"/>
          <w:szCs w:val="19"/>
          <w:color w:val="auto"/>
        </w:rPr>
      </w:pPr>
    </w:p>
    <w:p>
      <w:pPr>
        <w:ind w:left="1340" w:right="760" w:hanging="1"/>
        <w:spacing w:after="0" w:line="248" w:lineRule="auto"/>
        <w:tabs>
          <w:tab w:leader="none" w:pos="1622"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evaluation or appraisal shall not be duplicative of the report required under Section 8.08(b). Each Lender agrees to use commercially reasonable efforts to coordinate with the other Lenders in exercising their respective rights under this paragraph (g) and under paragraph (e) above with a view to minimizing duplication of effort and expense by the Borrower.</w:t>
      </w:r>
    </w:p>
    <w:p>
      <w:pPr>
        <w:spacing w:after="0" w:line="4"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1" w:name="page192"/>
    <w:bookmarkEnd w:id="191"/>
    <w:p>
      <w:pPr>
        <w:spacing w:after="0" w:line="200" w:lineRule="exact"/>
        <w:rPr>
          <w:sz w:val="20"/>
          <w:szCs w:val="20"/>
          <w:color w:val="auto"/>
        </w:rPr>
      </w:pPr>
    </w:p>
    <w:p>
      <w:pPr>
        <w:spacing w:after="0" w:line="283" w:lineRule="exact"/>
        <w:rPr>
          <w:sz w:val="20"/>
          <w:szCs w:val="20"/>
          <w:color w:val="auto"/>
        </w:rPr>
      </w:pPr>
    </w:p>
    <w:p>
      <w:pPr>
        <w:ind w:left="1340" w:right="800" w:firstLine="47"/>
        <w:spacing w:after="0" w:line="263" w:lineRule="auto"/>
        <w:tabs>
          <w:tab w:leader="none" w:pos="1664"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Opinions as to Collateral</w:t>
      </w:r>
      <w:r>
        <w:rPr>
          <w:rFonts w:ascii="Times New Roman" w:cs="Times New Roman" w:eastAsia="Times New Roman" w:hAnsi="Times New Roman"/>
          <w:sz w:val="19"/>
          <w:szCs w:val="19"/>
          <w:color w:val="auto"/>
        </w:rPr>
        <w:t>. On or before each five (5) year anniversary of the Closing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Date, the Borrower shall furnish to the Agents an opinion of counsel, addressed to the Borrower and the Agents, relating to the continued perfection of the security interest granted by the Borrower to the Collateral Agent hereunder.</w:t>
      </w:r>
    </w:p>
    <w:p>
      <w:pPr>
        <w:spacing w:after="0" w:line="170" w:lineRule="exact"/>
        <w:rPr>
          <w:rFonts w:ascii="Times New Roman" w:cs="Times New Roman" w:eastAsia="Times New Roman" w:hAnsi="Times New Roman"/>
          <w:sz w:val="19"/>
          <w:szCs w:val="19"/>
          <w:color w:val="auto"/>
        </w:rPr>
      </w:pPr>
    </w:p>
    <w:p>
      <w:pPr>
        <w:ind w:left="1340" w:right="760" w:firstLine="47"/>
        <w:spacing w:after="0" w:line="255" w:lineRule="auto"/>
        <w:tabs>
          <w:tab w:leader="none" w:pos="1616"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Other Business</w:t>
      </w:r>
      <w:r>
        <w:rPr>
          <w:rFonts w:ascii="Times New Roman" w:cs="Times New Roman" w:eastAsia="Times New Roman" w:hAnsi="Times New Roman"/>
          <w:sz w:val="19"/>
          <w:szCs w:val="19"/>
          <w:color w:val="auto"/>
        </w:rPr>
        <w:t>. The Borrower shall not engage in any business or activity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than borrowing Advances pursuant to this Agreement, originating, funding, acquiring, owning, holding, administering, selling, enforcing, lending, exchanging, redeeming, pledging, contracting for the management of and otherwise dealing with Collateral Loans, Eligible Investments and the other Collateral in connection therewith and entering into the Facility Documents, any applicable Related Documents and any other agreements contemplated by this Agreement, and shall not engage in any activity or take any other action that would cause the Borrower to be subject to U.S. Federal, state or local income tax on a net income basis.</w:t>
      </w:r>
    </w:p>
    <w:p>
      <w:pPr>
        <w:spacing w:after="0" w:line="179" w:lineRule="exact"/>
        <w:rPr>
          <w:rFonts w:ascii="Times New Roman" w:cs="Times New Roman" w:eastAsia="Times New Roman" w:hAnsi="Times New Roman"/>
          <w:sz w:val="19"/>
          <w:szCs w:val="19"/>
          <w:color w:val="auto"/>
        </w:rPr>
      </w:pPr>
    </w:p>
    <w:p>
      <w:pPr>
        <w:ind w:left="1340" w:right="820" w:firstLine="47"/>
        <w:spacing w:after="0" w:line="252" w:lineRule="auto"/>
        <w:tabs>
          <w:tab w:leader="none" w:pos="1616"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Tax Matters. </w:t>
      </w:r>
      <w:r>
        <w:rPr>
          <w:rFonts w:ascii="Times New Roman" w:cs="Times New Roman" w:eastAsia="Times New Roman" w:hAnsi="Times New Roman"/>
          <w:sz w:val="19"/>
          <w:szCs w:val="19"/>
          <w:color w:val="auto"/>
        </w:rPr>
        <w:t>The Borrower shall (and each Lender hereby agrees to) treat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Advances as debt for U.S. Federal income tax purposes and will take no contrary position. Assuming that such treatment is correct, the Borrower shall at all times maintain its status as an entity disregarded as an entity separate from its owner for U.S. Federal income tax purposes. The Borrower shall at all times ensure that its owner is and will remain a United States person as defined by Section 7701(a)(30) of the Code (a “</w:t>
      </w:r>
      <w:r>
        <w:rPr>
          <w:rFonts w:ascii="Times New Roman" w:cs="Times New Roman" w:eastAsia="Times New Roman" w:hAnsi="Times New Roman"/>
          <w:sz w:val="19"/>
          <w:szCs w:val="19"/>
          <w:i w:val="1"/>
          <w:iCs w:val="1"/>
          <w:color w:val="auto"/>
        </w:rPr>
        <w:t>U.S. Person</w:t>
      </w:r>
      <w:r>
        <w:rPr>
          <w:rFonts w:ascii="Times New Roman" w:cs="Times New Roman" w:eastAsia="Times New Roman" w:hAnsi="Times New Roman"/>
          <w:sz w:val="19"/>
          <w:szCs w:val="19"/>
          <w:color w:val="auto"/>
        </w:rPr>
        <w:t>”). Notwithstanding any contrary agreement or understanding, the Collateral Manager,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spacing w:after="0" w:line="200" w:lineRule="exact"/>
        <w:rPr>
          <w:rFonts w:ascii="Times New Roman" w:cs="Times New Roman" w:eastAsia="Times New Roman" w:hAnsi="Times New Roman"/>
          <w:sz w:val="19"/>
          <w:szCs w:val="19"/>
          <w:color w:val="auto"/>
        </w:rPr>
      </w:pPr>
    </w:p>
    <w:p>
      <w:pPr>
        <w:spacing w:after="0" w:line="221" w:lineRule="exact"/>
        <w:rPr>
          <w:rFonts w:ascii="Times New Roman" w:cs="Times New Roman" w:eastAsia="Times New Roman" w:hAnsi="Times New Roman"/>
          <w:sz w:val="19"/>
          <w:szCs w:val="19"/>
          <w:color w:val="auto"/>
        </w:rPr>
      </w:pPr>
    </w:p>
    <w:p>
      <w:pPr>
        <w:ind w:left="1340" w:right="820" w:firstLine="47"/>
        <w:spacing w:after="0" w:line="260" w:lineRule="auto"/>
        <w:tabs>
          <w:tab w:leader="none" w:pos="1664"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Changes to Related Documents</w:t>
      </w:r>
      <w:r>
        <w:rPr>
          <w:rFonts w:ascii="Times New Roman" w:cs="Times New Roman" w:eastAsia="Times New Roman" w:hAnsi="Times New Roman"/>
          <w:sz w:val="19"/>
          <w:szCs w:val="19"/>
          <w:color w:val="auto"/>
        </w:rPr>
        <w:t>. If any amendment, consent, waiver or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modification with respect to a Related Document (other than a Defaulted Collateral Loan or an Ineligible Collateral Loan) would effect a Material Modification, then the Borrower shall not cause or vote in favor of any such Material Modification without the written consent of the Administrative Agent and the Required Lenders.</w:t>
      </w:r>
    </w:p>
    <w:p>
      <w:pPr>
        <w:spacing w:after="0" w:line="172" w:lineRule="exact"/>
        <w:rPr>
          <w:rFonts w:ascii="Times New Roman" w:cs="Times New Roman" w:eastAsia="Times New Roman" w:hAnsi="Times New Roman"/>
          <w:sz w:val="19"/>
          <w:szCs w:val="19"/>
          <w:color w:val="auto"/>
        </w:rPr>
      </w:pPr>
    </w:p>
    <w:p>
      <w:pPr>
        <w:ind w:left="1340" w:right="1280" w:firstLine="47"/>
        <w:spacing w:after="0" w:line="263" w:lineRule="auto"/>
        <w:tabs>
          <w:tab w:leader="none" w:pos="1616"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Hedge Agreements</w:t>
      </w:r>
      <w:r>
        <w:rPr>
          <w:rFonts w:ascii="Times New Roman" w:cs="Times New Roman" w:eastAsia="Times New Roman" w:hAnsi="Times New Roman"/>
          <w:sz w:val="19"/>
          <w:szCs w:val="19"/>
          <w:color w:val="auto"/>
        </w:rPr>
        <w:t>. The Borrower shall be permitted to enter into interest rate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hedging agreements with respect to its Fixed Rate Obligations;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the</w:t>
      </w:r>
    </w:p>
    <w:p>
      <w:pPr>
        <w:spacing w:after="0" w:line="1" w:lineRule="exact"/>
        <w:rPr>
          <w:sz w:val="20"/>
          <w:szCs w:val="20"/>
          <w:color w:val="auto"/>
        </w:rPr>
      </w:pPr>
    </w:p>
    <w:p>
      <w:pPr>
        <w:jc w:val="both"/>
        <w:ind w:left="1340" w:right="820"/>
        <w:spacing w:after="0" w:line="247" w:lineRule="auto"/>
        <w:rPr>
          <w:sz w:val="20"/>
          <w:szCs w:val="20"/>
          <w:color w:val="auto"/>
        </w:rPr>
      </w:pPr>
      <w:r>
        <w:rPr>
          <w:rFonts w:ascii="Times New Roman" w:cs="Times New Roman" w:eastAsia="Times New Roman" w:hAnsi="Times New Roman"/>
          <w:sz w:val="19"/>
          <w:szCs w:val="19"/>
          <w:color w:val="auto"/>
        </w:rPr>
        <w:t>notional amount of such hedging arrangements may not exceed the outstanding principal amount of the related Collateral Obligations and (ii) the counterparty with respect to such hedging agreement is a qualified Hedge Counterparty.</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2" w:name="page193"/>
    <w:bookmarkEnd w:id="192"/>
    <w:p>
      <w:pPr>
        <w:spacing w:after="0" w:line="200" w:lineRule="exact"/>
        <w:rPr>
          <w:sz w:val="20"/>
          <w:szCs w:val="20"/>
          <w:color w:val="auto"/>
        </w:rPr>
      </w:pPr>
    </w:p>
    <w:p>
      <w:pPr>
        <w:spacing w:after="0" w:line="283" w:lineRule="exact"/>
        <w:rPr>
          <w:sz w:val="20"/>
          <w:szCs w:val="20"/>
          <w:color w:val="auto"/>
        </w:rPr>
      </w:pPr>
    </w:p>
    <w:p>
      <w:pPr>
        <w:ind w:left="1340" w:right="960" w:firstLine="47"/>
        <w:spacing w:after="0" w:line="263" w:lineRule="auto"/>
        <w:tabs>
          <w:tab w:leader="none" w:pos="1712"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Collections</w:t>
      </w:r>
      <w:r>
        <w:rPr>
          <w:rFonts w:ascii="Times New Roman" w:cs="Times New Roman" w:eastAsia="Times New Roman" w:hAnsi="Times New Roman"/>
          <w:sz w:val="19"/>
          <w:szCs w:val="19"/>
          <w:color w:val="auto"/>
        </w:rPr>
        <w:t>. The Borrower shall direct all Obligors (and related paying agents)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 all Collections directly to the applicable Interest Collection Subaccount (in the case of Interest Proceeds) or the applicable Principal Collection Subaccount (in the case of Principal Proceeds).</w:t>
      </w:r>
    </w:p>
    <w:p>
      <w:pPr>
        <w:spacing w:after="0" w:line="170" w:lineRule="exact"/>
        <w:rPr>
          <w:rFonts w:ascii="Times New Roman" w:cs="Times New Roman" w:eastAsia="Times New Roman" w:hAnsi="Times New Roman"/>
          <w:sz w:val="19"/>
          <w:szCs w:val="19"/>
          <w:color w:val="auto"/>
        </w:rPr>
      </w:pPr>
    </w:p>
    <w:p>
      <w:pPr>
        <w:ind w:left="1340" w:right="900" w:firstLine="47"/>
        <w:spacing w:after="0" w:line="288" w:lineRule="auto"/>
        <w:tabs>
          <w:tab w:leader="none" w:pos="1664"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Priority of Payments. </w:t>
      </w:r>
      <w:r>
        <w:rPr>
          <w:rFonts w:ascii="Times New Roman" w:cs="Times New Roman" w:eastAsia="Times New Roman" w:hAnsi="Times New Roman"/>
          <w:sz w:val="19"/>
          <w:szCs w:val="19"/>
          <w:color w:val="auto"/>
        </w:rPr>
        <w:t>The Borrower shall ensure all Interest Proceeds and Principal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Proceeds are applied solely in accordance with the provisions of this Agreement.</w:t>
      </w:r>
    </w:p>
    <w:p>
      <w:pPr>
        <w:spacing w:after="0" w:line="147" w:lineRule="exact"/>
        <w:rPr>
          <w:rFonts w:ascii="Times New Roman" w:cs="Times New Roman" w:eastAsia="Times New Roman" w:hAnsi="Times New Roman"/>
          <w:sz w:val="19"/>
          <w:szCs w:val="19"/>
          <w:color w:val="auto"/>
        </w:rPr>
      </w:pPr>
    </w:p>
    <w:p>
      <w:pPr>
        <w:ind w:left="1340" w:right="1240" w:firstLine="47"/>
        <w:spacing w:after="0" w:line="263" w:lineRule="auto"/>
        <w:tabs>
          <w:tab w:leader="none" w:pos="1664"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Foreign Currency Advances</w:t>
      </w:r>
      <w:r>
        <w:rPr>
          <w:rFonts w:ascii="Times New Roman" w:cs="Times New Roman" w:eastAsia="Times New Roman" w:hAnsi="Times New Roman"/>
          <w:sz w:val="19"/>
          <w:szCs w:val="19"/>
          <w:color w:val="auto"/>
        </w:rPr>
        <w:t>. The Borrower shall ensure that the aggregate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principal balance of all Advances denominated in any Agreed Foreign Currency does not exceed the Aggregate Principal Balance of all Eligible Collateral Loans denominated in such currency for any period of thirty (30) consecutive days.</w:t>
      </w:r>
    </w:p>
    <w:p>
      <w:pPr>
        <w:spacing w:after="0" w:line="171" w:lineRule="exact"/>
        <w:rPr>
          <w:sz w:val="20"/>
          <w:szCs w:val="20"/>
          <w:color w:val="auto"/>
        </w:rPr>
      </w:pPr>
    </w:p>
    <w:p>
      <w:pPr>
        <w:ind w:left="760" w:right="92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Section 5.02. Negative Covenants of the Borrower</w:t>
      </w:r>
      <w:r>
        <w:rPr>
          <w:rFonts w:ascii="Times New Roman" w:cs="Times New Roman" w:eastAsia="Times New Roman" w:hAnsi="Times New Roman"/>
          <w:sz w:val="19"/>
          <w:szCs w:val="19"/>
          <w:color w:val="auto"/>
        </w:rPr>
        <w:t>. The Borrower covenants and agrees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until the Final Maturity Date (and thereafter until the date that all Obligations have been paid in full):</w:t>
      </w:r>
    </w:p>
    <w:p>
      <w:pPr>
        <w:spacing w:after="0" w:line="166" w:lineRule="exact"/>
        <w:rPr>
          <w:sz w:val="20"/>
          <w:szCs w:val="20"/>
          <w:color w:val="auto"/>
        </w:rPr>
      </w:pPr>
    </w:p>
    <w:p>
      <w:pPr>
        <w:ind w:left="1340" w:right="800" w:firstLine="47"/>
        <w:spacing w:after="0" w:line="258" w:lineRule="auto"/>
        <w:tabs>
          <w:tab w:leader="none" w:pos="1652"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Restrictive Agreements</w:t>
      </w:r>
      <w:r>
        <w:rPr>
          <w:rFonts w:ascii="Times New Roman" w:cs="Times New Roman" w:eastAsia="Times New Roman" w:hAnsi="Times New Roman"/>
          <w:sz w:val="19"/>
          <w:szCs w:val="19"/>
          <w:color w:val="auto"/>
        </w:rPr>
        <w:t>. It shall not enter into or suffer to exist or become effective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agreement that prohibits, limits or imposes any 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175" w:lineRule="exact"/>
        <w:rPr>
          <w:rFonts w:ascii="Times New Roman" w:cs="Times New Roman" w:eastAsia="Times New Roman" w:hAnsi="Times New Roman"/>
          <w:sz w:val="19"/>
          <w:szCs w:val="19"/>
          <w:color w:val="auto"/>
        </w:rPr>
      </w:pPr>
    </w:p>
    <w:p>
      <w:pPr>
        <w:ind w:left="1340" w:right="760" w:firstLine="47"/>
        <w:spacing w:after="0" w:line="255" w:lineRule="auto"/>
        <w:tabs>
          <w:tab w:leader="none" w:pos="1664"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Liquidation; Merger; Sale of Collateral</w:t>
      </w:r>
      <w:r>
        <w:rPr>
          <w:rFonts w:ascii="Times New Roman" w:cs="Times New Roman" w:eastAsia="Times New Roman" w:hAnsi="Times New Roman"/>
          <w:sz w:val="19"/>
          <w:szCs w:val="19"/>
          <w:color w:val="auto"/>
        </w:rPr>
        <w:t>. It shall not consummate any plan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liquidation, division, dissolution, partial liquidation, merger or consolidation (or suffer any liquidation, dissolution or partial liquidation (including by dividing into two or more separate limited liability companies)) nor sell, transfer, exchange or otherwise dispose of (including by dividing into two or more separate limited liability companies)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179" w:lineRule="exact"/>
        <w:rPr>
          <w:rFonts w:ascii="Times New Roman" w:cs="Times New Roman" w:eastAsia="Times New Roman" w:hAnsi="Times New Roman"/>
          <w:sz w:val="19"/>
          <w:szCs w:val="19"/>
          <w:color w:val="auto"/>
        </w:rPr>
      </w:pPr>
    </w:p>
    <w:p>
      <w:pPr>
        <w:ind w:left="1340" w:right="800" w:firstLine="47"/>
        <w:spacing w:after="0" w:line="258" w:lineRule="auto"/>
        <w:tabs>
          <w:tab w:leader="none" w:pos="1652"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Amendments to Constituent Documents, etc</w:t>
      </w:r>
      <w:r>
        <w:rPr>
          <w:rFonts w:ascii="Times New Roman" w:cs="Times New Roman" w:eastAsia="Times New Roman" w:hAnsi="Times New Roman"/>
          <w:sz w:val="19"/>
          <w:szCs w:val="19"/>
          <w:color w:val="auto"/>
        </w:rPr>
        <w:t>. Without the consent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and each of the Lenders, (i) it shall not amend, modify or take any action inconsistent with its Constituent Documents and (ii) it will not amend, modify or waive any term or provision in any Facility Document (other than in accordance with any provision thereof requiring the consent of the Administrative Agent or all or a specified percentage of the Lenders).</w:t>
      </w:r>
    </w:p>
    <w:p>
      <w:pPr>
        <w:spacing w:after="0" w:line="175"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ERISA</w:t>
      </w:r>
      <w:r>
        <w:rPr>
          <w:rFonts w:ascii="Times New Roman" w:cs="Times New Roman" w:eastAsia="Times New Roman" w:hAnsi="Times New Roman"/>
          <w:sz w:val="19"/>
          <w:szCs w:val="19"/>
          <w:color w:val="auto"/>
        </w:rPr>
        <w:t>. Neither it nor any member of the ERISA Group shall establish any Plan or</w:t>
      </w:r>
    </w:p>
    <w:p>
      <w:pPr>
        <w:spacing w:after="0" w:line="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color w:val="auto"/>
        </w:rPr>
        <w:t>Multiemployer Plan.</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3" w:name="page194"/>
    <w:bookmarkEnd w:id="193"/>
    <w:p>
      <w:pPr>
        <w:spacing w:after="0" w:line="200" w:lineRule="exact"/>
        <w:rPr>
          <w:sz w:val="20"/>
          <w:szCs w:val="20"/>
          <w:color w:val="auto"/>
        </w:rPr>
      </w:pPr>
    </w:p>
    <w:p>
      <w:pPr>
        <w:spacing w:after="0" w:line="283" w:lineRule="exact"/>
        <w:rPr>
          <w:sz w:val="20"/>
          <w:szCs w:val="20"/>
          <w:color w:val="auto"/>
        </w:rPr>
      </w:pPr>
    </w:p>
    <w:p>
      <w:pPr>
        <w:jc w:val="both"/>
        <w:ind w:left="1340" w:right="880" w:firstLine="47"/>
        <w:spacing w:after="0" w:line="269" w:lineRule="auto"/>
        <w:tabs>
          <w:tab w:leader="none" w:pos="1652"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Liens</w:t>
      </w:r>
      <w:r>
        <w:rPr>
          <w:rFonts w:ascii="Times New Roman" w:cs="Times New Roman" w:eastAsia="Times New Roman" w:hAnsi="Times New Roman"/>
          <w:sz w:val="19"/>
          <w:szCs w:val="19"/>
          <w:color w:val="auto"/>
        </w:rPr>
        <w:t>. It shall not create, assume or suffer to exist any Lien on any of its assets now</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owned or hereafter acquired by it at any time, except for Permitted Liens or as otherwise expressly permitted by this Agreement and the other Facility Documents.</w:t>
      </w:r>
    </w:p>
    <w:p>
      <w:pPr>
        <w:spacing w:after="0" w:line="165" w:lineRule="exact"/>
        <w:rPr>
          <w:rFonts w:ascii="Times New Roman" w:cs="Times New Roman" w:eastAsia="Times New Roman" w:hAnsi="Times New Roman"/>
          <w:sz w:val="19"/>
          <w:szCs w:val="19"/>
          <w:color w:val="auto"/>
        </w:rPr>
      </w:pPr>
    </w:p>
    <w:p>
      <w:pPr>
        <w:ind w:left="1340" w:right="740" w:firstLine="47"/>
        <w:spacing w:after="0" w:line="258" w:lineRule="auto"/>
        <w:tabs>
          <w:tab w:leader="none" w:pos="1628"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Margin Requirements</w:t>
      </w:r>
      <w:r>
        <w:rPr>
          <w:rFonts w:ascii="Times New Roman" w:cs="Times New Roman" w:eastAsia="Times New Roman" w:hAnsi="Times New Roman"/>
          <w:sz w:val="19"/>
          <w:szCs w:val="19"/>
          <w:color w:val="auto"/>
        </w:rPr>
        <w:t>. It shall not (i) extend credit to others for the purpose of buying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carrying any Margin Stock in such a manner as to 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175" w:lineRule="exact"/>
        <w:rPr>
          <w:rFonts w:ascii="Times New Roman" w:cs="Times New Roman" w:eastAsia="Times New Roman" w:hAnsi="Times New Roman"/>
          <w:sz w:val="19"/>
          <w:szCs w:val="19"/>
          <w:color w:val="auto"/>
        </w:rPr>
      </w:pPr>
    </w:p>
    <w:p>
      <w:pPr>
        <w:ind w:left="1340" w:right="760" w:firstLine="47"/>
        <w:spacing w:after="0" w:line="260" w:lineRule="auto"/>
        <w:tabs>
          <w:tab w:leader="none" w:pos="1664"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Restricted Payments</w:t>
      </w:r>
      <w:r>
        <w:rPr>
          <w:rFonts w:ascii="Times New Roman" w:cs="Times New Roman" w:eastAsia="Times New Roman" w:hAnsi="Times New Roman"/>
          <w:sz w:val="19"/>
          <w:szCs w:val="19"/>
          <w:color w:val="auto"/>
        </w:rPr>
        <w:t>. It shall not make, directly or indirectly, any Restricted Payment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(whether in the form of cash or other assets) or incur any obligation (contingent or otherwise) to do so (other than payments made pursuant to the Priority of Payments, it being understood that any amounts paid to the Borrower pursuant to the Priority of Payments may be distributed to the BDC).</w:t>
      </w:r>
    </w:p>
    <w:p>
      <w:pPr>
        <w:spacing w:after="0" w:line="172" w:lineRule="exact"/>
        <w:rPr>
          <w:rFonts w:ascii="Times New Roman" w:cs="Times New Roman" w:eastAsia="Times New Roman" w:hAnsi="Times New Roman"/>
          <w:sz w:val="19"/>
          <w:szCs w:val="19"/>
          <w:color w:val="auto"/>
        </w:rPr>
      </w:pPr>
    </w:p>
    <w:p>
      <w:pPr>
        <w:ind w:left="1340" w:right="760" w:firstLine="47"/>
        <w:spacing w:after="0" w:line="255" w:lineRule="auto"/>
        <w:tabs>
          <w:tab w:leader="none" w:pos="1664"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Changes to Filing Information</w:t>
      </w:r>
      <w:r>
        <w:rPr>
          <w:rFonts w:ascii="Times New Roman" w:cs="Times New Roman" w:eastAsia="Times New Roman" w:hAnsi="Times New Roman"/>
          <w:sz w:val="19"/>
          <w:szCs w:val="19"/>
          <w:color w:val="auto"/>
        </w:rPr>
        <w:t>. It shall not change its name or its jurisdiction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organization from that referred to in Section 4.01(a), unless it gives thirty (30) days’ prior written notice to the Agents and takes all actions necessary to protect and perfect the Collateral Agent’s perfected security interest in the Collateral and shall promptly file appropriate amendments to all previously filed financing statements and continuation statements that are necessary to perfect the security interests of the Collateral Agent under this Agreement under each method of perfection required herein with respect to the Collateral (and shall provide copy of such amendments to the Collateral Agent and the Administrative Agent).</w:t>
      </w:r>
    </w:p>
    <w:p>
      <w:pPr>
        <w:spacing w:after="0" w:line="179" w:lineRule="exact"/>
        <w:rPr>
          <w:rFonts w:ascii="Times New Roman" w:cs="Times New Roman" w:eastAsia="Times New Roman" w:hAnsi="Times New Roman"/>
          <w:sz w:val="19"/>
          <w:szCs w:val="19"/>
          <w:color w:val="auto"/>
        </w:rPr>
      </w:pPr>
    </w:p>
    <w:p>
      <w:pPr>
        <w:ind w:left="1340" w:right="800" w:firstLine="47"/>
        <w:spacing w:after="0" w:line="256" w:lineRule="auto"/>
        <w:tabs>
          <w:tab w:leader="none" w:pos="1616"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Transactions with Affiliates</w:t>
      </w:r>
      <w:r>
        <w:rPr>
          <w:rFonts w:ascii="Times New Roman" w:cs="Times New Roman" w:eastAsia="Times New Roman" w:hAnsi="Times New Roman"/>
          <w:sz w:val="19"/>
          <w:szCs w:val="19"/>
          <w:color w:val="auto"/>
        </w:rPr>
        <w:t>. It shall not sell, lease or otherwise transfer any property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assets to, or purchase, lease or otherwise acquire any property or assets from, or otherwise engage in any other transactions with, any of its Affiliates (including, without limitation,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w:t>
      </w:r>
    </w:p>
    <w:p>
      <w:pPr>
        <w:spacing w:after="0" w:line="181" w:lineRule="exact"/>
        <w:rPr>
          <w:rFonts w:ascii="Times New Roman" w:cs="Times New Roman" w:eastAsia="Times New Roman" w:hAnsi="Times New Roman"/>
          <w:sz w:val="19"/>
          <w:szCs w:val="19"/>
          <w:color w:val="auto"/>
        </w:rPr>
      </w:pPr>
    </w:p>
    <w:p>
      <w:pPr>
        <w:ind w:left="1340" w:right="1340" w:firstLine="47"/>
        <w:spacing w:after="0" w:line="288" w:lineRule="auto"/>
        <w:tabs>
          <w:tab w:leader="none" w:pos="1616"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Investment Company Restriction</w:t>
      </w:r>
      <w:r>
        <w:rPr>
          <w:rFonts w:ascii="Times New Roman" w:cs="Times New Roman" w:eastAsia="Times New Roman" w:hAnsi="Times New Roman"/>
          <w:sz w:val="19"/>
          <w:szCs w:val="19"/>
          <w:color w:val="auto"/>
        </w:rPr>
        <w:t>. It shall not become required to register as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“investment company” under the Investment Company Act.</w:t>
      </w:r>
    </w:p>
    <w:p>
      <w:pPr>
        <w:spacing w:after="0" w:line="147" w:lineRule="exact"/>
        <w:rPr>
          <w:rFonts w:ascii="Times New Roman" w:cs="Times New Roman" w:eastAsia="Times New Roman" w:hAnsi="Times New Roman"/>
          <w:sz w:val="19"/>
          <w:szCs w:val="19"/>
          <w:color w:val="auto"/>
        </w:rPr>
      </w:pPr>
    </w:p>
    <w:p>
      <w:pPr>
        <w:ind w:left="1340" w:right="840" w:firstLine="47"/>
        <w:spacing w:after="0" w:line="263" w:lineRule="auto"/>
        <w:tabs>
          <w:tab w:leader="none" w:pos="1664"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Subject Laws</w:t>
      </w:r>
      <w:r>
        <w:rPr>
          <w:rFonts w:ascii="Times New Roman" w:cs="Times New Roman" w:eastAsia="Times New Roman" w:hAnsi="Times New Roman"/>
          <w:sz w:val="19"/>
          <w:szCs w:val="19"/>
          <w:color w:val="auto"/>
        </w:rPr>
        <w:t>. It shall not utilize directly or indirectly the proceeds of any Advance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the benefit of any Person controlling, controlled by, or under common control with any other Person, whose name appears on the List of Specially Designated Nationals and Blocked Persons maintained by OFAC or otherwise in violation of any Subject Laws.</w:t>
      </w:r>
    </w:p>
    <w:p>
      <w:pPr>
        <w:spacing w:after="0" w:line="170" w:lineRule="exact"/>
        <w:rPr>
          <w:rFonts w:ascii="Times New Roman" w:cs="Times New Roman" w:eastAsia="Times New Roman" w:hAnsi="Times New Roman"/>
          <w:sz w:val="19"/>
          <w:szCs w:val="19"/>
          <w:color w:val="auto"/>
        </w:rPr>
      </w:pPr>
    </w:p>
    <w:p>
      <w:pPr>
        <w:jc w:val="both"/>
        <w:ind w:left="1340" w:right="780" w:firstLine="47"/>
        <w:spacing w:after="0" w:line="256" w:lineRule="auto"/>
        <w:tabs>
          <w:tab w:leader="none" w:pos="1616"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Claims Against Advances</w:t>
      </w:r>
      <w:r>
        <w:rPr>
          <w:rFonts w:ascii="Times New Roman" w:cs="Times New Roman" w:eastAsia="Times New Roman" w:hAnsi="Times New Roman"/>
          <w:sz w:val="19"/>
          <w:szCs w:val="19"/>
          <w:color w:val="auto"/>
        </w:rPr>
        <w:t>. Subject to Applicable Law, it shall not claim any credit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make any deduction from, or dispute the enforceability of payment of the principal or interest payable (or any other amount) in respect of the Advances or assert any</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4" w:name="page195"/>
    <w:bookmarkEnd w:id="194"/>
    <w:p>
      <w:pPr>
        <w:spacing w:after="0" w:line="200" w:lineRule="exact"/>
        <w:rPr>
          <w:sz w:val="20"/>
          <w:szCs w:val="20"/>
          <w:color w:val="auto"/>
        </w:rPr>
      </w:pPr>
    </w:p>
    <w:p>
      <w:pPr>
        <w:spacing w:after="0" w:line="285" w:lineRule="exact"/>
        <w:rPr>
          <w:sz w:val="20"/>
          <w:szCs w:val="20"/>
          <w:color w:val="auto"/>
        </w:rPr>
      </w:pPr>
    </w:p>
    <w:p>
      <w:pPr>
        <w:ind w:left="1340" w:right="900"/>
        <w:spacing w:after="0" w:line="286" w:lineRule="auto"/>
        <w:rPr>
          <w:sz w:val="20"/>
          <w:szCs w:val="20"/>
          <w:color w:val="auto"/>
        </w:rPr>
      </w:pPr>
      <w:r>
        <w:rPr>
          <w:rFonts w:ascii="Times New Roman" w:cs="Times New Roman" w:eastAsia="Times New Roman" w:hAnsi="Times New Roman"/>
          <w:sz w:val="19"/>
          <w:szCs w:val="19"/>
          <w:color w:val="auto"/>
        </w:rPr>
        <w:t>claim against any present or future Lender, by reason of the payment of any taxes levied or assessed upon any part of the Collateral.</w:t>
      </w:r>
    </w:p>
    <w:p>
      <w:pPr>
        <w:spacing w:after="0" w:line="149" w:lineRule="exact"/>
        <w:rPr>
          <w:sz w:val="20"/>
          <w:szCs w:val="20"/>
          <w:color w:val="auto"/>
        </w:rPr>
      </w:pPr>
    </w:p>
    <w:p>
      <w:pPr>
        <w:ind w:left="1340" w:right="900" w:firstLine="47"/>
        <w:spacing w:after="0" w:line="255" w:lineRule="auto"/>
        <w:tabs>
          <w:tab w:leader="none" w:pos="1712"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Indebtedness; Guarantees; Securities; Other Assets</w:t>
      </w:r>
      <w:r>
        <w:rPr>
          <w:rFonts w:ascii="Times New Roman" w:cs="Times New Roman" w:eastAsia="Times New Roman" w:hAnsi="Times New Roman"/>
          <w:sz w:val="19"/>
          <w:szCs w:val="19"/>
          <w:color w:val="auto"/>
        </w:rPr>
        <w:t>. It shall not incur or assume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guarantee any indebtedness, obligations (including contingent obligations) or other liabilities, or issue any additional securities, whether debt or equity, in each case other than (i) pursuant to or as expressly permitted by this Agreement and the other Facility Documents, (ii) obligations under its Constituent Documents or (iii) pursuant to customary indemnification and expense reimbursement and similar provisions under the Related Documents. The Borrower shall not acquire any Collateral Loans or other property other than as expressly permitted hereunder.</w:t>
      </w:r>
    </w:p>
    <w:p>
      <w:pPr>
        <w:spacing w:after="0" w:line="183" w:lineRule="exact"/>
        <w:rPr>
          <w:rFonts w:ascii="Times New Roman" w:cs="Times New Roman" w:eastAsia="Times New Roman" w:hAnsi="Times New Roman"/>
          <w:sz w:val="19"/>
          <w:szCs w:val="19"/>
          <w:color w:val="auto"/>
        </w:rPr>
      </w:pPr>
    </w:p>
    <w:p>
      <w:pPr>
        <w:ind w:left="1340" w:right="760" w:firstLine="47"/>
        <w:spacing w:after="0" w:line="256" w:lineRule="auto"/>
        <w:tabs>
          <w:tab w:leader="none" w:pos="166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Validity of this Agreement</w:t>
      </w:r>
      <w:r>
        <w:rPr>
          <w:rFonts w:ascii="Times New Roman" w:cs="Times New Roman" w:eastAsia="Times New Roman" w:hAnsi="Times New Roman"/>
          <w:sz w:val="19"/>
          <w:szCs w:val="19"/>
          <w:color w:val="auto"/>
        </w:rPr>
        <w:t>. It shall not (i) permit the validity or effectiveness of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or any grant of Collateral hereunder to be 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181" w:lineRule="exact"/>
        <w:rPr>
          <w:rFonts w:ascii="Times New Roman" w:cs="Times New Roman" w:eastAsia="Times New Roman" w:hAnsi="Times New Roman"/>
          <w:sz w:val="19"/>
          <w:szCs w:val="19"/>
          <w:color w:val="auto"/>
        </w:rPr>
      </w:pPr>
    </w:p>
    <w:p>
      <w:pPr>
        <w:ind w:left="1340" w:right="820" w:firstLine="47"/>
        <w:spacing w:after="0" w:line="269" w:lineRule="auto"/>
        <w:tabs>
          <w:tab w:leader="none" w:pos="166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Priority of Payments</w:t>
      </w:r>
      <w:r>
        <w:rPr>
          <w:rFonts w:ascii="Times New Roman" w:cs="Times New Roman" w:eastAsia="Times New Roman" w:hAnsi="Times New Roman"/>
          <w:sz w:val="19"/>
          <w:szCs w:val="19"/>
          <w:color w:val="auto"/>
        </w:rPr>
        <w:t>. It shall not pay any distributions other than in accordance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Priority of Payments (it being understood that any amounts paid to the Borrower pursuant to the Priority of Payments may be distributed to the BDC).</w:t>
      </w:r>
    </w:p>
    <w:p>
      <w:pPr>
        <w:spacing w:after="0" w:line="165"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Subsidiaries</w:t>
      </w:r>
      <w:r>
        <w:rPr>
          <w:rFonts w:ascii="Times New Roman" w:cs="Times New Roman" w:eastAsia="Times New Roman" w:hAnsi="Times New Roman"/>
          <w:sz w:val="19"/>
          <w:szCs w:val="19"/>
          <w:color w:val="auto"/>
        </w:rPr>
        <w:t>. It shall not have or permit the formation of any subsidiaries.</w:t>
      </w:r>
    </w:p>
    <w:p>
      <w:pPr>
        <w:spacing w:after="0" w:line="225"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Name</w:t>
      </w:r>
      <w:r>
        <w:rPr>
          <w:rFonts w:ascii="Times New Roman" w:cs="Times New Roman" w:eastAsia="Times New Roman" w:hAnsi="Times New Roman"/>
          <w:sz w:val="19"/>
          <w:szCs w:val="19"/>
          <w:color w:val="auto"/>
        </w:rPr>
        <w:t>. It shall not conduct business under any name other than its own.</w:t>
      </w:r>
    </w:p>
    <w:p>
      <w:pPr>
        <w:spacing w:after="0" w:line="225" w:lineRule="exact"/>
        <w:rPr>
          <w:rFonts w:ascii="Times New Roman" w:cs="Times New Roman" w:eastAsia="Times New Roman" w:hAnsi="Times New Roman"/>
          <w:sz w:val="19"/>
          <w:szCs w:val="19"/>
          <w:color w:val="auto"/>
        </w:rPr>
      </w:pPr>
    </w:p>
    <w:p>
      <w:pPr>
        <w:ind w:left="1340" w:right="960" w:firstLine="47"/>
        <w:spacing w:after="0" w:line="288" w:lineRule="auto"/>
        <w:tabs>
          <w:tab w:leader="none" w:pos="1628"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Employees</w:t>
      </w:r>
      <w:r>
        <w:rPr>
          <w:rFonts w:ascii="Times New Roman" w:cs="Times New Roman" w:eastAsia="Times New Roman" w:hAnsi="Times New Roman"/>
          <w:sz w:val="19"/>
          <w:szCs w:val="19"/>
          <w:color w:val="auto"/>
        </w:rPr>
        <w:t>. It shall not have any employees (other than officers and directors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extent they are employees).</w:t>
      </w:r>
    </w:p>
    <w:p>
      <w:pPr>
        <w:spacing w:after="0" w:line="130" w:lineRule="exact"/>
        <w:rPr>
          <w:rFonts w:ascii="Times New Roman" w:cs="Times New Roman" w:eastAsia="Times New Roman" w:hAnsi="Times New Roman"/>
          <w:sz w:val="19"/>
          <w:szCs w:val="19"/>
          <w:color w:val="auto"/>
        </w:rPr>
      </w:pPr>
    </w:p>
    <w:p>
      <w:pPr>
        <w:ind w:left="1340" w:right="820" w:firstLine="47"/>
        <w:spacing w:after="0" w:line="233" w:lineRule="exact"/>
        <w:tabs>
          <w:tab w:leader="none" w:pos="164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Petition</w:t>
      </w:r>
      <w:r>
        <w:rPr>
          <w:rFonts w:ascii="Times New Roman" w:cs="Times New Roman" w:eastAsia="Times New Roman" w:hAnsi="Times New Roman"/>
          <w:sz w:val="19"/>
          <w:szCs w:val="19"/>
          <w:color w:val="auto"/>
        </w:rPr>
        <w:t>. The Borrower shall not be party to any agreements under which it has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material obligations or liability (direct or contingent) without using commercially reasonable efforts to include customary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Collateral Loans which contain customary (as determined by the Collateral Manager) purchase or sale terms or which are documented using customary (as determined by the Collateral Manager) loan trading documentation, and customary service contracts and engagement letters entered into with Permitted Agents in connection with the Collateral Loans.</w:t>
      </w:r>
    </w:p>
    <w:p>
      <w:pPr>
        <w:spacing w:after="0" w:line="192" w:lineRule="exact"/>
        <w:rPr>
          <w:rFonts w:ascii="Times New Roman" w:cs="Times New Roman" w:eastAsia="Times New Roman" w:hAnsi="Times New Roman"/>
          <w:sz w:val="19"/>
          <w:szCs w:val="19"/>
          <w:color w:val="auto"/>
        </w:rPr>
      </w:pPr>
    </w:p>
    <w:p>
      <w:pPr>
        <w:ind w:left="1340" w:right="800" w:firstLine="47"/>
        <w:spacing w:after="0" w:line="256" w:lineRule="auto"/>
        <w:tabs>
          <w:tab w:leader="none" w:pos="1616"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Certificated Securities</w:t>
      </w:r>
      <w:r>
        <w:rPr>
          <w:rFonts w:ascii="Times New Roman" w:cs="Times New Roman" w:eastAsia="Times New Roman" w:hAnsi="Times New Roman"/>
          <w:sz w:val="19"/>
          <w:szCs w:val="19"/>
          <w:color w:val="auto"/>
        </w:rPr>
        <w:t>. The Borrower shall not acquire or hold any Certificated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Securities in bearer form (other than securities not required to be in registered form under Section 163(f)(2)(A) of the Code) in a manner that does not satisfy the</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5" w:name="page196"/>
    <w:bookmarkEnd w:id="195"/>
    <w:p>
      <w:pPr>
        <w:spacing w:after="0" w:line="200" w:lineRule="exact"/>
        <w:rPr>
          <w:sz w:val="20"/>
          <w:szCs w:val="20"/>
          <w:color w:val="auto"/>
        </w:rPr>
      </w:pPr>
    </w:p>
    <w:p>
      <w:pPr>
        <w:spacing w:after="0" w:line="266" w:lineRule="exact"/>
        <w:rPr>
          <w:sz w:val="20"/>
          <w:szCs w:val="20"/>
          <w:color w:val="auto"/>
        </w:rPr>
      </w:pPr>
    </w:p>
    <w:p>
      <w:pPr>
        <w:ind w:left="1340" w:right="980"/>
        <w:spacing w:after="0" w:line="249" w:lineRule="exact"/>
        <w:rPr>
          <w:sz w:val="20"/>
          <w:szCs w:val="20"/>
          <w:color w:val="auto"/>
        </w:rPr>
      </w:pPr>
      <w:r>
        <w:rPr>
          <w:rFonts w:ascii="Times New Roman" w:cs="Times New Roman" w:eastAsia="Times New Roman" w:hAnsi="Times New Roman"/>
          <w:sz w:val="19"/>
          <w:szCs w:val="19"/>
          <w:color w:val="auto"/>
        </w:rPr>
        <w:t>requirements of United States Treasury Regulations section 1.165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12(c) (as determined by the Collateral Manager).</w:t>
      </w:r>
    </w:p>
    <w:p>
      <w:pPr>
        <w:spacing w:after="0" w:line="192" w:lineRule="exact"/>
        <w:rPr>
          <w:sz w:val="20"/>
          <w:szCs w:val="20"/>
          <w:color w:val="auto"/>
        </w:rPr>
      </w:pPr>
    </w:p>
    <w:p>
      <w:pPr>
        <w:ind w:left="1340" w:right="760" w:firstLine="47"/>
        <w:spacing w:after="0" w:line="252" w:lineRule="auto"/>
        <w:tabs>
          <w:tab w:leader="none" w:pos="1664"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Independent Manager</w:t>
      </w:r>
      <w:r>
        <w:rPr>
          <w:rFonts w:ascii="Times New Roman" w:cs="Times New Roman" w:eastAsia="Times New Roman" w:hAnsi="Times New Roman"/>
          <w:sz w:val="19"/>
          <w:szCs w:val="19"/>
          <w:color w:val="auto"/>
        </w:rPr>
        <w:t>. Without limiting anything in the Borrower LLC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Borrower shall at all times maintain at least one independent manager who (A) for the five year period prior to his or her appointment as independent manager has not been, and during the continuation of his or her service as independent manager, is not: (i) an employee, manager, member, stockholder, partner or officer of the Borrower or any of its Affiliates (other than his or her service as an independent manager of the Borrower or any of its Affiliates), (ii) a significant customer or supplier of the Borrower or any of its Affiliates, (iii) a Person controlling or under common control with any partner, shareholder, member, manager, Affiliate or supplier of the Borrower or any Affiliate of the Borrower, or (iv) any member of the immediate family of a Person described in clause (i), (ii) or (iii);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 independent manager may serve in similar capacities for other special purpose entities established from time to time by Affiliates of the Borrower and (B) is a Professional Independent Manager. The criteria set forth above in this Section 5.02(u) are referred to herein as the </w:t>
      </w:r>
      <w:r>
        <w:rPr>
          <w:rFonts w:ascii="Times New Roman" w:cs="Times New Roman" w:eastAsia="Times New Roman" w:hAnsi="Times New Roman"/>
          <w:sz w:val="19"/>
          <w:szCs w:val="19"/>
          <w:i w:val="1"/>
          <w:iCs w:val="1"/>
          <w:color w:val="auto"/>
        </w:rPr>
        <w:t>“Independent Manager Criteria”</w:t>
      </w:r>
      <w:r>
        <w:rPr>
          <w:rFonts w:ascii="Times New Roman" w:cs="Times New Roman" w:eastAsia="Times New Roman" w:hAnsi="Times New Roman"/>
          <w:sz w:val="19"/>
          <w:szCs w:val="19"/>
          <w:color w:val="auto"/>
        </w:rPr>
        <w:t>. Each of the Collateral Manager and the Borrower shall notify the Administrative Agent of any decision to appoint a new manager of the Borrower as the “independent manager” for purposes of this Agreement, such notice shall be delivered not less than ten (10) days prior to the proposed effective date of such appointment and shall certify that the designated Person satisfies the Independent Manager Criteria. If the Administrative Agent shall object within ten (10) days of receipt of notice of such proposed new independent manager, the Borrower shall not appoint such new manager as the independent manager until the Administrative Agent and the Borrower shall have reasonably agreed that such proposed new independent manager or another proposed new independent manager satisfies the Independent Manager Criteria. In no event shall any Independent Manager be removed or expelled except for Cause.</w:t>
      </w:r>
    </w:p>
    <w:p>
      <w:pPr>
        <w:spacing w:after="0" w:line="183" w:lineRule="exact"/>
        <w:rPr>
          <w:sz w:val="20"/>
          <w:szCs w:val="20"/>
          <w:color w:val="auto"/>
        </w:rPr>
      </w:pPr>
    </w:p>
    <w:p>
      <w:pPr>
        <w:ind w:left="760" w:right="120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Section 5.03. Affirmative Covenants of the Collateral Manager</w:t>
      </w:r>
      <w:r>
        <w:rPr>
          <w:rFonts w:ascii="Times New Roman" w:cs="Times New Roman" w:eastAsia="Times New Roman" w:hAnsi="Times New Roman"/>
          <w:sz w:val="19"/>
          <w:szCs w:val="19"/>
          <w:color w:val="auto"/>
        </w:rPr>
        <w:t>. The Collateral Manager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covenants and agrees that, until the Final Maturity Date (and thereafter until the date that all Obligations have been paid in full):</w:t>
      </w:r>
    </w:p>
    <w:p>
      <w:pPr>
        <w:spacing w:after="0" w:line="166" w:lineRule="exact"/>
        <w:rPr>
          <w:sz w:val="20"/>
          <w:szCs w:val="20"/>
          <w:color w:val="auto"/>
        </w:rPr>
      </w:pPr>
    </w:p>
    <w:p>
      <w:pPr>
        <w:ind w:left="1340" w:right="860" w:firstLine="47"/>
        <w:spacing w:after="0" w:line="252" w:lineRule="auto"/>
        <w:tabs>
          <w:tab w:leader="none" w:pos="1652"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Compliance with Agreements, Laws, Etc</w:t>
      </w:r>
      <w:r>
        <w:rPr>
          <w:rFonts w:ascii="Times New Roman" w:cs="Times New Roman" w:eastAsia="Times New Roman" w:hAnsi="Times New Roman"/>
          <w:sz w:val="19"/>
          <w:szCs w:val="19"/>
          <w:color w:val="auto"/>
        </w:rPr>
        <w:t>. It shall (i) duly observe, comply in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Constituent Document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the Constituent Documents and the Related Documents to which it is a party.</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6" w:name="page197"/>
    <w:bookmarkEnd w:id="196"/>
    <w:p>
      <w:pPr>
        <w:spacing w:after="0" w:line="200" w:lineRule="exact"/>
        <w:rPr>
          <w:sz w:val="20"/>
          <w:szCs w:val="20"/>
          <w:color w:val="auto"/>
        </w:rPr>
      </w:pPr>
    </w:p>
    <w:p>
      <w:pPr>
        <w:spacing w:after="0" w:line="283" w:lineRule="exact"/>
        <w:rPr>
          <w:sz w:val="20"/>
          <w:szCs w:val="20"/>
          <w:color w:val="auto"/>
        </w:rPr>
      </w:pPr>
    </w:p>
    <w:p>
      <w:pPr>
        <w:ind w:left="1340" w:right="800" w:firstLine="47"/>
        <w:spacing w:after="0" w:line="231" w:lineRule="exact"/>
        <w:tabs>
          <w:tab w:leader="none" w:pos="1664"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Enforcement</w:t>
      </w:r>
      <w:r>
        <w:rPr>
          <w:rFonts w:ascii="Times New Roman" w:cs="Times New Roman" w:eastAsia="Times New Roman" w:hAnsi="Times New Roman"/>
          <w:sz w:val="19"/>
          <w:szCs w:val="19"/>
          <w:color w:val="auto"/>
        </w:rPr>
        <w:t>. (i) It shall not take any action, and will use commercially reasonable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efforts not to permit any action to be taken by others, that would release any Person from any of such Person’s covenants or obligations under any instrument included in the Collateral, except in the case of (A) repayment of Collateral Loans, (B) subject to the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 taken or work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 with respect to any Defaulted Collateral Loan in accordance with the provisions hereof, and (C) actions by the Collateral Manager under this Agreement and in conformity with this Agreement or as otherwise required hereby.</w:t>
      </w:r>
    </w:p>
    <w:p>
      <w:pPr>
        <w:spacing w:after="0" w:line="193" w:lineRule="exact"/>
        <w:rPr>
          <w:sz w:val="20"/>
          <w:szCs w:val="20"/>
          <w:color w:val="auto"/>
        </w:rPr>
      </w:pPr>
    </w:p>
    <w:p>
      <w:pPr>
        <w:ind w:left="1340" w:right="820" w:firstLine="47"/>
        <w:spacing w:after="0" w:line="255" w:lineRule="auto"/>
        <w:tabs>
          <w:tab w:leader="none" w:pos="167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will not, without the prior written consent of the Administrative Agent and the Required Lenders, contract with other Persons for the performance of actions and obligations to be performed by the Collateral Manager hereunder. Notwithstanding any such arrangement, the Collateral Manager shall remain primarily liable with respect thereto. In the event of such contract, the performance of such actions and obligations by such Persons shall be deemed to be performance of such actions and obligations by the Collateral Manager, and the Collateral Manager will punctually perform all of its obligations and agreements contained in this Agreement or any such other agreement.</w:t>
      </w:r>
    </w:p>
    <w:p>
      <w:pPr>
        <w:spacing w:after="0" w:line="182" w:lineRule="exact"/>
        <w:rPr>
          <w:sz w:val="20"/>
          <w:szCs w:val="20"/>
          <w:color w:val="auto"/>
        </w:rPr>
      </w:pPr>
    </w:p>
    <w:p>
      <w:pPr>
        <w:ind w:left="1340" w:right="800" w:firstLine="47"/>
        <w:spacing w:after="0" w:line="231" w:lineRule="exact"/>
        <w:tabs>
          <w:tab w:leader="none" w:pos="1652"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Further Assurances</w:t>
      </w:r>
      <w:r>
        <w:rPr>
          <w:rFonts w:ascii="Times New Roman" w:cs="Times New Roman" w:eastAsia="Times New Roman" w:hAnsi="Times New Roman"/>
          <w:sz w:val="19"/>
          <w:szCs w:val="19"/>
          <w:color w:val="auto"/>
        </w:rPr>
        <w:t>. It shall promptly at the Borrower’s expense, execute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deliver such further instruments and take such further action in order to maintain and protect the Collateral Agent’s first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priority perfected security interest in the Collateral pledged by the Borrower for the benefit of the Secured Parties free and clear of any Liens (subject to Permitted Liens). The Collateral Manager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193" w:lineRule="exact"/>
        <w:rPr>
          <w:sz w:val="20"/>
          <w:szCs w:val="20"/>
          <w:color w:val="auto"/>
        </w:rPr>
      </w:pPr>
    </w:p>
    <w:p>
      <w:pPr>
        <w:ind w:left="1340" w:right="780" w:firstLine="576"/>
        <w:spacing w:after="0" w:line="232" w:lineRule="exact"/>
        <w:rPr>
          <w:sz w:val="20"/>
          <w:szCs w:val="20"/>
          <w:color w:val="auto"/>
        </w:rPr>
      </w:pPr>
      <w:r>
        <w:rPr>
          <w:rFonts w:ascii="Times New Roman" w:cs="Times New Roman" w:eastAsia="Times New Roman" w:hAnsi="Times New Roman"/>
          <w:sz w:val="19"/>
          <w:szCs w:val="19"/>
          <w:color w:val="auto"/>
        </w:rPr>
        <w:t>In addition, the Collateral Manager will take such reasonable action from time to time as shall be necessary to ensure that all assets (including all Covered Accounts) of the Borrower constitute “</w:t>
      </w:r>
      <w:r>
        <w:rPr>
          <w:rFonts w:ascii="Times New Roman" w:cs="Times New Roman" w:eastAsia="Times New Roman" w:hAnsi="Times New Roman"/>
          <w:sz w:val="19"/>
          <w:szCs w:val="19"/>
          <w:i w:val="1"/>
          <w:iCs w:val="1"/>
          <w:color w:val="auto"/>
        </w:rPr>
        <w:t>Collateral</w:t>
      </w:r>
      <w:r>
        <w:rPr>
          <w:rFonts w:ascii="Times New Roman" w:cs="Times New Roman" w:eastAsia="Times New Roman" w:hAnsi="Times New Roman"/>
          <w:sz w:val="19"/>
          <w:szCs w:val="19"/>
          <w:color w:val="auto"/>
        </w:rPr>
        <w:t xml:space="preserve"> ” hereunder. Subject to the foregoing, the Collateral Manager will at the Borrower’s expense, take such other action (including executing and delivering or authorizing for filing any required UCC financing statements) as shall be necessary to create and perfect a valid and enforceable first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priority security interest on all Collateral acquired by the Borrower as collateral security for the Obligations.</w:t>
      </w:r>
    </w:p>
    <w:p>
      <w:pPr>
        <w:spacing w:after="0" w:line="192" w:lineRule="exact"/>
        <w:rPr>
          <w:sz w:val="20"/>
          <w:szCs w:val="20"/>
          <w:color w:val="auto"/>
        </w:rPr>
      </w:pPr>
    </w:p>
    <w:p>
      <w:pPr>
        <w:ind w:left="1340" w:right="800" w:firstLine="47"/>
        <w:spacing w:after="0" w:line="254" w:lineRule="auto"/>
        <w:tabs>
          <w:tab w:leader="none" w:pos="1664"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Changes to Related Documents</w:t>
      </w:r>
      <w:r>
        <w:rPr>
          <w:rFonts w:ascii="Times New Roman" w:cs="Times New Roman" w:eastAsia="Times New Roman" w:hAnsi="Times New Roman"/>
          <w:sz w:val="19"/>
          <w:szCs w:val="19"/>
          <w:color w:val="auto"/>
        </w:rPr>
        <w:t>. If any amendment, consent, waiver or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modification with respect to a Related Document (other than a Defaulted Collateral Loan or an Ineligible Collateral Loan) would effect a Material Modification, then the Collateral Manager shall not cause or vote in favor of any such Material Modification to occur without the written consent of the Administrative Agent and the Required Lenders.</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7" w:name="page198"/>
    <w:bookmarkEnd w:id="197"/>
    <w:p>
      <w:pPr>
        <w:spacing w:after="0" w:line="200" w:lineRule="exact"/>
        <w:rPr>
          <w:sz w:val="20"/>
          <w:szCs w:val="20"/>
          <w:color w:val="auto"/>
        </w:rPr>
      </w:pPr>
    </w:p>
    <w:p>
      <w:pPr>
        <w:spacing w:after="0" w:line="283" w:lineRule="exact"/>
        <w:rPr>
          <w:sz w:val="20"/>
          <w:szCs w:val="20"/>
          <w:color w:val="auto"/>
        </w:rPr>
      </w:pPr>
    </w:p>
    <w:p>
      <w:pPr>
        <w:ind w:left="1340" w:right="780" w:firstLine="47"/>
        <w:spacing w:after="0" w:line="253" w:lineRule="auto"/>
        <w:tabs>
          <w:tab w:leader="none" w:pos="1652"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Access to Records and Documents</w:t>
      </w:r>
      <w:r>
        <w:rPr>
          <w:rFonts w:ascii="Times New Roman" w:cs="Times New Roman" w:eastAsia="Times New Roman" w:hAnsi="Times New Roman"/>
          <w:sz w:val="19"/>
          <w:szCs w:val="19"/>
          <w:color w:val="auto"/>
        </w:rPr>
        <w:t>. It shall permit the Administrative Agent and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Lender (or any Person designated by the 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so long as no Event of Default has occurred, each Person entitled to so visit and inspect the Collateral Manager’s records under this clause</w:t>
      </w:r>
    </w:p>
    <w:p>
      <w:pPr>
        <w:spacing w:after="0" w:line="1" w:lineRule="exact"/>
        <w:rPr>
          <w:rFonts w:ascii="Times New Roman" w:cs="Times New Roman" w:eastAsia="Times New Roman" w:hAnsi="Times New Roman"/>
          <w:sz w:val="19"/>
          <w:szCs w:val="19"/>
          <w:color w:val="auto"/>
        </w:rPr>
      </w:pPr>
    </w:p>
    <w:p>
      <w:pPr>
        <w:ind w:left="1340" w:right="940" w:hanging="1"/>
        <w:spacing w:after="0" w:line="252" w:lineRule="auto"/>
        <w:tabs>
          <w:tab w:leader="none" w:pos="1604"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only exercise its rights under this clause (e) twice during any fiscal year of the Collateral Manager (it being understood that the Borrower shall be responsible for all costs and expenses for only one such visit per fiscal year). Each Lender agrees to use commercially reasonable efforts to coordinate with the other Lenders in exercising their respective rights under this paragraph (e) and under paragraph (f) below with a view to minimizing duplication of effort and expense by the Borrower and the Collateral Manager.</w:t>
      </w:r>
    </w:p>
    <w:p>
      <w:pPr>
        <w:spacing w:after="0" w:line="182" w:lineRule="exact"/>
        <w:rPr>
          <w:rFonts w:ascii="Times New Roman" w:cs="Times New Roman" w:eastAsia="Times New Roman" w:hAnsi="Times New Roman"/>
          <w:sz w:val="19"/>
          <w:szCs w:val="19"/>
          <w:color w:val="auto"/>
        </w:rPr>
      </w:pPr>
    </w:p>
    <w:p>
      <w:pPr>
        <w:ind w:left="1340" w:right="880" w:firstLine="47"/>
        <w:spacing w:after="0" w:line="253" w:lineRule="auto"/>
        <w:tabs>
          <w:tab w:leader="none" w:pos="1628"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Audit Rights</w:t>
      </w:r>
      <w:r>
        <w:rPr>
          <w:rFonts w:ascii="Times New Roman" w:cs="Times New Roman" w:eastAsia="Times New Roman" w:hAnsi="Times New Roman"/>
          <w:sz w:val="19"/>
          <w:szCs w:val="19"/>
          <w:color w:val="auto"/>
        </w:rPr>
        <w:t>. It will permit the Administrative Agent and any Lender (or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representatives thereof (including any consultants, accountants, lawyers and appraisers)) to conduct evaluations and appraisals of the Collateral Manager’s computation of the Borrowing Base and the assets included in the Borrowing Base no more than twice during any fiscal year of the Collateral Manager. The Borrower shall pay the reasonable fees and expenses of any representatives retained by the Administrative Agent or any Lender to conduct any such evaluation or appraisal;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the Borrower shall not be required to pay such fees and expenses for more than one such evaluation or appraisal during any calendar year unless an Event of Default has occurred and is continuing and (ii) such evaluation or appraisal shall not be duplicative of the report required under Section 8.08(b) or any audit pursuant to Section 5.01(g). Each Lender agrees to use commercially reasonable efforts to coordinate with the other Lenders in exercising their respective rights under this paragraph (f) and under paragraph (e) above with a view to minimizing duplication of effort and expense by the Borrower.</w:t>
      </w:r>
    </w:p>
    <w:p>
      <w:pPr>
        <w:spacing w:after="0" w:line="185" w:lineRule="exact"/>
        <w:rPr>
          <w:sz w:val="20"/>
          <w:szCs w:val="20"/>
          <w:color w:val="auto"/>
        </w:rPr>
      </w:pPr>
    </w:p>
    <w:p>
      <w:pPr>
        <w:ind w:left="760" w:right="120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5.04. Negative Covenants of the Collateral Manager </w:t>
      </w:r>
      <w:r>
        <w:rPr>
          <w:rFonts w:ascii="Times New Roman" w:cs="Times New Roman" w:eastAsia="Times New Roman" w:hAnsi="Times New Roman"/>
          <w:sz w:val="19"/>
          <w:szCs w:val="19"/>
          <w:color w:val="auto"/>
        </w:rPr>
        <w:t>. The Collateral Manager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covenants and agrees that, until the Final Maturity Date (and thereafter until the date that all Obligations have been paid in full):</w:t>
      </w:r>
    </w:p>
    <w:p>
      <w:pPr>
        <w:spacing w:after="0" w:line="166" w:lineRule="exact"/>
        <w:rPr>
          <w:sz w:val="20"/>
          <w:szCs w:val="20"/>
          <w:color w:val="auto"/>
        </w:rPr>
      </w:pPr>
    </w:p>
    <w:p>
      <w:pPr>
        <w:jc w:val="both"/>
        <w:ind w:left="1340" w:right="920" w:firstLine="47"/>
        <w:spacing w:after="0" w:line="269" w:lineRule="auto"/>
        <w:tabs>
          <w:tab w:leader="none" w:pos="1652"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Restrictive Agreements</w:t>
      </w:r>
      <w:r>
        <w:rPr>
          <w:rFonts w:ascii="Times New Roman" w:cs="Times New Roman" w:eastAsia="Times New Roman" w:hAnsi="Times New Roman"/>
          <w:sz w:val="19"/>
          <w:szCs w:val="19"/>
          <w:color w:val="auto"/>
        </w:rPr>
        <w:t>. It shall not enter into or suffer to exist or become effective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agreement that prohibits, limits or imposes any condition upon its ability to perform its obligations under the Facility Documents.</w:t>
      </w:r>
    </w:p>
    <w:p>
      <w:pPr>
        <w:spacing w:after="0" w:line="165"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Validity of this Agreement</w:t>
      </w:r>
      <w:r>
        <w:rPr>
          <w:rFonts w:ascii="Times New Roman" w:cs="Times New Roman" w:eastAsia="Times New Roman" w:hAnsi="Times New Roman"/>
          <w:sz w:val="19"/>
          <w:szCs w:val="19"/>
          <w:color w:val="auto"/>
        </w:rPr>
        <w:t>. It shall not (i) permit the validity or effectiveness of this</w:t>
      </w:r>
    </w:p>
    <w:p>
      <w:pPr>
        <w:spacing w:after="0" w:line="34" w:lineRule="exact"/>
        <w:rPr>
          <w:sz w:val="20"/>
          <w:szCs w:val="20"/>
          <w:color w:val="auto"/>
        </w:rPr>
      </w:pPr>
    </w:p>
    <w:p>
      <w:pPr>
        <w:ind w:left="1340" w:right="920"/>
        <w:spacing w:after="0" w:line="248" w:lineRule="auto"/>
        <w:rPr>
          <w:sz w:val="20"/>
          <w:szCs w:val="20"/>
          <w:color w:val="auto"/>
        </w:rPr>
      </w:pPr>
      <w:r>
        <w:rPr>
          <w:rFonts w:ascii="Times New Roman" w:cs="Times New Roman" w:eastAsia="Times New Roman" w:hAnsi="Times New Roman"/>
          <w:sz w:val="19"/>
          <w:szCs w:val="19"/>
          <w:color w:val="auto"/>
        </w:rPr>
        <w:t>Agreement or any grant of Collateral hereunder to be impaired, or permit the lien of this Agreement to be amended, hypothecated, subordinated, terminated or discharged, or permit any Person to be released from any covenants or obligations with respect to this Agreement and (ii) except as permitted by this Agreement, take any action</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8" w:name="page199"/>
    <w:bookmarkEnd w:id="198"/>
    <w:p>
      <w:pPr>
        <w:spacing w:after="0" w:line="200" w:lineRule="exact"/>
        <w:rPr>
          <w:sz w:val="20"/>
          <w:szCs w:val="20"/>
          <w:color w:val="auto"/>
        </w:rPr>
      </w:pPr>
    </w:p>
    <w:p>
      <w:pPr>
        <w:spacing w:after="0" w:line="285" w:lineRule="exact"/>
        <w:rPr>
          <w:sz w:val="20"/>
          <w:szCs w:val="20"/>
          <w:color w:val="auto"/>
        </w:rPr>
      </w:pPr>
    </w:p>
    <w:p>
      <w:pPr>
        <w:ind w:left="1340" w:right="780"/>
        <w:spacing w:after="0" w:line="286" w:lineRule="auto"/>
        <w:rPr>
          <w:sz w:val="20"/>
          <w:szCs w:val="20"/>
          <w:color w:val="auto"/>
        </w:rPr>
      </w:pPr>
      <w:r>
        <w:rPr>
          <w:rFonts w:ascii="Times New Roman" w:cs="Times New Roman" w:eastAsia="Times New Roman" w:hAnsi="Times New Roman"/>
          <w:sz w:val="19"/>
          <w:szCs w:val="19"/>
          <w:color w:val="auto"/>
        </w:rPr>
        <w:t>that would permit the lien of this Agreement not to constitute a valid first priority security interest in the Collateral (subject to Permitted Liens).</w:t>
      </w:r>
    </w:p>
    <w:p>
      <w:pPr>
        <w:spacing w:after="0" w:line="149" w:lineRule="exact"/>
        <w:rPr>
          <w:sz w:val="20"/>
          <w:szCs w:val="20"/>
          <w:color w:val="auto"/>
        </w:rPr>
      </w:pPr>
    </w:p>
    <w:p>
      <w:pPr>
        <w:ind w:left="1340" w:right="960" w:firstLine="47"/>
        <w:spacing w:after="0" w:line="260" w:lineRule="auto"/>
        <w:tabs>
          <w:tab w:leader="none" w:pos="1652"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Liquidation; Merger; Disposition of Assets. </w:t>
      </w:r>
      <w:r>
        <w:rPr>
          <w:rFonts w:ascii="Times New Roman" w:cs="Times New Roman" w:eastAsia="Times New Roman" w:hAnsi="Times New Roman"/>
          <w:sz w:val="19"/>
          <w:szCs w:val="19"/>
          <w:color w:val="auto"/>
        </w:rPr>
        <w:t>It shall not consummate any plan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liquidation, dissolution, partial liquidation, merger or consolidation (or suffer any liquidation, dissolution or partial liquidation) nor sell, transfer, exchange or otherwise dispose of (including by dividing into two or more separate limited liability companies) all or substantially all of its assets or enter into any agreement or commitment to do so.</w:t>
      </w:r>
    </w:p>
    <w:p>
      <w:pPr>
        <w:spacing w:after="0" w:line="173" w:lineRule="exact"/>
        <w:rPr>
          <w:sz w:val="20"/>
          <w:szCs w:val="20"/>
          <w:color w:val="auto"/>
        </w:rPr>
      </w:pPr>
    </w:p>
    <w:p>
      <w:pPr>
        <w:ind w:left="760" w:right="900"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Section 5.05. Certain Undertakings Relating to Separateness</w:t>
      </w:r>
      <w:r>
        <w:rPr>
          <w:rFonts w:ascii="Times New Roman" w:cs="Times New Roman" w:eastAsia="Times New Roman" w:hAnsi="Times New Roman"/>
          <w:sz w:val="19"/>
          <w:szCs w:val="19"/>
          <w:color w:val="auto"/>
        </w:rPr>
        <w:t>. (a) Without limiting any,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subject to all, other covenants of the Borrower contained in this Agreement, the Borrower shall conduct its business and operations separate and apart from that any other Person (including the Collateral Manager and any of its Affiliates, the holders of the Equity and their respective Affiliates) and in furtherance of the foregoing:</w:t>
      </w:r>
    </w:p>
    <w:p>
      <w:pPr>
        <w:spacing w:after="0" w:line="175" w:lineRule="exact"/>
        <w:rPr>
          <w:sz w:val="20"/>
          <w:szCs w:val="20"/>
          <w:color w:val="auto"/>
        </w:rPr>
      </w:pPr>
    </w:p>
    <w:p>
      <w:pPr>
        <w:ind w:left="1340" w:right="760" w:firstLine="47"/>
        <w:spacing w:after="0" w:line="262" w:lineRule="auto"/>
        <w:tabs>
          <w:tab w:leader="none" w:pos="166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maintain its accounts, financial statements, books, accounting and other records, and other Borrower documents separate from those of any other Person,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the Borrower may be consolidated into the BDC solely for tax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accounting purposes.</w:t>
      </w:r>
    </w:p>
    <w:p>
      <w:pPr>
        <w:spacing w:after="0" w:line="174" w:lineRule="exact"/>
        <w:rPr>
          <w:rFonts w:ascii="Times New Roman" w:cs="Times New Roman" w:eastAsia="Times New Roman" w:hAnsi="Times New Roman"/>
          <w:sz w:val="19"/>
          <w:szCs w:val="19"/>
          <w:color w:val="auto"/>
        </w:rPr>
      </w:pPr>
    </w:p>
    <w:p>
      <w:pPr>
        <w:ind w:left="1340" w:right="760" w:firstLine="47"/>
        <w:spacing w:after="0" w:line="268" w:lineRule="auto"/>
        <w:tabs>
          <w:tab w:leader="none" w:pos="166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168" w:lineRule="exact"/>
        <w:rPr>
          <w:rFonts w:ascii="Times New Roman" w:cs="Times New Roman" w:eastAsia="Times New Roman" w:hAnsi="Times New Roman"/>
          <w:sz w:val="19"/>
          <w:szCs w:val="19"/>
          <w:color w:val="auto"/>
        </w:rPr>
      </w:pPr>
    </w:p>
    <w:p>
      <w:pPr>
        <w:jc w:val="both"/>
        <w:ind w:left="1340" w:right="980" w:firstLine="47"/>
        <w:spacing w:after="0" w:line="268" w:lineRule="auto"/>
        <w:tabs>
          <w:tab w:leader="none" w:pos="166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conduct its own business in its own name and, for all purposes, shall not operate, or purport to operate, collectively as a single or consolidated business entity with respect to any Person.</w:t>
      </w:r>
    </w:p>
    <w:p>
      <w:pPr>
        <w:spacing w:after="0" w:line="168" w:lineRule="exact"/>
        <w:rPr>
          <w:rFonts w:ascii="Times New Roman" w:cs="Times New Roman" w:eastAsia="Times New Roman" w:hAnsi="Times New Roman"/>
          <w:sz w:val="19"/>
          <w:szCs w:val="19"/>
          <w:color w:val="auto"/>
        </w:rPr>
      </w:pPr>
    </w:p>
    <w:p>
      <w:pPr>
        <w:ind w:left="1340" w:right="1020" w:firstLine="47"/>
        <w:spacing w:after="0" w:line="286" w:lineRule="auto"/>
        <w:tabs>
          <w:tab w:leader="none" w:pos="166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pay its own debts, liabilities and expenses (including overhead expenses, if any) only out of its own assets as the same shall become due.</w:t>
      </w:r>
    </w:p>
    <w:p>
      <w:pPr>
        <w:spacing w:after="0" w:line="151" w:lineRule="exact"/>
        <w:rPr>
          <w:rFonts w:ascii="Times New Roman" w:cs="Times New Roman" w:eastAsia="Times New Roman" w:hAnsi="Times New Roman"/>
          <w:sz w:val="19"/>
          <w:szCs w:val="19"/>
          <w:color w:val="auto"/>
        </w:rPr>
      </w:pPr>
    </w:p>
    <w:p>
      <w:pPr>
        <w:ind w:left="1340" w:right="840" w:firstLine="47"/>
        <w:spacing w:after="0" w:line="232" w:lineRule="exact"/>
        <w:tabs>
          <w:tab w:leader="none" w:pos="166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remote special purpose entity.</w:t>
      </w:r>
    </w:p>
    <w:p>
      <w:pPr>
        <w:spacing w:after="0" w:line="193" w:lineRule="exact"/>
        <w:rPr>
          <w:rFonts w:ascii="Times New Roman" w:cs="Times New Roman" w:eastAsia="Times New Roman" w:hAnsi="Times New Roman"/>
          <w:sz w:val="19"/>
          <w:szCs w:val="19"/>
          <w:color w:val="auto"/>
        </w:rPr>
      </w:pPr>
    </w:p>
    <w:p>
      <w:pPr>
        <w:ind w:left="1340" w:right="760" w:firstLine="47"/>
        <w:spacing w:after="0" w:line="262" w:lineRule="auto"/>
        <w:tabs>
          <w:tab w:leader="none" w:pos="166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174" w:lineRule="exact"/>
        <w:rPr>
          <w:rFonts w:ascii="Times New Roman" w:cs="Times New Roman" w:eastAsia="Times New Roman" w:hAnsi="Times New Roman"/>
          <w:sz w:val="19"/>
          <w:szCs w:val="19"/>
          <w:color w:val="auto"/>
        </w:rPr>
      </w:pPr>
    </w:p>
    <w:p>
      <w:pPr>
        <w:ind w:left="1340" w:right="840" w:firstLine="47"/>
        <w:spacing w:after="0" w:line="258" w:lineRule="auto"/>
        <w:tabs>
          <w:tab w:leader="none" w:pos="166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at all times, hold itself out to the public as a legal entity separate and distinct from any other Person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assets of the Borrower may</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99" w:name="page200"/>
    <w:bookmarkEnd w:id="199"/>
    <w:p>
      <w:pPr>
        <w:spacing w:after="0" w:line="200" w:lineRule="exact"/>
        <w:rPr>
          <w:sz w:val="20"/>
          <w:szCs w:val="20"/>
          <w:color w:val="auto"/>
        </w:rPr>
      </w:pPr>
    </w:p>
    <w:p>
      <w:pPr>
        <w:spacing w:after="0" w:line="285" w:lineRule="exact"/>
        <w:rPr>
          <w:sz w:val="20"/>
          <w:szCs w:val="20"/>
          <w:color w:val="auto"/>
        </w:rPr>
      </w:pPr>
    </w:p>
    <w:p>
      <w:pPr>
        <w:ind w:left="1340" w:right="1220"/>
        <w:spacing w:after="0" w:line="286" w:lineRule="auto"/>
        <w:rPr>
          <w:sz w:val="20"/>
          <w:szCs w:val="20"/>
          <w:color w:val="auto"/>
        </w:rPr>
      </w:pPr>
      <w:r>
        <w:rPr>
          <w:rFonts w:ascii="Times New Roman" w:cs="Times New Roman" w:eastAsia="Times New Roman" w:hAnsi="Times New Roman"/>
          <w:sz w:val="19"/>
          <w:szCs w:val="19"/>
          <w:color w:val="auto"/>
        </w:rPr>
        <w:t>be consolidated into the BDC for accounting purposes and included in publicly filed financial statements of the BDC.</w:t>
      </w:r>
    </w:p>
    <w:p>
      <w:pPr>
        <w:spacing w:after="0" w:line="151" w:lineRule="exact"/>
        <w:rPr>
          <w:sz w:val="20"/>
          <w:szCs w:val="20"/>
          <w:color w:val="auto"/>
        </w:rPr>
      </w:pPr>
    </w:p>
    <w:p>
      <w:pPr>
        <w:ind w:left="1660" w:hanging="273"/>
        <w:spacing w:after="0"/>
        <w:tabs>
          <w:tab w:leader="none" w:pos="166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identify itself as a division of any other Person.</w:t>
      </w:r>
    </w:p>
    <w:p>
      <w:pPr>
        <w:spacing w:after="0" w:line="225" w:lineRule="exact"/>
        <w:rPr>
          <w:rFonts w:ascii="Times New Roman" w:cs="Times New Roman" w:eastAsia="Times New Roman" w:hAnsi="Times New Roman"/>
          <w:sz w:val="19"/>
          <w:szCs w:val="19"/>
          <w:color w:val="auto"/>
        </w:rPr>
      </w:pPr>
    </w:p>
    <w:p>
      <w:pPr>
        <w:ind w:left="1340" w:right="800" w:firstLine="47"/>
        <w:spacing w:after="0" w:line="268" w:lineRule="auto"/>
        <w:tabs>
          <w:tab w:leader="none" w:pos="166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maintain its assets in such a manner that it will not be costly or difficult to segregate, ascertain or identify its individual assets from those of any Affiliate or any other Person.</w:t>
      </w:r>
    </w:p>
    <w:p>
      <w:pPr>
        <w:spacing w:after="0" w:line="168" w:lineRule="exact"/>
        <w:rPr>
          <w:rFonts w:ascii="Times New Roman" w:cs="Times New Roman" w:eastAsia="Times New Roman" w:hAnsi="Times New Roman"/>
          <w:sz w:val="19"/>
          <w:szCs w:val="19"/>
          <w:color w:val="auto"/>
        </w:rPr>
      </w:pPr>
    </w:p>
    <w:p>
      <w:pPr>
        <w:ind w:left="1340" w:right="780" w:firstLine="47"/>
        <w:spacing w:after="0" w:line="286" w:lineRule="auto"/>
        <w:tabs>
          <w:tab w:leader="none" w:pos="1756"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use its separate existence to perpetrate a fraud in violation of Applicable Law.</w:t>
      </w:r>
    </w:p>
    <w:p>
      <w:pPr>
        <w:spacing w:after="0" w:line="151" w:lineRule="exact"/>
        <w:rPr>
          <w:rFonts w:ascii="Times New Roman" w:cs="Times New Roman" w:eastAsia="Times New Roman" w:hAnsi="Times New Roman"/>
          <w:sz w:val="19"/>
          <w:szCs w:val="19"/>
          <w:color w:val="auto"/>
        </w:rPr>
      </w:pPr>
    </w:p>
    <w:p>
      <w:pPr>
        <w:jc w:val="both"/>
        <w:ind w:left="1340" w:right="1180" w:firstLine="47"/>
        <w:spacing w:after="0" w:line="286" w:lineRule="auto"/>
        <w:tabs>
          <w:tab w:leader="none" w:pos="1756"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in connection with the Facility Documents, act with an intent to hinder, delay or defraud any of its creditors in violation of Applicable Law.</w:t>
      </w:r>
    </w:p>
    <w:p>
      <w:pPr>
        <w:spacing w:after="0" w:line="151" w:lineRule="exact"/>
        <w:rPr>
          <w:rFonts w:ascii="Times New Roman" w:cs="Times New Roman" w:eastAsia="Times New Roman" w:hAnsi="Times New Roman"/>
          <w:sz w:val="19"/>
          <w:szCs w:val="19"/>
          <w:color w:val="auto"/>
        </w:rPr>
      </w:pPr>
    </w:p>
    <w:p>
      <w:pPr>
        <w:ind w:left="1340" w:right="860" w:firstLine="47"/>
        <w:spacing w:after="0" w:line="286" w:lineRule="auto"/>
        <w:tabs>
          <w:tab w:leader="none" w:pos="1756"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maintain an arm’s length relationship with its Affiliates and the Collateral Manager.</w:t>
      </w:r>
    </w:p>
    <w:p>
      <w:pPr>
        <w:spacing w:after="0" w:line="151" w:lineRule="exact"/>
        <w:rPr>
          <w:rFonts w:ascii="Times New Roman" w:cs="Times New Roman" w:eastAsia="Times New Roman" w:hAnsi="Times New Roman"/>
          <w:sz w:val="19"/>
          <w:szCs w:val="19"/>
          <w:color w:val="auto"/>
        </w:rPr>
      </w:pPr>
    </w:p>
    <w:p>
      <w:pPr>
        <w:ind w:left="1340" w:right="1020" w:firstLine="47"/>
        <w:spacing w:after="0" w:line="268" w:lineRule="auto"/>
        <w:tabs>
          <w:tab w:leader="none" w:pos="1756"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permitted by or pursuant to the Facility Documents, the Borrower shall not grant a security interest or otherwise pledge its assets for the benefit of any other Person.</w:t>
      </w:r>
    </w:p>
    <w:p>
      <w:pPr>
        <w:spacing w:after="0" w:line="168" w:lineRule="exact"/>
        <w:rPr>
          <w:rFonts w:ascii="Times New Roman" w:cs="Times New Roman" w:eastAsia="Times New Roman" w:hAnsi="Times New Roman"/>
          <w:sz w:val="19"/>
          <w:szCs w:val="19"/>
          <w:color w:val="auto"/>
        </w:rPr>
      </w:pPr>
    </w:p>
    <w:p>
      <w:pPr>
        <w:ind w:left="1340" w:right="1000" w:firstLine="47"/>
        <w:spacing w:after="0" w:line="268" w:lineRule="auto"/>
        <w:tabs>
          <w:tab w:leader="none" w:pos="1756"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in the Facility Documents, the Borrower shall not acquire any securities or debt instruments of the Collateral Manager, its Affiliates or any other Person.</w:t>
      </w:r>
    </w:p>
    <w:p>
      <w:pPr>
        <w:spacing w:after="0" w:line="168" w:lineRule="exact"/>
        <w:rPr>
          <w:rFonts w:ascii="Times New Roman" w:cs="Times New Roman" w:eastAsia="Times New Roman" w:hAnsi="Times New Roman"/>
          <w:sz w:val="19"/>
          <w:szCs w:val="19"/>
          <w:color w:val="auto"/>
        </w:rPr>
      </w:pPr>
    </w:p>
    <w:p>
      <w:pPr>
        <w:ind w:left="1340" w:right="1360" w:firstLine="47"/>
        <w:spacing w:after="0" w:line="286" w:lineRule="auto"/>
        <w:tabs>
          <w:tab w:leader="none" w:pos="1756"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make loans or advances to any Person, except for the Collateral Loans and as permitted by or pursuant to the Facility Documents.</w:t>
      </w:r>
    </w:p>
    <w:p>
      <w:pPr>
        <w:spacing w:after="0" w:line="151" w:lineRule="exact"/>
        <w:rPr>
          <w:rFonts w:ascii="Times New Roman" w:cs="Times New Roman" w:eastAsia="Times New Roman" w:hAnsi="Times New Roman"/>
          <w:sz w:val="19"/>
          <w:szCs w:val="19"/>
          <w:color w:val="auto"/>
        </w:rPr>
      </w:pPr>
    </w:p>
    <w:p>
      <w:pPr>
        <w:ind w:left="1340" w:right="780" w:firstLine="47"/>
        <w:spacing w:after="0" w:line="268" w:lineRule="auto"/>
        <w:tabs>
          <w:tab w:leader="none" w:pos="1756"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make no transfer (including by dividing into two or more separate limited liability companies) of its assets except as permitted by or pursuant to the Facility Documents.</w:t>
      </w:r>
    </w:p>
    <w:p>
      <w:pPr>
        <w:spacing w:after="0" w:line="168" w:lineRule="exact"/>
        <w:rPr>
          <w:rFonts w:ascii="Times New Roman" w:cs="Times New Roman" w:eastAsia="Times New Roman" w:hAnsi="Times New Roman"/>
          <w:sz w:val="19"/>
          <w:szCs w:val="19"/>
          <w:color w:val="auto"/>
        </w:rPr>
      </w:pPr>
    </w:p>
    <w:p>
      <w:pPr>
        <w:ind w:left="1340" w:right="900" w:firstLine="47"/>
        <w:spacing w:after="0" w:line="262" w:lineRule="auto"/>
        <w:tabs>
          <w:tab w:leader="none" w:pos="1756"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174" w:lineRule="exact"/>
        <w:rPr>
          <w:rFonts w:ascii="Times New Roman" w:cs="Times New Roman" w:eastAsia="Times New Roman" w:hAnsi="Times New Roman"/>
          <w:sz w:val="19"/>
          <w:szCs w:val="19"/>
          <w:color w:val="auto"/>
        </w:rPr>
      </w:pPr>
    </w:p>
    <w:p>
      <w:pPr>
        <w:ind w:left="1760" w:hanging="373"/>
        <w:spacing w:after="0"/>
        <w:tabs>
          <w:tab w:leader="none" w:pos="176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acquire obligations or securities of its members.</w:t>
      </w:r>
    </w:p>
    <w:p>
      <w:pPr>
        <w:spacing w:after="0" w:line="225" w:lineRule="exact"/>
        <w:rPr>
          <w:rFonts w:ascii="Times New Roman" w:cs="Times New Roman" w:eastAsia="Times New Roman" w:hAnsi="Times New Roman"/>
          <w:sz w:val="19"/>
          <w:szCs w:val="19"/>
          <w:color w:val="auto"/>
        </w:rPr>
      </w:pPr>
    </w:p>
    <w:p>
      <w:pPr>
        <w:ind w:left="1760" w:hanging="373"/>
        <w:spacing w:after="0"/>
        <w:tabs>
          <w:tab w:leader="none" w:pos="176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use separate stationary, invoices and checks.</w:t>
      </w:r>
    </w:p>
    <w:p>
      <w:pPr>
        <w:spacing w:after="0" w:line="225" w:lineRule="exact"/>
        <w:rPr>
          <w:rFonts w:ascii="Times New Roman" w:cs="Times New Roman" w:eastAsia="Times New Roman" w:hAnsi="Times New Roman"/>
          <w:sz w:val="19"/>
          <w:szCs w:val="19"/>
          <w:color w:val="auto"/>
        </w:rPr>
      </w:pPr>
    </w:p>
    <w:p>
      <w:pPr>
        <w:ind w:left="1340" w:right="1200" w:firstLine="47"/>
        <w:spacing w:after="0" w:line="258" w:lineRule="auto"/>
        <w:tabs>
          <w:tab w:leader="none" w:pos="1756"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correct any known misunderstanding regarding its separate identity.</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0" w:name="page201"/>
    <w:bookmarkEnd w:id="200"/>
    <w:p>
      <w:pPr>
        <w:spacing w:after="0" w:line="200" w:lineRule="exact"/>
        <w:rPr>
          <w:sz w:val="20"/>
          <w:szCs w:val="20"/>
          <w:color w:val="auto"/>
        </w:rPr>
      </w:pPr>
    </w:p>
    <w:p>
      <w:pPr>
        <w:spacing w:after="0" w:line="285" w:lineRule="exact"/>
        <w:rPr>
          <w:sz w:val="20"/>
          <w:szCs w:val="20"/>
          <w:color w:val="auto"/>
        </w:rPr>
      </w:pPr>
    </w:p>
    <w:p>
      <w:pPr>
        <w:ind w:left="1340" w:right="940" w:firstLine="47"/>
        <w:spacing w:after="0" w:line="286" w:lineRule="auto"/>
        <w:tabs>
          <w:tab w:leader="none" w:pos="1756"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maintain adequate capital in light of its contemplated business operations.</w:t>
      </w:r>
    </w:p>
    <w:p>
      <w:pPr>
        <w:spacing w:after="0" w:line="132" w:lineRule="exact"/>
        <w:rPr>
          <w:rFonts w:ascii="Times New Roman" w:cs="Times New Roman" w:eastAsia="Times New Roman" w:hAnsi="Times New Roman"/>
          <w:sz w:val="19"/>
          <w:szCs w:val="19"/>
          <w:color w:val="auto"/>
        </w:rPr>
      </w:pPr>
    </w:p>
    <w:p>
      <w:pPr>
        <w:ind w:left="1340" w:right="1140" w:firstLine="47"/>
        <w:spacing w:after="0" w:line="249" w:lineRule="exact"/>
        <w:tabs>
          <w:tab w:leader="none" w:pos="1756"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at all times be organized as a single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purpose entity with organizational documents substantially similar to those in effect on the Closing Date.</w:t>
      </w:r>
    </w:p>
    <w:p>
      <w:pPr>
        <w:spacing w:after="0" w:line="194" w:lineRule="exact"/>
        <w:rPr>
          <w:rFonts w:ascii="Times New Roman" w:cs="Times New Roman" w:eastAsia="Times New Roman" w:hAnsi="Times New Roman"/>
          <w:sz w:val="19"/>
          <w:szCs w:val="19"/>
          <w:color w:val="auto"/>
        </w:rPr>
      </w:pPr>
    </w:p>
    <w:p>
      <w:pPr>
        <w:ind w:left="1340" w:right="920" w:firstLine="47"/>
        <w:spacing w:after="0" w:line="234" w:lineRule="exact"/>
        <w:tabs>
          <w:tab w:leader="none" w:pos="1756"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at all times conduct its business so that any assumptions made with respect to the Borrower in any “substantive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consolidation” opinion letter delivered in connection with the Facility Documents will continue to be true and correct in all respects.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VI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226" w:lineRule="exact"/>
        <w:rPr>
          <w:sz w:val="20"/>
          <w:szCs w:val="20"/>
          <w:color w:val="auto"/>
        </w:rPr>
      </w:pPr>
    </w:p>
    <w:p>
      <w:pPr>
        <w:ind w:left="760" w:right="800" w:firstLine="48"/>
        <w:spacing w:after="0" w:line="261" w:lineRule="auto"/>
        <w:rPr>
          <w:sz w:val="20"/>
          <w:szCs w:val="20"/>
          <w:color w:val="auto"/>
        </w:rPr>
      </w:pPr>
      <w:r>
        <w:rPr>
          <w:rFonts w:ascii="Times New Roman" w:cs="Times New Roman" w:eastAsia="Times New Roman" w:hAnsi="Times New Roman"/>
          <w:sz w:val="19"/>
          <w:szCs w:val="19"/>
          <w:i w:val="1"/>
          <w:iCs w:val="1"/>
          <w:color w:val="auto"/>
        </w:rPr>
        <w:t>Section 6.01. Events of Default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 wherever used herein, means any one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200" w:lineRule="exact"/>
        <w:rPr>
          <w:sz w:val="20"/>
          <w:szCs w:val="20"/>
          <w:color w:val="auto"/>
        </w:rPr>
      </w:pPr>
    </w:p>
    <w:p>
      <w:pPr>
        <w:spacing w:after="0" w:line="208" w:lineRule="exact"/>
        <w:rPr>
          <w:sz w:val="20"/>
          <w:szCs w:val="20"/>
          <w:color w:val="auto"/>
        </w:rPr>
      </w:pPr>
    </w:p>
    <w:p>
      <w:pPr>
        <w:ind w:left="1340" w:right="1000" w:firstLine="47"/>
        <w:spacing w:after="0" w:line="268" w:lineRule="auto"/>
        <w:tabs>
          <w:tab w:leader="none" w:pos="1649"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default in the payment, when due and payable, of any interest on or Commitment Fee in respect of the Advances and such default is not cured within two (2) Business Days; or</w:t>
      </w:r>
    </w:p>
    <w:p>
      <w:pPr>
        <w:spacing w:after="0" w:line="168"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to reduce the Advances to $0 on the Final Maturity Date; or</w:t>
      </w:r>
    </w:p>
    <w:p>
      <w:pPr>
        <w:spacing w:after="0" w:line="225" w:lineRule="exact"/>
        <w:rPr>
          <w:rFonts w:ascii="Times New Roman" w:cs="Times New Roman" w:eastAsia="Times New Roman" w:hAnsi="Times New Roman"/>
          <w:sz w:val="19"/>
          <w:szCs w:val="19"/>
          <w:color w:val="auto"/>
        </w:rPr>
      </w:pPr>
    </w:p>
    <w:p>
      <w:pPr>
        <w:ind w:left="1340" w:right="840" w:firstLine="47"/>
        <w:spacing w:after="0" w:line="268" w:lineRule="auto"/>
        <w:tabs>
          <w:tab w:leader="none" w:pos="1649"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Borrower becomes an investment company required to be registered under the Investment Company Act or (ii) the BDC is required to be registered under the Investment Company Act and is not otherwise registered; or</w:t>
      </w:r>
    </w:p>
    <w:p>
      <w:pPr>
        <w:spacing w:after="0" w:line="168" w:lineRule="exact"/>
        <w:rPr>
          <w:rFonts w:ascii="Times New Roman" w:cs="Times New Roman" w:eastAsia="Times New Roman" w:hAnsi="Times New Roman"/>
          <w:sz w:val="19"/>
          <w:szCs w:val="19"/>
          <w:color w:val="auto"/>
        </w:rPr>
      </w:pPr>
    </w:p>
    <w:p>
      <w:pPr>
        <w:ind w:left="1340" w:right="780" w:firstLine="47"/>
        <w:spacing w:after="0" w:line="254" w:lineRule="auto"/>
        <w:tabs>
          <w:tab w:leader="none" w:pos="1660"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this Section 6.01, a default in any material respect in the performance, or breach in any material respect, of any other covenant or other agreement of the Borrower under this Agreement or the other Facility Documents, or the failure of any representation or warranty of the Borrower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Borrower or the Collateral Manager (which may be by email) by either Agent or the Collateral Manager (as the case may be), and (y) actual knowledge of the Borrower or the Collateral Manager; or</w:t>
      </w:r>
    </w:p>
    <w:p>
      <w:pPr>
        <w:spacing w:after="0" w:line="181" w:lineRule="exact"/>
        <w:rPr>
          <w:rFonts w:ascii="Times New Roman" w:cs="Times New Roman" w:eastAsia="Times New Roman" w:hAnsi="Times New Roman"/>
          <w:sz w:val="19"/>
          <w:szCs w:val="19"/>
          <w:color w:val="auto"/>
        </w:rPr>
      </w:pPr>
    </w:p>
    <w:p>
      <w:pPr>
        <w:ind w:left="1340" w:right="820" w:firstLine="47"/>
        <w:spacing w:after="0" w:line="258" w:lineRule="auto"/>
        <w:tabs>
          <w:tab w:leader="none" w:pos="1649"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rendering of one or more final judgments, decrees or orders by a court or arbitrator of competent jurisdiction for the payment of money in excess individually or in the aggregate of $2,000,000 against the BDC, or $250,000 against the Borrower</w:t>
      </w:r>
    </w:p>
    <w:p>
      <w:pPr>
        <w:spacing w:after="0" w:line="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(exclusive of judgment amounts fully covered by insurance), and the aforementioned</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1" w:name="page202"/>
    <w:bookmarkEnd w:id="201"/>
    <w:p>
      <w:pPr>
        <w:spacing w:after="0" w:line="200" w:lineRule="exact"/>
        <w:rPr>
          <w:sz w:val="20"/>
          <w:szCs w:val="20"/>
          <w:color w:val="auto"/>
        </w:rPr>
      </w:pPr>
    </w:p>
    <w:p>
      <w:pPr>
        <w:spacing w:after="0" w:line="285" w:lineRule="exact"/>
        <w:rPr>
          <w:sz w:val="20"/>
          <w:szCs w:val="20"/>
          <w:color w:val="auto"/>
        </w:rPr>
      </w:pPr>
    </w:p>
    <w:p>
      <w:pPr>
        <w:ind w:left="1340" w:right="780"/>
        <w:spacing w:after="0" w:line="258" w:lineRule="auto"/>
        <w:rPr>
          <w:sz w:val="20"/>
          <w:szCs w:val="20"/>
          <w:color w:val="auto"/>
        </w:rPr>
      </w:pPr>
      <w:r>
        <w:rPr>
          <w:rFonts w:ascii="Times New Roman" w:cs="Times New Roman" w:eastAsia="Times New Roman" w:hAnsi="Times New Roman"/>
          <w:sz w:val="19"/>
          <w:szCs w:val="19"/>
          <w:color w:val="auto"/>
        </w:rPr>
        <w:t>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200" w:lineRule="exact"/>
        <w:rPr>
          <w:sz w:val="20"/>
          <w:szCs w:val="20"/>
          <w:color w:val="auto"/>
        </w:rPr>
      </w:pPr>
    </w:p>
    <w:p>
      <w:pPr>
        <w:spacing w:after="0" w:line="210" w:lineRule="exact"/>
        <w:rPr>
          <w:sz w:val="20"/>
          <w:szCs w:val="20"/>
          <w:color w:val="auto"/>
        </w:rPr>
      </w:pPr>
    </w:p>
    <w:p>
      <w:pPr>
        <w:ind w:left="1620" w:hanging="233"/>
        <w:spacing w:after="0"/>
        <w:tabs>
          <w:tab w:leader="none" w:pos="162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Insolvency Event relating to the Borrower or the BDC occurs; or</w:t>
      </w:r>
    </w:p>
    <w:p>
      <w:pPr>
        <w:spacing w:after="0" w:line="225"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Collateral Manager Event of Default shall have occurred and be continuing; or</w:t>
      </w:r>
    </w:p>
    <w:p>
      <w:pPr>
        <w:spacing w:after="0" w:line="225" w:lineRule="exact"/>
        <w:rPr>
          <w:rFonts w:ascii="Times New Roman" w:cs="Times New Roman" w:eastAsia="Times New Roman" w:hAnsi="Times New Roman"/>
          <w:sz w:val="19"/>
          <w:szCs w:val="19"/>
          <w:color w:val="auto"/>
        </w:rPr>
      </w:pPr>
    </w:p>
    <w:p>
      <w:pPr>
        <w:ind w:left="1340" w:right="900" w:firstLine="47"/>
        <w:spacing w:after="0" w:line="255" w:lineRule="auto"/>
        <w:tabs>
          <w:tab w:leader="none" w:pos="166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IRS shall file notice of a Lien pursuant to Section 6323 of the Code with regard to any assets of the Borrower and such Lien shall not have been released within five (5) Business Days or (ii) the PBGC shall file notice of a Lien pursuant to Section 4068 of ERISA with regard to any of the assets of the Borrower and such Lien shall not have been released within five (5) Business Days, unless in each case a reserve has been established therefor in accordance with GAAP and such action is being diligently contested in good faith by appropriate proceedings (except to the extent that the amount secured by such Lien exceeds $750,000); or</w:t>
      </w:r>
    </w:p>
    <w:p>
      <w:pPr>
        <w:spacing w:after="0" w:line="183" w:lineRule="exact"/>
        <w:rPr>
          <w:rFonts w:ascii="Times New Roman" w:cs="Times New Roman" w:eastAsia="Times New Roman" w:hAnsi="Times New Roman"/>
          <w:sz w:val="19"/>
          <w:szCs w:val="19"/>
          <w:color w:val="auto"/>
        </w:rPr>
      </w:pPr>
    </w:p>
    <w:p>
      <w:pPr>
        <w:jc w:val="both"/>
        <w:ind w:left="1340" w:right="1100" w:firstLine="47"/>
        <w:spacing w:after="0" w:line="268" w:lineRule="auto"/>
        <w:tabs>
          <w:tab w:leader="none" w:pos="1617"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 Change of Control occurs with respect to the Borrower, or (ii) the BDC shall merge into any other Person or more than 50.0% of the Voting Shares of the BDC are sold to any Person and/or such Person’s Affiliates; or</w:t>
      </w:r>
    </w:p>
    <w:p>
      <w:pPr>
        <w:spacing w:after="0" w:line="168" w:lineRule="exact"/>
        <w:rPr>
          <w:rFonts w:ascii="Times New Roman" w:cs="Times New Roman" w:eastAsia="Times New Roman" w:hAnsi="Times New Roman"/>
          <w:sz w:val="19"/>
          <w:szCs w:val="19"/>
          <w:color w:val="auto"/>
        </w:rPr>
      </w:pPr>
    </w:p>
    <w:p>
      <w:pPr>
        <w:ind w:left="1620" w:hanging="233"/>
        <w:spacing w:after="0"/>
        <w:tabs>
          <w:tab w:leader="none" w:pos="162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 Material Adverse Effect with respect to the BDC or the Borrower;</w:t>
      </w:r>
    </w:p>
    <w:p>
      <w:pPr>
        <w:spacing w:after="0" w:line="31" w:lineRule="exact"/>
        <w:rPr>
          <w:rFonts w:ascii="Times New Roman" w:cs="Times New Roman" w:eastAsia="Times New Roman" w:hAnsi="Times New Roman"/>
          <w:sz w:val="19"/>
          <w:szCs w:val="19"/>
          <w:color w:val="auto"/>
        </w:rPr>
      </w:pPr>
    </w:p>
    <w:p>
      <w:pPr>
        <w:ind w:left="1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w:t>
      </w:r>
    </w:p>
    <w:p>
      <w:pPr>
        <w:spacing w:after="0" w:line="203" w:lineRule="exact"/>
        <w:rPr>
          <w:rFonts w:ascii="Times New Roman" w:cs="Times New Roman" w:eastAsia="Times New Roman" w:hAnsi="Times New Roman"/>
          <w:sz w:val="19"/>
          <w:szCs w:val="19"/>
          <w:color w:val="auto"/>
        </w:rPr>
      </w:pPr>
    </w:p>
    <w:p>
      <w:pPr>
        <w:ind w:left="1340" w:right="800" w:firstLine="47"/>
        <w:spacing w:after="0" w:line="259" w:lineRule="auto"/>
        <w:tabs>
          <w:tab w:leader="none" w:pos="166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failure of the BDC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177" w:lineRule="exact"/>
        <w:rPr>
          <w:rFonts w:ascii="Times New Roman" w:cs="Times New Roman" w:eastAsia="Times New Roman" w:hAnsi="Times New Roman"/>
          <w:sz w:val="19"/>
          <w:szCs w:val="19"/>
          <w:color w:val="auto"/>
        </w:rPr>
      </w:pPr>
    </w:p>
    <w:p>
      <w:pPr>
        <w:ind w:left="1340" w:right="1180" w:firstLine="47"/>
        <w:spacing w:after="0" w:line="286" w:lineRule="auto"/>
        <w:tabs>
          <w:tab w:leader="none" w:pos="1617"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BDC shall fail to maintain “business development company” status under the Investment Company Act; or</w:t>
      </w:r>
    </w:p>
    <w:p>
      <w:pPr>
        <w:spacing w:after="0" w:line="151" w:lineRule="exact"/>
        <w:rPr>
          <w:rFonts w:ascii="Times New Roman" w:cs="Times New Roman" w:eastAsia="Times New Roman" w:hAnsi="Times New Roman"/>
          <w:sz w:val="19"/>
          <w:szCs w:val="19"/>
          <w:color w:val="auto"/>
        </w:rPr>
      </w:pPr>
    </w:p>
    <w:p>
      <w:pPr>
        <w:ind w:left="1340" w:right="840" w:firstLine="47"/>
        <w:spacing w:after="0" w:line="286" w:lineRule="auto"/>
        <w:tabs>
          <w:tab w:leader="none" w:pos="1713"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to maintain the Interest Coverage Ratio Test for five (5) continuous Business Days; or</w:t>
      </w:r>
    </w:p>
    <w:p>
      <w:pPr>
        <w:spacing w:after="0" w:line="151" w:lineRule="exact"/>
        <w:rPr>
          <w:rFonts w:ascii="Times New Roman" w:cs="Times New Roman" w:eastAsia="Times New Roman" w:hAnsi="Times New Roman"/>
          <w:sz w:val="19"/>
          <w:szCs w:val="19"/>
          <w:color w:val="auto"/>
        </w:rPr>
      </w:pPr>
    </w:p>
    <w:p>
      <w:pPr>
        <w:ind w:left="1340" w:right="1080" w:firstLine="47"/>
        <w:spacing w:after="0" w:line="286" w:lineRule="auto"/>
        <w:tabs>
          <w:tab w:leader="none" w:pos="166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to satisfy the Maximum Advance Rate Default Test for five (5) continuous Business Days.</w:t>
      </w:r>
    </w:p>
    <w:p>
      <w:pPr>
        <w:spacing w:after="0" w:line="151" w:lineRule="exact"/>
        <w:rPr>
          <w:sz w:val="20"/>
          <w:szCs w:val="20"/>
          <w:color w:val="auto"/>
        </w:rPr>
      </w:pPr>
    </w:p>
    <w:p>
      <w:pPr>
        <w:ind w:left="760" w:right="820" w:firstLine="576"/>
        <w:spacing w:after="0" w:line="258" w:lineRule="auto"/>
        <w:rPr>
          <w:sz w:val="20"/>
          <w:szCs w:val="20"/>
          <w:color w:val="auto"/>
        </w:rPr>
      </w:pPr>
      <w:r>
        <w:rPr>
          <w:rFonts w:ascii="Times New Roman" w:cs="Times New Roman" w:eastAsia="Times New Roman" w:hAnsi="Times New Roman"/>
          <w:sz w:val="19"/>
          <w:szCs w:val="19"/>
          <w:color w:val="auto"/>
        </w:rPr>
        <w:t>Upon a Responsible Officer of the Borrower or Collateral Manager obtaining knowledge of the occurrence of an Event of Default, each of the Borrower and the Collateral Manager shall notify each other and the Agents, specifying the specific Event(s) of Default that occurred as well as all other Events of Default that are then known to be continuing. Upon the occurrence of an</w:t>
      </w:r>
    </w:p>
    <w:p>
      <w:pPr>
        <w:spacing w:after="0" w:line="216"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2" w:name="page203"/>
    <w:bookmarkEnd w:id="202"/>
    <w:p>
      <w:pPr>
        <w:spacing w:after="0" w:line="200" w:lineRule="exact"/>
        <w:rPr>
          <w:sz w:val="20"/>
          <w:szCs w:val="20"/>
          <w:color w:val="auto"/>
        </w:rPr>
      </w:pPr>
    </w:p>
    <w:p>
      <w:pPr>
        <w:spacing w:after="0" w:line="285" w:lineRule="exact"/>
        <w:rPr>
          <w:sz w:val="20"/>
          <w:szCs w:val="20"/>
          <w:color w:val="auto"/>
        </w:rPr>
      </w:pPr>
    </w:p>
    <w:p>
      <w:pPr>
        <w:jc w:val="both"/>
        <w:ind w:left="760" w:right="1020"/>
        <w:spacing w:after="0" w:line="268" w:lineRule="auto"/>
        <w:rPr>
          <w:sz w:val="20"/>
          <w:szCs w:val="20"/>
          <w:color w:val="auto"/>
        </w:rPr>
      </w:pPr>
      <w:r>
        <w:rPr>
          <w:rFonts w:ascii="Times New Roman" w:cs="Times New Roman" w:eastAsia="Times New Roman" w:hAnsi="Times New Roman"/>
          <w:sz w:val="19"/>
          <w:szCs w:val="19"/>
          <w:color w:val="auto"/>
        </w:rPr>
        <w:t>Event of Default known to a Responsible Officer of the Collateral Agent, the Collateral Agent shall promptly notify the Administrative Agent (which will notify the Lenders promptly), the Borrower and the Collateral Manager of such Event of Default in writing.</w:t>
      </w:r>
    </w:p>
    <w:p>
      <w:pPr>
        <w:spacing w:after="0" w:line="168" w:lineRule="exact"/>
        <w:rPr>
          <w:sz w:val="20"/>
          <w:szCs w:val="20"/>
          <w:color w:val="auto"/>
        </w:rPr>
      </w:pPr>
    </w:p>
    <w:p>
      <w:pPr>
        <w:ind w:left="760" w:right="760" w:firstLine="576"/>
        <w:spacing w:after="0" w:line="253" w:lineRule="auto"/>
        <w:rPr>
          <w:sz w:val="20"/>
          <w:szCs w:val="20"/>
          <w:color w:val="auto"/>
        </w:rPr>
      </w:pPr>
      <w:r>
        <w:rPr>
          <w:rFonts w:ascii="Times New Roman" w:cs="Times New Roman" w:eastAsia="Times New Roman" w:hAnsi="Times New Roman"/>
          <w:sz w:val="19"/>
          <w:szCs w:val="19"/>
          <w:color w:val="auto"/>
        </w:rPr>
        <w:t xml:space="preserve">Upon the occurrence and during the continuance of any Event of Default, in addition to all rights and remedies specified in this Agreement and the other Facility Documents, including Article VII, and the rights and remedies of a secured party under Applicable Law, including the UCC, the Administrative Agent or the Majority Lenders, by notice to the Borrower (with a copy to the Collateral Agent), may do any one or more of the following: (1) declare the Commitments to be terminated forthwith, whereupon the Commitments shall forthwith terminate, and (2) 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upon the occurrence of any Event of Default described in clause (f) of Section 6.01 or clause (e) of Section 6.02, the Commitments shall automatically terminate and the Advances and all such other amounts shall automatically become due and payable, without any further action by any party.</w:t>
      </w:r>
    </w:p>
    <w:p>
      <w:pPr>
        <w:spacing w:after="0" w:line="187" w:lineRule="exact"/>
        <w:rPr>
          <w:sz w:val="20"/>
          <w:szCs w:val="20"/>
          <w:color w:val="auto"/>
        </w:rPr>
      </w:pPr>
    </w:p>
    <w:p>
      <w:pPr>
        <w:ind w:left="760" w:right="840" w:firstLine="576"/>
        <w:spacing w:after="0" w:line="258" w:lineRule="auto"/>
        <w:rPr>
          <w:sz w:val="20"/>
          <w:szCs w:val="20"/>
          <w:color w:val="auto"/>
        </w:rPr>
      </w:pPr>
      <w:r>
        <w:rPr>
          <w:rFonts w:ascii="Times New Roman" w:cs="Times New Roman" w:eastAsia="Times New Roman" w:hAnsi="Times New Roman"/>
          <w:sz w:val="19"/>
          <w:szCs w:val="19"/>
          <w:color w:val="auto"/>
        </w:rPr>
        <w:t>In addition, upon the occurrence and during the continuation of an Event of Default, following written notice by the Administrative Agent (provided in its sole discretion or at the direction of the Required Lenders) of the exercise of control rights with respect to the Collateral:</w:t>
      </w:r>
    </w:p>
    <w:p>
      <w:pPr>
        <w:spacing w:after="0" w:line="2" w:lineRule="exact"/>
        <w:rPr>
          <w:sz w:val="20"/>
          <w:szCs w:val="20"/>
          <w:color w:val="auto"/>
        </w:rPr>
      </w:pPr>
    </w:p>
    <w:p>
      <w:pPr>
        <w:ind w:left="760" w:right="840" w:firstLine="2"/>
        <w:spacing w:after="0" w:line="252" w:lineRule="auto"/>
        <w:tabs>
          <w:tab w:leader="none" w:pos="1075"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Manager’s unilateral power to consent to modifications to and direct the acquisition, sales and other dispositions of Collateral Loans will be immediately suspended, (x) the Collateral Manager will be required to obtain the consent of the Administrative Agent before causing the Borrower to agree to any modification of any Collateral Loan or before causing the Borrower to acquire, sell or otherwise dispose of any Collateral Loan, and (y) the Collateral Manager will cause the Borrower to acquire, sell or otherwise dispose of any Collateral Loan as directed by the Administrative Agent in its sole discretion.</w:t>
      </w:r>
    </w:p>
    <w:p>
      <w:pPr>
        <w:spacing w:after="0" w:line="183" w:lineRule="exact"/>
        <w:rPr>
          <w:sz w:val="20"/>
          <w:szCs w:val="20"/>
          <w:color w:val="auto"/>
        </w:rPr>
      </w:pPr>
    </w:p>
    <w:p>
      <w:pPr>
        <w:ind w:left="760" w:right="1040"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Section 6.02. Collateral Manager Events of Default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Collateral Manager Event of Default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wherever used herein, means any one of the following events (whatever the reason for such Collateral Manager Event of Default and whether it shall be voluntary or involuntary or be effected by operation of law or pursuant to any judgment, decree or order of any court or any order, rule or regulation of any administrative or governmental body):</w:t>
      </w:r>
    </w:p>
    <w:p>
      <w:pPr>
        <w:spacing w:after="0" w:line="175" w:lineRule="exact"/>
        <w:rPr>
          <w:sz w:val="20"/>
          <w:szCs w:val="20"/>
          <w:color w:val="auto"/>
        </w:rPr>
      </w:pPr>
    </w:p>
    <w:p>
      <w:pPr>
        <w:ind w:left="1340" w:right="920" w:firstLine="47"/>
        <w:spacing w:after="0" w:line="268" w:lineRule="auto"/>
        <w:tabs>
          <w:tab w:leader="none" w:pos="1649"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default in the payment by the Collateral Manager or the Borrower, when due and payable, of (i) any interest on or Commitment Fee in respect of the Advances or (ii) any principal of any Advance on the Final Maturity Date; or</w:t>
      </w:r>
    </w:p>
    <w:p>
      <w:pPr>
        <w:spacing w:after="0" w:line="168" w:lineRule="exact"/>
        <w:rPr>
          <w:rFonts w:ascii="Times New Roman" w:cs="Times New Roman" w:eastAsia="Times New Roman" w:hAnsi="Times New Roman"/>
          <w:sz w:val="19"/>
          <w:szCs w:val="19"/>
          <w:color w:val="auto"/>
        </w:rPr>
      </w:pPr>
    </w:p>
    <w:p>
      <w:pPr>
        <w:ind w:left="1340" w:right="1040" w:firstLine="47"/>
        <w:spacing w:after="0" w:line="286" w:lineRule="auto"/>
        <w:tabs>
          <w:tab w:leader="none" w:pos="166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Manager is required to be registered under the Investment Company Act and is not otherwise registered; or</w:t>
      </w:r>
    </w:p>
    <w:p>
      <w:pPr>
        <w:spacing w:after="0" w:line="151" w:lineRule="exact"/>
        <w:rPr>
          <w:rFonts w:ascii="Times New Roman" w:cs="Times New Roman" w:eastAsia="Times New Roman" w:hAnsi="Times New Roman"/>
          <w:sz w:val="19"/>
          <w:szCs w:val="19"/>
          <w:color w:val="auto"/>
        </w:rPr>
      </w:pPr>
    </w:p>
    <w:p>
      <w:pPr>
        <w:ind w:left="1340" w:right="860" w:firstLine="47"/>
        <w:spacing w:after="0" w:line="258" w:lineRule="auto"/>
        <w:tabs>
          <w:tab w:leader="none" w:pos="1649"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this Section 6.02, a default in any material respect in the performance, or breach in any material respect, of any other covenant or other agreement of the Collateral Manager under this Agreement or the other Facility</w:t>
      </w:r>
    </w:p>
    <w:p>
      <w:pPr>
        <w:spacing w:after="0" w:line="2" w:lineRule="exact"/>
        <w:rPr>
          <w:sz w:val="20"/>
          <w:szCs w:val="20"/>
          <w:color w:val="auto"/>
        </w:rPr>
      </w:pPr>
    </w:p>
    <w:p>
      <w:pPr>
        <w:ind w:left="1340" w:right="1080"/>
        <w:spacing w:after="0" w:line="246" w:lineRule="auto"/>
        <w:rPr>
          <w:sz w:val="20"/>
          <w:szCs w:val="20"/>
          <w:color w:val="auto"/>
        </w:rPr>
      </w:pPr>
      <w:r>
        <w:rPr>
          <w:rFonts w:ascii="Times New Roman" w:cs="Times New Roman" w:eastAsia="Times New Roman" w:hAnsi="Times New Roman"/>
          <w:sz w:val="19"/>
          <w:szCs w:val="19"/>
          <w:color w:val="auto"/>
        </w:rPr>
        <w:t>Documents, or the failure of any representation or warranty of the Collateral Manager made</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3" w:name="page204"/>
    <w:bookmarkEnd w:id="203"/>
    <w:p>
      <w:pPr>
        <w:spacing w:after="0" w:line="200" w:lineRule="exact"/>
        <w:rPr>
          <w:sz w:val="20"/>
          <w:szCs w:val="20"/>
          <w:color w:val="auto"/>
        </w:rPr>
      </w:pPr>
    </w:p>
    <w:p>
      <w:pPr>
        <w:spacing w:after="0" w:line="285" w:lineRule="exact"/>
        <w:rPr>
          <w:sz w:val="20"/>
          <w:szCs w:val="20"/>
          <w:color w:val="auto"/>
        </w:rPr>
      </w:pPr>
    </w:p>
    <w:p>
      <w:pPr>
        <w:ind w:left="1340" w:right="740"/>
        <w:spacing w:after="0" w:line="257" w:lineRule="auto"/>
        <w:rPr>
          <w:sz w:val="20"/>
          <w:szCs w:val="20"/>
          <w:color w:val="auto"/>
        </w:rPr>
      </w:pPr>
      <w:r>
        <w:rPr>
          <w:rFonts w:ascii="Times New Roman" w:cs="Times New Roman" w:eastAsia="Times New Roman" w:hAnsi="Times New Roman"/>
          <w:sz w:val="19"/>
          <w:szCs w:val="19"/>
          <w:color w:val="auto"/>
        </w:rPr>
        <w:t>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Collateral Manager (which may be by email) by the Agent, and (y) actual knowledge of the Collateral Manager; or</w:t>
      </w:r>
    </w:p>
    <w:p>
      <w:pPr>
        <w:spacing w:after="0" w:line="181" w:lineRule="exact"/>
        <w:rPr>
          <w:sz w:val="20"/>
          <w:szCs w:val="20"/>
          <w:color w:val="auto"/>
        </w:rPr>
      </w:pPr>
    </w:p>
    <w:p>
      <w:pPr>
        <w:ind w:left="1340" w:right="800" w:firstLine="47"/>
        <w:spacing w:after="0" w:line="255" w:lineRule="auto"/>
        <w:tabs>
          <w:tab w:leader="none" w:pos="16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rendering of one or more final judgments, decrees or orders by a court or arbitrator of competent jurisdiction for the payment of money in excess individually or in the aggregate of $2,000,000 against the Collateral Manager (exclusive of judgment amounts fully covered by insurance), and the Collateral Manager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179" w:lineRule="exact"/>
        <w:rPr>
          <w:rFonts w:ascii="Times New Roman" w:cs="Times New Roman" w:eastAsia="Times New Roman" w:hAnsi="Times New Roman"/>
          <w:sz w:val="19"/>
          <w:szCs w:val="19"/>
          <w:color w:val="auto"/>
        </w:rPr>
      </w:pPr>
    </w:p>
    <w:p>
      <w:pPr>
        <w:ind w:left="1640" w:hanging="253"/>
        <w:spacing w:after="0"/>
        <w:tabs>
          <w:tab w:leader="none" w:pos="164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Insolvency Event relating to the Collateral Manager occurs; or</w:t>
      </w:r>
    </w:p>
    <w:p>
      <w:pPr>
        <w:spacing w:after="0" w:line="225" w:lineRule="exact"/>
        <w:rPr>
          <w:rFonts w:ascii="Times New Roman" w:cs="Times New Roman" w:eastAsia="Times New Roman" w:hAnsi="Times New Roman"/>
          <w:sz w:val="19"/>
          <w:szCs w:val="19"/>
          <w:color w:val="auto"/>
        </w:rPr>
      </w:pPr>
    </w:p>
    <w:p>
      <w:pPr>
        <w:ind w:left="1340" w:right="800" w:firstLine="47"/>
        <w:spacing w:after="0" w:line="254" w:lineRule="auto"/>
        <w:tabs>
          <w:tab w:leader="none" w:pos="1628"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 any Facility Document shall (except in accordance with its terms) terminate, cease to be effective or cease to be the legally valid, binding and enforceable obligation of the Borrower or the Collateral Manager, (2) the Borrower or the Collateral Manager or any other party shall, directly or indirectly, contest in any manner the effectiveness, validity, binding nature or enforceability of any Facility Document or any Lien purported to be created thereunder, or (3) any Lien securing any obligation under any Facility Document shall, in whole or in part (other than in respect of a de minimis amount of Collateral), cease to be a first priority perfected security interest of the Collateral Agent except as otherwise expressly permitted in accordance with the applicable Facility Document and except Permitted Liens; or</w:t>
      </w:r>
    </w:p>
    <w:p>
      <w:pPr>
        <w:spacing w:after="0" w:line="184" w:lineRule="exact"/>
        <w:rPr>
          <w:rFonts w:ascii="Times New Roman" w:cs="Times New Roman" w:eastAsia="Times New Roman" w:hAnsi="Times New Roman"/>
          <w:sz w:val="19"/>
          <w:szCs w:val="19"/>
          <w:color w:val="auto"/>
        </w:rPr>
      </w:pPr>
    </w:p>
    <w:p>
      <w:pPr>
        <w:jc w:val="both"/>
        <w:ind w:left="1340" w:right="800" w:firstLine="47"/>
        <w:spacing w:after="0" w:line="268" w:lineRule="auto"/>
        <w:tabs>
          <w:tab w:leader="none" w:pos="16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Collateral Manager shall fail to comply with Section 5.04(c), or (ii) the owners of the outstanding equity interests in the Collateral Manager as of the date hereof cease to own 51% of the equity interests in the Collateral Manager at any time; or</w:t>
      </w:r>
    </w:p>
    <w:p>
      <w:pPr>
        <w:spacing w:after="0" w:line="168"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5" w:lineRule="exact"/>
        <w:rPr>
          <w:rFonts w:ascii="Times New Roman" w:cs="Times New Roman" w:eastAsia="Times New Roman" w:hAnsi="Times New Roman"/>
          <w:sz w:val="19"/>
          <w:szCs w:val="19"/>
          <w:color w:val="auto"/>
        </w:rPr>
      </w:pPr>
    </w:p>
    <w:p>
      <w:pPr>
        <w:jc w:val="both"/>
        <w:ind w:left="1340" w:right="860" w:firstLine="47"/>
        <w:spacing w:after="0" w:line="268" w:lineRule="auto"/>
        <w:tabs>
          <w:tab w:leader="none" w:pos="1617"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 to the Credit and Collection Policies that could reasonably be expected to have a material adverse effect on the Lenders or any change to the Credit and Collection Policies without prior written notice to, the Administrative Agent; or</w:t>
      </w:r>
    </w:p>
    <w:p>
      <w:pPr>
        <w:spacing w:after="0" w:line="168" w:lineRule="exact"/>
        <w:rPr>
          <w:rFonts w:ascii="Times New Roman" w:cs="Times New Roman" w:eastAsia="Times New Roman" w:hAnsi="Times New Roman"/>
          <w:sz w:val="19"/>
          <w:szCs w:val="19"/>
          <w:color w:val="auto"/>
        </w:rPr>
      </w:pPr>
    </w:p>
    <w:p>
      <w:pPr>
        <w:ind w:left="1620" w:hanging="233"/>
        <w:spacing w:after="0"/>
        <w:tabs>
          <w:tab w:leader="none" w:pos="162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 Material Adverse Effect with respect to the Collateral Manager; or</w:t>
      </w:r>
    </w:p>
    <w:p>
      <w:pPr>
        <w:spacing w:after="0" w:line="225" w:lineRule="exact"/>
        <w:rPr>
          <w:rFonts w:ascii="Times New Roman" w:cs="Times New Roman" w:eastAsia="Times New Roman" w:hAnsi="Times New Roman"/>
          <w:sz w:val="19"/>
          <w:szCs w:val="19"/>
          <w:color w:val="auto"/>
        </w:rPr>
      </w:pPr>
    </w:p>
    <w:p>
      <w:pPr>
        <w:jc w:val="both"/>
        <w:ind w:left="1340" w:right="840" w:firstLine="47"/>
        <w:spacing w:after="0" w:line="255" w:lineRule="auto"/>
        <w:tabs>
          <w:tab w:leader="none" w:pos="166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failure of the Collateral Manager to make any payment when due (after giving effect to any related grace period), whether or not waived, under one or more agreements for borrowed money to which it is a party in an aggregate amount in excess of</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4" w:name="page205"/>
    <w:bookmarkEnd w:id="204"/>
    <w:p>
      <w:pPr>
        <w:spacing w:after="0" w:line="200" w:lineRule="exact"/>
        <w:rPr>
          <w:sz w:val="20"/>
          <w:szCs w:val="20"/>
          <w:color w:val="auto"/>
        </w:rPr>
      </w:pPr>
    </w:p>
    <w:p>
      <w:pPr>
        <w:spacing w:after="0" w:line="285" w:lineRule="exact"/>
        <w:rPr>
          <w:sz w:val="20"/>
          <w:szCs w:val="20"/>
          <w:color w:val="auto"/>
        </w:rPr>
      </w:pPr>
    </w:p>
    <w:p>
      <w:pPr>
        <w:ind w:left="1340" w:right="1020"/>
        <w:spacing w:after="0" w:line="286" w:lineRule="auto"/>
        <w:rPr>
          <w:sz w:val="20"/>
          <w:szCs w:val="20"/>
          <w:color w:val="auto"/>
        </w:rPr>
      </w:pPr>
      <w:r>
        <w:rPr>
          <w:rFonts w:ascii="Times New Roman" w:cs="Times New Roman" w:eastAsia="Times New Roman" w:hAnsi="Times New Roman"/>
          <w:sz w:val="19"/>
          <w:szCs w:val="19"/>
          <w:color w:val="auto"/>
        </w:rPr>
        <w:t>$10,000,000, or (ii) the occurrence of any event or condition (after giving effect to any related grace period) that has resulted in the acceleration of such debt;</w:t>
      </w:r>
    </w:p>
    <w:p>
      <w:pPr>
        <w:spacing w:after="0" w:line="151" w:lineRule="exact"/>
        <w:rPr>
          <w:sz w:val="20"/>
          <w:szCs w:val="20"/>
          <w:color w:val="auto"/>
        </w:rPr>
      </w:pPr>
    </w:p>
    <w:p>
      <w:pPr>
        <w:jc w:val="both"/>
        <w:ind w:left="1340" w:right="780" w:firstLine="47"/>
        <w:spacing w:after="0" w:line="262" w:lineRule="auto"/>
        <w:tabs>
          <w:tab w:leader="none" w:pos="1617"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Manager shall fail to maintain at least $550,000,000 of assets (including cash) under management (which shall be reported in the Monthly Report occurring on the first Monthly Reporting Date to occur after the delivery of the statements required pursuant to Section 5.01(d)(iii)); or</w:t>
      </w:r>
    </w:p>
    <w:p>
      <w:pPr>
        <w:spacing w:after="0" w:line="174" w:lineRule="exact"/>
        <w:rPr>
          <w:rFonts w:ascii="Times New Roman" w:cs="Times New Roman" w:eastAsia="Times New Roman" w:hAnsi="Times New Roman"/>
          <w:sz w:val="19"/>
          <w:szCs w:val="19"/>
          <w:color w:val="auto"/>
        </w:rPr>
      </w:pPr>
    </w:p>
    <w:p>
      <w:pPr>
        <w:ind w:left="1340" w:right="800" w:firstLine="47"/>
        <w:spacing w:after="0" w:line="262" w:lineRule="auto"/>
        <w:tabs>
          <w:tab w:leader="none" w:pos="1713"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fails to make a payment when due, after giving effect to any applicable grace period, pursuant to the terms of this Agreement (including, without limitation, the Borrower’s failure to make payments or meet the conditions under Section 6.01(a), Section 6.01(b), or Section 6.01(n)).</w:t>
      </w:r>
    </w:p>
    <w:p>
      <w:pPr>
        <w:spacing w:after="0" w:line="200" w:lineRule="exact"/>
        <w:rPr>
          <w:sz w:val="20"/>
          <w:szCs w:val="20"/>
          <w:color w:val="auto"/>
        </w:rPr>
      </w:pPr>
    </w:p>
    <w:p>
      <w:pPr>
        <w:spacing w:after="0" w:line="370" w:lineRule="exact"/>
        <w:rPr>
          <w:sz w:val="20"/>
          <w:szCs w:val="20"/>
          <w:color w:val="auto"/>
        </w:rPr>
      </w:pPr>
    </w:p>
    <w:p>
      <w:pPr>
        <w:ind w:left="760" w:right="820" w:firstLine="576"/>
        <w:spacing w:after="0" w:line="256" w:lineRule="auto"/>
        <w:rPr>
          <w:sz w:val="20"/>
          <w:szCs w:val="20"/>
          <w:color w:val="auto"/>
        </w:rPr>
      </w:pPr>
      <w:r>
        <w:rPr>
          <w:rFonts w:ascii="Times New Roman" w:cs="Times New Roman" w:eastAsia="Times New Roman" w:hAnsi="Times New Roman"/>
          <w:sz w:val="19"/>
          <w:szCs w:val="19"/>
          <w:color w:val="auto"/>
        </w:rPr>
        <w:t xml:space="preserve">Upon the occurrence and during the continuance of a Collateral Manager Event of Default or a Collateral Manager Replacement Event, the Administrative Agent, by written notice (provided in its sole discretion or at the direction of the Majority Lenders) to the Collateral Manager (with a copy to the Backup Collateral Manager, the Custodian, the Collateral Administrator and the Collateral Agent) (a </w:t>
      </w:r>
      <w:r>
        <w:rPr>
          <w:rFonts w:ascii="Times New Roman" w:cs="Times New Roman" w:eastAsia="Times New Roman" w:hAnsi="Times New Roman"/>
          <w:sz w:val="19"/>
          <w:szCs w:val="19"/>
          <w:i w:val="1"/>
          <w:iCs w:val="1"/>
          <w:color w:val="auto"/>
        </w:rPr>
        <w:t>“Collateral Manager Termination Notice”</w:t>
      </w:r>
      <w:r>
        <w:rPr>
          <w:rFonts w:ascii="Times New Roman" w:cs="Times New Roman" w:eastAsia="Times New Roman" w:hAnsi="Times New Roman"/>
          <w:sz w:val="19"/>
          <w:szCs w:val="19"/>
          <w:color w:val="auto"/>
        </w:rPr>
        <w:t>), may terminate all of the rights and obligations of the Collateral Manager as Collateral Manager under this Agreement and appoint a successor Collateral Manager in accordance with Section 11.09.</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VII</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Pledge of Collateral; Rights of the Collateral Agent</w:t>
      </w:r>
    </w:p>
    <w:p>
      <w:pPr>
        <w:spacing w:after="0" w:line="226" w:lineRule="exact"/>
        <w:rPr>
          <w:sz w:val="20"/>
          <w:szCs w:val="20"/>
          <w:color w:val="auto"/>
        </w:rPr>
      </w:pPr>
    </w:p>
    <w:p>
      <w:pPr>
        <w:ind w:left="760" w:right="88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7.01. Grant of Security</w:t>
      </w:r>
      <w:r>
        <w:rPr>
          <w:rFonts w:ascii="Times New Roman" w:cs="Times New Roman" w:eastAsia="Times New Roman" w:hAnsi="Times New Roman"/>
          <w:sz w:val="19"/>
          <w:szCs w:val="19"/>
          <w:color w:val="auto"/>
        </w:rPr>
        <w:t>. (a) The Borrower hereby grants, pledges, transfers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collaterally assigns to the Collateral Agent, for the benefit 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Section 7.01(a) being collectively referred to herein as the </w:t>
      </w:r>
      <w:r>
        <w:rPr>
          <w:rFonts w:ascii="Times New Roman" w:cs="Times New Roman" w:eastAsia="Times New Roman" w:hAnsi="Times New Roman"/>
          <w:sz w:val="19"/>
          <w:szCs w:val="19"/>
          <w:i w:val="1"/>
          <w:iCs w:val="1"/>
          <w:color w:val="auto"/>
        </w:rPr>
        <w:t>“Collateral”</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ind w:left="1620" w:hanging="233"/>
        <w:spacing w:after="0"/>
        <w:tabs>
          <w:tab w:leader="none" w:pos="162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Collateral Loans and Related Documents (listed, as of the Closing Date, in</w:t>
      </w:r>
    </w:p>
    <w:p>
      <w:pPr>
        <w:spacing w:after="0" w:line="31" w:lineRule="exact"/>
        <w:rPr>
          <w:rFonts w:ascii="Times New Roman" w:cs="Times New Roman" w:eastAsia="Times New Roman" w:hAnsi="Times New Roman"/>
          <w:sz w:val="19"/>
          <w:szCs w:val="19"/>
          <w:color w:val="auto"/>
        </w:rPr>
      </w:pPr>
    </w:p>
    <w:p>
      <w:pPr>
        <w:ind w:left="1340" w:right="110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Schedule 3 hereto), both now and hereafter owned, including all collections and other proceeds thereon or with respect thereto;</w:t>
      </w:r>
    </w:p>
    <w:p>
      <w:pPr>
        <w:spacing w:after="0" w:line="173" w:lineRule="exact"/>
        <w:rPr>
          <w:rFonts w:ascii="Times New Roman" w:cs="Times New Roman" w:eastAsia="Times New Roman" w:hAnsi="Times New Roman"/>
          <w:sz w:val="19"/>
          <w:szCs w:val="19"/>
          <w:color w:val="auto"/>
        </w:rPr>
      </w:pPr>
    </w:p>
    <w:p>
      <w:pPr>
        <w:ind w:left="1340" w:right="760" w:firstLine="47"/>
        <w:spacing w:after="0" w:line="262" w:lineRule="auto"/>
        <w:tabs>
          <w:tab w:leader="none" w:pos="167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174" w:lineRule="exact"/>
        <w:rPr>
          <w:rFonts w:ascii="Times New Roman" w:cs="Times New Roman" w:eastAsia="Times New Roman" w:hAnsi="Times New Roman"/>
          <w:sz w:val="19"/>
          <w:szCs w:val="19"/>
          <w:color w:val="auto"/>
        </w:rPr>
      </w:pPr>
    </w:p>
    <w:p>
      <w:pPr>
        <w:ind w:left="1720" w:hanging="333"/>
        <w:spacing w:after="0"/>
        <w:tabs>
          <w:tab w:leader="none" w:pos="172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interest, dividends, stock dividends, stock splits, distributions and other money or</w:t>
      </w:r>
    </w:p>
    <w:p>
      <w:pPr>
        <w:spacing w:after="0" w:line="32" w:lineRule="exact"/>
        <w:rPr>
          <w:sz w:val="20"/>
          <w:szCs w:val="20"/>
          <w:color w:val="auto"/>
        </w:rPr>
      </w:pPr>
    </w:p>
    <w:p>
      <w:pPr>
        <w:ind w:left="4300" w:right="2140" w:hanging="2964"/>
        <w:spacing w:after="0" w:line="233" w:lineRule="exact"/>
        <w:rPr>
          <w:sz w:val="20"/>
          <w:szCs w:val="20"/>
          <w:color w:val="auto"/>
        </w:rPr>
      </w:pPr>
      <w:r>
        <w:rPr>
          <w:rFonts w:ascii="Times New Roman" w:cs="Times New Roman" w:eastAsia="Times New Roman" w:hAnsi="Times New Roman"/>
          <w:sz w:val="19"/>
          <w:szCs w:val="19"/>
          <w:color w:val="auto"/>
        </w:rPr>
        <w:t xml:space="preserve">property of any kind distributed in respect of the Collateral Loans of the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113</w:t>
      </w:r>
      <w:r>
        <w:rPr>
          <w:rFonts w:ascii="MS PGothic" w:cs="MS PGothic" w:eastAsia="MS PGothic" w:hAnsi="MS PGothic"/>
          <w:sz w:val="19"/>
          <w:szCs w:val="19"/>
          <w:color w:val="auto"/>
        </w:rPr>
        <w:t>‑</w:t>
      </w:r>
    </w:p>
    <w:p>
      <w:pPr>
        <w:spacing w:after="0" w:line="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5" w:name="page206"/>
    <w:bookmarkEnd w:id="205"/>
    <w:p>
      <w:pPr>
        <w:spacing w:after="0" w:line="200" w:lineRule="exact"/>
        <w:rPr>
          <w:sz w:val="20"/>
          <w:szCs w:val="20"/>
          <w:color w:val="auto"/>
        </w:rPr>
      </w:pPr>
    </w:p>
    <w:p>
      <w:pPr>
        <w:spacing w:after="0" w:line="285" w:lineRule="exact"/>
        <w:rPr>
          <w:sz w:val="20"/>
          <w:szCs w:val="20"/>
          <w:color w:val="auto"/>
        </w:rPr>
      </w:pPr>
    </w:p>
    <w:p>
      <w:pPr>
        <w:ind w:left="1340" w:right="940"/>
        <w:spacing w:after="0" w:line="286" w:lineRule="auto"/>
        <w:rPr>
          <w:sz w:val="20"/>
          <w:szCs w:val="20"/>
          <w:color w:val="auto"/>
        </w:rPr>
      </w:pPr>
      <w:r>
        <w:rPr>
          <w:rFonts w:ascii="Times New Roman" w:cs="Times New Roman" w:eastAsia="Times New Roman" w:hAnsi="Times New Roman"/>
          <w:sz w:val="19"/>
          <w:szCs w:val="19"/>
          <w:color w:val="auto"/>
        </w:rPr>
        <w:t>Borrower, which the Borrower is entitled to receive, including all Collections in respect of its Collateral Loans;</w:t>
      </w:r>
    </w:p>
    <w:p>
      <w:pPr>
        <w:spacing w:after="0" w:line="151" w:lineRule="exact"/>
        <w:rPr>
          <w:sz w:val="20"/>
          <w:szCs w:val="20"/>
          <w:color w:val="auto"/>
        </w:rPr>
      </w:pPr>
    </w:p>
    <w:p>
      <w:pPr>
        <w:ind w:left="1340" w:right="780" w:firstLine="47"/>
        <w:spacing w:after="0" w:line="256" w:lineRule="auto"/>
        <w:tabs>
          <w:tab w:leader="none" w:pos="1713"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181" w:lineRule="exact"/>
        <w:rPr>
          <w:rFonts w:ascii="Times New Roman" w:cs="Times New Roman" w:eastAsia="Times New Roman" w:hAnsi="Times New Roman"/>
          <w:sz w:val="19"/>
          <w:szCs w:val="19"/>
          <w:color w:val="auto"/>
        </w:rPr>
      </w:pPr>
    </w:p>
    <w:p>
      <w:pPr>
        <w:ind w:left="1340" w:right="820" w:firstLine="47"/>
        <w:spacing w:after="0" w:line="286" w:lineRule="auto"/>
        <w:tabs>
          <w:tab w:leader="none" w:pos="166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Cash or Money in possession of the Borrower or delivered to the Collateral Agent (or its bailee);</w:t>
      </w:r>
    </w:p>
    <w:p>
      <w:pPr>
        <w:spacing w:after="0" w:line="151" w:lineRule="exact"/>
        <w:rPr>
          <w:rFonts w:ascii="Times New Roman" w:cs="Times New Roman" w:eastAsia="Times New Roman" w:hAnsi="Times New Roman"/>
          <w:sz w:val="19"/>
          <w:szCs w:val="19"/>
          <w:color w:val="auto"/>
        </w:rPr>
      </w:pPr>
    </w:p>
    <w:p>
      <w:pPr>
        <w:ind w:left="1340" w:right="900" w:firstLine="47"/>
        <w:spacing w:after="0" w:line="235" w:lineRule="exact"/>
        <w:tabs>
          <w:tab w:leader="none" w:pos="1713"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accounts, chattel paper, deposit accounts, financial assets, general intangibles, instruments, investment property, letter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credit rights and other supporting obligations relating to the foregoing (in each case as defined in the UCC);</w:t>
      </w:r>
    </w:p>
    <w:p>
      <w:pPr>
        <w:spacing w:after="0" w:line="195" w:lineRule="exact"/>
        <w:rPr>
          <w:rFonts w:ascii="Times New Roman" w:cs="Times New Roman" w:eastAsia="Times New Roman" w:hAnsi="Times New Roman"/>
          <w:sz w:val="19"/>
          <w:szCs w:val="19"/>
          <w:color w:val="auto"/>
        </w:rPr>
      </w:pPr>
    </w:p>
    <w:p>
      <w:pPr>
        <w:ind w:left="1340" w:right="1020" w:firstLine="47"/>
        <w:spacing w:after="0" w:line="268" w:lineRule="auto"/>
        <w:tabs>
          <w:tab w:leader="none" w:pos="1767"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property of the Borrower and all property of the Borrower which is delivered to the Collateral Agent (or the Custodian on its behalf) by or on behalf of the Borrower (whether or not constituting Collateral Loans or Eligible Investments);</w:t>
      </w:r>
    </w:p>
    <w:p>
      <w:pPr>
        <w:spacing w:after="0" w:line="168" w:lineRule="exact"/>
        <w:rPr>
          <w:rFonts w:ascii="Times New Roman" w:cs="Times New Roman" w:eastAsia="Times New Roman" w:hAnsi="Times New Roman"/>
          <w:sz w:val="19"/>
          <w:szCs w:val="19"/>
          <w:color w:val="auto"/>
        </w:rPr>
      </w:pPr>
    </w:p>
    <w:p>
      <w:pPr>
        <w:jc w:val="both"/>
        <w:ind w:left="1340" w:right="760" w:firstLine="47"/>
        <w:spacing w:after="0" w:line="262" w:lineRule="auto"/>
        <w:tabs>
          <w:tab w:leader="none" w:pos="182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174" w:lineRule="exact"/>
        <w:rPr>
          <w:rFonts w:ascii="Times New Roman" w:cs="Times New Roman" w:eastAsia="Times New Roman" w:hAnsi="Times New Roman"/>
          <w:sz w:val="19"/>
          <w:szCs w:val="19"/>
          <w:color w:val="auto"/>
        </w:rPr>
      </w:pPr>
    </w:p>
    <w:p>
      <w:pPr>
        <w:ind w:left="1720" w:hanging="333"/>
        <w:spacing w:after="0"/>
        <w:tabs>
          <w:tab w:leader="none" w:pos="172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Proceeds of any and all of the foregoing.</w:t>
      </w:r>
    </w:p>
    <w:p>
      <w:pPr>
        <w:spacing w:after="0" w:line="226" w:lineRule="exact"/>
        <w:rPr>
          <w:sz w:val="20"/>
          <w:szCs w:val="20"/>
          <w:color w:val="auto"/>
        </w:rPr>
      </w:pPr>
    </w:p>
    <w:p>
      <w:pPr>
        <w:ind w:left="760" w:right="820" w:firstLine="50"/>
        <w:spacing w:after="0" w:line="286" w:lineRule="auto"/>
        <w:tabs>
          <w:tab w:leader="none" w:pos="108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terms used in this Section 7.01 that are defined in the UCC but are not defined in Section 1.01 shall have the respective meanings assigned to such terms in the UCC.</w:t>
      </w:r>
    </w:p>
    <w:p>
      <w:pPr>
        <w:spacing w:after="0" w:line="149" w:lineRule="exact"/>
        <w:rPr>
          <w:sz w:val="20"/>
          <w:szCs w:val="20"/>
          <w:color w:val="auto"/>
        </w:rPr>
      </w:pPr>
    </w:p>
    <w:p>
      <w:pPr>
        <w:ind w:left="760" w:right="760" w:firstLine="48"/>
        <w:spacing w:after="0" w:line="251" w:lineRule="auto"/>
        <w:rPr>
          <w:sz w:val="20"/>
          <w:szCs w:val="20"/>
          <w:color w:val="auto"/>
        </w:rPr>
      </w:pPr>
      <w:r>
        <w:rPr>
          <w:rFonts w:ascii="Times New Roman" w:cs="Times New Roman" w:eastAsia="Times New Roman" w:hAnsi="Times New Roman"/>
          <w:sz w:val="19"/>
          <w:szCs w:val="19"/>
          <w:i w:val="1"/>
          <w:iCs w:val="1"/>
          <w:color w:val="auto"/>
        </w:rPr>
        <w:t>Section 7.02. Release of Security Interest</w:t>
      </w:r>
      <w:r>
        <w:rPr>
          <w:rFonts w:ascii="Times New Roman" w:cs="Times New Roman" w:eastAsia="Times New Roman" w:hAnsi="Times New Roman"/>
          <w:sz w:val="19"/>
          <w:szCs w:val="19"/>
          <w:color w:val="auto"/>
        </w:rPr>
        <w:t>. If and only if all Obligations have been paid in full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all Commitments have been terminated, the Collateral Agent (for itself and on behalf of the other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Collateral Agent (for itself and on behalf of the other Secured Parties) shall, at the expense of the Borrower, execute, deliver and file or authorize for filing such instrument as the Borrower shall reasonably request to reflect or evidence such termination. Any and all actions under this Article VII in respect of the Collateral shall be without any recourse to, or representation or warranty by any Secured Party and shall be at the sole cost and expense of the Borrower.</w:t>
      </w:r>
    </w:p>
    <w:p>
      <w:pPr>
        <w:spacing w:after="0" w:line="1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6" w:name="page207"/>
    <w:bookmarkEnd w:id="206"/>
    <w:p>
      <w:pPr>
        <w:spacing w:after="0" w:line="200" w:lineRule="exact"/>
        <w:rPr>
          <w:sz w:val="20"/>
          <w:szCs w:val="20"/>
          <w:color w:val="auto"/>
        </w:rPr>
      </w:pPr>
    </w:p>
    <w:p>
      <w:pPr>
        <w:spacing w:after="0" w:line="283" w:lineRule="exact"/>
        <w:rPr>
          <w:sz w:val="20"/>
          <w:szCs w:val="20"/>
          <w:color w:val="auto"/>
        </w:rPr>
      </w:pPr>
    </w:p>
    <w:p>
      <w:pPr>
        <w:ind w:left="760" w:right="76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Section 7.03. Rights and Remedies</w:t>
      </w:r>
      <w:r>
        <w:rPr>
          <w:rFonts w:ascii="Times New Roman" w:cs="Times New Roman" w:eastAsia="Times New Roman" w:hAnsi="Times New Roman"/>
          <w:sz w:val="19"/>
          <w:szCs w:val="19"/>
          <w:color w:val="auto"/>
        </w:rPr>
        <w:t>. The Collateral Agent (for itself and on behalf of the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Secured Parties) shall have all of the rights and remedies of 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in a commercially reasonable manner,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to redeem or withdraw or cause the Borrower to redeem or withdraw any asset of the Borrower to pay amounts due and payable in respect of the Obligations; (x) make copies of or, if necessary, remove from the Borrower’s, the Collateral Manager’s and their respective agents’ place of business all books, records and documents relating to the Collateral; and (xi) endorse the name of the Borrower upon any items of payment relating to the Collateral or upon any proof of claim in bankruptcy against an account debtor.</w:t>
      </w:r>
    </w:p>
    <w:p>
      <w:pPr>
        <w:spacing w:after="0" w:line="187" w:lineRule="exact"/>
        <w:rPr>
          <w:sz w:val="20"/>
          <w:szCs w:val="20"/>
          <w:color w:val="auto"/>
        </w:rPr>
      </w:pPr>
    </w:p>
    <w:p>
      <w:pPr>
        <w:ind w:left="760" w:right="820" w:firstLine="576"/>
        <w:spacing w:after="0" w:line="230" w:lineRule="exact"/>
        <w:rPr>
          <w:sz w:val="20"/>
          <w:szCs w:val="20"/>
          <w:color w:val="auto"/>
        </w:rPr>
      </w:pPr>
      <w:r>
        <w:rPr>
          <w:rFonts w:ascii="Times New Roman" w:cs="Times New Roman" w:eastAsia="Times New Roman" w:hAnsi="Times New Roman"/>
          <w:sz w:val="19"/>
          <w:szCs w:val="19"/>
          <w:color w:val="auto"/>
        </w:rPr>
        <w:t>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clauses (i) through (xi) of this Section 7.03 the Borrower hereby irrevocably appoints the Collateral Agent as its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(which appointment being coupled with an interest and is irrevocable while any of the Obligations remain unpaid, with power of substitution), in the name of the Collateral Agent or in the name of the Borrower or otherwise, for the use and benefit of the Collateral Agent (for the benefit of the Secured Parties), but at the cost and expense of the Borrower and, except as permitted by applicable law, without notice to the Borrower.</w:t>
      </w:r>
    </w:p>
    <w:p>
      <w:pPr>
        <w:spacing w:after="0" w:line="199" w:lineRule="exact"/>
        <w:rPr>
          <w:sz w:val="20"/>
          <w:szCs w:val="20"/>
          <w:color w:val="auto"/>
        </w:rPr>
      </w:pPr>
    </w:p>
    <w:p>
      <w:pPr>
        <w:ind w:left="760" w:right="82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Section 7.04. Remedies Cumulative</w:t>
      </w:r>
      <w:r>
        <w:rPr>
          <w:rFonts w:ascii="Times New Roman" w:cs="Times New Roman" w:eastAsia="Times New Roman" w:hAnsi="Times New Roman"/>
          <w:sz w:val="19"/>
          <w:szCs w:val="19"/>
          <w:color w:val="auto"/>
        </w:rPr>
        <w:t>. Each right, power, and remedy of the Agents and the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Secured Parties, or any 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spacing w:after="0" w:line="5"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7" w:name="page208"/>
    <w:bookmarkEnd w:id="207"/>
    <w:p>
      <w:pPr>
        <w:spacing w:after="0" w:line="200" w:lineRule="exact"/>
        <w:rPr>
          <w:sz w:val="20"/>
          <w:szCs w:val="20"/>
          <w:color w:val="auto"/>
        </w:rPr>
      </w:pPr>
    </w:p>
    <w:p>
      <w:pPr>
        <w:spacing w:after="0" w:line="283" w:lineRule="exact"/>
        <w:rPr>
          <w:sz w:val="20"/>
          <w:szCs w:val="20"/>
          <w:color w:val="auto"/>
        </w:rPr>
      </w:pPr>
    </w:p>
    <w:p>
      <w:pPr>
        <w:ind w:left="760" w:right="80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7.05. Related Documents</w:t>
      </w:r>
      <w:r>
        <w:rPr>
          <w:rFonts w:ascii="Times New Roman" w:cs="Times New Roman" w:eastAsia="Times New Roman" w:hAnsi="Times New Roman"/>
          <w:sz w:val="19"/>
          <w:szCs w:val="19"/>
          <w:color w:val="auto"/>
        </w:rPr>
        <w:t>. (a) Each of the Borrower and the Collateral Manager hereby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agrees that, to the extent not expressly prohibited by the terms of the Related Documents, after the occurrence and during the continuance of an Event of Default, it shall (i) upon the written request of either Agent, promptly forward to such Agent and the Backup Collateral Manager all material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the Administrative Agent.</w:t>
      </w:r>
    </w:p>
    <w:p>
      <w:pPr>
        <w:spacing w:after="0" w:line="181" w:lineRule="exact"/>
        <w:rPr>
          <w:sz w:val="20"/>
          <w:szCs w:val="20"/>
          <w:color w:val="auto"/>
        </w:rPr>
      </w:pPr>
    </w:p>
    <w:p>
      <w:pPr>
        <w:ind w:left="760" w:right="880" w:firstLine="50"/>
        <w:spacing w:after="0" w:line="255" w:lineRule="auto"/>
        <w:tabs>
          <w:tab w:leader="none" w:pos="108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that, to the extent the same shall be in the Borrower’s possession, it will hold all Related Documents relating to the Collateral in trust for the Collateral Agent on behalf of the Secured Parties, and upon request of either Agent following the occurrence and during the continuance of an Event of Default or as otherwise provided herein, promptly deliver the same to the Collateral Agent or its designee (including the Custodian). In addition, in accordance with Article XIV, promptly following its acquisition of any Collateral Loan the Borrower shall deliver to the Custodian copies of the principal underlying documentation with respect to such Collateral Loan (e.g., loan or credit agreement, primary security agreement and guarantees, etc.).</w:t>
      </w:r>
    </w:p>
    <w:p>
      <w:pPr>
        <w:spacing w:after="0" w:line="177" w:lineRule="exact"/>
        <w:rPr>
          <w:sz w:val="20"/>
          <w:szCs w:val="20"/>
          <w:color w:val="auto"/>
        </w:rPr>
      </w:pPr>
    </w:p>
    <w:p>
      <w:pPr>
        <w:ind w:left="760" w:right="800" w:firstLine="48"/>
        <w:spacing w:after="0" w:line="256" w:lineRule="auto"/>
        <w:rPr>
          <w:sz w:val="20"/>
          <w:szCs w:val="20"/>
          <w:color w:val="auto"/>
        </w:rPr>
      </w:pPr>
      <w:r>
        <w:rPr>
          <w:rFonts w:ascii="Times New Roman" w:cs="Times New Roman" w:eastAsia="Times New Roman" w:hAnsi="Times New Roman"/>
          <w:sz w:val="19"/>
          <w:szCs w:val="19"/>
          <w:i w:val="1"/>
          <w:iCs w:val="1"/>
          <w:color w:val="auto"/>
        </w:rPr>
        <w:t>Section 7.06. Borrower Remains Liable</w:t>
      </w:r>
      <w:r>
        <w:rPr>
          <w:rFonts w:ascii="Times New Roman" w:cs="Times New Roman" w:eastAsia="Times New Roman" w:hAnsi="Times New Roman"/>
          <w:sz w:val="19"/>
          <w:szCs w:val="19"/>
          <w:color w:val="auto"/>
        </w:rPr>
        <w:t>. (a) Notwithstanding anything herein to the contrary, (i)</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Borrower shall 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83" w:lineRule="exact"/>
        <w:rPr>
          <w:sz w:val="20"/>
          <w:szCs w:val="20"/>
          <w:color w:val="auto"/>
        </w:rPr>
      </w:pPr>
    </w:p>
    <w:p>
      <w:pPr>
        <w:ind w:left="760" w:right="800" w:firstLine="50"/>
        <w:spacing w:after="0" w:line="257" w:lineRule="auto"/>
        <w:tabs>
          <w:tab w:leader="none" w:pos="108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79" w:lineRule="exact"/>
        <w:rPr>
          <w:sz w:val="20"/>
          <w:szCs w:val="20"/>
          <w:color w:val="auto"/>
        </w:rPr>
      </w:pPr>
    </w:p>
    <w:p>
      <w:pPr>
        <w:ind w:left="760" w:right="740" w:firstLine="48"/>
        <w:spacing w:after="0" w:line="234" w:lineRule="exact"/>
        <w:rPr>
          <w:sz w:val="20"/>
          <w:szCs w:val="20"/>
          <w:color w:val="auto"/>
        </w:rPr>
      </w:pPr>
      <w:r>
        <w:rPr>
          <w:rFonts w:ascii="Times New Roman" w:cs="Times New Roman" w:eastAsia="Times New Roman" w:hAnsi="Times New Roman"/>
          <w:sz w:val="19"/>
          <w:szCs w:val="19"/>
          <w:i w:val="1"/>
          <w:iCs w:val="1"/>
          <w:color w:val="auto"/>
        </w:rPr>
        <w:t>Section 7.07. Protection of Collateral</w:t>
      </w:r>
      <w:r>
        <w:rPr>
          <w:rFonts w:ascii="Times New Roman" w:cs="Times New Roman" w:eastAsia="Times New Roman" w:hAnsi="Times New Roman"/>
          <w:sz w:val="19"/>
          <w:szCs w:val="19"/>
          <w:color w:val="auto"/>
        </w:rPr>
        <w:t>. The Borrower shall from time to time execute and deliver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all such supplements and amendments hereto and file or authorize the filing of all such UCC</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financing statements, continuation statements, instruments of further assurance and other instruments, and shall take such other action as may be necessary or advisable or desirable to secure the rights and remedies of the Secured Parties hereunder and to:</w:t>
      </w:r>
    </w:p>
    <w:p>
      <w:pPr>
        <w:spacing w:after="0" w:line="193" w:lineRule="exact"/>
        <w:rPr>
          <w:sz w:val="20"/>
          <w:szCs w:val="20"/>
          <w:color w:val="auto"/>
        </w:rPr>
      </w:pPr>
    </w:p>
    <w:p>
      <w:pPr>
        <w:ind w:left="1620" w:hanging="233"/>
        <w:spacing w:after="0"/>
        <w:tabs>
          <w:tab w:leader="none" w:pos="162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 security more effectively on all or any portion of the Collateral;</w:t>
      </w:r>
    </w:p>
    <w:p>
      <w:pPr>
        <w:spacing w:after="0" w:line="225" w:lineRule="exact"/>
        <w:rPr>
          <w:rFonts w:ascii="Times New Roman" w:cs="Times New Roman" w:eastAsia="Times New Roman" w:hAnsi="Times New Roman"/>
          <w:sz w:val="19"/>
          <w:szCs w:val="19"/>
          <w:color w:val="auto"/>
        </w:rPr>
      </w:pPr>
    </w:p>
    <w:p>
      <w:pPr>
        <w:ind w:left="1340" w:right="980" w:firstLine="47"/>
        <w:spacing w:after="0" w:line="255" w:lineRule="auto"/>
        <w:tabs>
          <w:tab w:leader="none" w:pos="167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preserve and perfect any grant of security made or to be made by this Agreement including, without limitation, the first priority nature of the lien or carry out more effectively the purposes hereof;</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8" w:name="page209"/>
    <w:bookmarkEnd w:id="208"/>
    <w:p>
      <w:pPr>
        <w:spacing w:after="0" w:line="200" w:lineRule="exact"/>
        <w:rPr>
          <w:sz w:val="20"/>
          <w:szCs w:val="20"/>
          <w:color w:val="auto"/>
        </w:rPr>
      </w:pPr>
    </w:p>
    <w:p>
      <w:pPr>
        <w:spacing w:after="0" w:line="285" w:lineRule="exact"/>
        <w:rPr>
          <w:sz w:val="20"/>
          <w:szCs w:val="20"/>
          <w:color w:val="auto"/>
        </w:rPr>
      </w:pPr>
    </w:p>
    <w:p>
      <w:pPr>
        <w:jc w:val="both"/>
        <w:ind w:left="1340" w:right="900" w:firstLine="47"/>
        <w:spacing w:after="0" w:line="268" w:lineRule="auto"/>
        <w:tabs>
          <w:tab w:leader="none" w:pos="1724"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perfect, publish notice of or protect the validity of any grant made or to be made by this Agreement (including, without limitation, any and all actions necessary or desirable as a result of changes in law or regulations);</w:t>
      </w:r>
    </w:p>
    <w:p>
      <w:pPr>
        <w:spacing w:after="0" w:line="168" w:lineRule="exact"/>
        <w:rPr>
          <w:rFonts w:ascii="Times New Roman" w:cs="Times New Roman" w:eastAsia="Times New Roman" w:hAnsi="Times New Roman"/>
          <w:sz w:val="19"/>
          <w:szCs w:val="19"/>
          <w:color w:val="auto"/>
        </w:rPr>
      </w:pPr>
    </w:p>
    <w:p>
      <w:pPr>
        <w:ind w:left="1340" w:right="1420" w:firstLine="47"/>
        <w:spacing w:after="0" w:line="286" w:lineRule="auto"/>
        <w:tabs>
          <w:tab w:leader="none" w:pos="1713"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enforce any of the Collateral or other instruments or property included in the Collateral;</w:t>
      </w:r>
    </w:p>
    <w:p>
      <w:pPr>
        <w:spacing w:after="0" w:line="151" w:lineRule="exact"/>
        <w:rPr>
          <w:rFonts w:ascii="Times New Roman" w:cs="Times New Roman" w:eastAsia="Times New Roman" w:hAnsi="Times New Roman"/>
          <w:sz w:val="19"/>
          <w:szCs w:val="19"/>
          <w:color w:val="auto"/>
        </w:rPr>
      </w:pPr>
    </w:p>
    <w:p>
      <w:pPr>
        <w:jc w:val="center"/>
        <w:ind w:left="1340" w:right="860" w:firstLine="47"/>
        <w:spacing w:after="0" w:line="286" w:lineRule="auto"/>
        <w:tabs>
          <w:tab w:leader="none" w:pos="1660"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preserve and defend title to the Collateral and the rights therein of the Collateral Agent and the Secured Parties in the Collateral against the claims of all third parties; and</w:t>
      </w:r>
    </w:p>
    <w:p>
      <w:pPr>
        <w:spacing w:after="0" w:line="151" w:lineRule="exact"/>
        <w:rPr>
          <w:rFonts w:ascii="Times New Roman" w:cs="Times New Roman" w:eastAsia="Times New Roman" w:hAnsi="Times New Roman"/>
          <w:sz w:val="19"/>
          <w:szCs w:val="19"/>
          <w:color w:val="auto"/>
        </w:rPr>
      </w:pPr>
    </w:p>
    <w:p>
      <w:pPr>
        <w:ind w:left="1340" w:right="1020" w:firstLine="47"/>
        <w:spacing w:after="0" w:line="286" w:lineRule="auto"/>
        <w:tabs>
          <w:tab w:leader="none" w:pos="1713"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 or cause to be paid any and all taxes levied or assessed upon all or any part of the Collateral.</w:t>
      </w:r>
    </w:p>
    <w:p>
      <w:pPr>
        <w:spacing w:after="0" w:line="151" w:lineRule="exact"/>
        <w:rPr>
          <w:sz w:val="20"/>
          <w:szCs w:val="20"/>
          <w:color w:val="auto"/>
        </w:rPr>
      </w:pPr>
    </w:p>
    <w:p>
      <w:pPr>
        <w:ind w:left="760" w:right="780" w:firstLine="576"/>
        <w:spacing w:after="0" w:line="231" w:lineRule="exact"/>
        <w:rPr>
          <w:sz w:val="20"/>
          <w:szCs w:val="20"/>
          <w:color w:val="auto"/>
        </w:rPr>
      </w:pPr>
      <w:r>
        <w:rPr>
          <w:rFonts w:ascii="Times New Roman" w:cs="Times New Roman" w:eastAsia="Times New Roman" w:hAnsi="Times New Roman"/>
          <w:sz w:val="19"/>
          <w:szCs w:val="19"/>
          <w:color w:val="auto"/>
        </w:rPr>
        <w:t>The Borrower hereby designates the Collateral Agent as its agent and attorney in fact to prepare and file any UCC</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financing statement, continuation statement and all other instruments, and take all other actions, required pursuant to this Section 7.07. Such designation shall not impose upon the Collateral Agent, or release or diminish, the Borrower’s obligations under this Section 7.07 or Section 5.01(c). The Borrower further authorizes and shall cause the Borrower’s counsel to file, without the Borrower’s signature, UCC</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1 financing statements that names the Borrower as debtor and the Collateral Agent as secured party and that describes “all assets in which the debtor now or hereafter has rights” as the Collateral in which the Collateral Agent has a grant of security hereunder and any amendments or continuation statements that may be necessary or desirable.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VIII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Accounts, Accountings and Releases</w:t>
      </w:r>
    </w:p>
    <w:p>
      <w:pPr>
        <w:spacing w:after="0" w:line="226" w:lineRule="exact"/>
        <w:rPr>
          <w:sz w:val="20"/>
          <w:szCs w:val="20"/>
          <w:color w:val="auto"/>
        </w:rPr>
      </w:pPr>
    </w:p>
    <w:p>
      <w:pPr>
        <w:ind w:left="760" w:right="76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8.01. Collection of Money</w:t>
      </w:r>
      <w:r>
        <w:rPr>
          <w:rFonts w:ascii="Times New Roman" w:cs="Times New Roman" w:eastAsia="Times New Roman" w:hAnsi="Times New Roman"/>
          <w:sz w:val="19"/>
          <w:szCs w:val="19"/>
          <w:color w:val="auto"/>
        </w:rPr>
        <w:t>. Except as otherwise expressly provided herein,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Collateral Agent may demand payment or delivery of, and 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Collateral Manager for convenience in administering the Covered Account or the Collateral.</w:t>
      </w:r>
    </w:p>
    <w:p>
      <w:pPr>
        <w:spacing w:after="0" w:line="181" w:lineRule="exact"/>
        <w:rPr>
          <w:sz w:val="20"/>
          <w:szCs w:val="20"/>
          <w:color w:val="auto"/>
        </w:rPr>
      </w:pPr>
    </w:p>
    <w:p>
      <w:pPr>
        <w:ind w:left="760" w:right="90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8.02. Collection Account</w:t>
      </w:r>
      <w:r>
        <w:rPr>
          <w:rFonts w:ascii="Times New Roman" w:cs="Times New Roman" w:eastAsia="Times New Roman" w:hAnsi="Times New Roman"/>
          <w:sz w:val="19"/>
          <w:szCs w:val="19"/>
          <w:color w:val="auto"/>
        </w:rPr>
        <w:t>. (a) In accordance with this Agreement and the Account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Control Agreement, the Collateral Agent shall, on or prior to the Closing Date, establish at the Custodian a single, segregated trust account in the name “PennantPark Floating Rate Funding I, LLC Collection Account, subject to the lien of the Collateral Agent”, which shall be designated as the “Collection Account”, which shall be maintained with the Custodian in</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09" w:name="page210"/>
    <w:bookmarkEnd w:id="209"/>
    <w:p>
      <w:pPr>
        <w:spacing w:after="0" w:line="200" w:lineRule="exact"/>
        <w:rPr>
          <w:sz w:val="20"/>
          <w:szCs w:val="20"/>
          <w:color w:val="auto"/>
        </w:rPr>
      </w:pPr>
    </w:p>
    <w:p>
      <w:pPr>
        <w:spacing w:after="0" w:line="285" w:lineRule="exact"/>
        <w:rPr>
          <w:sz w:val="20"/>
          <w:szCs w:val="20"/>
          <w:color w:val="auto"/>
        </w:rPr>
      </w:pPr>
    </w:p>
    <w:p>
      <w:pPr>
        <w:ind w:left="760" w:right="780"/>
        <w:spacing w:after="0" w:line="252" w:lineRule="auto"/>
        <w:rPr>
          <w:sz w:val="20"/>
          <w:szCs w:val="20"/>
          <w:color w:val="auto"/>
        </w:rPr>
      </w:pPr>
      <w:r>
        <w:rPr>
          <w:rFonts w:ascii="Times New Roman" w:cs="Times New Roman" w:eastAsia="Times New Roman" w:hAnsi="Times New Roman"/>
          <w:sz w:val="19"/>
          <w:szCs w:val="19"/>
          <w:color w:val="auto"/>
        </w:rPr>
        <w:t>accordance with the Account Control Agreement and which shall be subject to the lien of the Collateral Agent. In addition, the Collateral Agent shall establish two segregated accounts which for perfection purposes will be treated as sub-accounts within the Collection Account, one of which will be designated the “Interest Collection Subaccount” and one of which will be designated the “Principal Collection Subaccount”. The Collateral Agent shall from time to time deposit into the Interest Collection Subaccount, in addition to the deposits required pursuant to Section 8.05(a),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Section 8.05(a), all Principal Proceeds (unless simultaneously reinvested in additional Collateral Loans in accordance with Article X or in Eligible Investments or required to be deposited in the Revolving Reserve Account pursuant to Section 8.04) received by the Collateral Agent. In addition, for each Agreed Foreign Currency, the Collateral Agent shall establish segregated accounts that each constitute a Principal Collection Subaccount and Interest Collection Subaccount for each Agreed Foreign Currency. Any amounts received by the Collateral Agent that are denominated in an Agreed Foreign Currency that are required to be deposited into the Principal Collection Subaccount or the Interest Collection Subaccount shall be deposited by the Collateral Agent into the applicable Principal Collection Subaccount or Interest Collection Subaccount, as applicable, for such Agreed Foreign Currency. All Monies deposited from time to time in the Collection Account pursuant to this Agreement shall be held by the Collateral Agent as part of the Collateral and shall be applied to the purposes herein provided. Subject to Section 8.02(c), amounts in the Collection Account shall be reinvested pursuant to Section 8.05(a).</w:t>
      </w:r>
    </w:p>
    <w:p>
      <w:pPr>
        <w:spacing w:after="0" w:line="185" w:lineRule="exact"/>
        <w:rPr>
          <w:sz w:val="20"/>
          <w:szCs w:val="20"/>
          <w:color w:val="auto"/>
        </w:rPr>
      </w:pPr>
    </w:p>
    <w:p>
      <w:pPr>
        <w:ind w:left="760" w:right="780" w:firstLine="50"/>
        <w:spacing w:after="0" w:line="253" w:lineRule="auto"/>
        <w:tabs>
          <w:tab w:leader="none" w:pos="1080"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when reinvestment is permitted pursuant to Article X, the Collateral Manager on behalf of the Borrower may by delivery of a certificate of a Responsible Officer direct the Collateral Agent to, and upon receipt of such certificate the Collateral Agent shall, withdraw funds on deposit in the Principal Collection Subaccounts representing Principal Proceeds (together with accrued interest received with regard to any Collateral Loan and Interest Proceeds but only to the extent used to pay for accrued interest on an additional Collateral Loan) and reinvest such funds in additional Collateral Loans or exercise a warrant held in the Collateral, in each case in accordance with the requirements of Article X and such certificate. At any time as of which no funds are on deposit in the Revolving Reserve Account, the Collateral Manager on behalf of the Borrower may by delivery of a certificate of a Responsible Officer direct the Collateral Agent to, and upon receipt of such certificate the Collateral Agent shall, withdraw funds on deposit in the applicable Principal Collection Subaccount representing Principal Proceeds and remit such funds as so directed by the Collateral Manager to meet the Borrower’s funding obligations in respect of Delayed Drawdown Collateral Loans or Revolving Collateral Loans.</w:t>
      </w:r>
    </w:p>
    <w:p>
      <w:pPr>
        <w:spacing w:after="0" w:line="182" w:lineRule="exact"/>
        <w:rPr>
          <w:rFonts w:ascii="Times New Roman" w:cs="Times New Roman" w:eastAsia="Times New Roman" w:hAnsi="Times New Roman"/>
          <w:sz w:val="19"/>
          <w:szCs w:val="19"/>
          <w:color w:val="auto"/>
        </w:rPr>
      </w:pPr>
    </w:p>
    <w:p>
      <w:pPr>
        <w:ind w:left="760" w:right="860" w:firstLine="50"/>
        <w:spacing w:after="0" w:line="268" w:lineRule="auto"/>
        <w:tabs>
          <w:tab w:leader="none" w:pos="1069"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Agent shall transfer to the applicable Payment Account, from the Collection Account for application pursuant to Section 9.01(a), on each Payment Date, the amount set forth to be so transferred in the Payment Date Report for such Payment Date.</w:t>
      </w:r>
    </w:p>
    <w:p>
      <w:pPr>
        <w:spacing w:after="0" w:line="166" w:lineRule="exact"/>
        <w:rPr>
          <w:sz w:val="20"/>
          <w:szCs w:val="20"/>
          <w:color w:val="auto"/>
        </w:rPr>
      </w:pPr>
    </w:p>
    <w:p>
      <w:pPr>
        <w:ind w:left="760" w:right="86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8.03. Transaction Accounts</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i w:val="1"/>
          <w:iCs w:val="1"/>
          <w:color w:val="auto"/>
        </w:rPr>
        <w:t xml:space="preserve"> Payment Account</w:t>
      </w:r>
      <w:r>
        <w:rPr>
          <w:rFonts w:ascii="Times New Roman" w:cs="Times New Roman" w:eastAsia="Times New Roman" w:hAnsi="Times New Roman"/>
          <w:sz w:val="19"/>
          <w:szCs w:val="19"/>
          <w:color w:val="auto"/>
        </w:rPr>
        <w:t>. In accordance with this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Account Control Agreement, the Borrower shall, on or prior to the Closing Date, establish at the Custodian a single, segregated trust account in the name “PennantPark Floating Rate Funding I, LLC Payment Account, subject to the lien of the Collateral Agent”, which</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0" w:name="page211"/>
    <w:bookmarkEnd w:id="210"/>
    <w:p>
      <w:pPr>
        <w:spacing w:after="0" w:line="200" w:lineRule="exact"/>
        <w:rPr>
          <w:sz w:val="20"/>
          <w:szCs w:val="20"/>
          <w:color w:val="auto"/>
        </w:rPr>
      </w:pPr>
    </w:p>
    <w:p>
      <w:pPr>
        <w:spacing w:after="0" w:line="285" w:lineRule="exact"/>
        <w:rPr>
          <w:sz w:val="20"/>
          <w:szCs w:val="20"/>
          <w:color w:val="auto"/>
        </w:rPr>
      </w:pPr>
    </w:p>
    <w:p>
      <w:pPr>
        <w:ind w:left="760" w:right="800"/>
        <w:spacing w:after="0" w:line="253" w:lineRule="auto"/>
        <w:rPr>
          <w:sz w:val="20"/>
          <w:szCs w:val="20"/>
          <w:color w:val="auto"/>
        </w:rPr>
      </w:pPr>
      <w:r>
        <w:rPr>
          <w:rFonts w:ascii="Times New Roman" w:cs="Times New Roman" w:eastAsia="Times New Roman" w:hAnsi="Times New Roman"/>
          <w:sz w:val="19"/>
          <w:szCs w:val="19"/>
          <w:color w:val="auto"/>
        </w:rPr>
        <w:t>shall be designated as the “Payment Account”, which shall be maintained by the Borrower with the Custodian in accordance with the Account Control Agreement and which shall be subject to the lien of the Collateral Agent. In addition, for each Agreed Foreign Currency, the Collateral Agent shall establish segregated accounts that each constitute a Payment Account for such Agreed Foreign Currency. Any amounts received by the Collateral Agent that are denominated in an Agreed Foreign Currency that are required to be deposited into the Payment Account shall be deposited by the Collateral Agent into the applicable Payment Account for such Agreed Foreign Currency. Except as provided in Section 9.01, the only permitted withdrawal from or application of funds on deposit in, or otherwise to the credit of, the Payment Accounts shall be to pay amounts due and payable under the Priority of Payments on the Payment Dates in accordance with their terms and the provisions of this Agreement. The Borrower shall not have any legal, equitable or beneficial interest in the Payment Accounts other than in accordance with this Agreement and the Priority of Payments.</w:t>
      </w:r>
    </w:p>
    <w:p>
      <w:pPr>
        <w:spacing w:after="0" w:line="185" w:lineRule="exact"/>
        <w:rPr>
          <w:sz w:val="20"/>
          <w:szCs w:val="20"/>
          <w:color w:val="auto"/>
        </w:rPr>
      </w:pPr>
    </w:p>
    <w:p>
      <w:pPr>
        <w:ind w:left="760" w:right="760" w:firstLine="50"/>
        <w:spacing w:after="0" w:line="253" w:lineRule="auto"/>
        <w:tabs>
          <w:tab w:leader="none" w:pos="1084"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Custodial Account</w:t>
      </w:r>
      <w:r>
        <w:rPr>
          <w:rFonts w:ascii="Times New Roman" w:cs="Times New Roman" w:eastAsia="Times New Roman" w:hAnsi="Times New Roman"/>
          <w:sz w:val="19"/>
          <w:szCs w:val="19"/>
          <w:color w:val="auto"/>
        </w:rPr>
        <w:t>. In accordance with this Agreement and the Account Control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Borrower shall, on or prior to the Closing Date, establish at the Custodian a single, segregated trust account in the name “PennantPark Floating Rate Funding I, LLC Custodial Account, subject to the lien of the Collateral Agent”, which shall be designated as the “Custodial Account”, which shall be maintained by the Borrower with the Custodian in accordance with the Account Control Agreement and which shall be subject to the lien of the Collateral Agent. All Collateral Loans (other than such Loans evidenced by Participation Interests, Noteless Loans or which is an account or general intangible) shall be credited to the Custodial Account. The only permitted withdrawals from the Custodial Account shall be in accordance with the provisions of this Agreement. The Collateral Agent agrees to give the Borrower prompt notice if (to the Collateral Agent’s actual knowledge) the Custodial Account or any assets or securities on deposit therein, or otherwise to the credit of the Custodial Account, shall become subject to any writ, order, judgment, warrant of attachment, execution or similar process.</w:t>
      </w:r>
    </w:p>
    <w:p>
      <w:pPr>
        <w:spacing w:after="0" w:line="187" w:lineRule="exact"/>
        <w:rPr>
          <w:sz w:val="20"/>
          <w:szCs w:val="20"/>
          <w:color w:val="auto"/>
        </w:rPr>
      </w:pPr>
    </w:p>
    <w:p>
      <w:pPr>
        <w:ind w:left="760" w:right="76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Section 8.04. The Revolving Reserve Account; Fundings </w:t>
      </w:r>
      <w:r>
        <w:rPr>
          <w:rFonts w:ascii="Times New Roman" w:cs="Times New Roman" w:eastAsia="Times New Roman" w:hAnsi="Times New Roman"/>
          <w:sz w:val="19"/>
          <w:szCs w:val="19"/>
          <w:color w:val="auto"/>
        </w:rPr>
        <w:t>. (a) In accordance with this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and the Account Control Agreement, the Borrower shall, on or prior to the Closing Date, establish at the Custodian a single, segregated trust account in the name “PennantPark Floating Rate Funding I, LLC Revolving Reserve Account, subject to the lien of the Collateral Agent”, which shall be designated as the </w:t>
      </w:r>
      <w:r>
        <w:rPr>
          <w:rFonts w:ascii="Times New Roman" w:cs="Times New Roman" w:eastAsia="Times New Roman" w:hAnsi="Times New Roman"/>
          <w:sz w:val="19"/>
          <w:szCs w:val="19"/>
          <w:i w:val="1"/>
          <w:iCs w:val="1"/>
          <w:color w:val="auto"/>
        </w:rPr>
        <w:t>“Revolving Reserve Account”,</w:t>
      </w:r>
      <w:r>
        <w:rPr>
          <w:rFonts w:ascii="Times New Roman" w:cs="Times New Roman" w:eastAsia="Times New Roman" w:hAnsi="Times New Roman"/>
          <w:sz w:val="19"/>
          <w:szCs w:val="19"/>
          <w:color w:val="auto"/>
        </w:rPr>
        <w:t xml:space="preserve">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not have any legal, equitable or beneficial interest in the Revolving Reserve Account other than in accordance with this Agreement and the Priority of Payments.</w:t>
      </w:r>
    </w:p>
    <w:p>
      <w:pPr>
        <w:spacing w:after="0" w:line="186" w:lineRule="exact"/>
        <w:rPr>
          <w:sz w:val="20"/>
          <w:szCs w:val="20"/>
          <w:color w:val="auto"/>
        </w:rPr>
      </w:pPr>
    </w:p>
    <w:p>
      <w:pPr>
        <w:ind w:left="760" w:right="780" w:firstLine="624"/>
        <w:spacing w:after="0" w:line="252" w:lineRule="auto"/>
        <w:rPr>
          <w:sz w:val="20"/>
          <w:szCs w:val="20"/>
          <w:color w:val="auto"/>
        </w:rPr>
      </w:pPr>
      <w:r>
        <w:rPr>
          <w:rFonts w:ascii="Times New Roman" w:cs="Times New Roman" w:eastAsia="Times New Roman" w:hAnsi="Times New Roman"/>
          <w:sz w:val="19"/>
          <w:szCs w:val="19"/>
          <w:color w:val="auto"/>
        </w:rPr>
        <w:t xml:space="preserve">On the Commitment Termination Date and at all times thereafter, the Borrower shall maintain an amount (the </w:t>
      </w:r>
      <w:r>
        <w:rPr>
          <w:rFonts w:ascii="Times New Roman" w:cs="Times New Roman" w:eastAsia="Times New Roman" w:hAnsi="Times New Roman"/>
          <w:sz w:val="19"/>
          <w:szCs w:val="19"/>
          <w:i w:val="1"/>
          <w:iCs w:val="1"/>
          <w:color w:val="auto"/>
        </w:rPr>
        <w:t>“Revolving Reserve Required Amount”</w:t>
      </w:r>
      <w:r>
        <w:rPr>
          <w:rFonts w:ascii="Times New Roman" w:cs="Times New Roman" w:eastAsia="Times New Roman" w:hAnsi="Times New Roman"/>
          <w:sz w:val="19"/>
          <w:szCs w:val="19"/>
          <w:color w:val="auto"/>
        </w:rPr>
        <w:t xml:space="preserve">) in the Revolving Reserve Account at least equal to the sum of (x) the Revolving Exposure,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(y) the Dollar Equivalent of the aggregate amount of funds needed to settle purchases of Collateral Loans which the Borrower committed, prior to the end of the Reinvestment Period, to acquire after the Commitment Termination Date. Prior to or immediately after the occurrence of the Commitment Termination Date (other than a Commitment Termination Date following the occurrence of an Insolvency Event</w:t>
      </w:r>
    </w:p>
    <w:p>
      <w:pPr>
        <w:spacing w:after="0" w:line="4"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119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1" w:name="page212"/>
    <w:bookmarkEnd w:id="211"/>
    <w:p>
      <w:pPr>
        <w:spacing w:after="0" w:line="200" w:lineRule="exact"/>
        <w:rPr>
          <w:sz w:val="20"/>
          <w:szCs w:val="20"/>
          <w:color w:val="auto"/>
        </w:rPr>
      </w:pPr>
    </w:p>
    <w:p>
      <w:pPr>
        <w:spacing w:after="0" w:line="285" w:lineRule="exact"/>
        <w:rPr>
          <w:sz w:val="20"/>
          <w:szCs w:val="20"/>
          <w:color w:val="auto"/>
        </w:rPr>
      </w:pPr>
    </w:p>
    <w:p>
      <w:pPr>
        <w:ind w:left="760" w:right="1400"/>
        <w:spacing w:after="0" w:line="286" w:lineRule="auto"/>
        <w:rPr>
          <w:sz w:val="20"/>
          <w:szCs w:val="20"/>
          <w:color w:val="auto"/>
        </w:rPr>
      </w:pPr>
      <w:r>
        <w:rPr>
          <w:rFonts w:ascii="Times New Roman" w:cs="Times New Roman" w:eastAsia="Times New Roman" w:hAnsi="Times New Roman"/>
          <w:sz w:val="19"/>
          <w:szCs w:val="19"/>
          <w:color w:val="auto"/>
        </w:rPr>
        <w:t>with respect to the Borrower), the Borrower shall request a final Borrowing in an amount sufficient to fund the Revolving Reserve Required Amount.</w:t>
      </w:r>
    </w:p>
    <w:p>
      <w:pPr>
        <w:spacing w:after="0" w:line="151" w:lineRule="exact"/>
        <w:rPr>
          <w:sz w:val="20"/>
          <w:szCs w:val="20"/>
          <w:color w:val="auto"/>
        </w:rPr>
      </w:pPr>
    </w:p>
    <w:p>
      <w:pPr>
        <w:ind w:left="760" w:right="800" w:firstLine="576"/>
        <w:spacing w:after="0" w:line="253" w:lineRule="auto"/>
        <w:rPr>
          <w:sz w:val="20"/>
          <w:szCs w:val="20"/>
          <w:color w:val="auto"/>
        </w:rPr>
      </w:pPr>
      <w:r>
        <w:rPr>
          <w:rFonts w:ascii="Times New Roman" w:cs="Times New Roman" w:eastAsia="Times New Roman" w:hAnsi="Times New Roman"/>
          <w:sz w:val="19"/>
          <w:szCs w:val="19"/>
          <w:color w:val="auto"/>
        </w:rPr>
        <w:t xml:space="preserve">Amounts on deposit in the Revolving Reserve Account will be invested in overnight funds that are Eligible Investments selected by the Collateral Manager pursuant to Section 8.05 and earnings from all such investments will be deposited in the Interest Collection Subaccount as Interest Proceeds. Funds in the Revolving Reserve Account (other than earnings from Eligible Investments therein) will be available solely to cover drawdowns on the Delayed Drawdown Collateral Loans and Revolving Collateral Loans,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to the extent that the aggregate amount of funds on deposit therein at any time exceeds the Revolving Reserve Required Amount, the Borrower shall direct the Collateral Agent to and the Collateral Agent shall remit such excess to the applicable Principal Collection Subaccount. In addition, following the occurrence and during the continuance of an Event of Default, funds in the Revolving Reserve Account may be withdrawn by the Collateral Agent and deposited into the Principal Collection Subaccount at the direction of the Administrative Agent.</w:t>
      </w:r>
    </w:p>
    <w:p>
      <w:pPr>
        <w:spacing w:after="0" w:line="187" w:lineRule="exact"/>
        <w:rPr>
          <w:sz w:val="20"/>
          <w:szCs w:val="20"/>
          <w:color w:val="auto"/>
        </w:rPr>
      </w:pPr>
    </w:p>
    <w:p>
      <w:pPr>
        <w:ind w:left="760" w:right="780" w:firstLine="48"/>
        <w:spacing w:after="0" w:line="251" w:lineRule="auto"/>
        <w:rPr>
          <w:sz w:val="20"/>
          <w:szCs w:val="20"/>
          <w:color w:val="auto"/>
        </w:rPr>
      </w:pPr>
      <w:r>
        <w:rPr>
          <w:rFonts w:ascii="Times New Roman" w:cs="Times New Roman" w:eastAsia="Times New Roman" w:hAnsi="Times New Roman"/>
          <w:sz w:val="19"/>
          <w:szCs w:val="19"/>
          <w:i w:val="1"/>
          <w:iCs w:val="1"/>
          <w:color w:val="auto"/>
        </w:rPr>
        <w:t>Section 8.05. Reinvestment of Funds in Covered Accounts; Reports by Collateral Agent</w:t>
      </w:r>
      <w:r>
        <w:rPr>
          <w:rFonts w:ascii="Times New Roman" w:cs="Times New Roman" w:eastAsia="Times New Roman" w:hAnsi="Times New Roman"/>
          <w:sz w:val="19"/>
          <w:szCs w:val="19"/>
          <w:color w:val="auto"/>
        </w:rPr>
        <w:t>. (a)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delivery of a certificate of a Responsible Officer (which may be in the form of standing instructions), the Borrower (or the Collateral Manager on behalf of the Borrower) shall at all times direct the Collateral Agent to, and, upon receipt of such certificate, the Collateral Agent shall, invest all funds on deposit in the Collection Account (including the Principal Collection Subaccounts and the Interest Collection Subaccounts) and the Revolving Reserve Account as so directed in Eligible Investments having stated maturities no later than the Business Day preceding the next Payment Date (or such shorter maturities expressly provided herein). If, prior to the occurrence and continuance of an Event of Default, the Borrower shall not have given any such investment directions, the Collateral Agent shall seek instructions from the Collateral Manager within three (3) Business Days after transfer of any funds to such accounts and shall immediately invest in Specified Eligible Investments that mature overnight. If the Collateral Agent does not thereafter receive written instructions from the Collateral Manager within five (5) Business Days after transfer of such funds to such accounts, it shall invest and reinvest the funds held in such accounts, as fully as practicable, but only in Specified Eligible Investments selected by the Administrative Agent maturing no later than the Business Day immediately preceding the next Payment Date (or such shorter maturities expressly provided herein). During the continuance of an Event of Default the Collateral Agent (as directed by the Administrative Agent) shall invest and reinvest such Monies as fully as practicable in Specified Eligible Investments selected by the Administrative Agent maturing not later than the earlier of (i) thirty</w:t>
      </w:r>
    </w:p>
    <w:p>
      <w:pPr>
        <w:spacing w:after="0" w:line="15" w:lineRule="exact"/>
        <w:rPr>
          <w:sz w:val="20"/>
          <w:szCs w:val="20"/>
          <w:color w:val="auto"/>
        </w:rPr>
      </w:pPr>
    </w:p>
    <w:p>
      <w:pPr>
        <w:ind w:left="760" w:right="760" w:firstLine="2"/>
        <w:spacing w:after="0" w:line="252" w:lineRule="auto"/>
        <w:tabs>
          <w:tab w:leader="none" w:pos="1128"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date of such investment (unless putable at par to the issuer thereof) or (ii) the Business Day immediately preceding the next Payment Date (or such shorter maturities expressly provided herein). Except to the extent expressly provided otherwise herein, all interest, gain, loss and other income from such investments shall be deposited, credited or charged (as applicable) in and to the Interest Collection Subaccount. The Collateral Agent shall in no way be liable for any insufficiency in a Covered Account resulting from any loss relating to any such investment.</w:t>
      </w:r>
    </w:p>
    <w:p>
      <w:pPr>
        <w:spacing w:after="0" w:line="200" w:lineRule="exact"/>
        <w:rPr>
          <w:sz w:val="20"/>
          <w:szCs w:val="20"/>
          <w:color w:val="auto"/>
        </w:rPr>
      </w:pPr>
    </w:p>
    <w:p>
      <w:pPr>
        <w:spacing w:after="0" w:line="214" w:lineRule="exact"/>
        <w:rPr>
          <w:sz w:val="20"/>
          <w:szCs w:val="20"/>
          <w:color w:val="auto"/>
        </w:rPr>
      </w:pPr>
    </w:p>
    <w:p>
      <w:pPr>
        <w:ind w:left="760" w:right="920" w:firstLine="50"/>
        <w:spacing w:after="0" w:line="258" w:lineRule="auto"/>
        <w:tabs>
          <w:tab w:leader="none" w:pos="108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Agent agrees to give the Borrower prompt notice if any Covered Account or any funds on deposit in any Covered Account, or otherwise to the credit of a Covered</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2" w:name="page213"/>
    <w:bookmarkEnd w:id="212"/>
    <w:p>
      <w:pPr>
        <w:spacing w:after="0" w:line="200" w:lineRule="exact"/>
        <w:rPr>
          <w:sz w:val="20"/>
          <w:szCs w:val="20"/>
          <w:color w:val="auto"/>
        </w:rPr>
      </w:pPr>
    </w:p>
    <w:p>
      <w:pPr>
        <w:spacing w:after="0" w:line="285" w:lineRule="exact"/>
        <w:rPr>
          <w:sz w:val="20"/>
          <w:szCs w:val="20"/>
          <w:color w:val="auto"/>
        </w:rPr>
      </w:pPr>
    </w:p>
    <w:p>
      <w:pPr>
        <w:ind w:left="760" w:right="880"/>
        <w:spacing w:after="0" w:line="286" w:lineRule="auto"/>
        <w:rPr>
          <w:sz w:val="20"/>
          <w:szCs w:val="20"/>
          <w:color w:val="auto"/>
        </w:rPr>
      </w:pPr>
      <w:r>
        <w:rPr>
          <w:rFonts w:ascii="Times New Roman" w:cs="Times New Roman" w:eastAsia="Times New Roman" w:hAnsi="Times New Roman"/>
          <w:sz w:val="19"/>
          <w:szCs w:val="19"/>
          <w:color w:val="auto"/>
        </w:rPr>
        <w:t>Account, shall become subject to any writ, order, judgment, warrant of attachment, execution or similar process.</w:t>
      </w:r>
    </w:p>
    <w:p>
      <w:pPr>
        <w:spacing w:after="0" w:line="151" w:lineRule="exact"/>
        <w:rPr>
          <w:sz w:val="20"/>
          <w:szCs w:val="20"/>
          <w:color w:val="auto"/>
        </w:rPr>
      </w:pPr>
    </w:p>
    <w:p>
      <w:pPr>
        <w:ind w:left="760" w:right="780" w:firstLine="50"/>
        <w:spacing w:after="0" w:line="253" w:lineRule="auto"/>
        <w:tabs>
          <w:tab w:leader="none" w:pos="1069"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Agent shall supply, in a timely fashion, to the Borrower and the Collateral Manager (with a copy to the Backup Collateral Manager) any information regularly maintained by the Collateral Agent that the Borrower or the Collateral Manager may from time to time reasonably request with respect to the Collateral, the Covered Accounts and the other Collateral and provide any other requested information reasonably available to the Collateral Agent and required to be provided by Section 8.06 or to permit the Collateral Manager to perform its obligations hereunder or the Borrower’s obligations hereunder that have been delegated to the Collateral Manager. The Collateral Agent shall promptly forward to the Collateral Manager and the Backup Collateral Manager copies of notices and other writings received by it from the Obligor of any Collateral Loan or from any Clearing Agency with respect to any Collateral Loan which notices or writings advise the holders of such Collateral Loan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Obligor.</w:t>
      </w:r>
    </w:p>
    <w:p>
      <w:pPr>
        <w:spacing w:after="0" w:line="1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8.06. Accountings</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800" w:firstLine="50"/>
        <w:spacing w:after="0" w:line="251" w:lineRule="auto"/>
        <w:tabs>
          <w:tab w:leader="none" w:pos="1072"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Monthly</w:t>
      </w:r>
      <w:r>
        <w:rPr>
          <w:rFonts w:ascii="Times New Roman" w:cs="Times New Roman" w:eastAsia="Times New Roman" w:hAnsi="Times New Roman"/>
          <w:sz w:val="19"/>
          <w:szCs w:val="19"/>
          <w:color w:val="auto"/>
        </w:rPr>
        <w:t>. Prior to or on the Monthly Reporting Date, the Collateral Manager shall compile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shall cause the Collateral Administrator to compile) and provide to the Agents, the Backup Collateral Manager and the Lenders, a monthly report (each, a “</w:t>
      </w:r>
      <w:r>
        <w:rPr>
          <w:rFonts w:ascii="Times New Roman" w:cs="Times New Roman" w:eastAsia="Times New Roman" w:hAnsi="Times New Roman"/>
          <w:sz w:val="19"/>
          <w:szCs w:val="19"/>
          <w:i w:val="1"/>
          <w:iCs w:val="1"/>
          <w:color w:val="auto"/>
        </w:rPr>
        <w:t>Monthly Report</w:t>
      </w:r>
      <w:r>
        <w:rPr>
          <w:rFonts w:ascii="Times New Roman" w:cs="Times New Roman" w:eastAsia="Times New Roman" w:hAnsi="Times New Roman"/>
          <w:sz w:val="19"/>
          <w:szCs w:val="19"/>
          <w:color w:val="auto"/>
        </w:rPr>
        <w:t>”) in accordance with this Section 8.06. The Collateral Manager shall compile and provide to the Collateral Administrator, the Backup Collateral Manager and the Administrative Agent a loan data file (the “</w:t>
      </w:r>
      <w:r>
        <w:rPr>
          <w:rFonts w:ascii="Times New Roman" w:cs="Times New Roman" w:eastAsia="Times New Roman" w:hAnsi="Times New Roman"/>
          <w:sz w:val="19"/>
          <w:szCs w:val="19"/>
          <w:i w:val="1"/>
          <w:iCs w:val="1"/>
          <w:color w:val="auto"/>
        </w:rPr>
        <w:t>Data File</w:t>
      </w:r>
      <w:r>
        <w:rPr>
          <w:rFonts w:ascii="Times New Roman" w:cs="Times New Roman" w:eastAsia="Times New Roman" w:hAnsi="Times New Roman"/>
          <w:sz w:val="19"/>
          <w:szCs w:val="19"/>
          <w:color w:val="auto"/>
        </w:rPr>
        <w:t>”) for the previous monthly period ending on the Monthly Report Determination Date (containing such information agreed upon by the Collateral Manager and the Administrative Agent). The Collateral Manager shall provide (or cause to be provided) the Data File to the Collateral Administrator at least three (3) Business Days prior to the Monthly Reporting Date and, with respect to a Payment Date Report, at least three (3) Business Days prior to the Payment Date. The Collateral Administrator shall use commercially reasonable efforts to review and, based solely on the Data File provided (or caused to be provided) by the Collateral Manager, confirm the calculations in clauses (i) through (xi) below made by the Collateral Manager in any such Monthly Report or Payment Date Report, as applicable, for such calendar month, within two (2) Business Days of the receipt thereof. The Collateral Administrator shall review the Monthly Report to ensure that it is complete on its face and, based solely on the information provided on the related Data File, that the following items in such Monthly Report have been accurately calculated, if applicable, and reported: (i) Aggregate Collateral Balance, (ii) Borrowing Base, (iii) Excess Concentration Amount, (iv) Maximum Available Amount, (v) each Collateral Quality Test, (vi) each Coverage Test, (vii) Default Ratio, (viii) for any Payment Date Report, completion of Priority of Payments pursuant to Section 9.01(a) (which may be compiled by the Collateral Administrator), (ix) Interest Collection Subaccount, Principal Collection Subaccount and Revolving Reserve Account balances, (x) completion of fields in the loan list per the form of the Monthly Report and (xi) other information as may be mutually agreed upon by the Collateral Manager, the Collateral Administrator and the Administrative Agent. Upon receipt of such confirmation (or report showing discrepancies) from the Collateral Administrator and in any event by no later than the</w:t>
      </w:r>
    </w:p>
    <w:p>
      <w:pPr>
        <w:spacing w:after="0" w:line="5"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3" w:name="page214"/>
    <w:bookmarkEnd w:id="213"/>
    <w:p>
      <w:pPr>
        <w:spacing w:after="0" w:line="200" w:lineRule="exact"/>
        <w:rPr>
          <w:sz w:val="20"/>
          <w:szCs w:val="20"/>
          <w:color w:val="auto"/>
        </w:rPr>
      </w:pPr>
    </w:p>
    <w:p>
      <w:pPr>
        <w:spacing w:after="0" w:line="285" w:lineRule="exact"/>
        <w:rPr>
          <w:sz w:val="20"/>
          <w:szCs w:val="20"/>
          <w:color w:val="auto"/>
        </w:rPr>
      </w:pPr>
    </w:p>
    <w:p>
      <w:pPr>
        <w:ind w:left="760" w:right="880"/>
        <w:spacing w:after="0" w:line="255" w:lineRule="auto"/>
        <w:rPr>
          <w:sz w:val="20"/>
          <w:szCs w:val="20"/>
          <w:color w:val="auto"/>
        </w:rPr>
      </w:pPr>
      <w:r>
        <w:rPr>
          <w:rFonts w:ascii="Times New Roman" w:cs="Times New Roman" w:eastAsia="Times New Roman" w:hAnsi="Times New Roman"/>
          <w:sz w:val="19"/>
          <w:szCs w:val="19"/>
          <w:color w:val="auto"/>
        </w:rPr>
        <w:t xml:space="preserve">Monthly Reporting Date, the Collateral Manager shall compile and provide (or cause to be compiled and provided) to the Collateral Administrator, the Agents, the Custodian, the Backup Collateral Manager and the Lenders the Monthly Report. As used herein, the “ </w:t>
      </w:r>
      <w:r>
        <w:rPr>
          <w:rFonts w:ascii="Times New Roman" w:cs="Times New Roman" w:eastAsia="Times New Roman" w:hAnsi="Times New Roman"/>
          <w:sz w:val="19"/>
          <w:szCs w:val="19"/>
          <w:i w:val="1"/>
          <w:iCs w:val="1"/>
          <w:color w:val="auto"/>
        </w:rPr>
        <w:t>Monthly Report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Determination Date</w:t>
      </w:r>
      <w:r>
        <w:rPr>
          <w:rFonts w:ascii="Times New Roman" w:cs="Times New Roman" w:eastAsia="Times New Roman" w:hAnsi="Times New Roman"/>
          <w:sz w:val="19"/>
          <w:szCs w:val="19"/>
          <w:color w:val="auto"/>
        </w:rPr>
        <w:t>” with respect to any calendar month will be the last day of the previous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calendar month. The Monthly Report for a calendar month shall contain the information with respect to the Collateral Loans and Eligible Investments included in the Collateral set forth in Part 1 of Schedule 2 (which shall include current fixed charge coverage and current interest coverage ratios), and shall be determined as of the Monthly Report Determination Date for such calendar month.</w:t>
      </w:r>
    </w:p>
    <w:p>
      <w:pPr>
        <w:spacing w:after="0" w:line="179" w:lineRule="exact"/>
        <w:rPr>
          <w:sz w:val="20"/>
          <w:szCs w:val="20"/>
          <w:color w:val="auto"/>
        </w:rPr>
      </w:pPr>
    </w:p>
    <w:p>
      <w:pPr>
        <w:ind w:left="760" w:right="780" w:firstLine="576"/>
        <w:spacing w:after="0" w:line="253" w:lineRule="auto"/>
        <w:rPr>
          <w:sz w:val="20"/>
          <w:szCs w:val="20"/>
          <w:color w:val="auto"/>
        </w:rPr>
      </w:pPr>
      <w:r>
        <w:rPr>
          <w:rFonts w:ascii="Times New Roman" w:cs="Times New Roman" w:eastAsia="Times New Roman" w:hAnsi="Times New Roman"/>
          <w:sz w:val="19"/>
          <w:szCs w:val="19"/>
          <w:color w:val="auto"/>
        </w:rPr>
        <w:t>In addition, the Collateral Manager shall provide together with each Data File and with the delivery of each Monthly Report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immediately prior Monthly Report (or, in respect of the first Monthly Report, from the Closing Date) together with a listing of each Collateral Loan with respect to which one of the foregoing amendments, modifications or waivers is being provided. Provided that the Payment Date Reports are prepared and delivered on a monthly basis pursuant to Section 8.06(b) below, the Collateral Manager shall not be required to deliver a separate Monthly Report for such month.</w:t>
      </w:r>
    </w:p>
    <w:p>
      <w:pPr>
        <w:spacing w:after="0" w:line="187" w:lineRule="exact"/>
        <w:rPr>
          <w:sz w:val="20"/>
          <w:szCs w:val="20"/>
          <w:color w:val="auto"/>
        </w:rPr>
      </w:pPr>
    </w:p>
    <w:p>
      <w:pPr>
        <w:ind w:left="760" w:right="780" w:firstLine="50"/>
        <w:spacing w:after="0" w:line="257" w:lineRule="auto"/>
        <w:tabs>
          <w:tab w:leader="none" w:pos="1084"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Payment Date Accounting. </w:t>
      </w:r>
      <w:r>
        <w:rPr>
          <w:rFonts w:ascii="Times New Roman" w:cs="Times New Roman" w:eastAsia="Times New Roman" w:hAnsi="Times New Roman"/>
          <w:sz w:val="19"/>
          <w:szCs w:val="19"/>
          <w:color w:val="auto"/>
        </w:rPr>
        <w:t>The Borrower shall render (or cause to be rendered)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accounting (each, a “</w:t>
      </w:r>
      <w:r>
        <w:rPr>
          <w:rFonts w:ascii="Times New Roman" w:cs="Times New Roman" w:eastAsia="Times New Roman" w:hAnsi="Times New Roman"/>
          <w:sz w:val="19"/>
          <w:szCs w:val="19"/>
          <w:i w:val="1"/>
          <w:iCs w:val="1"/>
          <w:color w:val="auto"/>
        </w:rPr>
        <w:t>Payment Date Report</w:t>
      </w:r>
      <w:r>
        <w:rPr>
          <w:rFonts w:ascii="Times New Roman" w:cs="Times New Roman" w:eastAsia="Times New Roman" w:hAnsi="Times New Roman"/>
          <w:sz w:val="19"/>
          <w:szCs w:val="19"/>
          <w:color w:val="auto"/>
        </w:rPr>
        <w:t>”), determined as of the close of business on each Determination Date preceding a Payment Date, and shall deliver such Payment Date Report to the Agents, the Collateral Administrator, the Custodian, the Backup Collateral Manager, the Collateral Manager and each Lender not later than the second Business Day preceding the related Payment Date. The Payment Date Report shall contain the information set forth in Part 2 of Schedule 2.</w:t>
      </w:r>
    </w:p>
    <w:p>
      <w:pPr>
        <w:spacing w:after="0" w:line="200" w:lineRule="exact"/>
        <w:rPr>
          <w:rFonts w:ascii="Times New Roman" w:cs="Times New Roman" w:eastAsia="Times New Roman" w:hAnsi="Times New Roman"/>
          <w:sz w:val="19"/>
          <w:szCs w:val="19"/>
          <w:color w:val="auto"/>
        </w:rPr>
      </w:pPr>
    </w:p>
    <w:p>
      <w:pPr>
        <w:spacing w:after="0" w:line="208" w:lineRule="exact"/>
        <w:rPr>
          <w:rFonts w:ascii="Times New Roman" w:cs="Times New Roman" w:eastAsia="Times New Roman" w:hAnsi="Times New Roman"/>
          <w:sz w:val="19"/>
          <w:szCs w:val="19"/>
          <w:color w:val="auto"/>
        </w:rPr>
      </w:pPr>
    </w:p>
    <w:p>
      <w:pPr>
        <w:ind w:left="760" w:right="920" w:firstLine="50"/>
        <w:spacing w:after="0" w:line="260" w:lineRule="auto"/>
        <w:tabs>
          <w:tab w:leader="none" w:pos="1072"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Failure to Provide Accounting</w:t>
      </w:r>
      <w:r>
        <w:rPr>
          <w:rFonts w:ascii="Times New Roman" w:cs="Times New Roman" w:eastAsia="Times New Roman" w:hAnsi="Times New Roman"/>
          <w:sz w:val="19"/>
          <w:szCs w:val="19"/>
          <w:color w:val="auto"/>
        </w:rPr>
        <w:t>. If the Collateral Administrator shall not have received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accounting provided for in this Section 8.06 on the first Business Day after the date on which such accounting is due to the Collateral Administrator, the Collateral Administrator shall notify the Collateral Manager who shall use reasonable efforts to obtain such accounting by the applicable Monthly Reporting Date or Payment Date, as applicable.</w:t>
      </w:r>
    </w:p>
    <w:p>
      <w:pPr>
        <w:spacing w:after="0" w:line="172" w:lineRule="exact"/>
        <w:rPr>
          <w:rFonts w:ascii="Times New Roman" w:cs="Times New Roman" w:eastAsia="Times New Roman" w:hAnsi="Times New Roman"/>
          <w:sz w:val="19"/>
          <w:szCs w:val="19"/>
          <w:color w:val="auto"/>
        </w:rPr>
      </w:pPr>
    </w:p>
    <w:p>
      <w:pPr>
        <w:ind w:left="760" w:right="1200" w:firstLine="50"/>
        <w:spacing w:after="0" w:line="263" w:lineRule="auto"/>
        <w:tabs>
          <w:tab w:leader="none" w:pos="1084"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Collateral Administrator Protections. </w:t>
      </w:r>
      <w:r>
        <w:rPr>
          <w:rFonts w:ascii="Times New Roman" w:cs="Times New Roman" w:eastAsia="Times New Roman" w:hAnsi="Times New Roman"/>
          <w:sz w:val="19"/>
          <w:szCs w:val="19"/>
          <w:color w:val="auto"/>
        </w:rPr>
        <w:t>In preparing the Payment Date Report, receiving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and/or compiling the Monthly Report, and preparing any other information and statements required hereunder, the Collateral Administrator shall have the rights, protections, and immunities provided to it in the Collateral Administration Agreement.</w:t>
      </w:r>
    </w:p>
    <w:p>
      <w:pPr>
        <w:spacing w:after="0" w:line="170" w:lineRule="exact"/>
        <w:rPr>
          <w:rFonts w:ascii="Times New Roman" w:cs="Times New Roman" w:eastAsia="Times New Roman" w:hAnsi="Times New Roman"/>
          <w:sz w:val="19"/>
          <w:szCs w:val="19"/>
          <w:color w:val="auto"/>
        </w:rPr>
      </w:pPr>
    </w:p>
    <w:p>
      <w:pPr>
        <w:ind w:left="760" w:right="780" w:firstLine="50"/>
        <w:spacing w:after="0" w:line="257" w:lineRule="auto"/>
        <w:tabs>
          <w:tab w:leader="none" w:pos="1072"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Currency Calculations, Changes in Exchange Rates</w:t>
      </w:r>
      <w:r>
        <w:rPr>
          <w:rFonts w:ascii="Times New Roman" w:cs="Times New Roman" w:eastAsia="Times New Roman" w:hAnsi="Times New Roman"/>
          <w:sz w:val="19"/>
          <w:szCs w:val="19"/>
          <w:color w:val="auto"/>
        </w:rPr>
        <w:t>. (A) Each Monthly Report and Payment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Date Report shall include a calculation of the Maximum Available Amount, the Dollar Equivalent of the aggregate outstanding principal balance of the Advances and the Revolving Exposure. Additionally, promptly, but no later than two (2) Business Days, after the Collateral</w:t>
      </w:r>
    </w:p>
    <w:p>
      <w:pPr>
        <w:jc w:val="center"/>
        <w:ind w:left="760" w:right="760"/>
        <w:spacing w:after="0" w:line="233" w:lineRule="exact"/>
        <w:rPr>
          <w:sz w:val="20"/>
          <w:szCs w:val="20"/>
          <w:color w:val="auto"/>
        </w:rPr>
      </w:pPr>
      <w:r>
        <w:rPr>
          <w:rFonts w:ascii="Times New Roman" w:cs="Times New Roman" w:eastAsia="Times New Roman" w:hAnsi="Times New Roman"/>
          <w:sz w:val="19"/>
          <w:szCs w:val="19"/>
          <w:color w:val="auto"/>
        </w:rPr>
        <w:t xml:space="preserve">Manager acquires knowledge or receives notice from the Administrative Agent or a Lender of the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122</w:t>
      </w:r>
      <w:r>
        <w:rPr>
          <w:rFonts w:ascii="MS PGothic" w:cs="MS PGothic" w:eastAsia="MS PGothic" w:hAnsi="MS PGothic"/>
          <w:sz w:val="19"/>
          <w:szCs w:val="19"/>
          <w:color w:val="auto"/>
        </w:rPr>
        <w:t>‑</w:t>
      </w:r>
    </w:p>
    <w:p>
      <w:pPr>
        <w:spacing w:after="0" w:line="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4" w:name="page215"/>
    <w:bookmarkEnd w:id="214"/>
    <w:p>
      <w:pPr>
        <w:spacing w:after="0" w:line="200" w:lineRule="exact"/>
        <w:rPr>
          <w:sz w:val="20"/>
          <w:szCs w:val="20"/>
          <w:color w:val="auto"/>
        </w:rPr>
      </w:pPr>
    </w:p>
    <w:p>
      <w:pPr>
        <w:spacing w:after="0" w:line="285" w:lineRule="exact"/>
        <w:rPr>
          <w:sz w:val="20"/>
          <w:szCs w:val="20"/>
          <w:color w:val="auto"/>
        </w:rPr>
      </w:pPr>
    </w:p>
    <w:p>
      <w:pPr>
        <w:ind w:left="760" w:right="820"/>
        <w:spacing w:after="0" w:line="253" w:lineRule="auto"/>
        <w:rPr>
          <w:sz w:val="20"/>
          <w:szCs w:val="20"/>
          <w:color w:val="auto"/>
        </w:rPr>
      </w:pPr>
      <w:r>
        <w:rPr>
          <w:rFonts w:ascii="Times New Roman" w:cs="Times New Roman" w:eastAsia="Times New Roman" w:hAnsi="Times New Roman"/>
          <w:sz w:val="19"/>
          <w:szCs w:val="19"/>
          <w:color w:val="auto"/>
        </w:rPr>
        <w:t>occurrence of a Currency Valuation Trigger Event, the Collateral Manager shall determine the Maximum Available Amount, the Dollar Equivalent of the aggregate outstanding principal balance of the Advances and the Revolving Exposure. For the purpose of this determination, the outstanding principal amount of any Advance that is denominated in any Agreed Foreign Currency shall be deemed to be the Dollar Equivalent of the amount in such Agreed Foreign Currency of such Advance, determined by the Collateral Manager as of such Monthly Reporting Date or, (x) in the case of notice of the occurrence of a Currency Valuation Trigger Event received by the Collateral Manager prior to 11:00 a.m., on a Business Day, on such Business Day or, (y) in the case of notice of the occurrence of a Currency Valuation Trigger Event otherwise received, on the first Business Day after such notice of the occurrence of a Currency Valuation Trigger Event is received. Upon making such determination, the Collateral Manager shall promptly, but no later than two (2) Business Days after such determination, notify the Administrative Agent, the Lenders and the Borrower thereof.</w:t>
      </w:r>
    </w:p>
    <w:p>
      <w:pPr>
        <w:spacing w:after="0" w:line="187" w:lineRule="exact"/>
        <w:rPr>
          <w:sz w:val="20"/>
          <w:szCs w:val="20"/>
          <w:color w:val="auto"/>
        </w:rPr>
      </w:pPr>
    </w:p>
    <w:p>
      <w:pPr>
        <w:ind w:left="760" w:right="760" w:firstLine="50"/>
        <w:spacing w:after="0" w:line="255" w:lineRule="auto"/>
        <w:tabs>
          <w:tab w:leader="none" w:pos="1112"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and to the extent the Collateral Administrator may be required to calculate or to review in a Monthly Report or Payment Date Report or other accounting hereunder or under the Collateral Administration Agreement, the Dollar Equivalent of any amount, including without limitation, the outstanding principal amount of a Collateral Loan, the Advances or other such calculation or amount involving an Agreed Foreign Currency, it shall use the Dollar Equivalent identified in the Data File compiled and delivered (or caused to be compiled and delivered) to the Collateral Administrator by the Collateral Manager for the related collection or reporting period or other such amount as is identified in such calculation or such report by the Collateral Administrator.</w:t>
      </w:r>
    </w:p>
    <w:p>
      <w:pPr>
        <w:spacing w:after="0" w:line="182" w:lineRule="exact"/>
        <w:rPr>
          <w:sz w:val="20"/>
          <w:szCs w:val="20"/>
          <w:color w:val="auto"/>
        </w:rPr>
      </w:pPr>
    </w:p>
    <w:p>
      <w:pPr>
        <w:ind w:left="760" w:right="780"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8.07. Release of Securities</w:t>
      </w:r>
      <w:r>
        <w:rPr>
          <w:rFonts w:ascii="Times New Roman" w:cs="Times New Roman" w:eastAsia="Times New Roman" w:hAnsi="Times New Roman"/>
          <w:sz w:val="19"/>
          <w:szCs w:val="19"/>
          <w:color w:val="auto"/>
        </w:rPr>
        <w:t>. (a) If no Event of Default has occurred and is continuing,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Borrower may, by delivery of a certificate of a Responsible Officer of the Collateral Manager delivered to the Collateral Agent at least one Business Day prior to the settlement date for any sale of a security certifying that the sale of such security is being made in accordance with Section 10.01 and such sale complies with all applicable requirements of Section 10.01, direct the Collateral Agent to release or cause to be released such security from the lien of this Agreement and, upon receipt of such certificate, the Collateral Agent (or Custodian, as applicable) shall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Collateral Manager in such certificate;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Collateral Agent may deliver any such security in physical form for examination in accordance with street delivery custom.</w:t>
      </w:r>
    </w:p>
    <w:p>
      <w:pPr>
        <w:spacing w:after="0" w:line="200" w:lineRule="exact"/>
        <w:rPr>
          <w:sz w:val="20"/>
          <w:szCs w:val="20"/>
          <w:color w:val="auto"/>
        </w:rPr>
      </w:pPr>
    </w:p>
    <w:p>
      <w:pPr>
        <w:spacing w:after="0" w:line="219" w:lineRule="exact"/>
        <w:rPr>
          <w:sz w:val="20"/>
          <w:szCs w:val="20"/>
          <w:color w:val="auto"/>
        </w:rPr>
      </w:pPr>
    </w:p>
    <w:p>
      <w:pPr>
        <w:ind w:left="760" w:right="800" w:firstLine="50"/>
        <w:spacing w:after="0" w:line="252" w:lineRule="auto"/>
        <w:tabs>
          <w:tab w:leader="none" w:pos="108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of this Agreement, the Collateral Agent or Custodian, as applicable, shall, upon the receipt of a certificate of the Borrower, by delivery of a certificate of a Responsible Officer of the Collateral Manager, deliver any Collateral as instructed in such certificate, and execute such documents or instruments as are presented by the Borrower or the Collateral Manager and are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4"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5" w:name="page216"/>
    <w:bookmarkEnd w:id="215"/>
    <w:p>
      <w:pPr>
        <w:spacing w:after="0" w:line="200" w:lineRule="exact"/>
        <w:rPr>
          <w:sz w:val="20"/>
          <w:szCs w:val="20"/>
          <w:color w:val="auto"/>
        </w:rPr>
      </w:pPr>
    </w:p>
    <w:p>
      <w:pPr>
        <w:spacing w:after="0" w:line="285" w:lineRule="exact"/>
        <w:rPr>
          <w:sz w:val="20"/>
          <w:szCs w:val="20"/>
          <w:color w:val="auto"/>
        </w:rPr>
      </w:pPr>
    </w:p>
    <w:p>
      <w:pPr>
        <w:ind w:left="760" w:right="760" w:firstLine="50"/>
        <w:spacing w:after="0" w:line="262" w:lineRule="auto"/>
        <w:tabs>
          <w:tab w:leader="none" w:pos="1069"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provided in Section 8.02(a), the Collateral Agent shall deposit any proceeds received by it from the disposition of Collateral in the applicable subaccount of the Collection Account, unless simultaneously applied to the purchase of additional Collateral Loans or Eligible Investments as permitted under and in accordance with the requirements of this Article VIII and Article X.</w:t>
      </w:r>
    </w:p>
    <w:p>
      <w:pPr>
        <w:spacing w:after="0" w:line="174" w:lineRule="exact"/>
        <w:rPr>
          <w:rFonts w:ascii="Times New Roman" w:cs="Times New Roman" w:eastAsia="Times New Roman" w:hAnsi="Times New Roman"/>
          <w:sz w:val="19"/>
          <w:szCs w:val="19"/>
          <w:color w:val="auto"/>
        </w:rPr>
      </w:pPr>
    </w:p>
    <w:p>
      <w:pPr>
        <w:ind w:left="760" w:right="760" w:firstLine="50"/>
        <w:spacing w:after="0" w:line="262" w:lineRule="auto"/>
        <w:tabs>
          <w:tab w:leader="none" w:pos="1080"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Agent shall, upon receipt of a certificate of a Responsible Officer of the Borrower (or the Collateral Manager on its behalf), at such time as there are no Commitments outstanding and all Obligations of the Borrower hereunder and under the other Facility Documents have been satisfied, release any remaining Collateral from the lien of this Agreement.</w:t>
      </w:r>
    </w:p>
    <w:p>
      <w:pPr>
        <w:spacing w:after="0" w:line="174" w:lineRule="exact"/>
        <w:rPr>
          <w:rFonts w:ascii="Times New Roman" w:cs="Times New Roman" w:eastAsia="Times New Roman" w:hAnsi="Times New Roman"/>
          <w:sz w:val="19"/>
          <w:szCs w:val="19"/>
          <w:color w:val="auto"/>
        </w:rPr>
      </w:pPr>
    </w:p>
    <w:p>
      <w:pPr>
        <w:ind w:left="760" w:right="860" w:firstLine="50"/>
        <w:spacing w:after="0" w:line="286" w:lineRule="auto"/>
        <w:tabs>
          <w:tab w:leader="none" w:pos="1069"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security, Collateral Loan or amounts that are released pursuant to Section 8.07(a) or (b) shall automatically be released from the Lien of this Agreement.</w:t>
      </w:r>
    </w:p>
    <w:p>
      <w:pPr>
        <w:spacing w:after="0" w:line="149" w:lineRule="exact"/>
        <w:rPr>
          <w:sz w:val="20"/>
          <w:szCs w:val="20"/>
          <w:color w:val="auto"/>
        </w:rPr>
      </w:pPr>
    </w:p>
    <w:p>
      <w:pPr>
        <w:ind w:left="760" w:right="76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Section 8.08. Reports by Independent Accountants</w:t>
      </w:r>
      <w:r>
        <w:rPr>
          <w:rFonts w:ascii="Times New Roman" w:cs="Times New Roman" w:eastAsia="Times New Roman" w:hAnsi="Times New Roman"/>
          <w:sz w:val="19"/>
          <w:szCs w:val="19"/>
          <w:color w:val="auto"/>
        </w:rPr>
        <w:t>. (a) As of the Closing Date,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has appointed a firm of independent certified public accountants, independent auditors or independent consultants (together with its successors, the </w:t>
      </w:r>
      <w:r>
        <w:rPr>
          <w:rFonts w:ascii="Times New Roman" w:cs="Times New Roman" w:eastAsia="Times New Roman" w:hAnsi="Times New Roman"/>
          <w:sz w:val="19"/>
          <w:szCs w:val="19"/>
          <w:i w:val="1"/>
          <w:iCs w:val="1"/>
          <w:color w:val="auto"/>
        </w:rPr>
        <w:t>“Independent Accountants”</w:t>
      </w:r>
      <w:r>
        <w:rPr>
          <w:rFonts w:ascii="Times New Roman" w:cs="Times New Roman" w:eastAsia="Times New Roman" w:hAnsi="Times New Roman"/>
          <w:sz w:val="19"/>
          <w:szCs w:val="19"/>
          <w:color w:val="auto"/>
        </w:rPr>
        <w:t>), in each case reasonably acceptable to the Administrative Agent and the Required Lenders, for 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Collateral Manager. The Borrower may remove any firm of Independent Accountants at any time upon notice to, but without the consent of any of, the Lenders. Upon any resignation by such firm or removal of such firm by the Borrower, the Borrower (or the Collateral Manager on behalf of the Borrower) shall promptly appoint, by a certificate of a Responsible Officer of the Borrower delivered to the Administrative Agent and the Collateral Agent, a successor thereto that shall also be a firm of independent certified public accountants, independent auditors or independent consultants of recognized standing, which may be a firm of independent certified public accountants, independent auditors or independent consultants that performs accounting services for the Borrower or the Collateral Manager. If the Borrower shall fail to appoint a successor Independent Accountants within thirty (30) days after such resignation, the Borrower shall promptly notify the Agents and the Collateral Manager of such failure in writing and the Collateral Manager shall promptly appoint a successor Independent Accountant of recognized standing. The fees of such Independent Accountants and any successor shall be payable by the Borrower.</w:t>
      </w:r>
    </w:p>
    <w:p>
      <w:pPr>
        <w:spacing w:after="0" w:line="190" w:lineRule="exact"/>
        <w:rPr>
          <w:sz w:val="20"/>
          <w:szCs w:val="20"/>
          <w:color w:val="auto"/>
        </w:rPr>
      </w:pPr>
    </w:p>
    <w:p>
      <w:pPr>
        <w:ind w:left="760" w:right="820" w:firstLine="50"/>
        <w:spacing w:after="0" w:line="230" w:lineRule="exact"/>
        <w:tabs>
          <w:tab w:leader="none" w:pos="108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the Collateral Manager will cause a firm of nationally recognized independent public accountants (who may also render other services to the Collateral Manager) to furnish to the Administrative Agent (with a copy to the Collateral Agent, the Collateral Administrator and the Backup Collateral Manager) once during each 365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period ending on October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of each calendar year, with the first such report due by no later than October 30, 2021, a report relating to such fiscal year to the effect that (i) such firm has applied certain agreed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upon procedures, and (ii) based on such examination, such firm is of the opinion that the Monthly Reports and Payment Date Reports for such year were prepared in compliance with this Agreement, except for such exceptions as it believes to be immaterial and such other exceptions as will be set forth in such firm’s report (including, with respect to any such exceptions, an</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6" w:name="page217"/>
    <w:bookmarkEnd w:id="216"/>
    <w:p>
      <w:pPr>
        <w:spacing w:after="0" w:line="200" w:lineRule="exact"/>
        <w:rPr>
          <w:sz w:val="20"/>
          <w:szCs w:val="20"/>
          <w:color w:val="auto"/>
        </w:rPr>
      </w:pPr>
    </w:p>
    <w:p>
      <w:pPr>
        <w:spacing w:after="0" w:line="285" w:lineRule="exact"/>
        <w:rPr>
          <w:sz w:val="20"/>
          <w:szCs w:val="20"/>
          <w:color w:val="auto"/>
        </w:rPr>
      </w:pPr>
    </w:p>
    <w:p>
      <w:pPr>
        <w:ind w:left="760" w:right="1460"/>
        <w:spacing w:after="0" w:line="286" w:lineRule="auto"/>
        <w:rPr>
          <w:sz w:val="20"/>
          <w:szCs w:val="20"/>
          <w:color w:val="auto"/>
        </w:rPr>
      </w:pPr>
      <w:r>
        <w:rPr>
          <w:rFonts w:ascii="Times New Roman" w:cs="Times New Roman" w:eastAsia="Times New Roman" w:hAnsi="Times New Roman"/>
          <w:sz w:val="19"/>
          <w:szCs w:val="19"/>
          <w:color w:val="auto"/>
        </w:rPr>
        <w:t>explanation of how each such exception arose and reflecting the input/explanation of the Collateral Manager thereto).</w:t>
      </w:r>
    </w:p>
    <w:p>
      <w:pPr>
        <w:spacing w:after="0" w:line="149" w:lineRule="exact"/>
        <w:rPr>
          <w:sz w:val="20"/>
          <w:szCs w:val="20"/>
          <w:color w:val="auto"/>
        </w:rPr>
      </w:pPr>
    </w:p>
    <w:p>
      <w:pPr>
        <w:ind w:left="760" w:right="106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Section 8.09. Covered Account Details</w:t>
      </w:r>
      <w:r>
        <w:rPr>
          <w:rFonts w:ascii="Times New Roman" w:cs="Times New Roman" w:eastAsia="Times New Roman" w:hAnsi="Times New Roman"/>
          <w:sz w:val="19"/>
          <w:szCs w:val="19"/>
          <w:color w:val="auto"/>
        </w:rPr>
        <w:t>. The account number of each Covered Account is set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forth on Schedule 7 hereto.</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Article IX</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Application of Monies</w:t>
      </w:r>
    </w:p>
    <w:p>
      <w:pPr>
        <w:spacing w:after="0" w:line="226" w:lineRule="exact"/>
        <w:rPr>
          <w:sz w:val="20"/>
          <w:szCs w:val="20"/>
          <w:color w:val="auto"/>
        </w:rPr>
      </w:pPr>
    </w:p>
    <w:p>
      <w:pPr>
        <w:ind w:left="760" w:right="960"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Section 9.01. Disbursements of Monies from Payment Account</w:t>
      </w:r>
      <w:r>
        <w:rPr>
          <w:rFonts w:ascii="Times New Roman" w:cs="Times New Roman" w:eastAsia="Times New Roman" w:hAnsi="Times New Roman"/>
          <w:sz w:val="19"/>
          <w:szCs w:val="19"/>
          <w:color w:val="auto"/>
        </w:rPr>
        <w:t>. (a) Notwithstanding any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provision in this Agreement, but subject to the other subsections of this Section 9.01, on each Payment Date, the Collateral Agent shall disburse amounts transferred from the Collection Account to the applicable Payment Account pursuant to Section 8.02 in accordance with the following priorities (the </w:t>
      </w:r>
      <w:r>
        <w:rPr>
          <w:rFonts w:ascii="Times New Roman" w:cs="Times New Roman" w:eastAsia="Times New Roman" w:hAnsi="Times New Roman"/>
          <w:sz w:val="19"/>
          <w:szCs w:val="19"/>
          <w:i w:val="1"/>
          <w:iCs w:val="1"/>
          <w:color w:val="auto"/>
        </w:rPr>
        <w:t>“Priority of Payments”</w:t>
      </w:r>
      <w:r>
        <w:rPr>
          <w:rFonts w:ascii="Times New Roman" w:cs="Times New Roman" w:eastAsia="Times New Roman" w:hAnsi="Times New Roman"/>
          <w:sz w:val="19"/>
          <w:szCs w:val="19"/>
          <w:color w:val="auto"/>
        </w:rPr>
        <w:t>) and related Payment Date Report:</w:t>
      </w:r>
    </w:p>
    <w:p>
      <w:pPr>
        <w:spacing w:after="0" w:line="175" w:lineRule="exact"/>
        <w:rPr>
          <w:sz w:val="20"/>
          <w:szCs w:val="20"/>
          <w:color w:val="auto"/>
        </w:rPr>
      </w:pPr>
    </w:p>
    <w:p>
      <w:pPr>
        <w:ind w:left="1340" w:right="920" w:firstLine="47"/>
        <w:spacing w:after="0" w:line="259" w:lineRule="auto"/>
        <w:tabs>
          <w:tab w:leader="none" w:pos="1617"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each Payment Date, Interest Proceeds on deposit in the Interest Collection Subaccounts, to the extent received on or before the related Determination Date (or, if such Determination Date is not a Business Day, the next succeeding Business Day) will be transferred into the applicable Payment Account, to be applied in the following order of priority:</w:t>
      </w:r>
    </w:p>
    <w:p>
      <w:pPr>
        <w:spacing w:after="0" w:line="158" w:lineRule="exact"/>
        <w:rPr>
          <w:rFonts w:ascii="Times New Roman" w:cs="Times New Roman" w:eastAsia="Times New Roman" w:hAnsi="Times New Roman"/>
          <w:sz w:val="19"/>
          <w:szCs w:val="19"/>
          <w:color w:val="auto"/>
        </w:rPr>
      </w:pPr>
    </w:p>
    <w:p>
      <w:pPr>
        <w:ind w:left="1920" w:right="740" w:firstLine="43"/>
        <w:spacing w:after="0" w:line="233" w:lineRule="exact"/>
        <w:tabs>
          <w:tab w:leader="none" w:pos="2283"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pay all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pocket costs and expenses of the Collateral Agent incurred in connection with any sale of Collateral or other exercises of its remedial rights pursuant to Section 7.03; (2)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pay other Administrative Expenses in accordance with the priorities specified in the definition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amount applied under this clause (A)(2) for such Payment Date shall not exceed the Administrative Expense Cap for such Payment Date, and (3)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upon appointment of the Backup Collateral Manager as Successor Collateral Manager, to payment of the One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Time Successor Servicer Engagement Fee (as defined in the Backup Collateral Manager Fee Letter);</w:t>
      </w:r>
    </w:p>
    <w:p>
      <w:pPr>
        <w:spacing w:after="0" w:line="198" w:lineRule="exact"/>
        <w:rPr>
          <w:rFonts w:ascii="Times New Roman" w:cs="Times New Roman" w:eastAsia="Times New Roman" w:hAnsi="Times New Roman"/>
          <w:sz w:val="19"/>
          <w:szCs w:val="19"/>
          <w:color w:val="auto"/>
        </w:rPr>
      </w:pPr>
    </w:p>
    <w:p>
      <w:pPr>
        <w:ind w:left="1920" w:right="800" w:firstLine="43"/>
        <w:spacing w:after="0" w:line="286" w:lineRule="auto"/>
        <w:tabs>
          <w:tab w:leader="none" w:pos="2272"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pay regular scheduled payments, any fees and expenses incurred under any hedge agreement (excluding any hedge termination payments);</w:t>
      </w:r>
    </w:p>
    <w:p>
      <w:pPr>
        <w:spacing w:after="0" w:line="151" w:lineRule="exact"/>
        <w:rPr>
          <w:rFonts w:ascii="Times New Roman" w:cs="Times New Roman" w:eastAsia="Times New Roman" w:hAnsi="Times New Roman"/>
          <w:sz w:val="19"/>
          <w:szCs w:val="19"/>
          <w:color w:val="auto"/>
        </w:rPr>
      </w:pPr>
    </w:p>
    <w:p>
      <w:pPr>
        <w:jc w:val="both"/>
        <w:ind w:left="1920" w:right="920" w:firstLine="43"/>
        <w:spacing w:after="0" w:line="268" w:lineRule="auto"/>
        <w:tabs>
          <w:tab w:leader="none" w:pos="2272"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Swingline Lender to repay outstanding Swingline Advances (but only to the extent that any Lender has failed to fund its Percentage of such Swingline Advance in accordance with Section 2.02);</w:t>
      </w:r>
    </w:p>
    <w:p>
      <w:pPr>
        <w:spacing w:after="0" w:line="168" w:lineRule="exact"/>
        <w:rPr>
          <w:rFonts w:ascii="Times New Roman" w:cs="Times New Roman" w:eastAsia="Times New Roman" w:hAnsi="Times New Roman"/>
          <w:sz w:val="19"/>
          <w:szCs w:val="19"/>
          <w:color w:val="auto"/>
        </w:rPr>
      </w:pPr>
    </w:p>
    <w:p>
      <w:pPr>
        <w:ind w:left="2280" w:hanging="317"/>
        <w:spacing w:after="0"/>
        <w:tabs>
          <w:tab w:leader="none" w:pos="2280"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BDC to pay accrued and unpaid Senior Collateral Management Fees;</w:t>
      </w:r>
    </w:p>
    <w:p>
      <w:pPr>
        <w:spacing w:after="0" w:line="225" w:lineRule="exact"/>
        <w:rPr>
          <w:rFonts w:ascii="Times New Roman" w:cs="Times New Roman" w:eastAsia="Times New Roman" w:hAnsi="Times New Roman"/>
          <w:sz w:val="19"/>
          <w:szCs w:val="19"/>
          <w:color w:val="auto"/>
        </w:rPr>
      </w:pPr>
    </w:p>
    <w:p>
      <w:pPr>
        <w:ind w:left="2260" w:hanging="297"/>
        <w:spacing w:after="0"/>
        <w:tabs>
          <w:tab w:leader="none" w:pos="2260"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each Lender to pay accrued and unpaid interest on the Advances and</w:t>
      </w:r>
    </w:p>
    <w:p>
      <w:pPr>
        <w:spacing w:after="0" w:line="32" w:lineRule="exact"/>
        <w:rPr>
          <w:sz w:val="20"/>
          <w:szCs w:val="20"/>
          <w:color w:val="auto"/>
        </w:rPr>
      </w:pPr>
    </w:p>
    <w:p>
      <w:pPr>
        <w:ind w:left="1920" w:right="1320"/>
        <w:spacing w:after="0" w:line="246" w:lineRule="auto"/>
        <w:rPr>
          <w:sz w:val="20"/>
          <w:szCs w:val="20"/>
          <w:color w:val="auto"/>
        </w:rPr>
      </w:pPr>
      <w:r>
        <w:rPr>
          <w:rFonts w:ascii="Times New Roman" w:cs="Times New Roman" w:eastAsia="Times New Roman" w:hAnsi="Times New Roman"/>
          <w:sz w:val="19"/>
          <w:szCs w:val="19"/>
          <w:color w:val="auto"/>
        </w:rPr>
        <w:t>Commitment Fees due each such Lender and amounts payable to each such Lender under Section 2.10;</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7" w:name="page218"/>
    <w:bookmarkEnd w:id="217"/>
    <w:p>
      <w:pPr>
        <w:spacing w:after="0" w:line="200" w:lineRule="exact"/>
        <w:rPr>
          <w:sz w:val="20"/>
          <w:szCs w:val="20"/>
          <w:color w:val="auto"/>
        </w:rPr>
      </w:pPr>
    </w:p>
    <w:p>
      <w:pPr>
        <w:spacing w:after="0" w:line="285" w:lineRule="exact"/>
        <w:rPr>
          <w:sz w:val="20"/>
          <w:szCs w:val="20"/>
          <w:color w:val="auto"/>
        </w:rPr>
      </w:pPr>
    </w:p>
    <w:p>
      <w:pPr>
        <w:ind w:left="1920" w:right="760" w:firstLine="43"/>
        <w:spacing w:after="0" w:line="256" w:lineRule="auto"/>
        <w:tabs>
          <w:tab w:leader="none" w:pos="2251"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 prior to the occurrence and continuance of an Event of Default, if the Maximum Advance Rate Test is not satisfied as of the related Determination Date, to pay the principal of the Advances of each Lender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based on each Lender’s Percentage) until the Maximum Advance Rate Test is satisfied (on a </w:t>
      </w:r>
      <w:r>
        <w:rPr>
          <w:rFonts w:ascii="Times New Roman" w:cs="Times New Roman" w:eastAsia="Times New Roman" w:hAnsi="Times New Roman"/>
          <w:sz w:val="19"/>
          <w:szCs w:val="19"/>
          <w:i w:val="1"/>
          <w:iCs w:val="1"/>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forma </w:t>
      </w:r>
      <w:r>
        <w:rPr>
          <w:rFonts w:ascii="Times New Roman" w:cs="Times New Roman" w:eastAsia="Times New Roman" w:hAnsi="Times New Roman"/>
          <w:sz w:val="19"/>
          <w:szCs w:val="19"/>
          <w:color w:val="auto"/>
        </w:rPr>
        <w:t>basis as at such Determination Date) and (2) during the continuance of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Event of Default, to pay the Advances of each Lender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based on each Lender’s Percentage) until paid in full;</w:t>
      </w:r>
    </w:p>
    <w:p>
      <w:pPr>
        <w:spacing w:after="0" w:line="181" w:lineRule="exact"/>
        <w:rPr>
          <w:rFonts w:ascii="Times New Roman" w:cs="Times New Roman" w:eastAsia="Times New Roman" w:hAnsi="Times New Roman"/>
          <w:sz w:val="19"/>
          <w:szCs w:val="19"/>
          <w:color w:val="auto"/>
        </w:rPr>
      </w:pPr>
    </w:p>
    <w:p>
      <w:pPr>
        <w:ind w:left="1920" w:right="820" w:firstLine="43"/>
        <w:spacing w:after="0" w:line="268" w:lineRule="auto"/>
        <w:tabs>
          <w:tab w:leader="none" w:pos="2283"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payment or application of amounts referred to in clause (A) above (in the same order of priority specified therein), to the extent not paid in full pursuant to applications under such clauses;</w:t>
      </w:r>
    </w:p>
    <w:p>
      <w:pPr>
        <w:spacing w:after="0" w:line="168" w:lineRule="exact"/>
        <w:rPr>
          <w:rFonts w:ascii="Times New Roman" w:cs="Times New Roman" w:eastAsia="Times New Roman" w:hAnsi="Times New Roman"/>
          <w:sz w:val="19"/>
          <w:szCs w:val="19"/>
          <w:color w:val="auto"/>
        </w:rPr>
      </w:pPr>
    </w:p>
    <w:p>
      <w:pPr>
        <w:ind w:left="1920" w:right="840" w:firstLine="43"/>
        <w:spacing w:after="0" w:line="286" w:lineRule="auto"/>
        <w:tabs>
          <w:tab w:leader="none" w:pos="2283"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pay accrued and unpaid amounts owing to Affected Persons (if any) under Sections 2.09 and 15.03;</w:t>
      </w:r>
    </w:p>
    <w:p>
      <w:pPr>
        <w:spacing w:after="0" w:line="151" w:lineRule="exact"/>
        <w:rPr>
          <w:rFonts w:ascii="Times New Roman" w:cs="Times New Roman" w:eastAsia="Times New Roman" w:hAnsi="Times New Roman"/>
          <w:sz w:val="19"/>
          <w:szCs w:val="19"/>
          <w:color w:val="auto"/>
        </w:rPr>
      </w:pPr>
    </w:p>
    <w:p>
      <w:pPr>
        <w:ind w:left="1920" w:right="960" w:firstLine="43"/>
        <w:spacing w:after="0" w:line="286" w:lineRule="auto"/>
        <w:tabs>
          <w:tab w:leader="none" w:pos="2208"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BDC to pay accrued and unpaid Subordinated Collateral Management Fees;</w:t>
      </w:r>
    </w:p>
    <w:p>
      <w:pPr>
        <w:spacing w:after="0" w:line="151" w:lineRule="exact"/>
        <w:rPr>
          <w:rFonts w:ascii="Times New Roman" w:cs="Times New Roman" w:eastAsia="Times New Roman" w:hAnsi="Times New Roman"/>
          <w:sz w:val="19"/>
          <w:szCs w:val="19"/>
          <w:color w:val="auto"/>
        </w:rPr>
      </w:pPr>
    </w:p>
    <w:p>
      <w:pPr>
        <w:ind w:left="1920" w:right="1140" w:firstLine="43"/>
        <w:spacing w:after="0" w:line="286" w:lineRule="auto"/>
        <w:tabs>
          <w:tab w:leader="none" w:pos="2219"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Reinvestment Period, to the payment of any hedge breakage or termination costs owed by the Borrower;</w:t>
      </w:r>
    </w:p>
    <w:p>
      <w:pPr>
        <w:spacing w:after="0" w:line="151" w:lineRule="exact"/>
        <w:rPr>
          <w:rFonts w:ascii="Times New Roman" w:cs="Times New Roman" w:eastAsia="Times New Roman" w:hAnsi="Times New Roman"/>
          <w:sz w:val="19"/>
          <w:szCs w:val="19"/>
          <w:color w:val="auto"/>
        </w:rPr>
      </w:pPr>
    </w:p>
    <w:p>
      <w:pPr>
        <w:ind w:left="1920" w:right="900" w:firstLine="43"/>
        <w:spacing w:after="0" w:line="255" w:lineRule="auto"/>
        <w:tabs>
          <w:tab w:leader="none" w:pos="2283" w:val="left"/>
        </w:tabs>
        <w:numPr>
          <w:ilvl w:val="1"/>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remainder to be allocated at the discretion of the Collateral Manager (in written notice to the Agents delivered on or prior to the related Determination Date) to any one or more of the following payments: (i) to the Principal Collection Subaccount for the purchase of additional Collateral Loans (including funding Revolving Collateral Loans and Delayed Drawdown Collateral Loans),</w:t>
      </w:r>
    </w:p>
    <w:p>
      <w:pPr>
        <w:spacing w:after="0" w:line="1" w:lineRule="exact"/>
        <w:rPr>
          <w:rFonts w:ascii="Times New Roman" w:cs="Times New Roman" w:eastAsia="Times New Roman" w:hAnsi="Times New Roman"/>
          <w:sz w:val="19"/>
          <w:szCs w:val="19"/>
          <w:color w:val="auto"/>
        </w:rPr>
      </w:pPr>
    </w:p>
    <w:p>
      <w:pPr>
        <w:ind w:left="1920" w:right="860" w:hanging="5"/>
        <w:spacing w:after="0" w:line="262" w:lineRule="auto"/>
        <w:tabs>
          <w:tab w:leader="none" w:pos="2202"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prepay the Advances, (iii) for deposit into the Revolving Reserve Account, and (iv) to the Borrower;</w:t>
      </w:r>
    </w:p>
    <w:p>
      <w:pPr>
        <w:spacing w:after="0" w:line="171" w:lineRule="exact"/>
        <w:rPr>
          <w:rFonts w:ascii="Times New Roman" w:cs="Times New Roman" w:eastAsia="Times New Roman" w:hAnsi="Times New Roman"/>
          <w:sz w:val="19"/>
          <w:szCs w:val="19"/>
          <w:color w:val="auto"/>
        </w:rPr>
      </w:pPr>
    </w:p>
    <w:p>
      <w:pPr>
        <w:ind w:left="1920" w:right="820" w:firstLine="43"/>
        <w:spacing w:after="0" w:line="288" w:lineRule="auto"/>
        <w:tabs>
          <w:tab w:leader="none" w:pos="2261"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Reinvestment Period, to pay the Advances of each Lender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based on each Lender’s Percentage) until paid in full;</w:t>
      </w:r>
    </w:p>
    <w:p>
      <w:pPr>
        <w:spacing w:after="0" w:line="149" w:lineRule="exact"/>
        <w:rPr>
          <w:rFonts w:ascii="Times New Roman" w:cs="Times New Roman" w:eastAsia="Times New Roman" w:hAnsi="Times New Roman"/>
          <w:sz w:val="19"/>
          <w:szCs w:val="19"/>
          <w:color w:val="auto"/>
        </w:rPr>
      </w:pPr>
    </w:p>
    <w:p>
      <w:pPr>
        <w:ind w:left="1920" w:right="1240" w:firstLine="43"/>
        <w:spacing w:after="0" w:line="286" w:lineRule="auto"/>
        <w:tabs>
          <w:tab w:leader="none" w:pos="2315"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payment of any hedge breakage or termination costs owed by the Borrower;</w:t>
      </w:r>
    </w:p>
    <w:p>
      <w:pPr>
        <w:spacing w:after="0" w:line="151" w:lineRule="exact"/>
        <w:rPr>
          <w:rFonts w:ascii="Times New Roman" w:cs="Times New Roman" w:eastAsia="Times New Roman" w:hAnsi="Times New Roman"/>
          <w:sz w:val="19"/>
          <w:szCs w:val="19"/>
          <w:color w:val="auto"/>
        </w:rPr>
      </w:pPr>
    </w:p>
    <w:p>
      <w:pPr>
        <w:ind w:left="1920" w:right="860" w:firstLine="43"/>
        <w:spacing w:after="0" w:line="262" w:lineRule="auto"/>
        <w:tabs>
          <w:tab w:leader="none" w:pos="2283"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payment of any other amounts owed to the Collateral Manager or U.S. Bank Trust Company, National Association or U.S. Bank National Association pursuant to a Facility Document or pursuant to this Agreement (including indemnities); and</w:t>
      </w:r>
    </w:p>
    <w:p>
      <w:pPr>
        <w:spacing w:after="0" w:line="174" w:lineRule="exact"/>
        <w:rPr>
          <w:rFonts w:ascii="Times New Roman" w:cs="Times New Roman" w:eastAsia="Times New Roman" w:hAnsi="Times New Roman"/>
          <w:sz w:val="19"/>
          <w:szCs w:val="19"/>
          <w:color w:val="auto"/>
        </w:rPr>
      </w:pPr>
    </w:p>
    <w:p>
      <w:pPr>
        <w:ind w:left="1920" w:right="1200" w:firstLine="43"/>
        <w:spacing w:after="0" w:line="286" w:lineRule="auto"/>
        <w:tabs>
          <w:tab w:leader="none" w:pos="2283"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remainder to the Borrower, which amounts may be distributed to the BDC.</w:t>
      </w:r>
    </w:p>
    <w:p>
      <w:pPr>
        <w:spacing w:after="0" w:line="151" w:lineRule="exact"/>
        <w:rPr>
          <w:sz w:val="20"/>
          <w:szCs w:val="20"/>
          <w:color w:val="auto"/>
        </w:rPr>
      </w:pPr>
    </w:p>
    <w:p>
      <w:pPr>
        <w:ind w:left="1340" w:right="1040" w:firstLine="47"/>
        <w:spacing w:after="0" w:line="255" w:lineRule="auto"/>
        <w:tabs>
          <w:tab w:leader="none" w:pos="1670"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each Payment Date, Principal Proceeds on deposit in the Principal Collection Subaccounts that are received on or before the related Determination Date and that are not designated for reinvestment by the Collateral Manager will be transferred to</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8" w:name="page219"/>
    <w:bookmarkEnd w:id="218"/>
    <w:p>
      <w:pPr>
        <w:spacing w:after="0" w:line="200" w:lineRule="exact"/>
        <w:rPr>
          <w:sz w:val="20"/>
          <w:szCs w:val="20"/>
          <w:color w:val="auto"/>
        </w:rPr>
      </w:pPr>
    </w:p>
    <w:p>
      <w:pPr>
        <w:spacing w:after="0" w:line="285" w:lineRule="exact"/>
        <w:rPr>
          <w:sz w:val="20"/>
          <w:szCs w:val="20"/>
          <w:color w:val="auto"/>
        </w:rPr>
      </w:pPr>
    </w:p>
    <w:p>
      <w:pPr>
        <w:ind w:left="1340" w:right="840"/>
        <w:spacing w:after="0" w:line="262" w:lineRule="auto"/>
        <w:rPr>
          <w:sz w:val="20"/>
          <w:szCs w:val="20"/>
          <w:color w:val="auto"/>
        </w:rPr>
      </w:pPr>
      <w:r>
        <w:rPr>
          <w:rFonts w:ascii="Times New Roman" w:cs="Times New Roman" w:eastAsia="Times New Roman" w:hAnsi="Times New Roman"/>
          <w:sz w:val="19"/>
          <w:szCs w:val="19"/>
          <w:color w:val="auto"/>
        </w:rPr>
        <w:t>the applicable Payment Account and applied, except for any such Principal Proceeds that will be used to settle binding commitments (entered into prior to the related Determination Date) for the purchase of Collateral Loans, in the following order of priority:</w:t>
      </w:r>
    </w:p>
    <w:p>
      <w:pPr>
        <w:spacing w:after="0" w:line="174" w:lineRule="exact"/>
        <w:rPr>
          <w:sz w:val="20"/>
          <w:szCs w:val="20"/>
          <w:color w:val="auto"/>
        </w:rPr>
      </w:pPr>
    </w:p>
    <w:p>
      <w:pPr>
        <w:ind w:left="1920" w:right="820" w:firstLine="43"/>
        <w:spacing w:after="0" w:line="268" w:lineRule="auto"/>
        <w:tabs>
          <w:tab w:leader="none" w:pos="2283"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payment of unpaid amounts under clauses (A) through (G) in clause (i) above (in the same order of priority specified therein), to the extent not paid in full thereunder;</w:t>
      </w:r>
    </w:p>
    <w:p>
      <w:pPr>
        <w:spacing w:after="0" w:line="168" w:lineRule="exact"/>
        <w:rPr>
          <w:rFonts w:ascii="Times New Roman" w:cs="Times New Roman" w:eastAsia="Times New Roman" w:hAnsi="Times New Roman"/>
          <w:sz w:val="19"/>
          <w:szCs w:val="19"/>
          <w:color w:val="auto"/>
        </w:rPr>
      </w:pPr>
    </w:p>
    <w:p>
      <w:pPr>
        <w:ind w:left="1920" w:right="800" w:firstLine="43"/>
        <w:spacing w:after="0" w:line="253" w:lineRule="auto"/>
        <w:tabs>
          <w:tab w:leader="none" w:pos="2272"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Reinvestment Period, at the discretion of the Collateral Manager, all remaining amounts shall be applied in any combination of the following four options: (1) to the Principal Collection Subaccount for the purpose of acquiring additional Collateral Loans (including funding Revolving Collateral Loans and Delayed Drawdown Collateral Loans), (2) to prepay the Advances, (3) for deposit into the Revolving Reserve Account up to the amount of the Revolving Exposure, and/or (4) to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prior to the related Payment Date, the Borrower, or the Collateral Agent on its behalf, has submitted a written request to the Administrative Agent for a direct disbursement of Principal Proceeds to the Borrower, which request shall (I) certify that the Borrower is in compliance with each Collateral Quality Test and Coverage Test and that no Default or Event of Default shall have occurred and be continuing at the time of the request or shall result upon the making of the requested direct disbursement and (II) specify the amount of the requested direct disbursement and the related Payment Date for the direct disbursement;</w:t>
      </w:r>
    </w:p>
    <w:p>
      <w:pPr>
        <w:spacing w:after="0" w:line="180" w:lineRule="exact"/>
        <w:rPr>
          <w:rFonts w:ascii="Times New Roman" w:cs="Times New Roman" w:eastAsia="Times New Roman" w:hAnsi="Times New Roman"/>
          <w:sz w:val="19"/>
          <w:szCs w:val="19"/>
          <w:color w:val="auto"/>
        </w:rPr>
      </w:pPr>
    </w:p>
    <w:p>
      <w:pPr>
        <w:ind w:left="1920" w:right="840" w:firstLine="43"/>
        <w:spacing w:after="0" w:line="263" w:lineRule="auto"/>
        <w:tabs>
          <w:tab w:leader="none" w:pos="2272"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after the Reinvestment Period, (1)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for deposit into the Revolving Reserve Account until the amounts on deposit therein are equal to the Revolving Reserve Required Amount; and (2)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to pay the Advances of each Lender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based on each Lender’s Percentage) until the Advances are paid in full;</w:t>
      </w:r>
    </w:p>
    <w:p>
      <w:pPr>
        <w:spacing w:after="0" w:line="172" w:lineRule="exact"/>
        <w:rPr>
          <w:rFonts w:ascii="Times New Roman" w:cs="Times New Roman" w:eastAsia="Times New Roman" w:hAnsi="Times New Roman"/>
          <w:sz w:val="19"/>
          <w:szCs w:val="19"/>
          <w:color w:val="auto"/>
        </w:rPr>
      </w:pPr>
    </w:p>
    <w:p>
      <w:pPr>
        <w:ind w:left="1920" w:right="1180" w:firstLine="43"/>
        <w:spacing w:after="0" w:line="268" w:lineRule="auto"/>
        <w:tabs>
          <w:tab w:leader="none" w:pos="2283"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Reinvestment Period, to the payment of amounts referred to in clauses (G), (H), (I) and (M) of clause (i) above (in the same order of priority specified therein), to the extent not paid in full thereunder; and</w:t>
      </w:r>
    </w:p>
    <w:p>
      <w:pPr>
        <w:spacing w:after="0" w:line="168" w:lineRule="exact"/>
        <w:rPr>
          <w:rFonts w:ascii="Times New Roman" w:cs="Times New Roman" w:eastAsia="Times New Roman" w:hAnsi="Times New Roman"/>
          <w:sz w:val="19"/>
          <w:szCs w:val="19"/>
          <w:color w:val="auto"/>
        </w:rPr>
      </w:pPr>
    </w:p>
    <w:p>
      <w:pPr>
        <w:ind w:left="1920" w:right="1220" w:firstLine="43"/>
        <w:spacing w:after="0" w:line="286" w:lineRule="auto"/>
        <w:tabs>
          <w:tab w:leader="none" w:pos="2261"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remainder to the Borrower, which amounts may be distributed to the BDC.</w:t>
      </w:r>
    </w:p>
    <w:p>
      <w:pPr>
        <w:spacing w:after="0" w:line="151" w:lineRule="exact"/>
        <w:rPr>
          <w:rFonts w:ascii="Times New Roman" w:cs="Times New Roman" w:eastAsia="Times New Roman" w:hAnsi="Times New Roman"/>
          <w:sz w:val="19"/>
          <w:szCs w:val="19"/>
          <w:color w:val="auto"/>
        </w:rPr>
      </w:pPr>
    </w:p>
    <w:p>
      <w:pPr>
        <w:ind w:left="760" w:right="940" w:firstLine="50"/>
        <w:spacing w:after="0" w:line="262" w:lineRule="auto"/>
        <w:tabs>
          <w:tab w:leader="none" w:pos="108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on any Payment Date the amount available in the Payment Accounts is insufficient to make the full amount of the disbursements required by the Payment Date Report, the Collateral</w:t>
      </w:r>
    </w:p>
    <w:p>
      <w:pPr>
        <w:spacing w:after="0" w:line="1" w:lineRule="exact"/>
        <w:rPr>
          <w:sz w:val="20"/>
          <w:szCs w:val="20"/>
          <w:color w:val="auto"/>
        </w:rPr>
      </w:pPr>
    </w:p>
    <w:p>
      <w:pPr>
        <w:ind w:left="760" w:right="860"/>
        <w:spacing w:after="0" w:line="246" w:lineRule="auto"/>
        <w:rPr>
          <w:sz w:val="20"/>
          <w:szCs w:val="20"/>
          <w:color w:val="auto"/>
        </w:rPr>
      </w:pPr>
      <w:r>
        <w:rPr>
          <w:rFonts w:ascii="Times New Roman" w:cs="Times New Roman" w:eastAsia="Times New Roman" w:hAnsi="Times New Roman"/>
          <w:sz w:val="19"/>
          <w:szCs w:val="19"/>
          <w:color w:val="auto"/>
        </w:rPr>
        <w:t>Agent shall make the disbursements called for in the order and according to the priority set forth under Section 9.01(a) to the extent funds are available therefor.</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19" w:name="page220"/>
    <w:bookmarkEnd w:id="219"/>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Article X</w:t>
      </w:r>
    </w:p>
    <w:p>
      <w:pPr>
        <w:spacing w:after="0" w:line="23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9"/>
          <w:szCs w:val="19"/>
          <w:b w:val="1"/>
          <w:bCs w:val="1"/>
          <w:color w:val="auto"/>
        </w:rPr>
        <w:t>Sale of Collateral Loans; Purchase of Additional Collateral Loans</w:t>
      </w:r>
    </w:p>
    <w:p>
      <w:pPr>
        <w:spacing w:after="0" w:line="2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10.01. Sales of Collateral Loans</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760" w:firstLine="50"/>
        <w:spacing w:after="0" w:line="260" w:lineRule="auto"/>
        <w:tabs>
          <w:tab w:leader="none" w:pos="1072"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Discretionary Sales of Collateral Loans</w:t>
      </w:r>
      <w:r>
        <w:rPr>
          <w:rFonts w:ascii="Times New Roman" w:cs="Times New Roman" w:eastAsia="Times New Roman" w:hAnsi="Times New Roman"/>
          <w:sz w:val="19"/>
          <w:szCs w:val="19"/>
          <w:color w:val="auto"/>
        </w:rPr>
        <w:t>. Subject to the satisfaction of the conditions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specified in Section 10.04, the Collateral Manager on behalf of the Borrower may, but will not be required to, direct the Collateral Agent to sell, and the Collateral Agent shall sell in the manner directed by the Collateral Manager, any Collateral Loan, Credit Risk Collateral Loan, Defaulted Collateral Loan, or Ineligible Collateral Loan if such sale meets the requirements set forth below:</w:t>
      </w:r>
    </w:p>
    <w:p>
      <w:pPr>
        <w:spacing w:after="0" w:line="174" w:lineRule="exact"/>
        <w:rPr>
          <w:rFonts w:ascii="Times New Roman" w:cs="Times New Roman" w:eastAsia="Times New Roman" w:hAnsi="Times New Roman"/>
          <w:sz w:val="19"/>
          <w:szCs w:val="19"/>
          <w:color w:val="auto"/>
        </w:rPr>
      </w:pPr>
    </w:p>
    <w:p>
      <w:pPr>
        <w:ind w:left="1340" w:right="760" w:firstLine="47"/>
        <w:spacing w:after="0" w:line="268" w:lineRule="auto"/>
        <w:tabs>
          <w:tab w:leader="none" w:pos="1617"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is continuing or would result upon giving effect thereto (unless, in the case of such a Default, such Default will be cured upon giving effect to such sale and the application of the proceeds thereof);</w:t>
      </w:r>
    </w:p>
    <w:p>
      <w:pPr>
        <w:spacing w:after="0" w:line="168" w:lineRule="exact"/>
        <w:rPr>
          <w:rFonts w:ascii="Times New Roman" w:cs="Times New Roman" w:eastAsia="Times New Roman" w:hAnsi="Times New Roman"/>
          <w:sz w:val="19"/>
          <w:szCs w:val="19"/>
          <w:color w:val="auto"/>
        </w:rPr>
      </w:pPr>
    </w:p>
    <w:p>
      <w:pPr>
        <w:ind w:left="1340" w:right="860" w:firstLine="47"/>
        <w:spacing w:after="0" w:line="286" w:lineRule="auto"/>
        <w:tabs>
          <w:tab w:leader="none" w:pos="1670"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giving effect thereto and the application of the proceeds thereof, the Maximum Advance Rate Test is satisfied;</w:t>
      </w:r>
    </w:p>
    <w:p>
      <w:pPr>
        <w:spacing w:after="0" w:line="151" w:lineRule="exact"/>
        <w:rPr>
          <w:rFonts w:ascii="Times New Roman" w:cs="Times New Roman" w:eastAsia="Times New Roman" w:hAnsi="Times New Roman"/>
          <w:sz w:val="19"/>
          <w:szCs w:val="19"/>
          <w:color w:val="auto"/>
        </w:rPr>
      </w:pPr>
    </w:p>
    <w:p>
      <w:pPr>
        <w:ind w:left="1340" w:right="960" w:firstLine="47"/>
        <w:spacing w:after="0" w:line="262" w:lineRule="auto"/>
        <w:tabs>
          <w:tab w:leader="none" w:pos="1724"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giving effect thereto and the application of the proceeds thereof, each other Coverage Test is satisfied and each Collateral Quality Test is satisfied or, if a Collateral Quality Test is not satisfied, either the compliance with any such test is maintained or improved or the Administrative Agent has consented to such sale in its sole discretion;</w:t>
      </w:r>
    </w:p>
    <w:p>
      <w:pPr>
        <w:spacing w:after="0" w:line="174" w:lineRule="exact"/>
        <w:rPr>
          <w:rFonts w:ascii="Times New Roman" w:cs="Times New Roman" w:eastAsia="Times New Roman" w:hAnsi="Times New Roman"/>
          <w:sz w:val="19"/>
          <w:szCs w:val="19"/>
          <w:color w:val="auto"/>
        </w:rPr>
      </w:pPr>
    </w:p>
    <w:p>
      <w:pPr>
        <w:ind w:left="1720" w:hanging="333"/>
        <w:spacing w:after="0"/>
        <w:tabs>
          <w:tab w:leader="none" w:pos="1720"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sale is made for Cash;</w:t>
      </w:r>
    </w:p>
    <w:p>
      <w:pPr>
        <w:spacing w:after="0" w:line="225" w:lineRule="exact"/>
        <w:rPr>
          <w:rFonts w:ascii="Times New Roman" w:cs="Times New Roman" w:eastAsia="Times New Roman" w:hAnsi="Times New Roman"/>
          <w:sz w:val="19"/>
          <w:szCs w:val="19"/>
          <w:color w:val="auto"/>
        </w:rPr>
      </w:pPr>
    </w:p>
    <w:p>
      <w:pPr>
        <w:ind w:left="1340" w:right="900" w:firstLine="47"/>
        <w:spacing w:after="0" w:line="286" w:lineRule="auto"/>
        <w:tabs>
          <w:tab w:leader="none" w:pos="1660"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sale is made for a purchase price at least equal to the original percentage of par paid by the Borrower; and</w:t>
      </w:r>
    </w:p>
    <w:p>
      <w:pPr>
        <w:spacing w:after="0" w:line="151" w:lineRule="exact"/>
        <w:rPr>
          <w:rFonts w:ascii="Times New Roman" w:cs="Times New Roman" w:eastAsia="Times New Roman" w:hAnsi="Times New Roman"/>
          <w:sz w:val="19"/>
          <w:szCs w:val="19"/>
          <w:color w:val="auto"/>
        </w:rPr>
      </w:pPr>
    </w:p>
    <w:p>
      <w:pPr>
        <w:jc w:val="both"/>
        <w:ind w:left="1340" w:right="780" w:firstLine="47"/>
        <w:spacing w:after="0" w:line="262" w:lineRule="auto"/>
        <w:tabs>
          <w:tab w:leader="none" w:pos="1713"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reasonable judgment of the Collateral Manager, there is no adverse selection of such Collateral Loans;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restrictions in clauses (iii), (v) and (vi) above in this Section 10.01(a) shall not apply to sales of Credit Risk Collateral Loans, Defaulted Collateral Loans or Ineligible Collateral Loans.</w:t>
      </w:r>
    </w:p>
    <w:p>
      <w:pPr>
        <w:spacing w:after="0" w:line="174" w:lineRule="exact"/>
        <w:rPr>
          <w:sz w:val="20"/>
          <w:szCs w:val="20"/>
          <w:color w:val="auto"/>
        </w:rPr>
      </w:pPr>
    </w:p>
    <w:p>
      <w:pPr>
        <w:ind w:left="760" w:right="780" w:firstLine="576"/>
        <w:spacing w:after="0" w:line="252" w:lineRule="auto"/>
        <w:rPr>
          <w:sz w:val="20"/>
          <w:szCs w:val="20"/>
          <w:color w:val="auto"/>
        </w:rPr>
      </w:pPr>
      <w:r>
        <w:rPr>
          <w:rFonts w:ascii="Times New Roman" w:cs="Times New Roman" w:eastAsia="Times New Roman" w:hAnsi="Times New Roman"/>
          <w:sz w:val="19"/>
          <w:szCs w:val="19"/>
          <w:color w:val="auto"/>
        </w:rPr>
        <w:t xml:space="preserve">Notwithstanding anything above that would otherwise prohibit the sale of a Collateral Loan after the occurrence or during the continuance of a Default or an Event of Default, if the Borrower entered into an agreement to sell any such Collateral Loan prior to the occurrence and continuance of such Default or an Event of Default, but such sale did not settle prior to the occurrence of such Default or an Event of Default, then the Borrower shall be permitted to consummate such sale notwithstanding the occurrence and continuance of such Default or an Event of Default,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sale was not entered into in contemplation of the occurrence of such Default or Event of Default and such settlement occurs within the customary settlement period for similar trades.</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0" w:name="page221"/>
    <w:bookmarkEnd w:id="220"/>
    <w:p>
      <w:pPr>
        <w:spacing w:after="0" w:line="200" w:lineRule="exact"/>
        <w:rPr>
          <w:sz w:val="20"/>
          <w:szCs w:val="20"/>
          <w:color w:val="auto"/>
        </w:rPr>
      </w:pPr>
    </w:p>
    <w:p>
      <w:pPr>
        <w:spacing w:after="0" w:line="283" w:lineRule="exact"/>
        <w:rPr>
          <w:sz w:val="20"/>
          <w:szCs w:val="20"/>
          <w:color w:val="auto"/>
        </w:rPr>
      </w:pPr>
    </w:p>
    <w:p>
      <w:pPr>
        <w:ind w:left="760" w:right="940" w:firstLine="50"/>
        <w:spacing w:after="0" w:line="234" w:lineRule="exact"/>
        <w:tabs>
          <w:tab w:leader="none" w:pos="1084"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Sales of Equity Securities. </w:t>
      </w:r>
      <w:r>
        <w:rPr>
          <w:rFonts w:ascii="Times New Roman" w:cs="Times New Roman" w:eastAsia="Times New Roman" w:hAnsi="Times New Roman"/>
          <w:sz w:val="19"/>
          <w:szCs w:val="19"/>
          <w:color w:val="auto"/>
        </w:rPr>
        <w:t>The Borrower may sell any Equity Security at any time without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restriction, and shall use its commercially reasonable efforts to effect the sale of any Equity Security, regardless of price within forty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five (45) days of receipt if such Equity Security constitutes Margin Stock, unless such sale is prohibited by Applicable Law, in which case such Equity Security should be sold as soon as such sale is permitted by Applicable Law.</w:t>
      </w:r>
    </w:p>
    <w:p>
      <w:pPr>
        <w:spacing w:after="0" w:line="191" w:lineRule="exact"/>
        <w:rPr>
          <w:rFonts w:ascii="Times New Roman" w:cs="Times New Roman" w:eastAsia="Times New Roman" w:hAnsi="Times New Roman"/>
          <w:sz w:val="19"/>
          <w:szCs w:val="19"/>
          <w:color w:val="auto"/>
        </w:rPr>
      </w:pPr>
    </w:p>
    <w:p>
      <w:pPr>
        <w:ind w:left="760" w:right="800" w:firstLine="50"/>
        <w:spacing w:after="0" w:line="260" w:lineRule="auto"/>
        <w:tabs>
          <w:tab w:leader="none" w:pos="1072"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Certain Restrictions. </w:t>
      </w:r>
      <w:r>
        <w:rPr>
          <w:rFonts w:ascii="Times New Roman" w:cs="Times New Roman" w:eastAsia="Times New Roman" w:hAnsi="Times New Roman"/>
          <w:sz w:val="19"/>
          <w:szCs w:val="19"/>
          <w:color w:val="auto"/>
        </w:rPr>
        <w:t>In the case of a sale of a Defaulted Collateral Loan, a Credit Risk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Collateral Loan or an Ineligible Collateral Loan to an Affiliate of the Borrower at a price less than the original percentage of par paid by the Borrower, the purchase price shall not be less than the Market Value of such Defaulted Collateral Loan, Credit Risk Collateral Loan or Ineligible Collateral Loan.</w:t>
      </w:r>
    </w:p>
    <w:p>
      <w:pPr>
        <w:spacing w:after="0" w:line="172" w:lineRule="exact"/>
        <w:rPr>
          <w:rFonts w:ascii="Times New Roman" w:cs="Times New Roman" w:eastAsia="Times New Roman" w:hAnsi="Times New Roman"/>
          <w:sz w:val="19"/>
          <w:szCs w:val="19"/>
          <w:color w:val="auto"/>
        </w:rPr>
      </w:pPr>
    </w:p>
    <w:p>
      <w:pPr>
        <w:ind w:left="760" w:right="960" w:firstLine="50"/>
        <w:spacing w:after="0" w:line="288" w:lineRule="auto"/>
        <w:tabs>
          <w:tab w:leader="none" w:pos="1084"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Terms of Sales</w:t>
      </w:r>
      <w:r>
        <w:rPr>
          <w:rFonts w:ascii="Times New Roman" w:cs="Times New Roman" w:eastAsia="Times New Roman" w:hAnsi="Times New Roman"/>
          <w:sz w:val="19"/>
          <w:szCs w:val="19"/>
          <w:color w:val="auto"/>
        </w:rPr>
        <w:t>. All sales of Collateral Loans and other property of the Borrower under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provisions above in this Section 10.01 must be exclusively for Cash.</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10.02. Purchase of Additional Collateral Loans</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800" w:firstLine="50"/>
        <w:spacing w:after="0" w:line="255" w:lineRule="auto"/>
        <w:tabs>
          <w:tab w:leader="none" w:pos="1072"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Purchase of Collateral Loans</w:t>
      </w:r>
      <w:r>
        <w:rPr>
          <w:rFonts w:ascii="Times New Roman" w:cs="Times New Roman" w:eastAsia="Times New Roman" w:hAnsi="Times New Roman"/>
          <w:sz w:val="19"/>
          <w:szCs w:val="19"/>
          <w:color w:val="auto"/>
        </w:rPr>
        <w:t>. On any date during the Reinvestment Period, if no Event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Default has occurred and is continuing, the Collateral Manager on behalf of the Borrower may, if each of the conditions specified in this Section 10.02 and Section 10.04 are met, invest Principal Proceeds and accrued interest received with respect to any Collateral Loan to the extent used to pay for accrued interest on additional Collateral Loans in additional Collateral Loans,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no Collateral Loan may be purchased unless each of the following conditions are satisfied as of the date the Collateral Manager commits on behalf of the Borrower to make such purchase, in each case after giving effect to such purchase and all other sales or purchases previously or simultaneously committed to:</w:t>
      </w:r>
    </w:p>
    <w:p>
      <w:pPr>
        <w:spacing w:after="0" w:line="181" w:lineRule="exact"/>
        <w:rPr>
          <w:rFonts w:ascii="Times New Roman" w:cs="Times New Roman" w:eastAsia="Times New Roman" w:hAnsi="Times New Roman"/>
          <w:sz w:val="19"/>
          <w:szCs w:val="19"/>
          <w:color w:val="auto"/>
        </w:rPr>
      </w:pPr>
    </w:p>
    <w:p>
      <w:pPr>
        <w:ind w:left="1620" w:hanging="233"/>
        <w:spacing w:after="0"/>
        <w:tabs>
          <w:tab w:leader="none" w:pos="1620"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obligation is an Eligible Collateral Loan;</w:t>
      </w:r>
    </w:p>
    <w:p>
      <w:pPr>
        <w:spacing w:after="0" w:line="225" w:lineRule="exact"/>
        <w:rPr>
          <w:rFonts w:ascii="Times New Roman" w:cs="Times New Roman" w:eastAsia="Times New Roman" w:hAnsi="Times New Roman"/>
          <w:sz w:val="19"/>
          <w:szCs w:val="19"/>
          <w:color w:val="auto"/>
        </w:rPr>
      </w:pPr>
    </w:p>
    <w:p>
      <w:pPr>
        <w:ind w:left="1340" w:right="840" w:firstLine="47"/>
        <w:spacing w:after="0" w:line="268" w:lineRule="auto"/>
        <w:tabs>
          <w:tab w:leader="none" w:pos="1670"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Collateral Quality Test is satisfied (or, if not satisfied immediately prior to such investment, compliance with such Collateral Quality Test is maintained or improved); and</w:t>
      </w:r>
    </w:p>
    <w:p>
      <w:pPr>
        <w:spacing w:after="0" w:line="168" w:lineRule="exact"/>
        <w:rPr>
          <w:rFonts w:ascii="Times New Roman" w:cs="Times New Roman" w:eastAsia="Times New Roman" w:hAnsi="Times New Roman"/>
          <w:sz w:val="19"/>
          <w:szCs w:val="19"/>
          <w:color w:val="auto"/>
        </w:rPr>
      </w:pPr>
    </w:p>
    <w:p>
      <w:pPr>
        <w:ind w:left="1720" w:hanging="333"/>
        <w:spacing w:after="0"/>
        <w:tabs>
          <w:tab w:leader="none" w:pos="1720" w:val="left"/>
        </w:tabs>
        <w:numPr>
          <w:ilvl w:val="1"/>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Coverage Test is satisfied.</w:t>
      </w:r>
    </w:p>
    <w:p>
      <w:pPr>
        <w:spacing w:after="0" w:line="223" w:lineRule="exact"/>
        <w:rPr>
          <w:rFonts w:ascii="Times New Roman" w:cs="Times New Roman" w:eastAsia="Times New Roman" w:hAnsi="Times New Roman"/>
          <w:sz w:val="19"/>
          <w:szCs w:val="19"/>
          <w:color w:val="auto"/>
        </w:rPr>
      </w:pPr>
    </w:p>
    <w:p>
      <w:pPr>
        <w:ind w:left="760" w:right="800" w:firstLine="50"/>
        <w:spacing w:after="0" w:line="232" w:lineRule="exact"/>
        <w:tabs>
          <w:tab w:leader="none" w:pos="1084"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Purchase of Collateral Loans Involving Affiliates</w:t>
      </w:r>
      <w:r>
        <w:rPr>
          <w:rFonts w:ascii="Times New Roman" w:cs="Times New Roman" w:eastAsia="Times New Roman" w:hAnsi="Times New Roman"/>
          <w:sz w:val="19"/>
          <w:szCs w:val="19"/>
          <w:color w:val="auto"/>
        </w:rPr>
        <w:t>. Additional Collateral Loans may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purchased from time to time by the Borrower from the Collateral Manager or any of its Affiliates only if (x) the terms and conditions thereof are no less favorable to the Borrower than the terms it would obtain in a comparable, timely sale with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Affiliate, (y) the transactions are effected in accordance with all Applicable Laws and (z) such purchase is for an amount equal to or less than the lesser of (A) the original purchase price paid by the Collateral Manager or such Affiliate (after adjustment for any borrowings or repayments and exclusive of interest) and (B) the</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Collateral Manager’s current mark with respect to such Collateral Loan.</w:t>
      </w:r>
    </w:p>
    <w:p>
      <w:pPr>
        <w:spacing w:after="0" w:line="2" w:lineRule="exact"/>
        <w:rPr>
          <w:sz w:val="20"/>
          <w:szCs w:val="20"/>
          <w:color w:val="auto"/>
        </w:rPr>
      </w:pPr>
    </w:p>
    <w:p>
      <w:pPr>
        <w:ind w:left="4300"/>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129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1" w:name="page222"/>
    <w:bookmarkEnd w:id="221"/>
    <w:p>
      <w:pPr>
        <w:spacing w:after="0" w:line="200" w:lineRule="exact"/>
        <w:rPr>
          <w:sz w:val="20"/>
          <w:szCs w:val="20"/>
          <w:color w:val="auto"/>
        </w:rPr>
      </w:pPr>
    </w:p>
    <w:p>
      <w:pPr>
        <w:spacing w:after="0" w:line="2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10.03. Substitution and Transfer of Loans</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780" w:firstLine="50"/>
        <w:spacing w:after="0" w:line="260" w:lineRule="auto"/>
        <w:tabs>
          <w:tab w:leader="none" w:pos="1072"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Substitutions</w:t>
      </w:r>
      <w:r>
        <w:rPr>
          <w:rFonts w:ascii="Times New Roman" w:cs="Times New Roman" w:eastAsia="Times New Roman" w:hAnsi="Times New Roman"/>
          <w:sz w:val="19"/>
          <w:szCs w:val="19"/>
          <w:color w:val="auto"/>
        </w:rPr>
        <w:t>. The Borrower may (including in connection with any retransfer of a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Loan to the BDC under the Purchase and Contribution Agreement) with the consent of the Administrative Agent in its sole discretion replace any Collateral Loan with another Collateral Loan (a </w:t>
      </w:r>
      <w:r>
        <w:rPr>
          <w:rFonts w:ascii="Times New Roman" w:cs="Times New Roman" w:eastAsia="Times New Roman" w:hAnsi="Times New Roman"/>
          <w:sz w:val="19"/>
          <w:szCs w:val="19"/>
          <w:i w:val="1"/>
          <w:iCs w:val="1"/>
          <w:color w:val="auto"/>
        </w:rPr>
        <w:t>“Substitute Loan”</w:t>
      </w:r>
      <w:r>
        <w:rPr>
          <w:rFonts w:ascii="Times New Roman" w:cs="Times New Roman" w:eastAsia="Times New Roman" w:hAnsi="Times New Roman"/>
          <w:sz w:val="19"/>
          <w:szCs w:val="19"/>
          <w:color w:val="auto"/>
        </w:rPr>
        <w:t>), subject to the satisfaction of the conditions set forth below and in Section 10.04(c).</w:t>
      </w:r>
    </w:p>
    <w:p>
      <w:pPr>
        <w:spacing w:after="0" w:line="172" w:lineRule="exact"/>
        <w:rPr>
          <w:rFonts w:ascii="Times New Roman" w:cs="Times New Roman" w:eastAsia="Times New Roman" w:hAnsi="Times New Roman"/>
          <w:sz w:val="19"/>
          <w:szCs w:val="19"/>
          <w:color w:val="auto"/>
        </w:rPr>
      </w:pPr>
    </w:p>
    <w:p>
      <w:pPr>
        <w:ind w:left="760" w:right="820" w:firstLine="50"/>
        <w:spacing w:after="0" w:line="269" w:lineRule="auto"/>
        <w:tabs>
          <w:tab w:leader="none" w:pos="1084"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Conditions to Substitution</w:t>
      </w:r>
      <w:r>
        <w:rPr>
          <w:rFonts w:ascii="Times New Roman" w:cs="Times New Roman" w:eastAsia="Times New Roman" w:hAnsi="Times New Roman"/>
          <w:sz w:val="19"/>
          <w:szCs w:val="19"/>
          <w:color w:val="auto"/>
        </w:rPr>
        <w:t>. No substitution of a Collateral Loan with a Substitute Loan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occur unless each of the following conditions is satisfied as of the date of such substitution (as certified to the Agents by the Borrower (or the Collateral Manager on behalf of the Borrower)):</w:t>
      </w:r>
    </w:p>
    <w:p>
      <w:pPr>
        <w:spacing w:after="0" w:line="167" w:lineRule="exact"/>
        <w:rPr>
          <w:rFonts w:ascii="Times New Roman" w:cs="Times New Roman" w:eastAsia="Times New Roman" w:hAnsi="Times New Roman"/>
          <w:sz w:val="19"/>
          <w:szCs w:val="19"/>
          <w:color w:val="auto"/>
        </w:rPr>
      </w:pPr>
    </w:p>
    <w:p>
      <w:pPr>
        <w:ind w:left="1620" w:hanging="233"/>
        <w:spacing w:after="0"/>
        <w:tabs>
          <w:tab w:leader="none" w:pos="1620"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Substitute Loan is an Eligible Collateral Loan on the date of substitution;</w:t>
      </w:r>
    </w:p>
    <w:p>
      <w:pPr>
        <w:spacing w:after="0" w:line="225" w:lineRule="exact"/>
        <w:rPr>
          <w:rFonts w:ascii="Times New Roman" w:cs="Times New Roman" w:eastAsia="Times New Roman" w:hAnsi="Times New Roman"/>
          <w:sz w:val="19"/>
          <w:szCs w:val="19"/>
          <w:color w:val="auto"/>
        </w:rPr>
      </w:pPr>
    </w:p>
    <w:p>
      <w:pPr>
        <w:ind w:left="1340" w:right="780" w:firstLine="47"/>
        <w:spacing w:after="0" w:line="268" w:lineRule="auto"/>
        <w:tabs>
          <w:tab w:leader="none" w:pos="1670"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any such substitution, each Collateral Quality Test is satisfied (or, if not satisfied immediately prior to such investment, compliance with such Collateral Quality Test is maintained or improved), and each Coverage Test is satisfied;</w:t>
      </w:r>
    </w:p>
    <w:p>
      <w:pPr>
        <w:spacing w:after="0" w:line="168" w:lineRule="exact"/>
        <w:rPr>
          <w:rFonts w:ascii="Times New Roman" w:cs="Times New Roman" w:eastAsia="Times New Roman" w:hAnsi="Times New Roman"/>
          <w:sz w:val="19"/>
          <w:szCs w:val="19"/>
          <w:color w:val="auto"/>
        </w:rPr>
      </w:pPr>
    </w:p>
    <w:p>
      <w:pPr>
        <w:ind w:left="1340" w:right="980" w:firstLine="47"/>
        <w:spacing w:after="0" w:line="268" w:lineRule="auto"/>
        <w:tabs>
          <w:tab w:leader="none" w:pos="1724"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the Principal Balances of such Substitute Loans shall be equal to or greater than the sum of the Principal Balances of the Collateral Loans being substituted for;</w:t>
      </w:r>
    </w:p>
    <w:p>
      <w:pPr>
        <w:spacing w:after="0" w:line="168" w:lineRule="exact"/>
        <w:rPr>
          <w:rFonts w:ascii="Times New Roman" w:cs="Times New Roman" w:eastAsia="Times New Roman" w:hAnsi="Times New Roman"/>
          <w:sz w:val="19"/>
          <w:szCs w:val="19"/>
          <w:color w:val="auto"/>
        </w:rPr>
      </w:pPr>
    </w:p>
    <w:p>
      <w:pPr>
        <w:ind w:left="1340" w:right="820" w:firstLine="47"/>
        <w:spacing w:after="0" w:line="286" w:lineRule="auto"/>
        <w:tabs>
          <w:tab w:leader="none" w:pos="1713"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has occurred and is continuing (before or after giving effect to such substitution);</w:t>
      </w:r>
    </w:p>
    <w:p>
      <w:pPr>
        <w:spacing w:after="0" w:line="151" w:lineRule="exact"/>
        <w:rPr>
          <w:rFonts w:ascii="Times New Roman" w:cs="Times New Roman" w:eastAsia="Times New Roman" w:hAnsi="Times New Roman"/>
          <w:sz w:val="19"/>
          <w:szCs w:val="19"/>
          <w:color w:val="auto"/>
        </w:rPr>
      </w:pPr>
    </w:p>
    <w:p>
      <w:pPr>
        <w:ind w:left="1340" w:right="880" w:firstLine="47"/>
        <w:spacing w:after="0" w:line="268" w:lineRule="auto"/>
        <w:tabs>
          <w:tab w:leader="none" w:pos="1660"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selection procedure adverse to the interests of the Secured Parties was utilized by the Borrower or the Collateral Manager in the selection of the Substitute Loan(s) or the Collateral Loans being substituted for;</w:t>
      </w:r>
    </w:p>
    <w:p>
      <w:pPr>
        <w:spacing w:after="0" w:line="168" w:lineRule="exact"/>
        <w:rPr>
          <w:rFonts w:ascii="Times New Roman" w:cs="Times New Roman" w:eastAsia="Times New Roman" w:hAnsi="Times New Roman"/>
          <w:sz w:val="19"/>
          <w:szCs w:val="19"/>
          <w:color w:val="auto"/>
        </w:rPr>
      </w:pPr>
    </w:p>
    <w:p>
      <w:pPr>
        <w:ind w:left="1340" w:right="840" w:firstLine="47"/>
        <w:spacing w:after="0" w:line="259" w:lineRule="auto"/>
        <w:tabs>
          <w:tab w:leader="none" w:pos="1713"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the Collateral Manager (on behalf of the Borrower)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in connection with such sale, substitution or repurchase);</w:t>
      </w:r>
    </w:p>
    <w:p>
      <w:pPr>
        <w:spacing w:after="0" w:line="177" w:lineRule="exact"/>
        <w:rPr>
          <w:rFonts w:ascii="Times New Roman" w:cs="Times New Roman" w:eastAsia="Times New Roman" w:hAnsi="Times New Roman"/>
          <w:sz w:val="19"/>
          <w:szCs w:val="19"/>
          <w:color w:val="auto"/>
        </w:rPr>
      </w:pPr>
    </w:p>
    <w:p>
      <w:pPr>
        <w:jc w:val="both"/>
        <w:ind w:left="1340" w:right="900" w:firstLine="47"/>
        <w:spacing w:after="0" w:line="268" w:lineRule="auto"/>
        <w:tabs>
          <w:tab w:leader="none" w:pos="1767"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notify the Administrative Agent of any amount to be deposited into the Collection Account in connection with any such substitution and shall deliver to the Custodian the Related Documents for any Substitute Loans;</w:t>
      </w:r>
    </w:p>
    <w:p>
      <w:pPr>
        <w:spacing w:after="0" w:line="168" w:lineRule="exact"/>
        <w:rPr>
          <w:rFonts w:ascii="Times New Roman" w:cs="Times New Roman" w:eastAsia="Times New Roman" w:hAnsi="Times New Roman"/>
          <w:sz w:val="19"/>
          <w:szCs w:val="19"/>
          <w:color w:val="auto"/>
        </w:rPr>
      </w:pPr>
    </w:p>
    <w:p>
      <w:pPr>
        <w:ind w:left="1340" w:right="1060" w:firstLine="47"/>
        <w:spacing w:after="0" w:line="256" w:lineRule="auto"/>
        <w:tabs>
          <w:tab w:leader="none" w:pos="1820"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confirmation of the delivery of a Substitute Loan for each applicable Collateral Loan being substituted for (the date of such confirmation or delivery, the </w:t>
      </w:r>
      <w:r>
        <w:rPr>
          <w:rFonts w:ascii="Times New Roman" w:cs="Times New Roman" w:eastAsia="Times New Roman" w:hAnsi="Times New Roman"/>
          <w:sz w:val="19"/>
          <w:szCs w:val="19"/>
          <w:i w:val="1"/>
          <w:iCs w:val="1"/>
          <w:color w:val="auto"/>
        </w:rPr>
        <w:t>“Retransfer Date”</w:t>
      </w:r>
      <w:r>
        <w:rPr>
          <w:rFonts w:ascii="Times New Roman" w:cs="Times New Roman" w:eastAsia="Times New Roman" w:hAnsi="Times New Roman"/>
          <w:sz w:val="19"/>
          <w:szCs w:val="19"/>
          <w:color w:val="auto"/>
        </w:rPr>
        <w:t>), each applicable Collateral Loan being substituted for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removed from the Collateral and the applicable Substitute Loan(s) shall be included in</w:t>
      </w:r>
    </w:p>
    <w:p>
      <w:pPr>
        <w:spacing w:after="0" w:line="2" w:lineRule="exact"/>
        <w:rPr>
          <w:sz w:val="20"/>
          <w:szCs w:val="20"/>
          <w:color w:val="auto"/>
        </w:rPr>
      </w:pPr>
    </w:p>
    <w:p>
      <w:pPr>
        <w:ind w:left="1340" w:right="880"/>
        <w:spacing w:after="0" w:line="246" w:lineRule="auto"/>
        <w:rPr>
          <w:sz w:val="20"/>
          <w:szCs w:val="20"/>
          <w:color w:val="auto"/>
        </w:rPr>
      </w:pPr>
      <w:r>
        <w:rPr>
          <w:rFonts w:ascii="Times New Roman" w:cs="Times New Roman" w:eastAsia="Times New Roman" w:hAnsi="Times New Roman"/>
          <w:sz w:val="19"/>
          <w:szCs w:val="19"/>
          <w:color w:val="auto"/>
        </w:rPr>
        <w:t>the Collateral. On the Retransfer Date of a Collateral Loan, the Collateral Agent, for the benefit of the</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2" w:name="page223"/>
    <w:bookmarkEnd w:id="222"/>
    <w:p>
      <w:pPr>
        <w:spacing w:after="0" w:line="200" w:lineRule="exact"/>
        <w:rPr>
          <w:sz w:val="20"/>
          <w:szCs w:val="20"/>
          <w:color w:val="auto"/>
        </w:rPr>
      </w:pPr>
    </w:p>
    <w:p>
      <w:pPr>
        <w:spacing w:after="0" w:line="285" w:lineRule="exact"/>
        <w:rPr>
          <w:sz w:val="20"/>
          <w:szCs w:val="20"/>
          <w:color w:val="auto"/>
        </w:rPr>
      </w:pPr>
    </w:p>
    <w:p>
      <w:pPr>
        <w:ind w:left="1340" w:right="820"/>
        <w:spacing w:after="0" w:line="255" w:lineRule="auto"/>
        <w:rPr>
          <w:sz w:val="20"/>
          <w:szCs w:val="20"/>
          <w:color w:val="auto"/>
        </w:rPr>
      </w:pPr>
      <w:r>
        <w:rPr>
          <w:rFonts w:ascii="Times New Roman" w:cs="Times New Roman" w:eastAsia="Times New Roman" w:hAnsi="Times New Roman"/>
          <w:sz w:val="19"/>
          <w:szCs w:val="19"/>
          <w:color w:val="auto"/>
        </w:rPr>
        <w:t>Secured Parties, shall automatically and without further action be deemed to release and transfer to the Borrower, without recourse, representation or warranty, all the right, title and interest of the Collateral Agent, for the benefit of the Secured Parties in, to and under such Collateral Loan being substituted for. The Collateral Agent, for the benefit of the Secured Parties, shall, at the sole expense of the Borrower, execute such documents and instruments of transfer as may be prepared by the Collateral Manager, on behalf of the Borrower, and take other such actions as shall reasonably be requested by the Collateral Manager on behalf of the Borrower to effect the release and transfer of such Collateral Loan pursuant to this Section 10.03; and</w:t>
      </w:r>
    </w:p>
    <w:p>
      <w:pPr>
        <w:spacing w:after="0" w:line="179" w:lineRule="exact"/>
        <w:rPr>
          <w:sz w:val="20"/>
          <w:szCs w:val="20"/>
          <w:color w:val="auto"/>
        </w:rPr>
      </w:pPr>
    </w:p>
    <w:p>
      <w:pPr>
        <w:ind w:left="1340" w:right="920" w:firstLine="47"/>
        <w:spacing w:after="0" w:line="268" w:lineRule="auto"/>
        <w:tabs>
          <w:tab w:leader="none" w:pos="1713"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deliver to the Administrative Agent on the date of such substitution a certificate of a Responsible Officer certifying that each of the foregoing is true and correct as of such date.</w:t>
      </w:r>
    </w:p>
    <w:p>
      <w:pPr>
        <w:spacing w:after="0" w:line="166" w:lineRule="exact"/>
        <w:rPr>
          <w:sz w:val="20"/>
          <w:szCs w:val="20"/>
          <w:color w:val="auto"/>
        </w:rPr>
      </w:pPr>
    </w:p>
    <w:p>
      <w:pPr>
        <w:ind w:left="760" w:right="780" w:firstLine="48"/>
        <w:spacing w:after="0" w:line="256" w:lineRule="auto"/>
        <w:rPr>
          <w:sz w:val="20"/>
          <w:szCs w:val="20"/>
          <w:color w:val="auto"/>
        </w:rPr>
      </w:pPr>
      <w:r>
        <w:rPr>
          <w:rFonts w:ascii="Times New Roman" w:cs="Times New Roman" w:eastAsia="Times New Roman" w:hAnsi="Times New Roman"/>
          <w:sz w:val="19"/>
          <w:szCs w:val="19"/>
          <w:i w:val="1"/>
          <w:iCs w:val="1"/>
          <w:color w:val="auto"/>
        </w:rPr>
        <w:t>Section 10.04. Conditions Applicable to All Sale and Purchase Transactions</w:t>
      </w:r>
      <w:r>
        <w:rPr>
          <w:rFonts w:ascii="Times New Roman" w:cs="Times New Roman" w:eastAsia="Times New Roman" w:hAnsi="Times New Roman"/>
          <w:sz w:val="19"/>
          <w:szCs w:val="19"/>
          <w:color w:val="auto"/>
        </w:rPr>
        <w:t>. (a)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 effected under this Article X or in connection with the acquisition of additional Collateral Loans shall be conducted on an arm’s length basis and, if effected with a Person that is an Affiliate of the Collateral Manager (or with an account or portfolio for which the Collateral Manager or any of its Affiliates serves as investment adviser), shall be on terms no less favorable to the Borrower than would be the case if such Person were not such an Affiliate or as otherwise expressly permitted in this Agreement.</w:t>
      </w:r>
    </w:p>
    <w:p>
      <w:pPr>
        <w:spacing w:after="0" w:line="183" w:lineRule="exact"/>
        <w:rPr>
          <w:sz w:val="20"/>
          <w:szCs w:val="20"/>
          <w:color w:val="auto"/>
        </w:rPr>
      </w:pPr>
    </w:p>
    <w:p>
      <w:pPr>
        <w:ind w:left="760" w:right="760" w:firstLine="50"/>
        <w:spacing w:after="0" w:line="255" w:lineRule="auto"/>
        <w:tabs>
          <w:tab w:leader="none" w:pos="1080"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each contribution of one or more Collateral Loans from the BDC to the Borrower and upon each acquisition by the Borrower of a Collateral Loan from the BDC, the Collateral Manager or any of their respective Affiliates (each such contribution or other such acquisition, an </w:t>
      </w:r>
      <w:r>
        <w:rPr>
          <w:rFonts w:ascii="Times New Roman" w:cs="Times New Roman" w:eastAsia="Times New Roman" w:hAnsi="Times New Roman"/>
          <w:sz w:val="19"/>
          <w:szCs w:val="19"/>
          <w:i w:val="1"/>
          <w:iCs w:val="1"/>
          <w:color w:val="auto"/>
        </w:rPr>
        <w:t>“Affiliate Loan Acquisition”</w:t>
      </w:r>
      <w:r>
        <w:rPr>
          <w:rFonts w:ascii="Times New Roman" w:cs="Times New Roman" w:eastAsia="Times New Roman" w:hAnsi="Times New Roman"/>
          <w:sz w:val="19"/>
          <w:szCs w:val="19"/>
          <w:color w:val="auto"/>
        </w:rPr>
        <w:t>) (i) all of the Borrower’s right, title and interest to such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shall be subject to the Lien granted to the Collateral Agent pursuant to this Agreement and</w:t>
      </w:r>
    </w:p>
    <w:p>
      <w:pPr>
        <w:spacing w:after="0" w:line="1" w:lineRule="exact"/>
        <w:rPr>
          <w:rFonts w:ascii="Times New Roman" w:cs="Times New Roman" w:eastAsia="Times New Roman" w:hAnsi="Times New Roman"/>
          <w:sz w:val="19"/>
          <w:szCs w:val="19"/>
          <w:color w:val="auto"/>
        </w:rPr>
      </w:pPr>
    </w:p>
    <w:p>
      <w:pPr>
        <w:ind w:left="760" w:right="840" w:firstLine="2"/>
        <w:spacing w:after="0" w:line="254" w:lineRule="auto"/>
        <w:tabs>
          <w:tab w:leader="none" w:pos="1043"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Collateral Loan shall be Delivered to the Collateral Agent (or the Custodian on its behalf, as applicable),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the foregoing, the Related Documents and Loan Checklist may be delivered within ten (10) Business Days of the contribution or acquisition.</w:t>
      </w:r>
    </w:p>
    <w:p>
      <w:pPr>
        <w:spacing w:after="0" w:line="181" w:lineRule="exact"/>
        <w:rPr>
          <w:rFonts w:ascii="Times New Roman" w:cs="Times New Roman" w:eastAsia="Times New Roman" w:hAnsi="Times New Roman"/>
          <w:sz w:val="19"/>
          <w:szCs w:val="19"/>
          <w:color w:val="auto"/>
        </w:rPr>
      </w:pPr>
    </w:p>
    <w:p>
      <w:pPr>
        <w:ind w:left="760" w:right="820" w:firstLine="50"/>
        <w:spacing w:after="0" w:line="253" w:lineRule="auto"/>
        <w:tabs>
          <w:tab w:leader="none" w:pos="1069" w:val="left"/>
        </w:tabs>
        <w:numPr>
          <w:ilvl w:val="1"/>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Principal Balance of the Collateral Loan(s) which are the subject of any sale to an Affiliate of the Borrower under this Article X or substitution pursuant to Section 10.03, together with the sum of the Aggregate Principal Balance of all Collateral Loans sold to Affiliates or substituted in the 12 month period preceding the proposed date of sale or substitution (or such lesser number of months as shall have elapsed since the Closing Date) shall not exceed 20% of the highest Aggregate Principal Balance of Collateral Loans of the Borrower during such 12-month period (or such higher percentage as agreed to by the Administrative Agent); provided that, the sum of the Aggregate Principal Balance of Defaulted Collateral Loans or Ineligible Collateral Loans substituted or sold by the Borrower to Affiliates of the Collateral</w:t>
      </w:r>
    </w:p>
    <w:p>
      <w:pPr>
        <w:spacing w:after="0" w:line="2" w:lineRule="exact"/>
        <w:rPr>
          <w:sz w:val="20"/>
          <w:szCs w:val="20"/>
          <w:color w:val="auto"/>
        </w:rPr>
      </w:pPr>
    </w:p>
    <w:p>
      <w:pPr>
        <w:ind w:left="760" w:right="760"/>
        <w:spacing w:after="0" w:line="251" w:lineRule="auto"/>
        <w:rPr>
          <w:sz w:val="20"/>
          <w:szCs w:val="20"/>
          <w:color w:val="auto"/>
        </w:rPr>
      </w:pPr>
      <w:r>
        <w:rPr>
          <w:rFonts w:ascii="Times New Roman" w:cs="Times New Roman" w:eastAsia="Times New Roman" w:hAnsi="Times New Roman"/>
          <w:sz w:val="19"/>
          <w:szCs w:val="19"/>
          <w:color w:val="auto"/>
        </w:rPr>
        <w:t>Manager may not exceed 10% of the highest Aggregate Principal Balance of Collateral Loans of the Borrower during such 12 -month period. For the avoidance of doubt, the foregoing limitations shall not apply to (i) Warranty Loans (as defined in the Purchase and Sale Agreement) or (ii) where Collateral Loans are sold by the Borrower in connection with a Permitted Securitization.</w:t>
      </w:r>
    </w:p>
    <w:p>
      <w:pPr>
        <w:spacing w:after="0" w:line="219"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3" w:name="page224"/>
    <w:bookmarkEnd w:id="223"/>
    <w:p>
      <w:pPr>
        <w:spacing w:after="0" w:line="200" w:lineRule="exact"/>
        <w:rPr>
          <w:sz w:val="20"/>
          <w:szCs w:val="20"/>
          <w:color w:val="auto"/>
        </w:rPr>
      </w:pPr>
    </w:p>
    <w:p>
      <w:pPr>
        <w:spacing w:after="0" w:line="283" w:lineRule="exact"/>
        <w:rPr>
          <w:sz w:val="20"/>
          <w:szCs w:val="20"/>
          <w:color w:val="auto"/>
        </w:rPr>
      </w:pPr>
    </w:p>
    <w:p>
      <w:pPr>
        <w:ind w:left="760" w:right="86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10.05. Additional Equity Contributions</w:t>
      </w:r>
      <w:r>
        <w:rPr>
          <w:rFonts w:ascii="Times New Roman" w:cs="Times New Roman" w:eastAsia="Times New Roman" w:hAnsi="Times New Roman"/>
          <w:sz w:val="19"/>
          <w:szCs w:val="19"/>
          <w:color w:val="auto"/>
        </w:rPr>
        <w:t>. The BDC may, but shall have no obligation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at any time or from time to time contribute additional equity to the Borrower, including for the purpose of curing any Default, satisfying any Coverage Test, enabling the acquisition or sale of any Collateral Loan or satisfying any conditions under Section 3.02. Each equity contribution shall either be made (i) in Cash, (ii) by assignment and contribution of an Eligible Investment and/or (iii) by assignment and contribution of a Collateral Loan that is an Eligible Collateral Loan. All Cash contributed to the Borrower shall be treated as Principal Proceeds except to the extent that the Collateral Manager specifies that they shall constitute Interest Proceeds.</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Article XI</w:t>
      </w:r>
    </w:p>
    <w:p>
      <w:pPr>
        <w:spacing w:after="0" w:line="23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b w:val="1"/>
          <w:bCs w:val="1"/>
          <w:color w:val="auto"/>
        </w:rPr>
        <w:t>Administration and Servicing of Contracts</w:t>
      </w:r>
    </w:p>
    <w:p>
      <w:pPr>
        <w:spacing w:after="0" w:line="2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11.01. Designation of the Collateral Manager</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980" w:firstLine="50"/>
        <w:spacing w:after="0" w:line="256" w:lineRule="auto"/>
        <w:tabs>
          <w:tab w:leader="none" w:pos="1072"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Initial Collateral Manager</w:t>
      </w:r>
      <w:r>
        <w:rPr>
          <w:rFonts w:ascii="Times New Roman" w:cs="Times New Roman" w:eastAsia="Times New Roman" w:hAnsi="Times New Roman"/>
          <w:sz w:val="19"/>
          <w:szCs w:val="19"/>
          <w:color w:val="auto"/>
        </w:rPr>
        <w:t>. The servicing, administering and collection of the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be conducted in accordance with this Section 11.01 by the Person designated as the Collateral Manager hereunder. PennantPark Investment Advisors LLC is hereby appointed as, and hereby accepts such appointment and agrees to perform the duties and responsibilities, of Collateral Manager pursuant to the terms hereof. The Collateral Manager and the Borrower hereby acknowledge that each of the Secured Parties are third party beneficiaries of the obligations taken by the Collateral Manager hereunder.</w:t>
      </w:r>
    </w:p>
    <w:p>
      <w:pPr>
        <w:spacing w:after="0" w:line="181" w:lineRule="exact"/>
        <w:rPr>
          <w:rFonts w:ascii="Times New Roman" w:cs="Times New Roman" w:eastAsia="Times New Roman" w:hAnsi="Times New Roman"/>
          <w:sz w:val="19"/>
          <w:szCs w:val="19"/>
          <w:color w:val="auto"/>
        </w:rPr>
      </w:pPr>
    </w:p>
    <w:p>
      <w:pPr>
        <w:ind w:left="760" w:right="840" w:firstLine="50"/>
        <w:spacing w:after="0" w:line="255" w:lineRule="auto"/>
        <w:tabs>
          <w:tab w:leader="none" w:pos="1084"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Subcontracts</w:t>
      </w:r>
      <w:r>
        <w:rPr>
          <w:rFonts w:ascii="Times New Roman" w:cs="Times New Roman" w:eastAsia="Times New Roman" w:hAnsi="Times New Roman"/>
          <w:sz w:val="19"/>
          <w:szCs w:val="19"/>
          <w:color w:val="auto"/>
        </w:rPr>
        <w:t>. The Collateral Manager may, with the prior written consent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Administrative Agent, subcontract with any other Person for servicing, administering or collecting the Collateral;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the Collateral Manager shall select any such Person with reasonable care and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 (iii) any such subcontract shall be subject to the provisions hereof.</w:t>
      </w:r>
    </w:p>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11.02. Duties of the Collateral Manager</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1080" w:hanging="270"/>
        <w:spacing w:after="0"/>
        <w:tabs>
          <w:tab w:leader="none" w:pos="1080"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Duties</w:t>
      </w:r>
      <w:r>
        <w:rPr>
          <w:rFonts w:ascii="Times New Roman" w:cs="Times New Roman" w:eastAsia="Times New Roman" w:hAnsi="Times New Roman"/>
          <w:sz w:val="19"/>
          <w:szCs w:val="19"/>
          <w:color w:val="auto"/>
        </w:rPr>
        <w:t>. The Collateral Manager shall take or cause to be taken all such actions as may be</w:t>
      </w:r>
    </w:p>
    <w:p>
      <w:pPr>
        <w:spacing w:after="0" w:line="33" w:lineRule="exact"/>
        <w:rPr>
          <w:rFonts w:ascii="Times New Roman" w:cs="Times New Roman" w:eastAsia="Times New Roman" w:hAnsi="Times New Roman"/>
          <w:sz w:val="19"/>
          <w:szCs w:val="19"/>
          <w:color w:val="auto"/>
        </w:rPr>
      </w:pPr>
    </w:p>
    <w:p>
      <w:pPr>
        <w:ind w:left="760" w:right="74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necessary or advisable to service, administer and collect on the Collateral from time to time, all in accordance with Applicable Law and the Collateral Management Standard. Without limiting the foregoing, the duties of the Collateral Manager shall include the following:</w:t>
      </w:r>
    </w:p>
    <w:p>
      <w:pPr>
        <w:spacing w:after="0" w:line="179" w:lineRule="exact"/>
        <w:rPr>
          <w:rFonts w:ascii="Times New Roman" w:cs="Times New Roman" w:eastAsia="Times New Roman" w:hAnsi="Times New Roman"/>
          <w:sz w:val="19"/>
          <w:szCs w:val="19"/>
          <w:color w:val="auto"/>
        </w:rPr>
      </w:pPr>
    </w:p>
    <w:p>
      <w:pPr>
        <w:ind w:left="1340" w:right="1120" w:firstLine="47"/>
        <w:spacing w:after="0" w:line="262" w:lineRule="auto"/>
        <w:tabs>
          <w:tab w:leader="none" w:pos="1617"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supervising the Collateral, including communicating with Obligors, executing amendments, providing consents and waivers, exercising voting rights, enforcing and collecting on the Collateral and otherwise managing the Collateral on behalf of the Borrower;</w:t>
      </w:r>
    </w:p>
    <w:p>
      <w:pPr>
        <w:spacing w:after="0" w:line="174" w:lineRule="exact"/>
        <w:rPr>
          <w:rFonts w:ascii="Times New Roman" w:cs="Times New Roman" w:eastAsia="Times New Roman" w:hAnsi="Times New Roman"/>
          <w:sz w:val="19"/>
          <w:szCs w:val="19"/>
          <w:color w:val="auto"/>
        </w:rPr>
      </w:pPr>
    </w:p>
    <w:p>
      <w:pPr>
        <w:ind w:left="1660" w:hanging="273"/>
        <w:spacing w:after="0"/>
        <w:tabs>
          <w:tab w:leader="none" w:pos="1660"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preparing and submitting claims to Obligors on each Collateral Loan;</w:t>
      </w:r>
    </w:p>
    <w:p>
      <w:pPr>
        <w:spacing w:after="0" w:line="24"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4" w:name="page225"/>
    <w:bookmarkEnd w:id="224"/>
    <w:p>
      <w:pPr>
        <w:spacing w:after="0" w:line="200" w:lineRule="exact"/>
        <w:rPr>
          <w:sz w:val="20"/>
          <w:szCs w:val="20"/>
          <w:color w:val="auto"/>
        </w:rPr>
      </w:pPr>
    </w:p>
    <w:p>
      <w:pPr>
        <w:spacing w:after="0" w:line="285" w:lineRule="exact"/>
        <w:rPr>
          <w:sz w:val="20"/>
          <w:szCs w:val="20"/>
          <w:color w:val="auto"/>
        </w:rPr>
      </w:pPr>
    </w:p>
    <w:p>
      <w:pPr>
        <w:ind w:left="1720" w:hanging="333"/>
        <w:spacing w:after="0"/>
        <w:tabs>
          <w:tab w:leader="none" w:pos="172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maintaining all necessary servicing records with respect to the Collateral;</w:t>
      </w:r>
    </w:p>
    <w:p>
      <w:pPr>
        <w:spacing w:after="0" w:line="225" w:lineRule="exact"/>
        <w:rPr>
          <w:rFonts w:ascii="Times New Roman" w:cs="Times New Roman" w:eastAsia="Times New Roman" w:hAnsi="Times New Roman"/>
          <w:sz w:val="19"/>
          <w:szCs w:val="19"/>
          <w:color w:val="auto"/>
        </w:rPr>
      </w:pPr>
    </w:p>
    <w:p>
      <w:pPr>
        <w:ind w:left="1340" w:right="820" w:firstLine="47"/>
        <w:spacing w:after="0" w:line="259" w:lineRule="auto"/>
        <w:tabs>
          <w:tab w:leader="none" w:pos="1713"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maintaining and implementing administrative and operating procedures (including, without limitation,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177" w:lineRule="exact"/>
        <w:rPr>
          <w:rFonts w:ascii="Times New Roman" w:cs="Times New Roman" w:eastAsia="Times New Roman" w:hAnsi="Times New Roman"/>
          <w:sz w:val="19"/>
          <w:szCs w:val="19"/>
          <w:color w:val="auto"/>
        </w:rPr>
      </w:pPr>
    </w:p>
    <w:p>
      <w:pPr>
        <w:ind w:left="1340" w:right="860" w:firstLine="47"/>
        <w:spacing w:after="0" w:line="259" w:lineRule="auto"/>
        <w:tabs>
          <w:tab w:leader="none" w:pos="166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delivering to the Administrative Agent, each Lender, the Collateral Administrator or the Collateral Agent, from time to time, such information and servicing records (including information relating to its performance under this Agreement) as the Administrative Agent, the Collateral Administrator or the Collateral Agent may from time to time reasonably request;</w:t>
      </w:r>
    </w:p>
    <w:p>
      <w:pPr>
        <w:spacing w:after="0" w:line="177" w:lineRule="exact"/>
        <w:rPr>
          <w:rFonts w:ascii="Times New Roman" w:cs="Times New Roman" w:eastAsia="Times New Roman" w:hAnsi="Times New Roman"/>
          <w:sz w:val="19"/>
          <w:szCs w:val="19"/>
          <w:color w:val="auto"/>
        </w:rPr>
      </w:pPr>
    </w:p>
    <w:p>
      <w:pPr>
        <w:ind w:left="1340" w:right="880" w:firstLine="47"/>
        <w:spacing w:after="0" w:line="262" w:lineRule="auto"/>
        <w:tabs>
          <w:tab w:leader="none" w:pos="1713"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identifying each Collateral Loan clearly and unambiguously in its servicing records to reflect that such Collateral Loan is owned by the Borrower and that the Borrower is pledging a security interest therein to the Collateral Agent (for the benefit of the Secured Parties) pursuant to this Agreement;</w:t>
      </w:r>
    </w:p>
    <w:p>
      <w:pPr>
        <w:spacing w:after="0" w:line="174" w:lineRule="exact"/>
        <w:rPr>
          <w:rFonts w:ascii="Times New Roman" w:cs="Times New Roman" w:eastAsia="Times New Roman" w:hAnsi="Times New Roman"/>
          <w:sz w:val="19"/>
          <w:szCs w:val="19"/>
          <w:color w:val="auto"/>
        </w:rPr>
      </w:pPr>
    </w:p>
    <w:p>
      <w:pPr>
        <w:ind w:left="1340" w:right="840" w:firstLine="47"/>
        <w:spacing w:after="0" w:line="259" w:lineRule="auto"/>
        <w:tabs>
          <w:tab w:leader="none" w:pos="1767"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notifying the Administrative Agent and each Lender of any material action, suit, proceeding, dispute, offset, deduction, defense or counterclaim (1) that is or is threatened to be asserted by an Obligor with respect to any Collateral Loan (or portion thereof) of which it has actual knowledge or has received notice; or (2) that could reasonably be expected to have a Material Adverse Effect;</w:t>
      </w:r>
    </w:p>
    <w:p>
      <w:pPr>
        <w:spacing w:after="0" w:line="177" w:lineRule="exact"/>
        <w:rPr>
          <w:rFonts w:ascii="Times New Roman" w:cs="Times New Roman" w:eastAsia="Times New Roman" w:hAnsi="Times New Roman"/>
          <w:sz w:val="19"/>
          <w:szCs w:val="19"/>
          <w:color w:val="auto"/>
        </w:rPr>
      </w:pPr>
    </w:p>
    <w:p>
      <w:pPr>
        <w:ind w:left="1340" w:right="760" w:firstLine="47"/>
        <w:spacing w:after="0" w:line="286" w:lineRule="auto"/>
        <w:tabs>
          <w:tab w:leader="none" w:pos="182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maintaining the perfected security interest of the Collateral Agent, for the benefit of the Secured Parties, in the Collateral;</w:t>
      </w:r>
    </w:p>
    <w:p>
      <w:pPr>
        <w:spacing w:after="0" w:line="151" w:lineRule="exact"/>
        <w:rPr>
          <w:rFonts w:ascii="Times New Roman" w:cs="Times New Roman" w:eastAsia="Times New Roman" w:hAnsi="Times New Roman"/>
          <w:sz w:val="19"/>
          <w:szCs w:val="19"/>
          <w:color w:val="auto"/>
        </w:rPr>
      </w:pPr>
    </w:p>
    <w:p>
      <w:pPr>
        <w:ind w:left="1340" w:right="760" w:firstLine="47"/>
        <w:spacing w:after="0" w:line="268" w:lineRule="auto"/>
        <w:tabs>
          <w:tab w:leader="none" w:pos="1713"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each Collateral Loan included as part of the Collateral, making copies of the Related Documents available for inspection by the Administrative Agent, upon reasonable notice, at the offices of the Collateral Manager during normal business hours;</w:t>
      </w:r>
    </w:p>
    <w:p>
      <w:pPr>
        <w:spacing w:after="0" w:line="168" w:lineRule="exact"/>
        <w:rPr>
          <w:rFonts w:ascii="Times New Roman" w:cs="Times New Roman" w:eastAsia="Times New Roman" w:hAnsi="Times New Roman"/>
          <w:sz w:val="19"/>
          <w:szCs w:val="19"/>
          <w:color w:val="auto"/>
        </w:rPr>
      </w:pPr>
    </w:p>
    <w:p>
      <w:pPr>
        <w:ind w:left="1340" w:right="1480" w:firstLine="47"/>
        <w:spacing w:after="0" w:line="286" w:lineRule="auto"/>
        <w:tabs>
          <w:tab w:leader="none" w:pos="166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directing the Collateral Agent to make payments pursuant to the terms of the Payment Date Report in accordance with the Priority of Payments;</w:t>
      </w:r>
    </w:p>
    <w:p>
      <w:pPr>
        <w:spacing w:after="0" w:line="151" w:lineRule="exact"/>
        <w:rPr>
          <w:rFonts w:ascii="Times New Roman" w:cs="Times New Roman" w:eastAsia="Times New Roman" w:hAnsi="Times New Roman"/>
          <w:sz w:val="19"/>
          <w:szCs w:val="19"/>
          <w:color w:val="auto"/>
        </w:rPr>
      </w:pPr>
    </w:p>
    <w:p>
      <w:pPr>
        <w:ind w:left="1720" w:hanging="333"/>
        <w:spacing w:after="0"/>
        <w:tabs>
          <w:tab w:leader="none" w:pos="172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directing the acquisition, sale or substitution of Collateral in accordance with Article</w:t>
      </w:r>
    </w:p>
    <w:p>
      <w:pPr>
        <w:spacing w:after="0" w:line="31" w:lineRule="exact"/>
        <w:rPr>
          <w:rFonts w:ascii="Times New Roman" w:cs="Times New Roman" w:eastAsia="Times New Roman" w:hAnsi="Times New Roman"/>
          <w:sz w:val="19"/>
          <w:szCs w:val="19"/>
          <w:color w:val="auto"/>
        </w:rPr>
      </w:pPr>
    </w:p>
    <w:p>
      <w:pPr>
        <w:ind w:left="1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w:t>
      </w:r>
    </w:p>
    <w:p>
      <w:pPr>
        <w:spacing w:after="0" w:line="203" w:lineRule="exact"/>
        <w:rPr>
          <w:rFonts w:ascii="Times New Roman" w:cs="Times New Roman" w:eastAsia="Times New Roman" w:hAnsi="Times New Roman"/>
          <w:sz w:val="19"/>
          <w:szCs w:val="19"/>
          <w:color w:val="auto"/>
        </w:rPr>
      </w:pPr>
    </w:p>
    <w:p>
      <w:pPr>
        <w:ind w:left="1340" w:right="1080" w:firstLine="47"/>
        <w:spacing w:after="0" w:line="286" w:lineRule="auto"/>
        <w:tabs>
          <w:tab w:leader="none" w:pos="1767"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assistance to the Borrower with respect to the purchase and sale of the Collateral Loans;</w:t>
      </w:r>
    </w:p>
    <w:p>
      <w:pPr>
        <w:spacing w:after="0" w:line="151" w:lineRule="exact"/>
        <w:rPr>
          <w:rFonts w:ascii="Times New Roman" w:cs="Times New Roman" w:eastAsia="Times New Roman" w:hAnsi="Times New Roman"/>
          <w:sz w:val="19"/>
          <w:szCs w:val="19"/>
          <w:color w:val="auto"/>
        </w:rPr>
      </w:pPr>
    </w:p>
    <w:p>
      <w:pPr>
        <w:ind w:left="1340" w:right="1040" w:firstLine="47"/>
        <w:spacing w:after="0" w:line="258" w:lineRule="auto"/>
        <w:tabs>
          <w:tab w:leader="none" w:pos="182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instructing the Obligors and the administrative agents on the Collateral Loans to make payments directly into the Collection Account;</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5" w:name="page226"/>
    <w:bookmarkEnd w:id="225"/>
    <w:p>
      <w:pPr>
        <w:spacing w:after="0" w:line="200" w:lineRule="exact"/>
        <w:rPr>
          <w:sz w:val="20"/>
          <w:szCs w:val="20"/>
          <w:color w:val="auto"/>
        </w:rPr>
      </w:pPr>
    </w:p>
    <w:p>
      <w:pPr>
        <w:spacing w:after="0" w:line="285" w:lineRule="exact"/>
        <w:rPr>
          <w:sz w:val="20"/>
          <w:szCs w:val="20"/>
          <w:color w:val="auto"/>
        </w:rPr>
      </w:pPr>
    </w:p>
    <w:p>
      <w:pPr>
        <w:ind w:left="1340" w:right="760" w:firstLine="47"/>
        <w:spacing w:after="0" w:line="262" w:lineRule="auto"/>
        <w:tabs>
          <w:tab w:leader="none" w:pos="1809"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cooperating with the Collateral Administrator in preparing the Monthly Reports and Payment Date Reports and in its other duties hereunder and under the Collateral Administration Agreement in the manner and at the times required hereunder and under the Collateral Administration Agreement; and</w:t>
      </w:r>
    </w:p>
    <w:p>
      <w:pPr>
        <w:spacing w:after="0" w:line="174" w:lineRule="exact"/>
        <w:rPr>
          <w:rFonts w:ascii="Times New Roman" w:cs="Times New Roman" w:eastAsia="Times New Roman" w:hAnsi="Times New Roman"/>
          <w:sz w:val="19"/>
          <w:szCs w:val="19"/>
          <w:color w:val="auto"/>
        </w:rPr>
      </w:pPr>
    </w:p>
    <w:p>
      <w:pPr>
        <w:ind w:left="1340" w:right="980" w:firstLine="47"/>
        <w:spacing w:after="0" w:line="286" w:lineRule="auto"/>
        <w:tabs>
          <w:tab w:leader="none" w:pos="1756"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complying with such other duties and responsibilities as required of the Collateral Manager by this Agreement.</w:t>
      </w:r>
    </w:p>
    <w:p>
      <w:pPr>
        <w:spacing w:after="0" w:line="151" w:lineRule="exact"/>
        <w:rPr>
          <w:sz w:val="20"/>
          <w:szCs w:val="20"/>
          <w:color w:val="auto"/>
        </w:rPr>
      </w:pPr>
    </w:p>
    <w:p>
      <w:pPr>
        <w:ind w:left="760" w:right="1040" w:firstLine="576"/>
        <w:spacing w:after="0" w:line="262" w:lineRule="auto"/>
        <w:rPr>
          <w:sz w:val="20"/>
          <w:szCs w:val="20"/>
          <w:color w:val="auto"/>
        </w:rPr>
      </w:pPr>
      <w:r>
        <w:rPr>
          <w:rFonts w:ascii="Times New Roman" w:cs="Times New Roman" w:eastAsia="Times New Roman" w:hAnsi="Times New Roman"/>
          <w:sz w:val="19"/>
          <w:szCs w:val="19"/>
          <w:color w:val="auto"/>
        </w:rPr>
        <w:t>It is acknowledged and agreed that in circumstances in which a Person other than the Borrower or the Collateral Manager acts as lead agent with respect to any Collateral Loan, the Collateral Manager shall perform its servicing duties hereunder only to the extent that, as a lender under the Related Documents, it has the right to do so.</w:t>
      </w:r>
    </w:p>
    <w:p>
      <w:pPr>
        <w:spacing w:after="0" w:line="172" w:lineRule="exact"/>
        <w:rPr>
          <w:sz w:val="20"/>
          <w:szCs w:val="20"/>
          <w:color w:val="auto"/>
        </w:rPr>
      </w:pPr>
    </w:p>
    <w:p>
      <w:pPr>
        <w:ind w:left="760" w:right="760" w:firstLine="50"/>
        <w:spacing w:after="0" w:line="256" w:lineRule="auto"/>
        <w:tabs>
          <w:tab w:leader="none" w:pos="1084"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Exercise of Remedies Not Release</w:t>
      </w:r>
      <w:r>
        <w:rPr>
          <w:rFonts w:ascii="Times New Roman" w:cs="Times New Roman" w:eastAsia="Times New Roman" w:hAnsi="Times New Roman"/>
          <w:sz w:val="19"/>
          <w:szCs w:val="19"/>
          <w:color w:val="auto"/>
        </w:rPr>
        <w:t>. Notwithstanding anything to the contrary contained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herein, the exercise by the Administrative Agent, the Collateral Agent, each Lender and the Secured Parties of their rights hereunder or any other Facility Document shall not release the Collateral Manager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Collateral Manager hereunder.</w:t>
      </w:r>
    </w:p>
    <w:p>
      <w:pPr>
        <w:spacing w:after="0" w:line="181" w:lineRule="exact"/>
        <w:rPr>
          <w:rFonts w:ascii="Times New Roman" w:cs="Times New Roman" w:eastAsia="Times New Roman" w:hAnsi="Times New Roman"/>
          <w:sz w:val="19"/>
          <w:szCs w:val="19"/>
          <w:color w:val="auto"/>
        </w:rPr>
      </w:pPr>
    </w:p>
    <w:p>
      <w:pPr>
        <w:ind w:left="760" w:right="900" w:firstLine="50"/>
        <w:spacing w:after="0" w:line="258" w:lineRule="auto"/>
        <w:tabs>
          <w:tab w:leader="none" w:pos="1072"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Application of Obligor Payments. </w:t>
      </w:r>
      <w:r>
        <w:rPr>
          <w:rFonts w:ascii="Times New Roman" w:cs="Times New Roman" w:eastAsia="Times New Roman" w:hAnsi="Times New Roman"/>
          <w:sz w:val="19"/>
          <w:szCs w:val="19"/>
          <w:color w:val="auto"/>
        </w:rPr>
        <w:t>Any payment by an Obligor in respect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indebtedness owed by it to the Borrower shall, except as otherwise specified by such 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w:t>
      </w:r>
    </w:p>
    <w:p>
      <w:pPr>
        <w:spacing w:after="0" w:line="175" w:lineRule="exact"/>
        <w:rPr>
          <w:rFonts w:ascii="Times New Roman" w:cs="Times New Roman" w:eastAsia="Times New Roman" w:hAnsi="Times New Roman"/>
          <w:sz w:val="19"/>
          <w:szCs w:val="19"/>
          <w:color w:val="auto"/>
        </w:rPr>
      </w:pPr>
    </w:p>
    <w:p>
      <w:pPr>
        <w:ind w:left="760" w:right="760" w:firstLine="50"/>
        <w:spacing w:after="0" w:line="263" w:lineRule="auto"/>
        <w:tabs>
          <w:tab w:leader="none" w:pos="1084"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Cooperation with Backup Collateral Manager. </w:t>
      </w:r>
      <w:r>
        <w:rPr>
          <w:rFonts w:ascii="Times New Roman" w:cs="Times New Roman" w:eastAsia="Times New Roman" w:hAnsi="Times New Roman"/>
          <w:sz w:val="19"/>
          <w:szCs w:val="19"/>
          <w:color w:val="auto"/>
        </w:rPr>
        <w:t>The Collateral Manager shall perform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duties and take the actions necessary to comply with Article XIII hereof in the manner and at the times set forth therein and shall cooperate with the Backup Collateral Manager in its performance of its duties hereunder.</w:t>
      </w:r>
    </w:p>
    <w:p>
      <w:pPr>
        <w:spacing w:after="0" w:line="170" w:lineRule="exact"/>
        <w:rPr>
          <w:rFonts w:ascii="Times New Roman" w:cs="Times New Roman" w:eastAsia="Times New Roman" w:hAnsi="Times New Roman"/>
          <w:sz w:val="19"/>
          <w:szCs w:val="19"/>
          <w:color w:val="auto"/>
        </w:rPr>
      </w:pPr>
    </w:p>
    <w:p>
      <w:pPr>
        <w:ind w:left="1080" w:hanging="270"/>
        <w:spacing w:after="0"/>
        <w:tabs>
          <w:tab w:leader="none" w:pos="108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p>
    <w:p>
      <w:pPr>
        <w:spacing w:after="0" w:line="26"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6" w:name="page227"/>
    <w:bookmarkEnd w:id="226"/>
    <w:p>
      <w:pPr>
        <w:spacing w:after="0" w:line="200" w:lineRule="exact"/>
        <w:rPr>
          <w:sz w:val="20"/>
          <w:szCs w:val="20"/>
          <w:color w:val="auto"/>
        </w:rPr>
      </w:pPr>
    </w:p>
    <w:p>
      <w:pPr>
        <w:spacing w:after="0" w:line="283" w:lineRule="exact"/>
        <w:rPr>
          <w:sz w:val="20"/>
          <w:szCs w:val="20"/>
          <w:color w:val="auto"/>
        </w:rPr>
      </w:pPr>
    </w:p>
    <w:p>
      <w:pPr>
        <w:ind w:left="760" w:right="840"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Section 11.03. Liability of the Collateral Manager; Indemnification of the Collateral Manager Persons. </w:t>
      </w:r>
      <w:r>
        <w:rPr>
          <w:rFonts w:ascii="Times New Roman" w:cs="Times New Roman" w:eastAsia="Times New Roman" w:hAnsi="Times New Roman"/>
          <w:sz w:val="19"/>
          <w:szCs w:val="19"/>
          <w:color w:val="auto"/>
        </w:rPr>
        <w:t>(a) The Collateral Manager and any of its Affiliates, employees, shareholders,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members, partners, assigns, representatives or agents (each such individual or entity, a “</w:t>
      </w:r>
      <w:r>
        <w:rPr>
          <w:rFonts w:ascii="Times New Roman" w:cs="Times New Roman" w:eastAsia="Times New Roman" w:hAnsi="Times New Roman"/>
          <w:sz w:val="19"/>
          <w:szCs w:val="19"/>
          <w:i w:val="1"/>
          <w:iCs w:val="1"/>
          <w:color w:val="auto"/>
        </w:rPr>
        <w:t>Collateral Manager Person”</w:t>
      </w:r>
      <w:r>
        <w:rPr>
          <w:rFonts w:ascii="Times New Roman" w:cs="Times New Roman" w:eastAsia="Times New Roman" w:hAnsi="Times New Roman"/>
          <w:sz w:val="19"/>
          <w:szCs w:val="19"/>
          <w:color w:val="auto"/>
        </w:rPr>
        <w:t xml:space="preserve">) shall not be liable to the Borrower, any Lender, the Administrative Agent, the Lead Arranger, the Collateral Agent, the Backup Collateral Manager, the Custodian or any other Person for any liability, loss (including amounts paid in settlement), damages, judgments, costs, expenses (including reasonable attorneys’ fees and expenses and accountant’s fees and expenses), demands, charges or claim (collectively, the “ </w:t>
      </w:r>
      <w:r>
        <w:rPr>
          <w:rFonts w:ascii="Times New Roman" w:cs="Times New Roman" w:eastAsia="Times New Roman" w:hAnsi="Times New Roman"/>
          <w:sz w:val="19"/>
          <w:szCs w:val="19"/>
          <w:i w:val="1"/>
          <w:iCs w:val="1"/>
          <w:color w:val="auto"/>
        </w:rPr>
        <w:t>Damages</w:t>
      </w:r>
      <w:r>
        <w:rPr>
          <w:rFonts w:ascii="Times New Roman" w:cs="Times New Roman" w:eastAsia="Times New Roman" w:hAnsi="Times New Roman"/>
          <w:sz w:val="19"/>
          <w:szCs w:val="19"/>
          <w:color w:val="auto"/>
        </w:rPr>
        <w:t xml:space="preserve">”) incurred by reason of any act or omission or alleged act or omission performed or omitted by such Collateral Manager Person, or for any decrease in the value of the Collateral or any other losses suffered by any party;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 Collateral Manager Person shall be liable for any Damages that arise (i) by reason of any act or omission constituting bad faith, willful misconduct, or gross negligence by any Collateral Manager Person in the performance of or reckless disregard of the Collateral Manager’s duties hereunder or (ii) by any breach of the representations and warranties of the Collateral Manager expressly set forth in this Agreement (each such breach, a “</w:t>
      </w:r>
      <w:r>
        <w:rPr>
          <w:rFonts w:ascii="Times New Roman" w:cs="Times New Roman" w:eastAsia="Times New Roman" w:hAnsi="Times New Roman"/>
          <w:sz w:val="19"/>
          <w:szCs w:val="19"/>
          <w:i w:val="1"/>
          <w:iCs w:val="1"/>
          <w:color w:val="auto"/>
        </w:rPr>
        <w:t>Collateral Manager Breach</w:t>
      </w:r>
      <w:r>
        <w:rPr>
          <w:rFonts w:ascii="Times New Roman" w:cs="Times New Roman" w:eastAsia="Times New Roman" w:hAnsi="Times New Roman"/>
          <w:sz w:val="19"/>
          <w:szCs w:val="19"/>
          <w:color w:val="auto"/>
        </w:rPr>
        <w:t>”).</w:t>
      </w:r>
    </w:p>
    <w:p>
      <w:pPr>
        <w:spacing w:after="0" w:line="182" w:lineRule="exact"/>
        <w:rPr>
          <w:sz w:val="20"/>
          <w:szCs w:val="20"/>
          <w:color w:val="auto"/>
        </w:rPr>
      </w:pPr>
    </w:p>
    <w:p>
      <w:pPr>
        <w:ind w:left="760" w:right="840" w:firstLine="50"/>
        <w:spacing w:after="0" w:line="257" w:lineRule="auto"/>
        <w:tabs>
          <w:tab w:leader="none" w:pos="1080"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Manager may rely in good faith upon, and will incur no Damages for relying upon, (i) any authoritative source customarily used by firms performing services similar to those services provided by the Collateral Manager under this Agreement, and (ii) the advice of nationally recognized counsel, accountants or other advisors as the Collateral Manager determines reasonably appropriate in connection with the services provided by the Collateral Manager under this Agreement.</w:t>
      </w:r>
    </w:p>
    <w:p>
      <w:pPr>
        <w:spacing w:after="0" w:line="180" w:lineRule="exact"/>
        <w:rPr>
          <w:rFonts w:ascii="Times New Roman" w:cs="Times New Roman" w:eastAsia="Times New Roman" w:hAnsi="Times New Roman"/>
          <w:sz w:val="19"/>
          <w:szCs w:val="19"/>
          <w:color w:val="auto"/>
        </w:rPr>
      </w:pPr>
    </w:p>
    <w:p>
      <w:pPr>
        <w:ind w:left="760" w:right="800" w:firstLine="50"/>
        <w:spacing w:after="0" w:line="262" w:lineRule="auto"/>
        <w:tabs>
          <w:tab w:leader="none" w:pos="1069"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the Collateral Manager be liable for special, indirect or consequential losses or damages of any kind whatsoever (including but not limited to lost profits) even if the Collateral Manager has been advised of the likelihood of such damages and regardless of the form of such action.</w:t>
      </w:r>
    </w:p>
    <w:p>
      <w:pPr>
        <w:spacing w:after="0" w:line="174" w:lineRule="exact"/>
        <w:rPr>
          <w:rFonts w:ascii="Times New Roman" w:cs="Times New Roman" w:eastAsia="Times New Roman" w:hAnsi="Times New Roman"/>
          <w:sz w:val="19"/>
          <w:szCs w:val="19"/>
          <w:color w:val="auto"/>
        </w:rPr>
      </w:pPr>
    </w:p>
    <w:p>
      <w:pPr>
        <w:ind w:left="760" w:right="860" w:firstLine="50"/>
        <w:spacing w:after="0" w:line="256" w:lineRule="auto"/>
        <w:tabs>
          <w:tab w:leader="none" w:pos="1080"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Collateral Manager Person shall be held harmless and be indemnified by the Borrower for any Damages suffered by virtue of any acts or omissions or alleged acts or omissions arising out of the activities of such Collateral Manager Person in the performance of the obligations of the Collateral Manager under this Agreement or as a result of this Agreement, or the Borrower’s ownership interest in any portion of the Collateral Obligations, except to the extent any such Damage arises as a result of a Collateral Manager Breach. All amounts payable pursuant to this Section 11.03 shall be payable in accordance with the Priority of Payments.</w:t>
      </w:r>
    </w:p>
    <w:p>
      <w:pPr>
        <w:spacing w:after="0" w:line="179" w:lineRule="exact"/>
        <w:rPr>
          <w:sz w:val="20"/>
          <w:szCs w:val="20"/>
          <w:color w:val="auto"/>
        </w:rPr>
      </w:pPr>
    </w:p>
    <w:p>
      <w:pPr>
        <w:ind w:left="760" w:right="80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Section 11.04. Authorization of the Collateral Manager</w:t>
      </w:r>
      <w:r>
        <w:rPr>
          <w:rFonts w:ascii="Times New Roman" w:cs="Times New Roman" w:eastAsia="Times New Roman" w:hAnsi="Times New Roman"/>
          <w:sz w:val="19"/>
          <w:szCs w:val="19"/>
          <w:color w:val="auto"/>
        </w:rPr>
        <w:t>. The Borrower hereby authorizes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Collateral Manager to take any and all reasonable steps in its name and on its behalf necessary or desirable in the determination of the Collateral Manager and not inconsistent with the pledge of the Collateral by the Borrower to the Collateral Agent, on behalf of the Secured Parties, hereunder, to collect all amounts due under any and all Collateral, including, without limitation,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to the same extent as the Collateral</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7" w:name="page228"/>
    <w:bookmarkEnd w:id="227"/>
    <w:p>
      <w:pPr>
        <w:spacing w:after="0" w:line="200" w:lineRule="exact"/>
        <w:rPr>
          <w:sz w:val="20"/>
          <w:szCs w:val="20"/>
          <w:color w:val="auto"/>
        </w:rPr>
      </w:pPr>
    </w:p>
    <w:p>
      <w:pPr>
        <w:spacing w:after="0" w:line="285" w:lineRule="exact"/>
        <w:rPr>
          <w:sz w:val="20"/>
          <w:szCs w:val="20"/>
          <w:color w:val="auto"/>
        </w:rPr>
      </w:pPr>
    </w:p>
    <w:p>
      <w:pPr>
        <w:ind w:left="760" w:right="800"/>
        <w:spacing w:after="0" w:line="253" w:lineRule="auto"/>
        <w:rPr>
          <w:sz w:val="20"/>
          <w:szCs w:val="20"/>
          <w:color w:val="auto"/>
        </w:rPr>
      </w:pPr>
      <w:r>
        <w:rPr>
          <w:rFonts w:ascii="Times New Roman" w:cs="Times New Roman" w:eastAsia="Times New Roman" w:hAnsi="Times New Roman"/>
          <w:sz w:val="19"/>
          <w:szCs w:val="19"/>
          <w:color w:val="auto"/>
        </w:rPr>
        <w:t>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Secured Parties, the Collateral Agent, the Collateral Administrator, the Backup Collateral Manager, the Administrative Agent or any Lender a party to any litigation without such party’s express prior written consent, or to make the Borrower a party to any litigation (other than any foreclosure or similar collection procedure) without the Administrative Agent’s consent. Following the occurrence and continuance of an Event of Default (unless otherwise waived by the Lenders in accordance with Section 15.01), the Administrative Agent (acting in its sole discretion or at the direction of the Required Lenders) may provide notice to the Collateral Manager (with a copy to the Backup Collateral Manager, the Collateral Administrator, the Custodian and the Collateral Agent) that the Secured Parties are exercising their control rights with respect to the Collateral in accordance with the last paragraph of Section 6.01.</w:t>
      </w:r>
    </w:p>
    <w:p>
      <w:pPr>
        <w:spacing w:after="0" w:line="180" w:lineRule="exact"/>
        <w:rPr>
          <w:sz w:val="20"/>
          <w:szCs w:val="20"/>
          <w:color w:val="auto"/>
        </w:rPr>
      </w:pPr>
    </w:p>
    <w:p>
      <w:pPr>
        <w:ind w:left="760" w:right="80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Section 11.05. Realization Upon Defaulted Collateral Loans</w:t>
      </w:r>
      <w:r>
        <w:rPr>
          <w:rFonts w:ascii="Times New Roman" w:cs="Times New Roman" w:eastAsia="Times New Roman" w:hAnsi="Times New Roman"/>
          <w:sz w:val="19"/>
          <w:szCs w:val="19"/>
          <w:color w:val="auto"/>
        </w:rPr>
        <w:t>. The Collateral Manager will 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reasonable efforts consistent with the Collateral Management Standard, this Agreement and the Related Documents to exercise (on behalf of the Borrower) available remedies (which may include liquidating, foreclosing upon or repossessing, as applicable, or otherwise comparably converting the ownership of any related property) with respect to any Defaulted Collateral Loan. The Collateral Manager will comply with the Collateral Management Standard, the Related Documents and Applicable Law in realizing upon such related property, and employ practices and procedures, including reasonable efforts, consistent with the Collateral Management Standard and the Related Documents, to enforce all obligations of Obligors. Without limiting the generality of the foregoing, the Collateral Manager may cause the sale of any such related property to the Collateral Manager or its Affiliates for a purchase price equal to the then fair market value thereof, any such sale to be evidenced by a certificate of a Responsible Officer of the Collateral Manager delivered to the Administrative Agent setting forth the Collateral Loan, the related property, the sale price of the related property and certifying that such sale price is the fair market value of such related property. The Collateral Manager will remit to the Collection Account the recoveries received in connection with the sale or disposition of related property relating to any Defaulted Collateral Loan hereunder.</w:t>
      </w:r>
    </w:p>
    <w:p>
      <w:pPr>
        <w:spacing w:after="0" w:line="193" w:lineRule="exact"/>
        <w:rPr>
          <w:sz w:val="20"/>
          <w:szCs w:val="20"/>
          <w:color w:val="auto"/>
        </w:rPr>
      </w:pPr>
    </w:p>
    <w:p>
      <w:pPr>
        <w:ind w:left="760" w:right="82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11.06. Collateral Management Compensation</w:t>
      </w:r>
      <w:r>
        <w:rPr>
          <w:rFonts w:ascii="Times New Roman" w:cs="Times New Roman" w:eastAsia="Times New Roman" w:hAnsi="Times New Roman"/>
          <w:sz w:val="19"/>
          <w:szCs w:val="19"/>
          <w:color w:val="auto"/>
        </w:rPr>
        <w:t>. As compensation for its servicing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collateral management activities hereunder and reimbursement for its expenses, the Collateral Manager shall be entitled to receive the Senior and Subordinated Collateral Management Fees to the extent of funds available therefor pursuant to the Priority of Payments, as applicable. In consideration of the transactions contemplated by the investment advisory agreement between as PennantPark Investment Advisers, LLC and the BDC, for so long as PennantPark Investment Advisers, LLC is the Collateral Manager, the Collateral Manager hereby irrevocably directs the Borrower and the Collateral Agent to pay all Senior Collateral Management Fees and Subordinated Collateral Management Fees payable to the Collateral Manager hereunder directly to the BDC.</w:t>
      </w:r>
    </w:p>
    <w:p>
      <w:pPr>
        <w:spacing w:after="0" w:line="184" w:lineRule="exact"/>
        <w:rPr>
          <w:sz w:val="20"/>
          <w:szCs w:val="20"/>
          <w:color w:val="auto"/>
        </w:rPr>
      </w:pPr>
    </w:p>
    <w:p>
      <w:pPr>
        <w:ind w:left="760" w:right="780" w:firstLine="48"/>
        <w:spacing w:after="0" w:line="259" w:lineRule="auto"/>
        <w:rPr>
          <w:sz w:val="20"/>
          <w:szCs w:val="20"/>
          <w:color w:val="auto"/>
        </w:rPr>
      </w:pPr>
      <w:r>
        <w:rPr>
          <w:rFonts w:ascii="Times New Roman" w:cs="Times New Roman" w:eastAsia="Times New Roman" w:hAnsi="Times New Roman"/>
          <w:sz w:val="19"/>
          <w:szCs w:val="19"/>
          <w:i w:val="1"/>
          <w:iCs w:val="1"/>
          <w:color w:val="auto"/>
        </w:rPr>
        <w:t>Section 11.07. Payment of Certain Expenses by Collateral Manager</w:t>
      </w:r>
      <w:r>
        <w:rPr>
          <w:rFonts w:ascii="Times New Roman" w:cs="Times New Roman" w:eastAsia="Times New Roman" w:hAnsi="Times New Roman"/>
          <w:sz w:val="19"/>
          <w:szCs w:val="19"/>
          <w:color w:val="auto"/>
        </w:rPr>
        <w:t>. The Collateral Manager (if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Collateral Manager is an Affiliate of the Borrower) will be required to pay all</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8" w:name="page229"/>
    <w:bookmarkEnd w:id="228"/>
    <w:p>
      <w:pPr>
        <w:spacing w:after="0" w:line="200" w:lineRule="exact"/>
        <w:rPr>
          <w:sz w:val="20"/>
          <w:szCs w:val="20"/>
          <w:color w:val="auto"/>
        </w:rPr>
      </w:pPr>
    </w:p>
    <w:p>
      <w:pPr>
        <w:spacing w:after="0" w:line="285" w:lineRule="exact"/>
        <w:rPr>
          <w:sz w:val="20"/>
          <w:szCs w:val="20"/>
          <w:color w:val="auto"/>
        </w:rPr>
      </w:pPr>
    </w:p>
    <w:p>
      <w:pPr>
        <w:ind w:left="760" w:right="820"/>
        <w:spacing w:after="0" w:line="256" w:lineRule="auto"/>
        <w:rPr>
          <w:sz w:val="20"/>
          <w:szCs w:val="20"/>
          <w:color w:val="auto"/>
        </w:rPr>
      </w:pPr>
      <w:r>
        <w:rPr>
          <w:rFonts w:ascii="Times New Roman" w:cs="Times New Roman" w:eastAsia="Times New Roman" w:hAnsi="Times New Roman"/>
          <w:sz w:val="19"/>
          <w:szCs w:val="19"/>
          <w:color w:val="auto"/>
        </w:rPr>
        <w:t>expenses incurred by it in connection with its activities under this Agreement, including fees and disbursements of its independent accountants, Taxes imposed on the Collateral Manager, expenses incurred by the Collateral Manager in connection with the production of reports pursuant to this Agreement, and all other fees and expenses not expressly stated under this Agreement for the account of the Borrower. The Collateral Manager shall be required to pay such expenses for its own account and shall not be entitled to any payment therefor other than the Senior or Subordinated Collateral Management Fees.</w:t>
      </w:r>
    </w:p>
    <w:p>
      <w:pPr>
        <w:spacing w:after="0" w:line="179" w:lineRule="exact"/>
        <w:rPr>
          <w:sz w:val="20"/>
          <w:szCs w:val="20"/>
          <w:color w:val="auto"/>
        </w:rPr>
      </w:pPr>
    </w:p>
    <w:p>
      <w:pPr>
        <w:ind w:left="760" w:right="90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Section 11.08. The Collateral Manager Not to Resign; Assignment </w:t>
      </w:r>
      <w:r>
        <w:rPr>
          <w:rFonts w:ascii="Times New Roman" w:cs="Times New Roman" w:eastAsia="Times New Roman" w:hAnsi="Times New Roman"/>
          <w:sz w:val="19"/>
          <w:szCs w:val="19"/>
          <w:color w:val="auto"/>
        </w:rPr>
        <w:t>. The Collateral Manager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not resign from the obligations and duties hereby imposed on it except upon the Collateral Manager’s determination that the performance of its duties hereunder is or becomes impermissible under Applicable Law. Any such determination permitting the resignation of the Collateral Manager shall be evidenced by an opinion of counsel to such effect delivered to the Administrative Agent and each Lender. No such resignation shall become effective until a Successor Collateral Manager shall have assumed the responsibilities and obligations of the Collateral Manager in accordance with Section 11.09.</w:t>
      </w:r>
    </w:p>
    <w:p>
      <w:pPr>
        <w:spacing w:after="0" w:line="184" w:lineRule="exact"/>
        <w:rPr>
          <w:sz w:val="20"/>
          <w:szCs w:val="20"/>
          <w:color w:val="auto"/>
        </w:rPr>
      </w:pPr>
    </w:p>
    <w:p>
      <w:pPr>
        <w:ind w:left="760" w:right="780"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11.09. Appointment of Successor Collateral Manager</w:t>
      </w:r>
      <w:r>
        <w:rPr>
          <w:rFonts w:ascii="Times New Roman" w:cs="Times New Roman" w:eastAsia="Times New Roman" w:hAnsi="Times New Roman"/>
          <w:sz w:val="19"/>
          <w:szCs w:val="19"/>
          <w:color w:val="auto"/>
        </w:rPr>
        <w:t>. (a) Upon resignation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Collateral Manager pursuant to Section 11.08 or the occurrence and continuance of a Collateral Manager Event of Default or a Collateral Manager Replacement Event, the Administrative Agent may (with the consent of the Required Lenders) at any time appoint a successor collateral manager (the </w:t>
      </w:r>
      <w:r>
        <w:rPr>
          <w:rFonts w:ascii="Times New Roman" w:cs="Times New Roman" w:eastAsia="Times New Roman" w:hAnsi="Times New Roman"/>
          <w:sz w:val="19"/>
          <w:szCs w:val="19"/>
          <w:i w:val="1"/>
          <w:iCs w:val="1"/>
          <w:color w:val="auto"/>
        </w:rPr>
        <w:t>“Successor Collateral Manager”</w:t>
      </w:r>
      <w:r>
        <w:rPr>
          <w:rFonts w:ascii="Times New Roman" w:cs="Times New Roman" w:eastAsia="Times New Roman" w:hAnsi="Times New Roman"/>
          <w:sz w:val="19"/>
          <w:szCs w:val="19"/>
          <w:color w:val="auto"/>
        </w:rPr>
        <w:t xml:space="preserve">), which, for the avoidance of doubt may be the Backup Collateral Manager, the Administrative Agent or any Lender, and such Successor Collateral Manager shall accept its appointment by a written assumption in a form acceptable to the Administrative Agent. No assignment of this Agreement by the Collateral Manager (including, without limitation, a change in control or management of the Collateral Manager which would be deemed an “assignment” under the Investment Advisers Act of 1940, as amended) shall be made unless such assignment is consented to in writing by the Borrower, </w:t>
      </w: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nothing herein shall be construed to restrict the ability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to replace the Collateral Manager upon the occurrence of a Collateral Manager Event of Default or a Collateral Manager Replacement Event pursuant to Section 11.09 hereof or any obligations of the Collateral Manager in connection with such provisions.</w:t>
      </w:r>
    </w:p>
    <w:p>
      <w:pPr>
        <w:spacing w:after="0" w:line="182" w:lineRule="exact"/>
        <w:rPr>
          <w:sz w:val="20"/>
          <w:szCs w:val="20"/>
          <w:color w:val="auto"/>
        </w:rPr>
      </w:pPr>
    </w:p>
    <w:p>
      <w:pPr>
        <w:ind w:left="760" w:right="840" w:firstLine="50"/>
        <w:spacing w:after="0" w:line="251" w:lineRule="auto"/>
        <w:tabs>
          <w:tab w:leader="none" w:pos="1080"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its appointment (the “</w:t>
      </w:r>
      <w:r>
        <w:rPr>
          <w:rFonts w:ascii="Times New Roman" w:cs="Times New Roman" w:eastAsia="Times New Roman" w:hAnsi="Times New Roman"/>
          <w:sz w:val="19"/>
          <w:szCs w:val="19"/>
          <w:i w:val="1"/>
          <w:iCs w:val="1"/>
          <w:color w:val="auto"/>
        </w:rPr>
        <w:t>Assumption Date</w:t>
      </w:r>
      <w:r>
        <w:rPr>
          <w:rFonts w:ascii="Times New Roman" w:cs="Times New Roman" w:eastAsia="Times New Roman" w:hAnsi="Times New Roman"/>
          <w:sz w:val="19"/>
          <w:szCs w:val="19"/>
          <w:color w:val="auto"/>
        </w:rPr>
        <w:t xml:space="preserve">”), the Successor Collateral Manager shall be the successor in all respects to the Collateral Manager with respect to collateral management functions under this Agreement and shall be subject to all the responsibilities, duties and liabilities relating thereto placed on the Collateral Manager by the terms and provisions hereof, and all references in this Agreement to the Collateral Manager shall be deemed to refer to the Successor Collateral Manager;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Successor Collateral Manager shall not (i) be deemed to have assumed or to become liable for, or otherwise have any liability for, any duties, responsibilities, actions performed, breaches, defaults, claims, obligations or liabilities of the terminated Collateral Manager or any other predecessor Collateral Manager arising before the Assumption Date, (ii) have any obligation to pay any taxes required to be paid by the terminated Collateral Manager or any other predecessor Collateral Manager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Successor Collateral Manager shall pay any income taxes for which it is liable), (iii) have any liability for any failure to perform its duties as Collateral Manager, or any loss or damages arising from such</w:t>
      </w:r>
    </w:p>
    <w:p>
      <w:pPr>
        <w:spacing w:after="0" w:line="1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29" w:name="page230"/>
    <w:bookmarkEnd w:id="229"/>
    <w:p>
      <w:pPr>
        <w:spacing w:after="0" w:line="200" w:lineRule="exact"/>
        <w:rPr>
          <w:sz w:val="20"/>
          <w:szCs w:val="20"/>
          <w:color w:val="auto"/>
        </w:rPr>
      </w:pPr>
    </w:p>
    <w:p>
      <w:pPr>
        <w:spacing w:after="0" w:line="285" w:lineRule="exact"/>
        <w:rPr>
          <w:sz w:val="20"/>
          <w:szCs w:val="20"/>
          <w:color w:val="auto"/>
        </w:rPr>
      </w:pPr>
    </w:p>
    <w:p>
      <w:pPr>
        <w:ind w:left="760" w:right="780"/>
        <w:spacing w:after="0" w:line="252" w:lineRule="auto"/>
        <w:rPr>
          <w:sz w:val="20"/>
          <w:szCs w:val="20"/>
          <w:color w:val="auto"/>
        </w:rPr>
      </w:pPr>
      <w:r>
        <w:rPr>
          <w:rFonts w:ascii="Times New Roman" w:cs="Times New Roman" w:eastAsia="Times New Roman" w:hAnsi="Times New Roman"/>
          <w:sz w:val="19"/>
          <w:szCs w:val="19"/>
          <w:color w:val="auto"/>
        </w:rPr>
        <w:t>failure, that results from the actions (or inaction) of the terminated Collateral Manager or any other predecessor Collateral Manager on or before the Assumption Date, (iv) have any obligation to perform advancing or repurchase obligations, if any, of the Borrower, the terminated Collateral Manager or any other predecessor Collateral Manager unless it elects to do so in its sole discretion, (v) have any obligation to pay any of the fees and expenses of any other party to the transaction contemplated by this Agreement or any Facility Document, (vi) have any liability with respect to any of the representations and warranties of the Collateral Manager under this Agreement, (vii) have any obligation to expend or risk its own funds or otherwise incur any financial liability in the performance of its duties hereunder or in the exercise of any of its rights and powers, if, in its reasonable judgment, it shall believe that repayment of such funds or adequate indemnity against such risk or liability is not assured to it and (viii) have any obligation to file or record any financing statements or other documents in order to perfect or continue any security interests contemplated by this Agreement unless it has been directed by the Administrative Agent to make such filing or recordation. The indemnification obligations of the Successor Collateral Manager, upon becoming a Successor Collateral Manager, are expressly limited to those arising on account of its failure to act in good faith and with reasonable care under the circumstances.</w:t>
      </w:r>
    </w:p>
    <w:p>
      <w:pPr>
        <w:spacing w:after="0" w:line="193" w:lineRule="exact"/>
        <w:rPr>
          <w:sz w:val="20"/>
          <w:szCs w:val="20"/>
          <w:color w:val="auto"/>
        </w:rPr>
      </w:pPr>
    </w:p>
    <w:p>
      <w:pPr>
        <w:ind w:left="760" w:right="780" w:firstLine="50"/>
        <w:spacing w:after="0" w:line="253" w:lineRule="auto"/>
        <w:tabs>
          <w:tab w:leader="none" w:pos="1069"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Manager agrees to cooperate and use its commercially reasonable efforts in effecting the transition of the responsibilities and rights of servicing of the Collateral, including, without limitation, the transfer to the Successor Collateral Manager for the administration by it of all cash amounts that shall at the time be held by the Collateral Manager for deposit, or have been deposited by the Collateral Manager, or thereafter received with respect to the Collateral and the delivery to the Successor Collateral Manager in an orderly and timely fashion of all files and records with respect to the Collateral and a computer data file in readable form containing all information necessary to enable the Successor Collateral Manager to service the Collateral. In addition, the Collateral Manager agrees to cooperate and use its commercially reasonable efforts in providing, at the expense of the Collateral Manager, the Successor Collateral Manager with reasonable access (including at the premises of the Collateral Manager) to the employees of the Collateral Manager, and any and all of the books, records (in electronic or other form) or other information reasonably requested by it to enable the Successor Collateral Manager to assume the servicing functions hereunder and under this Agreement and to maintain a list of key servicing personnel and contact information.</w:t>
      </w:r>
    </w:p>
    <w:p>
      <w:pPr>
        <w:spacing w:after="0" w:line="182" w:lineRule="exact"/>
        <w:rPr>
          <w:rFonts w:ascii="Times New Roman" w:cs="Times New Roman" w:eastAsia="Times New Roman" w:hAnsi="Times New Roman"/>
          <w:sz w:val="19"/>
          <w:szCs w:val="19"/>
          <w:color w:val="auto"/>
        </w:rPr>
      </w:pPr>
    </w:p>
    <w:p>
      <w:pPr>
        <w:ind w:left="760" w:right="780" w:firstLine="50"/>
        <w:spacing w:after="0" w:line="252" w:lineRule="auto"/>
        <w:tabs>
          <w:tab w:leader="none" w:pos="1080"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Successor Collateral Manager’s assumption of, and its agreement to perform and observe, all duties, responsibilities and obligations of the Collateral Manager under this Agreement arising on and after the Assumption Date, the Successor Collateral Manager shall not be deemed to have assumed or to become liable for, or otherwise have any liability for, any duties, responsibilities, obligations or liabilities of the initial Collateral Manager or any other predecessor Collateral Manager arising under the terms of this Agreement, arising by operation of law or otherwise with respect to the period ending on the Assumption Date, including, without limitation, any liability for, any duties, responsibilities, obligations or liabilities of the initial Collateral Manager or any other predecessor Collateral Manager arising on or before the Assumption Date under this Agreement, regardless of when the liability, duty, responsibility or obligation of the initial Collateral Manager or any other predecessor Collateral Manager therefor arose, whether provided by the terms of this Agreement arising by operation of law or otherwise,</w:t>
      </w:r>
    </w:p>
    <w:p>
      <w:pPr>
        <w:spacing w:after="0" w:line="6" w:lineRule="exact"/>
        <w:rPr>
          <w:sz w:val="20"/>
          <w:szCs w:val="20"/>
          <w:color w:val="auto"/>
        </w:rPr>
      </w:pPr>
    </w:p>
    <w:p>
      <w:pPr>
        <w:jc w:val="center"/>
        <w:ind w:left="760" w:right="800"/>
        <w:spacing w:after="0" w:line="233" w:lineRule="exact"/>
        <w:rPr>
          <w:sz w:val="20"/>
          <w:szCs w:val="20"/>
          <w:color w:val="auto"/>
        </w:rPr>
      </w:pPr>
      <w:r>
        <w:rPr>
          <w:rFonts w:ascii="Times New Roman" w:cs="Times New Roman" w:eastAsia="Times New Roman" w:hAnsi="Times New Roman"/>
          <w:sz w:val="19"/>
          <w:szCs w:val="19"/>
          <w:color w:val="auto"/>
        </w:rPr>
        <w:t xml:space="preserve">and in no case will the Successor Collateral Manager have any liability for any failure to perform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138</w:t>
      </w:r>
      <w:r>
        <w:rPr>
          <w:rFonts w:ascii="MS PGothic" w:cs="MS PGothic" w:eastAsia="MS PGothic" w:hAnsi="MS PGothic"/>
          <w:sz w:val="19"/>
          <w:szCs w:val="19"/>
          <w:color w:val="auto"/>
        </w:rPr>
        <w:t>‑</w:t>
      </w:r>
    </w:p>
    <w:p>
      <w:pPr>
        <w:spacing w:after="0" w:line="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0" w:name="page231"/>
    <w:bookmarkEnd w:id="230"/>
    <w:p>
      <w:pPr>
        <w:spacing w:after="0" w:line="200" w:lineRule="exact"/>
        <w:rPr>
          <w:sz w:val="20"/>
          <w:szCs w:val="20"/>
          <w:color w:val="auto"/>
        </w:rPr>
      </w:pPr>
    </w:p>
    <w:p>
      <w:pPr>
        <w:spacing w:after="0" w:line="285" w:lineRule="exact"/>
        <w:rPr>
          <w:sz w:val="20"/>
          <w:szCs w:val="20"/>
          <w:color w:val="auto"/>
        </w:rPr>
      </w:pPr>
    </w:p>
    <w:p>
      <w:pPr>
        <w:ind w:left="760" w:right="1100"/>
        <w:spacing w:after="0" w:line="268" w:lineRule="auto"/>
        <w:rPr>
          <w:sz w:val="20"/>
          <w:szCs w:val="20"/>
          <w:color w:val="auto"/>
        </w:rPr>
      </w:pPr>
      <w:r>
        <w:rPr>
          <w:rFonts w:ascii="Times New Roman" w:cs="Times New Roman" w:eastAsia="Times New Roman" w:hAnsi="Times New Roman"/>
          <w:sz w:val="19"/>
          <w:szCs w:val="19"/>
          <w:color w:val="auto"/>
        </w:rPr>
        <w:t>its duties as Collateral Manager, or any loss or damages arising from such failure, that results from the actions (or inaction) of the initial Collateral Manager or any other predecessor Collateral Manager on or before the Assumption Date.</w:t>
      </w:r>
    </w:p>
    <w:p>
      <w:pPr>
        <w:spacing w:after="0" w:line="168" w:lineRule="exact"/>
        <w:rPr>
          <w:sz w:val="20"/>
          <w:szCs w:val="20"/>
          <w:color w:val="auto"/>
        </w:rPr>
      </w:pPr>
    </w:p>
    <w:p>
      <w:pPr>
        <w:ind w:left="760" w:right="820" w:firstLine="50"/>
        <w:spacing w:after="0" w:line="268" w:lineRule="auto"/>
        <w:tabs>
          <w:tab w:leader="none" w:pos="1069"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Successor Collateral Manager undertakes to perform only such duties and obligations as are specifically set forth in this Agreement, it being expressly understood by all parties hereto that there are no implied duties or obligations of the Successor Collateral Manager hereunder.</w:t>
      </w:r>
    </w:p>
    <w:p>
      <w:pPr>
        <w:spacing w:after="0" w:line="168" w:lineRule="exact"/>
        <w:rPr>
          <w:rFonts w:ascii="Times New Roman" w:cs="Times New Roman" w:eastAsia="Times New Roman" w:hAnsi="Times New Roman"/>
          <w:sz w:val="19"/>
          <w:szCs w:val="19"/>
          <w:color w:val="auto"/>
        </w:rPr>
      </w:pPr>
    </w:p>
    <w:p>
      <w:pPr>
        <w:ind w:left="760" w:right="820" w:firstLine="50"/>
        <w:spacing w:after="0" w:line="229" w:lineRule="exact"/>
        <w:tabs>
          <w:tab w:leader="none" w:pos="1048"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contained in this Agreement or any Facility Document to the contrary, the Successor Collateral Manager is authorized to accept and rely on all of the accounting, records (including computer records) and work of the prior Collateral Manager relating to the Collateral Loans (collectively, the </w:t>
      </w:r>
      <w:r>
        <w:rPr>
          <w:rFonts w:ascii="Times New Roman" w:cs="Times New Roman" w:eastAsia="Times New Roman" w:hAnsi="Times New Roman"/>
          <w:sz w:val="19"/>
          <w:szCs w:val="19"/>
          <w:i w:val="1"/>
          <w:iCs w:val="1"/>
          <w:color w:val="auto"/>
        </w:rPr>
        <w:t>“Predecessor Collateral Manager Work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Product”</w:t>
      </w:r>
      <w:r>
        <w:rPr>
          <w:rFonts w:ascii="Times New Roman" w:cs="Times New Roman" w:eastAsia="Times New Roman" w:hAnsi="Times New Roman"/>
          <w:sz w:val="19"/>
          <w:szCs w:val="19"/>
          <w:color w:val="auto"/>
        </w:rPr>
        <w:t>) without any audit or other examination thereof, except to the extent that it knows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records or work product to be incorrect, and such Successor Collateral Manager shall have no duty, responsibility, obligation or liability for the acts and omissions of the prior Collateral Manager or any other predecessor Collateral Manager. If any error, inaccuracy, omission or incorrect or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standard practice or procedure (collectively, </w:t>
      </w:r>
      <w:r>
        <w:rPr>
          <w:rFonts w:ascii="Times New Roman" w:cs="Times New Roman" w:eastAsia="Times New Roman" w:hAnsi="Times New Roman"/>
          <w:sz w:val="19"/>
          <w:szCs w:val="19"/>
          <w:i w:val="1"/>
          <w:iCs w:val="1"/>
          <w:color w:val="auto"/>
        </w:rPr>
        <w:t>“Errors”</w:t>
      </w:r>
      <w:r>
        <w:rPr>
          <w:rFonts w:ascii="Times New Roman" w:cs="Times New Roman" w:eastAsia="Times New Roman" w:hAnsi="Times New Roman"/>
          <w:sz w:val="19"/>
          <w:szCs w:val="19"/>
          <w:color w:val="auto"/>
        </w:rPr>
        <w:t xml:space="preserve">) exist in any Predecessor Collateral Manager Work Product and such Errors make it materially more difficult to service or should cause or materially contribute to the Successor Collateral Manager making or continuing any Errors (collectively, </w:t>
      </w:r>
      <w:r>
        <w:rPr>
          <w:rFonts w:ascii="Times New Roman" w:cs="Times New Roman" w:eastAsia="Times New Roman" w:hAnsi="Times New Roman"/>
          <w:sz w:val="19"/>
          <w:szCs w:val="19"/>
          <w:i w:val="1"/>
          <w:iCs w:val="1"/>
          <w:color w:val="auto"/>
        </w:rPr>
        <w:t>“Continued Errors”</w:t>
      </w:r>
      <w:r>
        <w:rPr>
          <w:rFonts w:ascii="Times New Roman" w:cs="Times New Roman" w:eastAsia="Times New Roman" w:hAnsi="Times New Roman"/>
          <w:sz w:val="19"/>
          <w:szCs w:val="19"/>
          <w:color w:val="auto"/>
        </w:rPr>
        <w:t xml:space="preserve">), such Successor Collateral Manager shall have no duty, responsibility, obligation or liability for such Continued Errors;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Successor Collateral Manager agrees to use commercially reasonable efforts to prevent further Continued Errors. In the event that the Successor Collateral Manager becomes aware of Errors or Continued Errors, it shall, with the prior consent of the Administrative Agent, use its commercially reasonable efforts to reconstruct and reconcile such data as is commercially reasonable to correct such Errors and Continued Errors and to prevent future Continued Errors. The Successor Collateral Manager shall be entitled to recover its costs thereby expended in accordance with the Priority of Payments.</w:t>
      </w:r>
    </w:p>
    <w:p>
      <w:pPr>
        <w:spacing w:after="0" w:line="207" w:lineRule="exact"/>
        <w:rPr>
          <w:rFonts w:ascii="Times New Roman" w:cs="Times New Roman" w:eastAsia="Times New Roman" w:hAnsi="Times New Roman"/>
          <w:sz w:val="19"/>
          <w:szCs w:val="19"/>
          <w:color w:val="auto"/>
        </w:rPr>
      </w:pPr>
    </w:p>
    <w:p>
      <w:pPr>
        <w:ind w:left="760" w:right="840" w:firstLine="50"/>
        <w:spacing w:after="0" w:line="232" w:lineRule="exact"/>
        <w:tabs>
          <w:tab w:leader="none" w:pos="108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Manager will, upon the request of the Successor Collateral Manager, provide the Successor Collateral Manager with a power of attorney providing that the Successor Collateral Manager is authorized and empowered to execute and deliver, on behalf of the Collateral Manager, as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otherwise, any and all documents and other instruments, and to do so or accomplish all other acts or things necessary or appropriate to effect the purposes of such notice of termination or to perform the duties of the Collateral Manager under this Agreement.</w:t>
      </w:r>
    </w:p>
    <w:p>
      <w:pPr>
        <w:spacing w:after="0" w:line="193" w:lineRule="exact"/>
        <w:rPr>
          <w:rFonts w:ascii="Times New Roman" w:cs="Times New Roman" w:eastAsia="Times New Roman" w:hAnsi="Times New Roman"/>
          <w:sz w:val="19"/>
          <w:szCs w:val="19"/>
          <w:color w:val="auto"/>
        </w:rPr>
      </w:pPr>
    </w:p>
    <w:p>
      <w:pPr>
        <w:ind w:left="760" w:right="800" w:firstLine="50"/>
        <w:spacing w:after="0" w:line="259" w:lineRule="auto"/>
        <w:tabs>
          <w:tab w:leader="none" w:pos="108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Successor Collateral Manager shall not be liable for an action or omission to act hereunder, except for its own willful misconduct, gross negligence or bad faith. Under no circumstances will the Successor Collateral Manager be liable for indirect, special, consequential or incidental damages, such as loss of use, revenue or profit. In no event shall the Successor Collateral Manager be liable to the Borrower for any bad debts or other defaults by Obligors.</w:t>
      </w:r>
    </w:p>
    <w:p>
      <w:pPr>
        <w:spacing w:after="0" w:line="177" w:lineRule="exact"/>
        <w:rPr>
          <w:rFonts w:ascii="Times New Roman" w:cs="Times New Roman" w:eastAsia="Times New Roman" w:hAnsi="Times New Roman"/>
          <w:sz w:val="19"/>
          <w:szCs w:val="19"/>
          <w:color w:val="auto"/>
        </w:rPr>
      </w:pPr>
    </w:p>
    <w:p>
      <w:pPr>
        <w:ind w:left="760" w:right="800" w:firstLine="50"/>
        <w:spacing w:after="0" w:line="255" w:lineRule="auto"/>
        <w:tabs>
          <w:tab w:leader="none" w:pos="1037"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set forth herein, the Successor Collateral Manager shall have no duty to review any information regarding the Collateral Manager, including any financial statements or the information set forth herein.</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1" w:name="page232"/>
    <w:bookmarkEnd w:id="231"/>
    <w:p>
      <w:pPr>
        <w:spacing w:after="0" w:line="200" w:lineRule="exact"/>
        <w:rPr>
          <w:sz w:val="20"/>
          <w:szCs w:val="20"/>
          <w:color w:val="auto"/>
        </w:rPr>
      </w:pPr>
    </w:p>
    <w:p>
      <w:pPr>
        <w:spacing w:after="0" w:line="285" w:lineRule="exact"/>
        <w:rPr>
          <w:sz w:val="20"/>
          <w:szCs w:val="20"/>
          <w:color w:val="auto"/>
        </w:rPr>
      </w:pPr>
    </w:p>
    <w:p>
      <w:pPr>
        <w:ind w:left="760" w:right="800" w:firstLine="50"/>
        <w:spacing w:after="0" w:line="255" w:lineRule="auto"/>
        <w:tabs>
          <w:tab w:leader="none" w:pos="1037"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Successor Collateral Manager is prevented from fulfilling its obligations hereunder as a result of government actions, regulations, fires, strikes, accidents, acts of God or other causes beyond the control of such party, the Successor Collateral Manager shall use commercially reasonable efforts to resume performance as soon as reasonably possible, and the Successor Collateral Manager’s obligations shall be suspended for a reasonable time during which such conditions exist. Except as set forth herein, the Backup Collateral Manager shall have no duty to review any information regarding the Collateral Manager, including any financial statements or the information set forth herein.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XII</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The Agents</w:t>
      </w:r>
    </w:p>
    <w:p>
      <w:pPr>
        <w:spacing w:after="0" w:line="226" w:lineRule="exact"/>
        <w:rPr>
          <w:sz w:val="20"/>
          <w:szCs w:val="20"/>
          <w:color w:val="auto"/>
        </w:rPr>
      </w:pPr>
    </w:p>
    <w:p>
      <w:pPr>
        <w:ind w:left="760" w:right="74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Section 12.01. Authorization and Action </w:t>
      </w:r>
      <w:r>
        <w:rPr>
          <w:rFonts w:ascii="Times New Roman" w:cs="Times New Roman" w:eastAsia="Times New Roman" w:hAnsi="Times New Roman"/>
          <w:sz w:val="19"/>
          <w:szCs w:val="19"/>
          <w:color w:val="auto"/>
        </w:rPr>
        <w:t>. Each Lender hereby irrevocably appoints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authorizes the Administrative Agent and the Collateral 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86" w:lineRule="exact"/>
        <w:rPr>
          <w:sz w:val="20"/>
          <w:szCs w:val="20"/>
          <w:color w:val="auto"/>
        </w:rPr>
      </w:pPr>
    </w:p>
    <w:p>
      <w:pPr>
        <w:ind w:left="760" w:right="780" w:firstLine="624"/>
        <w:spacing w:after="0" w:line="252" w:lineRule="auto"/>
        <w:rPr>
          <w:sz w:val="20"/>
          <w:szCs w:val="20"/>
          <w:color w:val="auto"/>
        </w:rPr>
      </w:pPr>
      <w:r>
        <w:rPr>
          <w:rFonts w:ascii="Times New Roman" w:cs="Times New Roman" w:eastAsia="Times New Roman" w:hAnsi="Times New Roman"/>
          <w:sz w:val="19"/>
          <w:szCs w:val="19"/>
          <w:color w:val="auto"/>
        </w:rPr>
        <w:t>If the Collateral Agent has been requested or directed by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Collateral Agent to expend or risk its own funds or to take any action that could in its judgment</w:t>
      </w:r>
    </w:p>
    <w:p>
      <w:pPr>
        <w:spacing w:after="0" w:line="4"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2" w:name="page233"/>
    <w:bookmarkEnd w:id="232"/>
    <w:p>
      <w:pPr>
        <w:spacing w:after="0" w:line="200" w:lineRule="exact"/>
        <w:rPr>
          <w:sz w:val="20"/>
          <w:szCs w:val="20"/>
          <w:color w:val="auto"/>
        </w:rPr>
      </w:pPr>
    </w:p>
    <w:p>
      <w:pPr>
        <w:spacing w:after="0" w:line="285" w:lineRule="exact"/>
        <w:rPr>
          <w:sz w:val="20"/>
          <w:szCs w:val="20"/>
          <w:color w:val="auto"/>
        </w:rPr>
      </w:pPr>
    </w:p>
    <w:p>
      <w:pPr>
        <w:ind w:left="760" w:right="740"/>
        <w:spacing w:after="0" w:line="257" w:lineRule="auto"/>
        <w:rPr>
          <w:sz w:val="20"/>
          <w:szCs w:val="20"/>
          <w:color w:val="auto"/>
        </w:rPr>
      </w:pPr>
      <w:r>
        <w:rPr>
          <w:rFonts w:ascii="Times New Roman" w:cs="Times New Roman" w:eastAsia="Times New Roman" w:hAnsi="Times New Roman"/>
          <w:sz w:val="19"/>
          <w:szCs w:val="19"/>
          <w:color w:val="auto"/>
        </w:rPr>
        <w:t>cause it to incur any cost, expenses or liability, unless it is provided indemnity acceptable to it against any such expenditure, risk, costs, expense or liability. For the avoidance of doubt, the Collateral Agent shall not have any duty or obligation to take any affirmative action to exercise or enforce any power, right or remedy available to it under this Agreement or any Facility Document or Related Document unless and until directed by the Required Lenders (or the Administrative Agent on their behalf).</w:t>
      </w:r>
    </w:p>
    <w:p>
      <w:pPr>
        <w:spacing w:after="0" w:line="181" w:lineRule="exact"/>
        <w:rPr>
          <w:sz w:val="20"/>
          <w:szCs w:val="20"/>
          <w:color w:val="auto"/>
        </w:rPr>
      </w:pPr>
    </w:p>
    <w:p>
      <w:pPr>
        <w:ind w:left="760" w:right="800" w:firstLine="576"/>
        <w:spacing w:after="0" w:line="253" w:lineRule="auto"/>
        <w:rPr>
          <w:sz w:val="20"/>
          <w:szCs w:val="20"/>
          <w:color w:val="auto"/>
        </w:rPr>
      </w:pPr>
      <w:r>
        <w:rPr>
          <w:rFonts w:ascii="Times New Roman" w:cs="Times New Roman" w:eastAsia="Times New Roman" w:hAnsi="Times New Roman"/>
          <w:sz w:val="19"/>
          <w:szCs w:val="19"/>
          <w:color w:val="auto"/>
        </w:rPr>
        <w:t>Neither the Collateral Agent nor any officer, agent or representative thereof shall be personally liable for any action taken by any such person in accordance with any notice given by the Required Lenders (or the Administrative Agent on their behalf) pursuant to the terms of this Agreement or any other Facility Document even if, at the time such action is taken by any such person, the Required Lenders or persons purporting to be the Required Lenders are not entitled to give such notice, except where the Responsible Officer of the Collateral Agent has actual knowledge (without any duty of inquiry or investigation on its part) that such Required Lenders or persons purporting to be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189" w:lineRule="exact"/>
        <w:rPr>
          <w:sz w:val="20"/>
          <w:szCs w:val="20"/>
          <w:color w:val="auto"/>
        </w:rPr>
      </w:pPr>
    </w:p>
    <w:p>
      <w:pPr>
        <w:ind w:left="760" w:right="840" w:firstLine="576"/>
        <w:spacing w:after="0" w:line="231" w:lineRule="exact"/>
        <w:rPr>
          <w:sz w:val="20"/>
          <w:szCs w:val="20"/>
          <w:color w:val="auto"/>
        </w:rPr>
      </w:pPr>
      <w:r>
        <w:rPr>
          <w:rFonts w:ascii="Times New Roman" w:cs="Times New Roman" w:eastAsia="Times New Roman" w:hAnsi="Times New Roman"/>
          <w:sz w:val="19"/>
          <w:szCs w:val="19"/>
          <w:color w:val="auto"/>
        </w:rPr>
        <w:t xml:space="preserve">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two (2) Business Days after it has requested them, the Collateral Agent may, but shall be under no duty to, take or refrain from taking any such courses of action. The Collateral Agent shall act in accordance with instructions received after such two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Business Day period except to the extent it has already, in good faith, taken or committed itself to take, action inconsistent with such instructions.</w:t>
      </w:r>
    </w:p>
    <w:p>
      <w:pPr>
        <w:spacing w:after="0" w:line="198" w:lineRule="exact"/>
        <w:rPr>
          <w:sz w:val="20"/>
          <w:szCs w:val="20"/>
          <w:color w:val="auto"/>
        </w:rPr>
      </w:pPr>
    </w:p>
    <w:p>
      <w:pPr>
        <w:ind w:left="760" w:right="800" w:firstLine="576"/>
        <w:spacing w:after="0" w:line="252" w:lineRule="auto"/>
        <w:rPr>
          <w:sz w:val="20"/>
          <w:szCs w:val="20"/>
          <w:color w:val="auto"/>
        </w:rPr>
      </w:pPr>
      <w:r>
        <w:rPr>
          <w:rFonts w:ascii="Times New Roman" w:cs="Times New Roman" w:eastAsia="Times New Roman" w:hAnsi="Times New Roman"/>
          <w:sz w:val="19"/>
          <w:szCs w:val="19"/>
          <w:color w:val="auto"/>
        </w:rPr>
        <w:t>The Collateral Agent, the Collateral Administrator, the Backup Collateral Manager and the Custodian shall be under no obligation to (i) monitor, determine or verify the unavailability or cessation of LIBOR, Daily Simple SOFR, Daily Simple RFR, SOFR, Term SOFR, Benchmark, Benchmark Replacement (or other applicable interest rate), or whether or when there has occurred, or to give notice to any other transaction party of the occurrence of (except as expressly provided herein), any Benchmark Transition Event or any amendment or change required to be made to the applicable interest rate, (ii) select, determine or designate any LIBOR, Daily Simple SOFR, Daily Simple RFR, SOFR, Term SOFR, Benchmark, Benchmark Replacement or other successor or replacement benchmark index, or whether any conditions to the designation of such a rate have been satisfied, (iii) select, determine or designate any Benchmark Replacement Adjustment or other modifier to any replacement or successor index, or</w:t>
      </w:r>
    </w:p>
    <w:p>
      <w:pPr>
        <w:spacing w:after="0" w:line="7" w:lineRule="exact"/>
        <w:rPr>
          <w:sz w:val="20"/>
          <w:szCs w:val="20"/>
          <w:color w:val="auto"/>
        </w:rPr>
      </w:pPr>
    </w:p>
    <w:p>
      <w:pPr>
        <w:ind w:left="760" w:right="900" w:firstLine="2"/>
        <w:spacing w:after="0" w:line="262" w:lineRule="auto"/>
        <w:tabs>
          <w:tab w:leader="none" w:pos="1085"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whether or what Benchmark Replacement Conforming Changes are necessary or advisable, if any, in connection with any of the foregoing.</w:t>
      </w:r>
    </w:p>
    <w:p>
      <w:pPr>
        <w:spacing w:after="0" w:line="173" w:lineRule="exact"/>
        <w:rPr>
          <w:sz w:val="20"/>
          <w:szCs w:val="20"/>
          <w:color w:val="auto"/>
        </w:rPr>
      </w:pPr>
    </w:p>
    <w:p>
      <w:pPr>
        <w:ind w:left="760" w:right="760" w:firstLine="576"/>
        <w:spacing w:after="0" w:line="255" w:lineRule="auto"/>
        <w:rPr>
          <w:sz w:val="20"/>
          <w:szCs w:val="20"/>
          <w:color w:val="auto"/>
        </w:rPr>
      </w:pPr>
      <w:r>
        <w:rPr>
          <w:rFonts w:ascii="Times New Roman" w:cs="Times New Roman" w:eastAsia="Times New Roman" w:hAnsi="Times New Roman"/>
          <w:sz w:val="19"/>
          <w:szCs w:val="19"/>
          <w:color w:val="auto"/>
        </w:rPr>
        <w:t>The Collateral Agent, the Collateral Administrator, the Backup Collateral Manager and the Custodian shall not be liable for any inability, failure or delay on its part to perform any of its duties set forth in this Agreement as a result of the unavailability of LIBOR, Daily Simple SOFR,</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3" w:name="page234"/>
    <w:bookmarkEnd w:id="233"/>
    <w:p>
      <w:pPr>
        <w:spacing w:after="0" w:line="200" w:lineRule="exact"/>
        <w:rPr>
          <w:sz w:val="20"/>
          <w:szCs w:val="20"/>
          <w:color w:val="auto"/>
        </w:rPr>
      </w:pPr>
    </w:p>
    <w:p>
      <w:pPr>
        <w:spacing w:after="0" w:line="285" w:lineRule="exact"/>
        <w:rPr>
          <w:sz w:val="20"/>
          <w:szCs w:val="20"/>
          <w:color w:val="auto"/>
        </w:rPr>
      </w:pPr>
    </w:p>
    <w:p>
      <w:pPr>
        <w:ind w:left="760" w:right="840"/>
        <w:spacing w:after="0" w:line="257" w:lineRule="auto"/>
        <w:rPr>
          <w:sz w:val="20"/>
          <w:szCs w:val="20"/>
          <w:color w:val="auto"/>
        </w:rPr>
      </w:pPr>
      <w:r>
        <w:rPr>
          <w:rFonts w:ascii="Times New Roman" w:cs="Times New Roman" w:eastAsia="Times New Roman" w:hAnsi="Times New Roman"/>
          <w:sz w:val="19"/>
          <w:szCs w:val="19"/>
          <w:color w:val="auto"/>
        </w:rPr>
        <w:t>Daily Simple RFR, SOFR, Term SOFR, Benchmark, Benchmark Replacement (or other applicable interest rate) and absence of a designated replacement Interest Rate, including as a result of any inability, delay, error or inaccuracy on the part of any other transaction party, including without limitation the Administrative Agent or any Lender, in providing any direction, instruction, notice or information required or contemplated by the terms of this Agreement and reasonably required for the performance of such duties.</w:t>
      </w:r>
    </w:p>
    <w:p>
      <w:pPr>
        <w:spacing w:after="0" w:line="179" w:lineRule="exact"/>
        <w:rPr>
          <w:sz w:val="20"/>
          <w:szCs w:val="20"/>
          <w:color w:val="auto"/>
        </w:rPr>
      </w:pPr>
    </w:p>
    <w:p>
      <w:pPr>
        <w:ind w:left="760" w:right="860" w:firstLine="48"/>
        <w:spacing w:after="0" w:line="234" w:lineRule="exact"/>
        <w:rPr>
          <w:sz w:val="20"/>
          <w:szCs w:val="20"/>
          <w:color w:val="auto"/>
        </w:rPr>
      </w:pPr>
      <w:r>
        <w:rPr>
          <w:rFonts w:ascii="Times New Roman" w:cs="Times New Roman" w:eastAsia="Times New Roman" w:hAnsi="Times New Roman"/>
          <w:sz w:val="19"/>
          <w:szCs w:val="19"/>
          <w:i w:val="1"/>
          <w:iCs w:val="1"/>
          <w:color w:val="auto"/>
        </w:rPr>
        <w:t>Section 12.02. Delegation of Duties</w:t>
      </w:r>
      <w:r>
        <w:rPr>
          <w:rFonts w:ascii="Times New Roman" w:cs="Times New Roman" w:eastAsia="Times New Roman" w:hAnsi="Times New Roman"/>
          <w:sz w:val="19"/>
          <w:szCs w:val="19"/>
          <w:color w:val="auto"/>
        </w:rPr>
        <w:t>. Each Agent may execute any of its duties under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and each other Facility Document by or through agents or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and shall be entitled to advice of counsel concerning all matters pertaining to such duties. No Agent shall be responsible for the negligence or misconduct of any agents or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selected by it with reasonable care.</w:t>
      </w:r>
    </w:p>
    <w:p>
      <w:pPr>
        <w:spacing w:after="0" w:line="191" w:lineRule="exact"/>
        <w:rPr>
          <w:sz w:val="20"/>
          <w:szCs w:val="20"/>
          <w:color w:val="auto"/>
        </w:rPr>
      </w:pPr>
    </w:p>
    <w:p>
      <w:pPr>
        <w:ind w:left="760" w:right="780" w:firstLine="48"/>
        <w:spacing w:after="0" w:line="251" w:lineRule="auto"/>
        <w:rPr>
          <w:sz w:val="20"/>
          <w:szCs w:val="20"/>
          <w:color w:val="auto"/>
        </w:rPr>
      </w:pPr>
      <w:r>
        <w:rPr>
          <w:rFonts w:ascii="Times New Roman" w:cs="Times New Roman" w:eastAsia="Times New Roman" w:hAnsi="Times New Roman"/>
          <w:sz w:val="19"/>
          <w:szCs w:val="19"/>
          <w:i w:val="1"/>
          <w:iCs w:val="1"/>
          <w:color w:val="auto"/>
        </w:rPr>
        <w:t xml:space="preserve">Section 12.03. Agent’s Reliance, Etc. </w:t>
      </w:r>
      <w:r>
        <w:rPr>
          <w:rFonts w:ascii="Times New Roman" w:cs="Times New Roman" w:eastAsia="Times New Roman" w:hAnsi="Times New Roman"/>
          <w:sz w:val="19"/>
          <w:szCs w:val="19"/>
          <w:color w:val="auto"/>
        </w:rPr>
        <w:t>(a) Neither Agent nor any of its respective directors,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officers, agents or employees shall be liable for any 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Collateral Manager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Documents on the part of the Borrower or the Collateral Manager or any other Person or to inspect the property (including the books and records) of the Borrower or the Collateral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 (v) shall incur no liability under or in respect of this Agreement or any other Facility Document by relying on, acting upon (or by refraining from action in reliance on) any notice, consent, certificate (including for the avoidance of doubt, the Borrowing Base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the Collateral Manager’s or any Lender’s, as the case may be, performance of, or failure to perform, any of their respective obligations and duties under this Agreement or any other Facility Document.</w:t>
      </w:r>
    </w:p>
    <w:p>
      <w:pPr>
        <w:spacing w:after="0" w:line="206" w:lineRule="exact"/>
        <w:rPr>
          <w:sz w:val="20"/>
          <w:szCs w:val="20"/>
          <w:color w:val="auto"/>
        </w:rPr>
      </w:pPr>
    </w:p>
    <w:p>
      <w:pPr>
        <w:ind w:left="760" w:right="800" w:firstLine="50"/>
        <w:spacing w:after="0" w:line="255" w:lineRule="auto"/>
        <w:tabs>
          <w:tab w:leader="none" w:pos="108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Agent shall be liable for the actions of omissions of any other Agent (including without limitation concerning the application of funds), or under any duty to monitor or investigate compliance on the part of any other Agent with the terms or requirements of this Agreement, any</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4" w:name="page235"/>
    <w:bookmarkEnd w:id="234"/>
    <w:p>
      <w:pPr>
        <w:spacing w:after="0" w:line="200" w:lineRule="exact"/>
        <w:rPr>
          <w:sz w:val="20"/>
          <w:szCs w:val="20"/>
          <w:color w:val="auto"/>
        </w:rPr>
      </w:pPr>
    </w:p>
    <w:p>
      <w:pPr>
        <w:spacing w:after="0" w:line="285" w:lineRule="exact"/>
        <w:rPr>
          <w:sz w:val="20"/>
          <w:szCs w:val="20"/>
          <w:color w:val="auto"/>
        </w:rPr>
      </w:pPr>
    </w:p>
    <w:p>
      <w:pPr>
        <w:ind w:left="760" w:right="760"/>
        <w:spacing w:after="0" w:line="251" w:lineRule="auto"/>
        <w:rPr>
          <w:sz w:val="20"/>
          <w:szCs w:val="20"/>
          <w:color w:val="auto"/>
        </w:rPr>
      </w:pPr>
      <w:r>
        <w:rPr>
          <w:rFonts w:ascii="Times New Roman" w:cs="Times New Roman" w:eastAsia="Times New Roman" w:hAnsi="Times New Roman"/>
          <w:sz w:val="19"/>
          <w:szCs w:val="19"/>
          <w:color w:val="auto"/>
        </w:rPr>
        <w:t>Facility Documents or any Related Documents,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 received by such Agent at its address in accordance with Section 15.02. Any permissive grant of power to an Agent hereunder shall not be construed to be a duty to act.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bad faith, reckless disregard or grossly negligent performance or omission of its duties.</w:t>
      </w:r>
    </w:p>
    <w:p>
      <w:pPr>
        <w:spacing w:after="0" w:line="204" w:lineRule="exact"/>
        <w:rPr>
          <w:sz w:val="20"/>
          <w:szCs w:val="20"/>
          <w:color w:val="auto"/>
        </w:rPr>
      </w:pPr>
    </w:p>
    <w:p>
      <w:pPr>
        <w:ind w:left="760" w:right="960" w:firstLine="50"/>
        <w:spacing w:after="0" w:line="262" w:lineRule="auto"/>
        <w:tabs>
          <w:tab w:leader="none" w:pos="1069"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Agent shall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174" w:lineRule="exact"/>
        <w:rPr>
          <w:rFonts w:ascii="Times New Roman" w:cs="Times New Roman" w:eastAsia="Times New Roman" w:hAnsi="Times New Roman"/>
          <w:sz w:val="19"/>
          <w:szCs w:val="19"/>
          <w:color w:val="auto"/>
        </w:rPr>
      </w:pPr>
    </w:p>
    <w:p>
      <w:pPr>
        <w:ind w:left="760" w:right="800" w:firstLine="50"/>
        <w:spacing w:after="0" w:line="255" w:lineRule="auto"/>
        <w:tabs>
          <w:tab w:leader="none" w:pos="108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that are afforded to it in this Agreement.</w:t>
      </w:r>
    </w:p>
    <w:p>
      <w:pPr>
        <w:spacing w:after="0" w:line="183" w:lineRule="exact"/>
        <w:rPr>
          <w:rFonts w:ascii="Times New Roman" w:cs="Times New Roman" w:eastAsia="Times New Roman" w:hAnsi="Times New Roman"/>
          <w:sz w:val="19"/>
          <w:szCs w:val="19"/>
          <w:color w:val="auto"/>
        </w:rPr>
      </w:pPr>
    </w:p>
    <w:p>
      <w:pPr>
        <w:ind w:left="760" w:right="1140" w:firstLine="50"/>
        <w:spacing w:after="0" w:line="258" w:lineRule="auto"/>
        <w:tabs>
          <w:tab w:leader="none" w:pos="1069"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acknowledges that except as expressly set forth in this Agreement, the Collateral Agent has not made any representation or warranty to it, and that no act by the Collateral Agent hereafter taken, including any consent and acceptance of any assignment or</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review of the</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5" w:name="page236"/>
    <w:bookmarkEnd w:id="235"/>
    <w:p>
      <w:pPr>
        <w:spacing w:after="0" w:line="200" w:lineRule="exact"/>
        <w:rPr>
          <w:sz w:val="20"/>
          <w:szCs w:val="20"/>
          <w:color w:val="auto"/>
        </w:rPr>
      </w:pPr>
    </w:p>
    <w:p>
      <w:pPr>
        <w:spacing w:after="0" w:line="285" w:lineRule="exact"/>
        <w:rPr>
          <w:sz w:val="20"/>
          <w:szCs w:val="20"/>
          <w:color w:val="auto"/>
        </w:rPr>
      </w:pPr>
    </w:p>
    <w:p>
      <w:pPr>
        <w:ind w:left="760" w:right="760"/>
        <w:spacing w:after="0" w:line="252" w:lineRule="auto"/>
        <w:rPr>
          <w:sz w:val="20"/>
          <w:szCs w:val="20"/>
          <w:color w:val="auto"/>
        </w:rPr>
      </w:pPr>
      <w:r>
        <w:rPr>
          <w:rFonts w:ascii="Times New Roman" w:cs="Times New Roman" w:eastAsia="Times New Roman" w:hAnsi="Times New Roman"/>
          <w:sz w:val="19"/>
          <w:szCs w:val="19"/>
          <w:color w:val="auto"/>
        </w:rPr>
        <w:t>affairs of the Borrower, shall be deemed to constitute any representation or warranty by the Collateral Agent to any Secured Party as to any matter. Each Lender represents to the Collateral Agent that it has, independently and without reliance upon the Collateral Agent and based on such documents and information as it has deemed appropriate, made its own appraisal of and investigation into the business, prospects, operations, property, financial and other condition and creditworthiness of the Borrower, and made its own decision to enter into this Agreement and the other Facility Documents to which it is a party. Each Lender also represents that it will, independently and without reliance upon the Collateral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The Collateral Agent shall not have any duty or responsibility to provide any Secured Party with any credit or other information concerning the business, prospects, operations, property, financial or other condition or creditworthiness of the Borrower or Collateral Manager which may come into the possession of the Collateral Agent.</w:t>
      </w:r>
    </w:p>
    <w:p>
      <w:pPr>
        <w:spacing w:after="0" w:line="193" w:lineRule="exact"/>
        <w:rPr>
          <w:sz w:val="20"/>
          <w:szCs w:val="20"/>
          <w:color w:val="auto"/>
        </w:rPr>
      </w:pPr>
    </w:p>
    <w:p>
      <w:pPr>
        <w:ind w:left="760" w:right="760" w:firstLine="48"/>
        <w:spacing w:after="0" w:line="251" w:lineRule="auto"/>
        <w:rPr>
          <w:sz w:val="20"/>
          <w:szCs w:val="20"/>
          <w:color w:val="auto"/>
        </w:rPr>
      </w:pPr>
      <w:r>
        <w:rPr>
          <w:rFonts w:ascii="Times New Roman" w:cs="Times New Roman" w:eastAsia="Times New Roman" w:hAnsi="Times New Roman"/>
          <w:sz w:val="19"/>
          <w:szCs w:val="19"/>
          <w:i w:val="1"/>
          <w:iCs w:val="1"/>
          <w:color w:val="auto"/>
        </w:rPr>
        <w:t>Section 12.04. Indemnification</w:t>
      </w:r>
      <w:r>
        <w:rPr>
          <w:rFonts w:ascii="Times New Roman" w:cs="Times New Roman" w:eastAsia="Times New Roman" w:hAnsi="Times New Roman"/>
          <w:sz w:val="19"/>
          <w:szCs w:val="19"/>
          <w:color w:val="auto"/>
        </w:rPr>
        <w:t>. Each of the Lenders agrees to indemnify and hold the Agents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and the Backup Collateral Manager harmless (to the extent not reimbursed by or on behalf of the Borrower pursuant to Section 15.04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Lender shall be liable to any Agent for any portion of such liabilities, obligations, losses, damages, penalties, actions, judgments, suits, costs, expenses or disbursements resulting from such Agent’s gross negligence or willful misconduct;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no Lender shall be liable to the Collateral Agent for any portion of such liabilities, obligations, losses, damages, penalties, actions, judgments, suits, costs, expenses or disbursements (for purposes hereof, </w:t>
      </w:r>
      <w:r>
        <w:rPr>
          <w:rFonts w:ascii="Times New Roman" w:cs="Times New Roman" w:eastAsia="Times New Roman" w:hAnsi="Times New Roman"/>
          <w:sz w:val="19"/>
          <w:szCs w:val="19"/>
          <w:i w:val="1"/>
          <w:iCs w:val="1"/>
          <w:color w:val="auto"/>
        </w:rPr>
        <w:t>“Liabilities”</w:t>
      </w:r>
      <w:r>
        <w:rPr>
          <w:rFonts w:ascii="Times New Roman" w:cs="Times New Roman" w:eastAsia="Times New Roman" w:hAnsi="Times New Roman"/>
          <w:sz w:val="19"/>
          <w:szCs w:val="19"/>
          <w:color w:val="auto"/>
        </w:rPr>
        <w:t>) unless such Liabilities are imposed on, incurred by, or asserted against the Collateral Agent as a result of any action taken, or not taken, by the Collateral Agent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Section 12.04 or otherwise) . The rights of the Agents and obligations of the Lenders under or pursuant to this Section 12.04 shall survive the termination of this Agreement, and the earlier removal or resignation of the any Agent hereunder.</w:t>
      </w:r>
    </w:p>
    <w:p>
      <w:pPr>
        <w:spacing w:after="0" w:line="5"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6" w:name="page237"/>
    <w:bookmarkEnd w:id="236"/>
    <w:p>
      <w:pPr>
        <w:spacing w:after="0" w:line="200" w:lineRule="exact"/>
        <w:rPr>
          <w:sz w:val="20"/>
          <w:szCs w:val="20"/>
          <w:color w:val="auto"/>
        </w:rPr>
      </w:pPr>
    </w:p>
    <w:p>
      <w:pPr>
        <w:spacing w:after="0" w:line="283" w:lineRule="exact"/>
        <w:rPr>
          <w:sz w:val="20"/>
          <w:szCs w:val="20"/>
          <w:color w:val="auto"/>
        </w:rPr>
      </w:pPr>
    </w:p>
    <w:p>
      <w:pPr>
        <w:ind w:left="760" w:right="76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Section 12.05. Successor Agents</w:t>
      </w:r>
      <w:r>
        <w:rPr>
          <w:rFonts w:ascii="Times New Roman" w:cs="Times New Roman" w:eastAsia="Times New Roman" w:hAnsi="Times New Roman"/>
          <w:sz w:val="19"/>
          <w:szCs w:val="19"/>
          <w:color w:val="auto"/>
        </w:rPr>
        <w:t>. Subject to the terms of this Section 12.05, each Agent may,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upon thirty (30) days’ notice to the Lenders and the Borrower, resign as 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The appointment of any successor Agent shall be subject to the prior written consent of the Borrower (which consent shall not be unreasonably withheld or delayed);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consent of the Borrower to any such appointment shall not be required if (i) an Event of Default shall have occurred and is continuing or, (ii) if such successor Agent is a Lender or an Affiliate of such Agent or any Lender. Any resignation of an Agent shall be effective upon the appointment of a successor agent pursuant to this Section 12.05. After the effectiveness of any retiring Agent’s resignation hereunder as Agent, the retiring Agent shall be discharged from its duties and obligations hereunder and under the other Facility Documents and the provisions of this Article XII shall continue in effect for its benefit with respect to any actions taken or omitted to be taken by it while it was Agent under this Agreement and under the other Facility Documents. Any Person (i) into which the Collateral Agent may be merged or consolidated, (ii) that may result from any merger or consolidation to which the Collateral Agent 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189" w:lineRule="exact"/>
        <w:rPr>
          <w:sz w:val="20"/>
          <w:szCs w:val="20"/>
          <w:color w:val="auto"/>
        </w:rPr>
      </w:pPr>
    </w:p>
    <w:p>
      <w:pPr>
        <w:ind w:left="760" w:right="74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12.06. Administrative Agent’s Capacity as a Lender</w:t>
      </w:r>
      <w:r>
        <w:rPr>
          <w:rFonts w:ascii="Times New Roman" w:cs="Times New Roman" w:eastAsia="Times New Roman" w:hAnsi="Times New Roman"/>
          <w:sz w:val="19"/>
          <w:szCs w:val="19"/>
          <w:color w:val="auto"/>
        </w:rPr>
        <w:t>. The Person serving as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75" w:lineRule="exact"/>
        <w:rPr>
          <w:sz w:val="20"/>
          <w:szCs w:val="20"/>
          <w:color w:val="auto"/>
        </w:rPr>
      </w:pPr>
    </w:p>
    <w:p>
      <w:pPr>
        <w:ind w:left="760" w:right="80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Section 12.07. Erroneous Payments </w:t>
      </w:r>
      <w:r>
        <w:rPr>
          <w:rFonts w:ascii="Times New Roman" w:cs="Times New Roman" w:eastAsia="Times New Roman" w:hAnsi="Times New Roman"/>
          <w:sz w:val="19"/>
          <w:szCs w:val="19"/>
          <w:color w:val="auto"/>
        </w:rPr>
        <w:t>(a) If the Administrative Agent or the Collateral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notifies a Lender, Secured Party, or any Person who has received funds on behalf of a Lender or Secured Party (any such Lender, Secured Party or other recipient, a “</w:t>
      </w:r>
      <w:r>
        <w:rPr>
          <w:rFonts w:ascii="Times New Roman" w:cs="Times New Roman" w:eastAsia="Times New Roman" w:hAnsi="Times New Roman"/>
          <w:sz w:val="19"/>
          <w:szCs w:val="19"/>
          <w:b w:val="1"/>
          <w:bCs w:val="1"/>
          <w:i w:val="1"/>
          <w:iCs w:val="1"/>
          <w:color w:val="auto"/>
        </w:rPr>
        <w:t>Payment Recipient</w:t>
      </w:r>
      <w:r>
        <w:rPr>
          <w:rFonts w:ascii="Times New Roman" w:cs="Times New Roman" w:eastAsia="Times New Roman" w:hAnsi="Times New Roman"/>
          <w:sz w:val="19"/>
          <w:szCs w:val="19"/>
          <w:color w:val="auto"/>
        </w:rPr>
        <w:t xml:space="preserve">”) that the Administrative Agent or the Collateral Agent has determined in its sole discretion (whether or not after receipt of any notice under immediately succeeding clause (b)) that any funds received by such Payment Recipient from the Administrative Agent, the Collateral Agent or any of their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 </w:t>
      </w:r>
      <w:r>
        <w:rPr>
          <w:rFonts w:ascii="Times New Roman" w:cs="Times New Roman" w:eastAsia="Times New Roman" w:hAnsi="Times New Roman"/>
          <w:sz w:val="19"/>
          <w:szCs w:val="19"/>
          <w:b w:val="1"/>
          <w:bCs w:val="1"/>
          <w:i w:val="1"/>
          <w:iCs w:val="1"/>
          <w:color w:val="auto"/>
        </w:rPr>
        <w:t>Erroneous Payment</w:t>
      </w:r>
      <w:r>
        <w:rPr>
          <w:rFonts w:ascii="Times New Roman" w:cs="Times New Roman" w:eastAsia="Times New Roman" w:hAnsi="Times New Roman"/>
          <w:sz w:val="19"/>
          <w:szCs w:val="19"/>
          <w:color w:val="auto"/>
        </w:rPr>
        <w:t>”) and demands the return of such Erroneous Payment (or a portion thereof), such Erroneous Payment shall at all times remain the property of the Administrative Agent or the Collateral Agent and shall be segregated by the Payment Recipient and held in trust for the benefit of the Administrative Agent or the Collateral Agent, and such Lender or Secured Party shall (or, with respect to any Payment Recipient who received such funds on its behalf, shall cause such Payment Recipient to) promptly, but in no event later than two Business Days thereafter, return to the Administrative Agent or the Collateral Agent the amount of any such Erroneous Payment (or portion thereof) as to which such a demand was made, in same</w:t>
      </w:r>
    </w:p>
    <w:p>
      <w:pPr>
        <w:spacing w:after="0" w:line="22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7" w:name="page238"/>
    <w:bookmarkEnd w:id="237"/>
    <w:p>
      <w:pPr>
        <w:spacing w:after="0" w:line="200" w:lineRule="exact"/>
        <w:rPr>
          <w:sz w:val="20"/>
          <w:szCs w:val="20"/>
          <w:color w:val="auto"/>
        </w:rPr>
      </w:pPr>
    </w:p>
    <w:p>
      <w:pPr>
        <w:spacing w:after="0" w:line="285" w:lineRule="exact"/>
        <w:rPr>
          <w:sz w:val="20"/>
          <w:szCs w:val="20"/>
          <w:color w:val="auto"/>
        </w:rPr>
      </w:pPr>
    </w:p>
    <w:p>
      <w:pPr>
        <w:ind w:left="760" w:right="760"/>
        <w:spacing w:after="0" w:line="256" w:lineRule="auto"/>
        <w:rPr>
          <w:sz w:val="20"/>
          <w:szCs w:val="20"/>
          <w:color w:val="auto"/>
        </w:rPr>
      </w:pPr>
      <w:r>
        <w:rPr>
          <w:rFonts w:ascii="Times New Roman" w:cs="Times New Roman" w:eastAsia="Times New Roman" w:hAnsi="Times New Roman"/>
          <w:sz w:val="19"/>
          <w:szCs w:val="19"/>
          <w:color w:val="auto"/>
        </w:rPr>
        <w:t>day funds (in the currency so received), together with interest thereon in respect of each day from and including the date such Erroneous Payment (or portion thereof) was received by such Payment Recipient to the date such amount is repaid to the Administrative Agent or the Collateral Agent in same day funds at the greater of the Federal Funds Rate and a rate determined by the Administrative Agent in accordance with banking industry rules on interbank compensation from time to time in effect. A notice of the Administrative Agent or the Collateral Agent to any Payment Recipient under this clause (a) shall be conclusive, absent manifest error.</w:t>
      </w:r>
    </w:p>
    <w:p>
      <w:pPr>
        <w:spacing w:after="0" w:line="181" w:lineRule="exact"/>
        <w:rPr>
          <w:sz w:val="20"/>
          <w:szCs w:val="20"/>
          <w:color w:val="auto"/>
        </w:rPr>
      </w:pPr>
    </w:p>
    <w:p>
      <w:pPr>
        <w:ind w:left="1080" w:hanging="270"/>
        <w:spacing w:after="0"/>
        <w:tabs>
          <w:tab w:leader="none" w:pos="108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immediately preceding clause (a), each Lender or Secured Party, or any</w:t>
      </w:r>
    </w:p>
    <w:p>
      <w:pPr>
        <w:spacing w:after="0" w:line="31" w:lineRule="exact"/>
        <w:rPr>
          <w:rFonts w:ascii="Times New Roman" w:cs="Times New Roman" w:eastAsia="Times New Roman" w:hAnsi="Times New Roman"/>
          <w:sz w:val="19"/>
          <w:szCs w:val="19"/>
          <w:color w:val="auto"/>
        </w:rPr>
      </w:pPr>
    </w:p>
    <w:p>
      <w:pPr>
        <w:ind w:left="760" w:right="76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Person who has received funds on behalf of a Lender or Secured Party, hereby further agrees that if it receives a payment, prepayment or repayment (whether received as a payment, prepayment or repayment of principal, interest, fees, distribution or otherwise) from the Administrative Agent or the Collateral Agent (or any of their Affiliates) (x) that is in a different amount than, or on a different date from, that specified in a notice of payment, prepayment or repayment sent by the Administrative Agent or the Collateral Agent (or any of their Affiliates) with respect to such payment, prepayment or repayment, (y) that was not preceded or accompanied by a notice of payment, prepayment or repayment sent by the Administrative Agent or the Collateral Agent (or any of their Affiliates), or (z) that such Lender or Secured Party, or other such recipient, otherwise becomes aware was transmitted, or received, in error or by mistake (in whole or in part) in each case:</w:t>
      </w:r>
    </w:p>
    <w:p>
      <w:pPr>
        <w:spacing w:after="0" w:line="189" w:lineRule="exact"/>
        <w:rPr>
          <w:sz w:val="20"/>
          <w:szCs w:val="20"/>
          <w:color w:val="auto"/>
        </w:rPr>
      </w:pPr>
    </w:p>
    <w:p>
      <w:pPr>
        <w:ind w:left="760" w:right="1080" w:firstLine="50"/>
        <w:spacing w:after="0" w:line="262" w:lineRule="auto"/>
        <w:tabs>
          <w:tab w:leader="none" w:pos="1037"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in the case of immediately preceding clauses (x) or (y), an error shall be presumed to have been made (absent written confirmation from the Administrative Agent or the Collateral Agent to the contrary) or (B) an error has been made (in the case of immediately preceding clause (z)), in each case, with respect to such payment, prepayment or repayment; and</w:t>
      </w:r>
    </w:p>
    <w:p>
      <w:pPr>
        <w:spacing w:after="0" w:line="174" w:lineRule="exact"/>
        <w:rPr>
          <w:rFonts w:ascii="Times New Roman" w:cs="Times New Roman" w:eastAsia="Times New Roman" w:hAnsi="Times New Roman"/>
          <w:sz w:val="19"/>
          <w:szCs w:val="19"/>
          <w:color w:val="auto"/>
        </w:rPr>
      </w:pPr>
    </w:p>
    <w:p>
      <w:pPr>
        <w:ind w:left="760" w:right="780" w:firstLine="50"/>
        <w:spacing w:after="0" w:line="259" w:lineRule="auto"/>
        <w:tabs>
          <w:tab w:leader="none" w:pos="1091"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or Secured Party shall (and shall cause any other recipient that receives funds on its respective behalf to) promptly (and, in all events, within one Business Day of its knowledge of such error) notify the Administrative Agent or the Collateral Agent of its receipt of such payment, prepayment or repayment, the details thereof (in reasonable detail) and that it is so notifying the Administrative Agent or the Collateral Agent pursuant to this Section 12.07(b).</w:t>
      </w:r>
    </w:p>
    <w:p>
      <w:pPr>
        <w:spacing w:after="0" w:line="178" w:lineRule="exact"/>
        <w:rPr>
          <w:sz w:val="20"/>
          <w:szCs w:val="20"/>
          <w:color w:val="auto"/>
        </w:rPr>
      </w:pPr>
    </w:p>
    <w:p>
      <w:pPr>
        <w:ind w:left="760" w:right="820" w:firstLine="50"/>
        <w:spacing w:after="0" w:line="257" w:lineRule="auto"/>
        <w:tabs>
          <w:tab w:leader="none" w:pos="1069"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or Secured Party hereby authorizes the Administrative Agent and the Collateral Agent to set off, net and apply any and all amounts at any time owing to such Lender or Secured Party under any Facility Document, or otherwise payable or distributable by the Administrative Agent or the Collateral Agent to such Lender or Secured Party from any source, against any amount due to the Administrative Agent or the Collateral Agent under immediately preceding clause (a) or under the indemnification provisions of this Agreement.</w:t>
      </w:r>
    </w:p>
    <w:p>
      <w:pPr>
        <w:spacing w:after="0" w:line="180" w:lineRule="exact"/>
        <w:rPr>
          <w:rFonts w:ascii="Times New Roman" w:cs="Times New Roman" w:eastAsia="Times New Roman" w:hAnsi="Times New Roman"/>
          <w:sz w:val="19"/>
          <w:szCs w:val="19"/>
          <w:color w:val="auto"/>
        </w:rPr>
      </w:pPr>
    </w:p>
    <w:p>
      <w:pPr>
        <w:ind w:left="760" w:right="800" w:firstLine="50"/>
        <w:spacing w:after="0" w:line="255" w:lineRule="auto"/>
        <w:tabs>
          <w:tab w:leader="none" w:pos="108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 Erroneous Payment (or portion thereof) is not recovered by the Administrative Agent or the Collateral Agent for any reason, after demand therefor by the Administrative Agent or the Collateral Agent in accordance with immediately preceding clause (a), from any Lender that has received such Erroneous Payment (or portion thereof) (and/or from any Payment Recipient who received such Erroneous Payment (or portion thereof) on its</w:t>
      </w:r>
    </w:p>
    <w:p>
      <w:pPr>
        <w:spacing w:after="0" w:line="2" w:lineRule="exact"/>
        <w:rPr>
          <w:sz w:val="20"/>
          <w:szCs w:val="20"/>
          <w:color w:val="auto"/>
        </w:rPr>
      </w:pPr>
    </w:p>
    <w:p>
      <w:pPr>
        <w:jc w:val="both"/>
        <w:ind w:left="760" w:right="1040"/>
        <w:spacing w:after="0" w:line="247" w:lineRule="auto"/>
        <w:rPr>
          <w:sz w:val="20"/>
          <w:szCs w:val="20"/>
          <w:color w:val="auto"/>
        </w:rPr>
      </w:pPr>
      <w:r>
        <w:rPr>
          <w:rFonts w:ascii="Times New Roman" w:cs="Times New Roman" w:eastAsia="Times New Roman" w:hAnsi="Times New Roman"/>
          <w:sz w:val="19"/>
          <w:szCs w:val="19"/>
          <w:color w:val="auto"/>
        </w:rPr>
        <w:t>respective behalf) (such unrecovered amount, an “</w:t>
      </w:r>
      <w:r>
        <w:rPr>
          <w:rFonts w:ascii="Times New Roman" w:cs="Times New Roman" w:eastAsia="Times New Roman" w:hAnsi="Times New Roman"/>
          <w:sz w:val="19"/>
          <w:szCs w:val="19"/>
          <w:b w:val="1"/>
          <w:bCs w:val="1"/>
          <w:i w:val="1"/>
          <w:iCs w:val="1"/>
          <w:color w:val="auto"/>
        </w:rPr>
        <w:t>Erroneous Payment Return Deficiency</w:t>
      </w:r>
      <w:r>
        <w:rPr>
          <w:rFonts w:ascii="Times New Roman" w:cs="Times New Roman" w:eastAsia="Times New Roman" w:hAnsi="Times New Roman"/>
          <w:sz w:val="19"/>
          <w:szCs w:val="19"/>
          <w:color w:val="auto"/>
        </w:rPr>
        <w:t>”), upon the Administrative Agent or the Collateral Agent’s notice to such Lender at any time, (i) such Lender</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8" w:name="page239"/>
    <w:bookmarkEnd w:id="238"/>
    <w:p>
      <w:pPr>
        <w:spacing w:after="0" w:line="200" w:lineRule="exact"/>
        <w:rPr>
          <w:sz w:val="20"/>
          <w:szCs w:val="20"/>
          <w:color w:val="auto"/>
        </w:rPr>
      </w:pPr>
    </w:p>
    <w:p>
      <w:pPr>
        <w:spacing w:after="0" w:line="285" w:lineRule="exact"/>
        <w:rPr>
          <w:sz w:val="20"/>
          <w:szCs w:val="20"/>
          <w:color w:val="auto"/>
        </w:rPr>
      </w:pPr>
    </w:p>
    <w:p>
      <w:pPr>
        <w:ind w:left="760" w:right="800"/>
        <w:spacing w:after="0" w:line="252" w:lineRule="auto"/>
        <w:rPr>
          <w:sz w:val="20"/>
          <w:szCs w:val="20"/>
          <w:color w:val="auto"/>
        </w:rPr>
      </w:pPr>
      <w:r>
        <w:rPr>
          <w:rFonts w:ascii="Times New Roman" w:cs="Times New Roman" w:eastAsia="Times New Roman" w:hAnsi="Times New Roman"/>
          <w:sz w:val="19"/>
          <w:szCs w:val="19"/>
          <w:color w:val="auto"/>
        </w:rPr>
        <w:t>shall be deemed to have assigned its Advances (but not its Commitments) of the relevant Class with respect to which such Erroneous Payment was made (the “</w:t>
      </w:r>
      <w:r>
        <w:rPr>
          <w:rFonts w:ascii="Times New Roman" w:cs="Times New Roman" w:eastAsia="Times New Roman" w:hAnsi="Times New Roman"/>
          <w:sz w:val="19"/>
          <w:szCs w:val="19"/>
          <w:b w:val="1"/>
          <w:bCs w:val="1"/>
          <w:i w:val="1"/>
          <w:iCs w:val="1"/>
          <w:color w:val="auto"/>
        </w:rPr>
        <w:t>Erroneous Payment Impacted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Class</w:t>
      </w:r>
      <w:r>
        <w:rPr>
          <w:rFonts w:ascii="Times New Roman" w:cs="Times New Roman" w:eastAsia="Times New Roman" w:hAnsi="Times New Roman"/>
          <w:sz w:val="19"/>
          <w:szCs w:val="19"/>
          <w:color w:val="auto"/>
        </w:rPr>
        <w:t>”) in an amount equal to the Erroneous Payment Return Deficiency (or such lesser amount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 the Administrative Agent or the Collateral Agent may specify) (such assignment of the Advances (but not Commitments) of the Erroneous Payment Impacted Class, the “</w:t>
      </w:r>
      <w:r>
        <w:rPr>
          <w:rFonts w:ascii="Times New Roman" w:cs="Times New Roman" w:eastAsia="Times New Roman" w:hAnsi="Times New Roman"/>
          <w:sz w:val="19"/>
          <w:szCs w:val="19"/>
          <w:b w:val="1"/>
          <w:bCs w:val="1"/>
          <w:i w:val="1"/>
          <w:iCs w:val="1"/>
          <w:color w:val="auto"/>
        </w:rPr>
        <w:t>Erroneous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Payment Deficiency Assignment</w:t>
      </w:r>
      <w:r>
        <w:rPr>
          <w:rFonts w:ascii="Times New Roman" w:cs="Times New Roman" w:eastAsia="Times New Roman" w:hAnsi="Times New Roman"/>
          <w:sz w:val="19"/>
          <w:szCs w:val="19"/>
          <w:color w:val="auto"/>
        </w:rPr>
        <w:t>”) at par plus any accrued and unpaid interest (with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assignment fee to be waived by the Administrative Agent in such instance), and is hereby (together with the Borrower) deemed to execute and deliver an Assignment and Acceptance (or, to the extent applicable, an agreement incorporating an Assignment and Acceptance by reference pursuant to a platform as to which the Administrative Agent and such parties are participants) with respect to such Erroneous Payment Deficiency Assignment, and such Lender shall deliver any promissory notes evidencing such Advances to the Borrower or the Administrative Agent,</w:t>
      </w:r>
    </w:p>
    <w:p>
      <w:pPr>
        <w:spacing w:after="0" w:line="6" w:lineRule="exact"/>
        <w:rPr>
          <w:sz w:val="20"/>
          <w:szCs w:val="20"/>
          <w:color w:val="auto"/>
        </w:rPr>
      </w:pPr>
    </w:p>
    <w:p>
      <w:pPr>
        <w:ind w:left="760" w:right="760" w:firstLine="2"/>
        <w:spacing w:after="0" w:line="251" w:lineRule="auto"/>
        <w:tabs>
          <w:tab w:leader="none" w:pos="1043"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or the Collateral Agent as the assignee Lender shall be deemed to acquire the Erroneous Payment Deficiency Assignment, (iii) upon such deemed acquisition, the Administrative Agent or the Collateral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or the Collateral Agent’s ownership in the Advances subject to the Erroneous Payment Deficiency Assignment. Each of the Administrative Agent and the Collateral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and the Collateral Agent shall retain all other rights, remedies and claims against such Lender (and/or against any recipient that receives funds on its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or the Collateral Agent has sold an Advance (or portion thereof) acquired pursuant to an Erroneous Payment Deficiency Assignment, and irrespective of whether the Administrative Agent or the Collateral Agent may be equitably subrogated, the Administrative Agent and the Collateral Agent shall be contractually subrogated to all the rights and interests of the applicable Lender or Secured Party under the Facility Documents with respect to each Erroneous Payment Return Deficiency (the “</w:t>
      </w:r>
      <w:r>
        <w:rPr>
          <w:rFonts w:ascii="Times New Roman" w:cs="Times New Roman" w:eastAsia="Times New Roman" w:hAnsi="Times New Roman"/>
          <w:sz w:val="19"/>
          <w:szCs w:val="19"/>
          <w:b w:val="1"/>
          <w:bCs w:val="1"/>
          <w:i w:val="1"/>
          <w:iCs w:val="1"/>
          <w:color w:val="auto"/>
        </w:rPr>
        <w:t>Erroneous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Payment Subrogation Rights</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spacing w:after="0" w:line="211" w:lineRule="exact"/>
        <w:rPr>
          <w:rFonts w:ascii="Times New Roman" w:cs="Times New Roman" w:eastAsia="Times New Roman" w:hAnsi="Times New Roman"/>
          <w:sz w:val="19"/>
          <w:szCs w:val="19"/>
          <w:color w:val="auto"/>
        </w:rPr>
      </w:pPr>
    </w:p>
    <w:p>
      <w:pPr>
        <w:ind w:left="760" w:right="980" w:firstLine="50"/>
        <w:spacing w:after="0" w:line="259" w:lineRule="auto"/>
        <w:tabs>
          <w:tab w:leader="none" w:pos="1069" w:val="left"/>
        </w:tabs>
        <w:numPr>
          <w:ilvl w:val="1"/>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agree that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the Administrative Agent or the Collateral Agent from the Borrower for the purpose of making such Erroneous Payment.</w:t>
      </w:r>
    </w:p>
    <w:p>
      <w:pPr>
        <w:spacing w:after="0" w:line="177" w:lineRule="exact"/>
        <w:rPr>
          <w:rFonts w:ascii="Times New Roman" w:cs="Times New Roman" w:eastAsia="Times New Roman" w:hAnsi="Times New Roman"/>
          <w:sz w:val="19"/>
          <w:szCs w:val="19"/>
          <w:color w:val="auto"/>
        </w:rPr>
      </w:pPr>
    </w:p>
    <w:p>
      <w:pPr>
        <w:ind w:left="760" w:right="1140" w:firstLine="50"/>
        <w:spacing w:after="0" w:line="255" w:lineRule="auto"/>
        <w:tabs>
          <w:tab w:leader="none" w:pos="1048" w:val="left"/>
        </w:tabs>
        <w:numPr>
          <w:ilvl w:val="1"/>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39" w:name="page240"/>
    <w:bookmarkEnd w:id="239"/>
    <w:p>
      <w:pPr>
        <w:spacing w:after="0" w:line="200" w:lineRule="exact"/>
        <w:rPr>
          <w:sz w:val="20"/>
          <w:szCs w:val="20"/>
          <w:color w:val="auto"/>
        </w:rPr>
      </w:pPr>
    </w:p>
    <w:p>
      <w:pPr>
        <w:spacing w:after="0" w:line="285" w:lineRule="exact"/>
        <w:rPr>
          <w:sz w:val="20"/>
          <w:szCs w:val="20"/>
          <w:color w:val="auto"/>
        </w:rPr>
      </w:pPr>
    </w:p>
    <w:p>
      <w:pPr>
        <w:ind w:left="760" w:right="780"/>
        <w:spacing w:after="0" w:line="268" w:lineRule="auto"/>
        <w:rPr>
          <w:sz w:val="20"/>
          <w:szCs w:val="20"/>
          <w:color w:val="auto"/>
        </w:rPr>
      </w:pPr>
      <w:r>
        <w:rPr>
          <w:rFonts w:ascii="Times New Roman" w:cs="Times New Roman" w:eastAsia="Times New Roman" w:hAnsi="Times New Roman"/>
          <w:sz w:val="19"/>
          <w:szCs w:val="19"/>
          <w:color w:val="auto"/>
        </w:rPr>
        <w:t>counterclaim by the Administrative Agent or the Collateral Agent for the return of any Erroneous Payment received, including without limitation waiver of any defense based on “discharge for value” or any similar doctrine.</w:t>
      </w:r>
    </w:p>
    <w:p>
      <w:pPr>
        <w:spacing w:after="0" w:line="168" w:lineRule="exact"/>
        <w:rPr>
          <w:sz w:val="20"/>
          <w:szCs w:val="20"/>
          <w:color w:val="auto"/>
        </w:rPr>
      </w:pPr>
    </w:p>
    <w:p>
      <w:pPr>
        <w:ind w:left="760" w:right="940"/>
        <w:spacing w:after="0" w:line="259" w:lineRule="auto"/>
        <w:rPr>
          <w:sz w:val="20"/>
          <w:szCs w:val="20"/>
          <w:color w:val="auto"/>
        </w:rPr>
      </w:pPr>
      <w:r>
        <w:rPr>
          <w:rFonts w:ascii="Times New Roman" w:cs="Times New Roman" w:eastAsia="Times New Roman" w:hAnsi="Times New Roman"/>
          <w:sz w:val="19"/>
          <w:szCs w:val="19"/>
          <w:color w:val="auto"/>
        </w:rPr>
        <w:t>Each party’s obligations, agreements and waivers under this Section 12.07 shall survive the resignation or replacement of the Administrative Agent or the Collateral Agent, any transfer of rights or obligations by, or the replacement of, a Lender, the termination of the Commitments and/or the repayment, satisfaction or discharge of all Obligations (or any portion thereof) under any Facility Document.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XIII</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The Backup Collateral Manager</w:t>
      </w:r>
    </w:p>
    <w:p>
      <w:pPr>
        <w:spacing w:after="0" w:line="226" w:lineRule="exact"/>
        <w:rPr>
          <w:sz w:val="20"/>
          <w:szCs w:val="20"/>
          <w:color w:val="auto"/>
        </w:rPr>
      </w:pPr>
    </w:p>
    <w:p>
      <w:pPr>
        <w:jc w:val="both"/>
        <w:ind w:left="760" w:right="92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13.01. Duties of the Backup Collateral Manager. </w:t>
      </w:r>
      <w:r>
        <w:rPr>
          <w:rFonts w:ascii="Times New Roman" w:cs="Times New Roman" w:eastAsia="Times New Roman" w:hAnsi="Times New Roman"/>
          <w:sz w:val="19"/>
          <w:szCs w:val="19"/>
          <w:color w:val="auto"/>
        </w:rPr>
        <w:t>(a) On or before the Closing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Collateral Manager shall deliver to the Backup Collateral Manager the information required to be set forth in the Monthly Report in hard copy and in EXCEL or a comparable format.</w:t>
      </w:r>
    </w:p>
    <w:p>
      <w:pPr>
        <w:spacing w:after="0" w:line="168" w:lineRule="exact"/>
        <w:rPr>
          <w:sz w:val="20"/>
          <w:szCs w:val="20"/>
          <w:color w:val="auto"/>
        </w:rPr>
      </w:pPr>
    </w:p>
    <w:p>
      <w:pPr>
        <w:ind w:left="760" w:right="1000" w:firstLine="50"/>
        <w:spacing w:after="0" w:line="258" w:lineRule="auto"/>
        <w:tabs>
          <w:tab w:leader="none" w:pos="10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Backup Collateral Manager undertakes to perform only such duties and obligations as are specifically set forth in this Agreement, it being expressly understood by all parties hereto that there are no implied duties or obligations of the Backup Collateral Manager hereunder.</w:t>
      </w:r>
    </w:p>
    <w:p>
      <w:pPr>
        <w:spacing w:after="0" w:line="1" w:lineRule="exact"/>
        <w:rPr>
          <w:rFonts w:ascii="Times New Roman" w:cs="Times New Roman" w:eastAsia="Times New Roman" w:hAnsi="Times New Roman"/>
          <w:sz w:val="19"/>
          <w:szCs w:val="19"/>
          <w:color w:val="auto"/>
        </w:rPr>
      </w:pPr>
    </w:p>
    <w:p>
      <w:pPr>
        <w:ind w:left="760" w:right="80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 the Backup Collateral Manager, except as expressly set forth herein, shall have no obligation to supervise, verify, monitor or administer the performance of the Collateral Manager or the Borrower and shall have no liability for any action taken or omitted by the Collateral Manager (including any successor to the Collateral Manager) or the Borrower. The Backup Collateral Manager may act through its agents, attorneys and custodians in performing any of its duties and obligations under this Agreement, it being understood by the parties hereto that the Backup Collateral Manager will be responsible for any willful misconduct or gross negligence on the part of such agents, attorneys or custodians acting for and on behalf of the Backup Collateral Manager. Neither the Backup Collateral Manager nor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 or the failure to perform materially in accordance with this Agreement.</w:t>
      </w:r>
    </w:p>
    <w:p>
      <w:pPr>
        <w:spacing w:after="0" w:line="187" w:lineRule="exact"/>
        <w:rPr>
          <w:sz w:val="20"/>
          <w:szCs w:val="20"/>
          <w:color w:val="auto"/>
        </w:rPr>
      </w:pPr>
    </w:p>
    <w:p>
      <w:pPr>
        <w:ind w:left="760" w:right="80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13.02. Fees of Backup Collateral Manager</w:t>
      </w:r>
      <w:r>
        <w:rPr>
          <w:rFonts w:ascii="Times New Roman" w:cs="Times New Roman" w:eastAsia="Times New Roman" w:hAnsi="Times New Roman"/>
          <w:sz w:val="19"/>
          <w:szCs w:val="19"/>
          <w:color w:val="auto"/>
        </w:rPr>
        <w:t>. (a) For the performance of its backup</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servicing duties hereunder, the Backup Collateral Manager shall be entitled to the fees and expenses set forth in the Backup Collateral Manager Fee Letter. The Backup Collateral Manager shall invoice the Borrower on a monthly basis for such fees and expenses. Payment shall be made by the Borrower to the extent funds are available for that purpose in accordance with the Priority of Payments.</w:t>
      </w:r>
    </w:p>
    <w:p>
      <w:pPr>
        <w:spacing w:after="0" w:line="177" w:lineRule="exact"/>
        <w:rPr>
          <w:sz w:val="20"/>
          <w:szCs w:val="20"/>
          <w:color w:val="auto"/>
        </w:rPr>
      </w:pPr>
    </w:p>
    <w:p>
      <w:pPr>
        <w:ind w:left="760" w:right="1040" w:firstLine="50"/>
        <w:spacing w:after="0" w:line="254" w:lineRule="auto"/>
        <w:tabs>
          <w:tab w:leader="none" w:pos="108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the Borrower fails to make timely payment of fees and expenses for services performed by the Backup Collateral Manager under this Agreement, the Backup Collateral Manager shall give the Collateral Administrators, the Administrative Agent and the Collateral Manager written notice of such nonpayment. The Administrative Agent may elect to</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0" w:name="page241"/>
    <w:bookmarkEnd w:id="240"/>
    <w:p>
      <w:pPr>
        <w:spacing w:after="0" w:line="200" w:lineRule="exact"/>
        <w:rPr>
          <w:sz w:val="20"/>
          <w:szCs w:val="20"/>
          <w:color w:val="auto"/>
        </w:rPr>
      </w:pPr>
    </w:p>
    <w:p>
      <w:pPr>
        <w:spacing w:after="0" w:line="285" w:lineRule="exact"/>
        <w:rPr>
          <w:sz w:val="20"/>
          <w:szCs w:val="20"/>
          <w:color w:val="auto"/>
        </w:rPr>
      </w:pPr>
    </w:p>
    <w:p>
      <w:pPr>
        <w:jc w:val="both"/>
        <w:ind w:left="760" w:right="1120"/>
        <w:spacing w:after="0" w:line="238" w:lineRule="exact"/>
        <w:rPr>
          <w:sz w:val="20"/>
          <w:szCs w:val="20"/>
          <w:color w:val="auto"/>
        </w:rPr>
      </w:pPr>
      <w:r>
        <w:rPr>
          <w:rFonts w:ascii="Times New Roman" w:cs="Times New Roman" w:eastAsia="Times New Roman" w:hAnsi="Times New Roman"/>
          <w:sz w:val="19"/>
          <w:szCs w:val="19"/>
          <w:color w:val="auto"/>
        </w:rPr>
        <w:t>pay the Backup Collateral Manager all then past due servicing fees and expenses owed to the Backup Collateral Manager, and the Borrower agrees to reimburse the Administrative Agent therefor on demand, together with interest thereon at the Post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 Rate.</w:t>
      </w:r>
    </w:p>
    <w:p>
      <w:pPr>
        <w:spacing w:after="0" w:line="185" w:lineRule="exact"/>
        <w:rPr>
          <w:sz w:val="20"/>
          <w:szCs w:val="20"/>
          <w:color w:val="auto"/>
        </w:rPr>
      </w:pPr>
    </w:p>
    <w:p>
      <w:pPr>
        <w:ind w:left="760" w:right="86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13.03. Assumption of Servicing Duties</w:t>
      </w:r>
      <w:r>
        <w:rPr>
          <w:rFonts w:ascii="Times New Roman" w:cs="Times New Roman" w:eastAsia="Times New Roman" w:hAnsi="Times New Roman"/>
          <w:sz w:val="19"/>
          <w:szCs w:val="19"/>
          <w:color w:val="auto"/>
        </w:rPr>
        <w:t>. (a) Upon written notification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to the Backup Collateral Manager and the Collateral Manager, which notice shall be binding upon the Collateral Manager, requesting the Backup Collateral Manager to become primary Collateral Manager with respect to the Collateral, the Backup Collateral Manager shall become Successor Collateral Manager under this Agreement in accordance with Section 11.09 hereof. Within thirty (30) Business Days following the aforesaid notice of Administrative Agent, the Backup Collateral Manager will commence the performance of such servicing duties as Successor Collateral Manager in accordance with the terms and conditions of this Agreement.</w:t>
      </w:r>
    </w:p>
    <w:p>
      <w:pPr>
        <w:spacing w:after="0" w:line="181" w:lineRule="exact"/>
        <w:rPr>
          <w:sz w:val="20"/>
          <w:szCs w:val="20"/>
          <w:color w:val="auto"/>
        </w:rPr>
      </w:pPr>
    </w:p>
    <w:p>
      <w:pPr>
        <w:ind w:left="760" w:right="760" w:firstLine="50"/>
        <w:spacing w:after="0" w:line="257" w:lineRule="auto"/>
        <w:tabs>
          <w:tab w:leader="none" w:pos="1080"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Backup Collateral Manager will have the right to assign its obligations hereunder with the prior written consent of the Administrative Agent and the Required Lenders, which consent shall not be unreasonably withheld. In addition, the Backup Collateral Manager may execute any of its duties under this Agreement (both as Backup Collateral Manager and as Successor Collateral Manager) by or through agents;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Backup Collateral Manager shall remain primarily liable for the due performance of its duties hereunder.</w:t>
      </w:r>
    </w:p>
    <w:p>
      <w:pPr>
        <w:spacing w:after="0" w:line="179" w:lineRule="exact"/>
        <w:rPr>
          <w:sz w:val="20"/>
          <w:szCs w:val="20"/>
          <w:color w:val="auto"/>
        </w:rPr>
      </w:pPr>
    </w:p>
    <w:p>
      <w:pPr>
        <w:ind w:left="760" w:right="78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Section 13.04. Indemnity</w:t>
      </w:r>
      <w:r>
        <w:rPr>
          <w:rFonts w:ascii="Times New Roman" w:cs="Times New Roman" w:eastAsia="Times New Roman" w:hAnsi="Times New Roman"/>
          <w:sz w:val="19"/>
          <w:szCs w:val="19"/>
          <w:color w:val="auto"/>
        </w:rPr>
        <w:t>. The Collateral Manager agrees to indemnify the Backup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Manager and each of its Affiliates and the officers, directors, employees, members and agents thereof, forthwith on demand, from and against any and all damages, losses, claims, liabilities and related costs and expenses, including reasonable and documented attorneys’ fees and disbursements (all of the foregoing being collectively referred to as “</w:t>
      </w:r>
      <w:r>
        <w:rPr>
          <w:rFonts w:ascii="Times New Roman" w:cs="Times New Roman" w:eastAsia="Times New Roman" w:hAnsi="Times New Roman"/>
          <w:sz w:val="19"/>
          <w:szCs w:val="19"/>
          <w:i w:val="1"/>
          <w:iCs w:val="1"/>
          <w:color w:val="auto"/>
        </w:rPr>
        <w:t>Backup Collateral Manager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Indemnified Amounts</w:t>
      </w:r>
      <w:r>
        <w:rPr>
          <w:rFonts w:ascii="Times New Roman" w:cs="Times New Roman" w:eastAsia="Times New Roman" w:hAnsi="Times New Roman"/>
          <w:sz w:val="19"/>
          <w:szCs w:val="19"/>
          <w:color w:val="auto"/>
        </w:rPr>
        <w:t>”) awarded against or incurred by, any such indemnified party arising out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or as a result of (i) any illegal act or omission by the Collateral Manager, or (ii) the failure of the Collateral Manager to comply with its duties or obligations in accordance with this Agreement (including the reasonable and documented attorneys’ fees and disbursements incurred in enforcing the Collateral Manager’s obligations hereunder), </w:t>
      </w:r>
      <w:r>
        <w:rPr>
          <w:rFonts w:ascii="Times New Roman" w:cs="Times New Roman" w:eastAsia="Times New Roman" w:hAnsi="Times New Roman"/>
          <w:sz w:val="19"/>
          <w:szCs w:val="19"/>
          <w:i w:val="1"/>
          <w:iCs w:val="1"/>
          <w:color w:val="auto"/>
        </w:rPr>
        <w:t>excluding, however</w:t>
      </w:r>
      <w:r>
        <w:rPr>
          <w:rFonts w:ascii="Times New Roman" w:cs="Times New Roman" w:eastAsia="Times New Roman" w:hAnsi="Times New Roman"/>
          <w:sz w:val="19"/>
          <w:szCs w:val="19"/>
          <w:color w:val="auto"/>
        </w:rPr>
        <w:t>, Backup Collateral Manager Indemnified Amounts to the extent resulting from (A) gross negligence, willful misconduct or bad faith on the part of such Indemnified Party, (B) a claim brought by the Collateral Manager against an indemnified party for breach in bad faith of such indemnified party’s obligations hereunder or under any other Facility Document as to which such bad faith shall have been found to exist by final order of the applicable court. The provisions of this Section 13.04 shall survive termination of this Agreement and the resignation or removal of the Backup Collateral Manager.</w:t>
      </w:r>
    </w:p>
    <w:p>
      <w:pPr>
        <w:spacing w:after="0" w:line="193" w:lineRule="exact"/>
        <w:rPr>
          <w:sz w:val="20"/>
          <w:szCs w:val="20"/>
          <w:color w:val="auto"/>
        </w:rPr>
      </w:pPr>
    </w:p>
    <w:p>
      <w:pPr>
        <w:ind w:left="760" w:right="880"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Section 13.05. Additional Provisions Applicable to Backup Collateral Manager</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Notwithstanding anything to the contrary in this Agreement, in the event that the Backup Collateral Manager becomes the Successor Collateral Manager pursuant to Section 11.09, the following provisions shall be deemed applicable to the Backup Collateral Manager as Successor Collateral Manager:</w:t>
      </w:r>
    </w:p>
    <w:p>
      <w:pPr>
        <w:spacing w:after="0" w:line="175" w:lineRule="exact"/>
        <w:rPr>
          <w:sz w:val="20"/>
          <w:szCs w:val="20"/>
          <w:color w:val="auto"/>
        </w:rPr>
      </w:pPr>
    </w:p>
    <w:p>
      <w:pPr>
        <w:ind w:left="1340" w:right="820" w:firstLine="47"/>
        <w:spacing w:after="0" w:line="258" w:lineRule="auto"/>
        <w:tabs>
          <w:tab w:leader="none" w:pos="1649"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Backup Collateral Manager’s duties as successor Collateral Manager pursuant to Section 11.02(a)(viii) shall be limited solely to maintaining the perfection of</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1" w:name="page242"/>
    <w:bookmarkEnd w:id="241"/>
    <w:p>
      <w:pPr>
        <w:spacing w:after="0" w:line="200" w:lineRule="exact"/>
        <w:rPr>
          <w:sz w:val="20"/>
          <w:szCs w:val="20"/>
          <w:color w:val="auto"/>
        </w:rPr>
      </w:pPr>
    </w:p>
    <w:p>
      <w:pPr>
        <w:spacing w:after="0" w:line="285" w:lineRule="exact"/>
        <w:rPr>
          <w:sz w:val="20"/>
          <w:szCs w:val="20"/>
          <w:color w:val="auto"/>
        </w:rPr>
      </w:pPr>
    </w:p>
    <w:p>
      <w:pPr>
        <w:ind w:left="1340" w:right="840"/>
        <w:spacing w:after="0" w:line="268" w:lineRule="auto"/>
        <w:rPr>
          <w:sz w:val="20"/>
          <w:szCs w:val="20"/>
          <w:color w:val="auto"/>
        </w:rPr>
      </w:pPr>
      <w:r>
        <w:rPr>
          <w:rFonts w:ascii="Times New Roman" w:cs="Times New Roman" w:eastAsia="Times New Roman" w:hAnsi="Times New Roman"/>
          <w:sz w:val="19"/>
          <w:szCs w:val="19"/>
          <w:color w:val="auto"/>
        </w:rPr>
        <w:t>liens on the Collateral in favor of the Administrative Agent on behalf of the Secured Parties by preparing and filing or recording continuation statements and other documents or instruments as directed by the Administrative Agent;</w:t>
      </w:r>
    </w:p>
    <w:p>
      <w:pPr>
        <w:spacing w:after="0" w:line="149" w:lineRule="exact"/>
        <w:rPr>
          <w:sz w:val="20"/>
          <w:szCs w:val="20"/>
          <w:color w:val="auto"/>
        </w:rPr>
      </w:pPr>
    </w:p>
    <w:p>
      <w:pPr>
        <w:ind w:left="1340" w:right="880" w:firstLine="47"/>
        <w:spacing w:after="0" w:line="236" w:lineRule="exact"/>
        <w:tabs>
          <w:tab w:leader="none" w:pos="1660"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Backup Collateral Manager shall not be required to deliver the agreed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upon procedures report pursuant to Section 8.08 unless the costs and expenses of the Backup Collateral Manager in obtaining such report shall be paid by the Borrower in accordance with the Priority of Payments (which the Borrower hereby agrees to pay) or by one or more Agents or Lenders in its or their sole discretion;</w:t>
      </w:r>
    </w:p>
    <w:p>
      <w:pPr>
        <w:spacing w:after="0" w:line="196" w:lineRule="exact"/>
        <w:rPr>
          <w:rFonts w:ascii="Times New Roman" w:cs="Times New Roman" w:eastAsia="Times New Roman" w:hAnsi="Times New Roman"/>
          <w:sz w:val="19"/>
          <w:szCs w:val="19"/>
          <w:color w:val="auto"/>
        </w:rPr>
      </w:pPr>
    </w:p>
    <w:p>
      <w:pPr>
        <w:ind w:left="1340" w:right="960" w:firstLine="47"/>
        <w:spacing w:after="0" w:line="259" w:lineRule="auto"/>
        <w:tabs>
          <w:tab w:leader="none" w:pos="1649"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Backup Collateral Manager as Successor Collateral Manager shall be entitled to receive at least five (5) Business Days’ written notice prior to any inspection of its premises pursuant to Section 5.03(c), and such visits will occur no more than twice per year so long as the Backup Collateral Manager is not in default as Successor Collateral Manager;</w:t>
      </w:r>
    </w:p>
    <w:p>
      <w:pPr>
        <w:spacing w:after="0" w:line="177" w:lineRule="exact"/>
        <w:rPr>
          <w:rFonts w:ascii="Times New Roman" w:cs="Times New Roman" w:eastAsia="Times New Roman" w:hAnsi="Times New Roman"/>
          <w:sz w:val="19"/>
          <w:szCs w:val="19"/>
          <w:color w:val="auto"/>
        </w:rPr>
      </w:pPr>
    </w:p>
    <w:p>
      <w:pPr>
        <w:ind w:left="1340" w:right="860" w:firstLine="47"/>
        <w:spacing w:after="0" w:line="259" w:lineRule="auto"/>
        <w:tabs>
          <w:tab w:leader="none" w:pos="1660"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Backup Collateral Manager merges into another Person or conveys or transfers its assets to a third party and the surviving entity assumes the duties of the Backup Collateral Manager hereunder, this Agreement shall remain in force, and the terms hereof shall govern the relationship between the Borrower and the successor to the Backup Collateral Manager; and</w:t>
      </w:r>
    </w:p>
    <w:p>
      <w:pPr>
        <w:spacing w:after="0" w:line="177" w:lineRule="exact"/>
        <w:rPr>
          <w:rFonts w:ascii="Times New Roman" w:cs="Times New Roman" w:eastAsia="Times New Roman" w:hAnsi="Times New Roman"/>
          <w:sz w:val="19"/>
          <w:szCs w:val="19"/>
          <w:color w:val="auto"/>
        </w:rPr>
      </w:pPr>
    </w:p>
    <w:p>
      <w:pPr>
        <w:ind w:left="1340" w:right="1020" w:firstLine="47"/>
        <w:spacing w:after="0" w:line="262" w:lineRule="auto"/>
        <w:tabs>
          <w:tab w:leader="none" w:pos="1649"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indemnification obligations of the Backup Collateral Manager upon becoming Successor Collateral Manager hereunder are expressly limited to those instances of willful misconduct, gross negligence or bad faith of the Backup Collateral Manager as Successor Collateral Manager.</w:t>
      </w:r>
    </w:p>
    <w:p>
      <w:pPr>
        <w:spacing w:after="0" w:line="174" w:lineRule="exact"/>
        <w:rPr>
          <w:rFonts w:ascii="Times New Roman" w:cs="Times New Roman" w:eastAsia="Times New Roman" w:hAnsi="Times New Roman"/>
          <w:sz w:val="19"/>
          <w:szCs w:val="19"/>
          <w:color w:val="auto"/>
        </w:rPr>
      </w:pPr>
    </w:p>
    <w:p>
      <w:pPr>
        <w:ind w:left="1340" w:right="1020" w:firstLine="47"/>
        <w:spacing w:after="0" w:line="255" w:lineRule="auto"/>
        <w:tabs>
          <w:tab w:leader="none" w:pos="1628"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Foreign Loans, the Backup Collateral Manager acting as Successor Collateral Manager shall only be responsible for invoicing and acting as a system of record and shall not be responsible for exercising the Borrower’s rights and remedies with respect to such Foreign Loans. In the event that the Backup Collateral Manager becomes the Successor Collateral Manager, to the extent the Borrower’s rights and remedies with respect to a Foreign Loan are to be exercised, upon direction of the Administrative Agent, the Collateral Agent shall engage a Foreign Loan servicer to exercise such rights and remedies in the applicable jurisdiction.</w:t>
      </w:r>
    </w:p>
    <w:p>
      <w:pPr>
        <w:spacing w:after="0" w:line="183" w:lineRule="exact"/>
        <w:rPr>
          <w:rFonts w:ascii="Times New Roman" w:cs="Times New Roman" w:eastAsia="Times New Roman" w:hAnsi="Times New Roman"/>
          <w:sz w:val="19"/>
          <w:szCs w:val="19"/>
          <w:color w:val="auto"/>
        </w:rPr>
      </w:pPr>
    </w:p>
    <w:p>
      <w:pPr>
        <w:ind w:left="1340" w:right="820" w:firstLine="47"/>
        <w:spacing w:after="0" w:line="254" w:lineRule="auto"/>
        <w:tabs>
          <w:tab w:leader="none" w:pos="1660"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avoidance of doubt, if the Backup Collateral Manager becomes the Successor Collateral Manager, the Administrative Agent shall provide written instructions to the Successor Collateral Manager with respect to any discretionary actions, including but not limited to any actions under Article X and XI, sales of Collateral Loans or executing amendments, providing consents and waivers or exercising any voting rights with respect to the Collateral Loans. If the Backup Collateral Manager becomes the Successor</w:t>
      </w:r>
    </w:p>
    <w:p>
      <w:pPr>
        <w:spacing w:after="0" w:line="3" w:lineRule="exact"/>
        <w:rPr>
          <w:sz w:val="20"/>
          <w:szCs w:val="20"/>
          <w:color w:val="auto"/>
        </w:rPr>
      </w:pPr>
    </w:p>
    <w:p>
      <w:pPr>
        <w:ind w:left="1340" w:right="820"/>
        <w:spacing w:after="0" w:line="248" w:lineRule="auto"/>
        <w:rPr>
          <w:sz w:val="20"/>
          <w:szCs w:val="20"/>
          <w:color w:val="auto"/>
        </w:rPr>
      </w:pPr>
      <w:r>
        <w:rPr>
          <w:rFonts w:ascii="Times New Roman" w:cs="Times New Roman" w:eastAsia="Times New Roman" w:hAnsi="Times New Roman"/>
          <w:sz w:val="19"/>
          <w:szCs w:val="19"/>
          <w:color w:val="auto"/>
        </w:rPr>
        <w:t>Collateral Manager, then it shall not be obligated to take any discretionary actions under this Agreement or any related agreement, other than normal and customary invoicing and collecting from the Obligors under the Collateral, unless directed in writing by the Administrative Agent.</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2" w:name="page243"/>
    <w:bookmarkEnd w:id="242"/>
    <w:p>
      <w:pPr>
        <w:spacing w:after="0" w:line="200" w:lineRule="exact"/>
        <w:rPr>
          <w:sz w:val="20"/>
          <w:szCs w:val="20"/>
          <w:color w:val="auto"/>
        </w:rPr>
      </w:pPr>
    </w:p>
    <w:p>
      <w:pPr>
        <w:spacing w:after="0" w:line="283" w:lineRule="exact"/>
        <w:rPr>
          <w:sz w:val="20"/>
          <w:szCs w:val="20"/>
          <w:color w:val="auto"/>
        </w:rPr>
      </w:pPr>
    </w:p>
    <w:p>
      <w:pPr>
        <w:ind w:left="760" w:right="800"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13.06. Resignation of the Backup Collateral Manager</w:t>
      </w:r>
      <w:r>
        <w:rPr>
          <w:rFonts w:ascii="Times New Roman" w:cs="Times New Roman" w:eastAsia="Times New Roman" w:hAnsi="Times New Roman"/>
          <w:sz w:val="19"/>
          <w:szCs w:val="19"/>
          <w:color w:val="auto"/>
        </w:rPr>
        <w:t>. Notwithstanding the provisions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above, the Backup Collateral Manager may resign, either as Backup Collateral Manager or as Successor Collateral Manager, upon ninety (90) days prior written notice to the Administrative Agent, the Collateral Agent and the Borrower: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such resignation shall not become effective until there is a replacement Successor Collateral Manager or Backup Collateral Manager in place that is acceptable to the Collateral Agent, the Administrative Agent, and, unless an Event of Default shall have occurred and be continuing, the Borrower, in each case in their sole discretion. Upon the resignation of the Backup Collateral Manager, the Administrative Agent shall appoint a successor Backup Collateral Manager (subject to the previous sentence) and if it does not do so within thirty (30) days of the Backup Collateral Manager’s resignation, the Backup Collateral Manager may petition a court of competent jurisdiction for the appointment of a successor.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XIV</w:t>
      </w:r>
    </w:p>
    <w:p>
      <w:pPr>
        <w:spacing w:after="0" w:line="2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b w:val="1"/>
          <w:bCs w:val="1"/>
          <w:color w:val="auto"/>
        </w:rPr>
        <w:t>The Custodian</w:t>
      </w:r>
    </w:p>
    <w:p>
      <w:pPr>
        <w:spacing w:after="0" w:line="22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14.01. Designation of Custodian</w:t>
      </w:r>
    </w:p>
    <w:p>
      <w:pPr>
        <w:spacing w:after="0" w:line="226" w:lineRule="exact"/>
        <w:rPr>
          <w:sz w:val="20"/>
          <w:szCs w:val="20"/>
          <w:color w:val="auto"/>
        </w:rPr>
      </w:pPr>
    </w:p>
    <w:p>
      <w:pPr>
        <w:ind w:left="760" w:right="760" w:firstLine="50"/>
        <w:spacing w:after="0" w:line="258" w:lineRule="auto"/>
        <w:tabs>
          <w:tab w:leader="none" w:pos="1072"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Initial Custodian</w:t>
      </w:r>
      <w:r>
        <w:rPr>
          <w:rFonts w:ascii="Times New Roman" w:cs="Times New Roman" w:eastAsia="Times New Roman" w:hAnsi="Times New Roman"/>
          <w:sz w:val="19"/>
          <w:szCs w:val="19"/>
          <w:color w:val="auto"/>
        </w:rPr>
        <w:t>. The role of Custodian with respect to the Collateral Loans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conducted by the Person designated as Custodian hereunder from time to time in accordance with this Section 14.01. Until the Administrative Agent shall give to U.S. Bank National Association a Custodian Termination Notice, U.S. Bank National Association is hereby appointed as, and hereby accepts such appointment and agrees to perform the duties and obligations of, Custodian pursuant to the terms hereof.</w:t>
      </w:r>
    </w:p>
    <w:p>
      <w:pPr>
        <w:spacing w:after="0" w:line="175" w:lineRule="exact"/>
        <w:rPr>
          <w:rFonts w:ascii="Times New Roman" w:cs="Times New Roman" w:eastAsia="Times New Roman" w:hAnsi="Times New Roman"/>
          <w:sz w:val="19"/>
          <w:szCs w:val="19"/>
          <w:color w:val="auto"/>
        </w:rPr>
      </w:pPr>
    </w:p>
    <w:p>
      <w:pPr>
        <w:ind w:left="760" w:right="800" w:firstLine="50"/>
        <w:spacing w:after="0" w:line="258" w:lineRule="auto"/>
        <w:tabs>
          <w:tab w:leader="none" w:pos="1084"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Successor Custodian</w:t>
      </w:r>
      <w:r>
        <w:rPr>
          <w:rFonts w:ascii="Times New Roman" w:cs="Times New Roman" w:eastAsia="Times New Roman" w:hAnsi="Times New Roman"/>
          <w:sz w:val="19"/>
          <w:szCs w:val="19"/>
          <w:color w:val="auto"/>
        </w:rPr>
        <w:t>. Upon the Custodian’s receipt of a Custodian Termination Notice from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Administrative Agent of the designation of a successor Custodian pursuant to the provisions of Section 14.05, the Custodian agrees that it will terminate its activities as Custodian hereunder. Upon the resignation of the Custodian, the Administrative Agent shall appoint a successor Custodian and if it does not do so within thirty (30) days of the Custodian’s resignation, the Custodian may petition a court of competent jurisdiction for the appointment of a successor.</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14.02. Duties of Custodian</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800" w:firstLine="50"/>
        <w:spacing w:after="0" w:line="258" w:lineRule="auto"/>
        <w:tabs>
          <w:tab w:leader="none" w:pos="1072"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Appointment</w:t>
      </w:r>
      <w:r>
        <w:rPr>
          <w:rFonts w:ascii="Times New Roman" w:cs="Times New Roman" w:eastAsia="Times New Roman" w:hAnsi="Times New Roman"/>
          <w:sz w:val="19"/>
          <w:szCs w:val="19"/>
          <w:color w:val="auto"/>
        </w:rPr>
        <w:t>. Each of the Borrower and the Administrative Agent hereby designate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appoint the Custodian to act as its agent and hereby authorizes the Custodian to take such actions on its behalf and to exercise such powers and perform such duties as are expressly granted to the Custodian by this Agreement. The Custodian hereby accepts such agency appointment to act as Custodian pursuant to the terms of this Agreement, until its resignation or removal as Custodian pursuant to the terms hereof.</w:t>
      </w:r>
    </w:p>
    <w:p>
      <w:pPr>
        <w:spacing w:after="0" w:line="175" w:lineRule="exact"/>
        <w:rPr>
          <w:rFonts w:ascii="Times New Roman" w:cs="Times New Roman" w:eastAsia="Times New Roman" w:hAnsi="Times New Roman"/>
          <w:sz w:val="19"/>
          <w:szCs w:val="19"/>
          <w:color w:val="auto"/>
        </w:rPr>
      </w:pPr>
    </w:p>
    <w:p>
      <w:pPr>
        <w:ind w:left="1080" w:hanging="270"/>
        <w:spacing w:after="0"/>
        <w:tabs>
          <w:tab w:leader="none" w:pos="108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Duties</w:t>
      </w:r>
      <w:r>
        <w:rPr>
          <w:rFonts w:ascii="Times New Roman" w:cs="Times New Roman" w:eastAsia="Times New Roman" w:hAnsi="Times New Roman"/>
          <w:sz w:val="19"/>
          <w:szCs w:val="19"/>
          <w:color w:val="auto"/>
        </w:rPr>
        <w:t>. On or before the Funding Effective Date, and until its removal pursuant to Section</w:t>
      </w:r>
    </w:p>
    <w:p>
      <w:pPr>
        <w:spacing w:after="0" w:line="34" w:lineRule="exact"/>
        <w:rPr>
          <w:sz w:val="20"/>
          <w:szCs w:val="20"/>
          <w:color w:val="auto"/>
        </w:rPr>
      </w:pPr>
    </w:p>
    <w:p>
      <w:pPr>
        <w:ind w:left="760" w:right="940"/>
        <w:spacing w:after="0" w:line="246" w:lineRule="auto"/>
        <w:rPr>
          <w:sz w:val="20"/>
          <w:szCs w:val="20"/>
          <w:color w:val="auto"/>
        </w:rPr>
      </w:pPr>
      <w:r>
        <w:rPr>
          <w:rFonts w:ascii="Times New Roman" w:cs="Times New Roman" w:eastAsia="Times New Roman" w:hAnsi="Times New Roman"/>
          <w:sz w:val="19"/>
          <w:szCs w:val="19"/>
          <w:color w:val="auto"/>
        </w:rPr>
        <w:t>14.5, the Custodian shall perform, on behalf of the Administrative Agent and the other Secured Parties, the following duties and obligations:</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3" w:name="page244"/>
    <w:bookmarkEnd w:id="243"/>
    <w:p>
      <w:pPr>
        <w:spacing w:after="0" w:line="200" w:lineRule="exact"/>
        <w:rPr>
          <w:sz w:val="20"/>
          <w:szCs w:val="20"/>
          <w:color w:val="auto"/>
        </w:rPr>
      </w:pPr>
    </w:p>
    <w:p>
      <w:pPr>
        <w:spacing w:after="0" w:line="285" w:lineRule="exact"/>
        <w:rPr>
          <w:sz w:val="20"/>
          <w:szCs w:val="20"/>
          <w:color w:val="auto"/>
        </w:rPr>
      </w:pPr>
    </w:p>
    <w:p>
      <w:pPr>
        <w:ind w:left="1340" w:right="740" w:firstLine="47"/>
        <w:spacing w:after="0" w:line="229" w:lineRule="exact"/>
        <w:tabs>
          <w:tab w:leader="none" w:pos="1617"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Custodian shall take and retain custody of the Related Documents delivered by the Borrower pursuant to Section 7.05 in accordance with the terms and conditions of this Agreement, all for the benefit of the Secured Parties and subject to the Lien thereon in favor of the Administrative Agent, as agent for the Secured Parties. Within five (5) Business Days of its receipt of the Related Documents and Loan Checklist, the Custodian shall review the Related Documents delivered to it to confirm that (A) if the files delivered per the following sentence indicate that any document must contain an original signature, each such document appears to bear the original signature, or if the file indicates that such document may contain a copy of a signature, that such copies appear to bear a reproduction of such signature and (B) based on a review of the applicable note, the related initial principal loan balance when entered into or obtained by the Borrower, loan identification number and Obligor name with respect to such Collateral Loan is referenced on the related Loan Checklist and is does not appear to be a duplicate Collateral Loan (such items (A) through (B) collectively, the </w:t>
      </w:r>
      <w:r>
        <w:rPr>
          <w:rFonts w:ascii="Times New Roman" w:cs="Times New Roman" w:eastAsia="Times New Roman" w:hAnsi="Times New Roman"/>
          <w:sz w:val="19"/>
          <w:szCs w:val="19"/>
          <w:i w:val="1"/>
          <w:iCs w:val="1"/>
          <w:color w:val="auto"/>
        </w:rPr>
        <w:t>“Review Criteria”</w:t>
      </w:r>
      <w:r>
        <w:rPr>
          <w:rFonts w:ascii="Times New Roman" w:cs="Times New Roman" w:eastAsia="Times New Roman" w:hAnsi="Times New Roman"/>
          <w:sz w:val="19"/>
          <w:szCs w:val="19"/>
          <w:color w:val="auto"/>
        </w:rPr>
        <w:t>). In order to facilitate the foregoing review by the Custodian, in connection with each delivery of Related Documents hereunder to the Custodian, the Collateral Manager shall provide to the Custodian an electronic file (in EXCEL or a comparable format acceptable to the Custodian) or the related Loan Checklist that contains a list of all Related Documents and whether they require original signatures, the loan identification number and the name of the Obligor and the initial principal loan balance when entered into or obtained by the Borrower with respect to each related Collateral Loan. If, at the conclusion of such review, the Custodian shall determine that (1) the initial principal loan balances of the Collateral Loans with respect to which it has received Related Documents is less than as set forth on the electronic file, the Custodian shall promptly notify the Administrative Agent, the Borrower and the Collateral Manager of such discrepancy, and (2) any Review Criteria is not satisfied, the Custodian shall within one (1) Business Day notify the Collateral Manager of such determination and provide the Collateral Manager and the Borrower with a list of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complying Collateral Loans and the applicable Review Criteria that they fail to satisfy. The Collateral Manager shall have ten (10) Business Days to correct any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compliance with any Review Criteria. In addition, if requested in writing in the form of Exhibit G by the Collateral Manager and approved by the Administrative Agent within ten (10) Business Days of the Custodian’s delivery of such report, the Custodian shall return the Related Documents for any Collateral Loan which fails to satisfy a Review Criteria to the Borrower. Other than the foregoing, the Custodian shall not have any responsibility for reviewing any Related Documents.</w:t>
      </w:r>
    </w:p>
    <w:p>
      <w:pPr>
        <w:spacing w:after="0" w:line="201" w:lineRule="exact"/>
        <w:rPr>
          <w:rFonts w:ascii="Times New Roman" w:cs="Times New Roman" w:eastAsia="Times New Roman" w:hAnsi="Times New Roman"/>
          <w:sz w:val="19"/>
          <w:szCs w:val="19"/>
          <w:color w:val="auto"/>
        </w:rPr>
      </w:pPr>
    </w:p>
    <w:p>
      <w:pPr>
        <w:ind w:left="1340" w:right="900" w:firstLine="47"/>
        <w:spacing w:after="0" w:line="259" w:lineRule="auto"/>
        <w:tabs>
          <w:tab w:leader="none" w:pos="167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taking and retaining custody of the Related Documents, the Custodian shall be deemed to be acting as the agent of the Secured Parties; provided that the Custodian makes no representations as to the existence, perfection or priority of any Lien on the Related Documents or the instruments therein; and provided further that the Custodian’s duties as agent shall be limited to those expressly contemplated herein.</w:t>
      </w:r>
    </w:p>
    <w:p>
      <w:pPr>
        <w:spacing w:after="0" w:line="177" w:lineRule="exact"/>
        <w:rPr>
          <w:rFonts w:ascii="Times New Roman" w:cs="Times New Roman" w:eastAsia="Times New Roman" w:hAnsi="Times New Roman"/>
          <w:sz w:val="19"/>
          <w:szCs w:val="19"/>
          <w:color w:val="auto"/>
        </w:rPr>
      </w:pPr>
    </w:p>
    <w:p>
      <w:pPr>
        <w:ind w:left="1340" w:right="920" w:firstLine="47"/>
        <w:spacing w:after="0" w:line="254" w:lineRule="auto"/>
        <w:tabs>
          <w:tab w:leader="none" w:pos="1724"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Related Documents that are originals or copies shall be kept in fire resistant vaults, rooms or cabinets at the Document Custodian Facilities. All Related Documents that are originals or copies shall be placed together with an appropriate identifying label and maintained in such a manner so as to permit retrieval and access. All</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4" w:name="page245"/>
    <w:bookmarkEnd w:id="244"/>
    <w:p>
      <w:pPr>
        <w:spacing w:after="0" w:line="200" w:lineRule="exact"/>
        <w:rPr>
          <w:sz w:val="20"/>
          <w:szCs w:val="20"/>
          <w:color w:val="auto"/>
        </w:rPr>
      </w:pPr>
    </w:p>
    <w:p>
      <w:pPr>
        <w:spacing w:after="0" w:line="285" w:lineRule="exact"/>
        <w:rPr>
          <w:sz w:val="20"/>
          <w:szCs w:val="20"/>
          <w:color w:val="auto"/>
        </w:rPr>
      </w:pPr>
    </w:p>
    <w:p>
      <w:pPr>
        <w:ind w:left="1340" w:right="780"/>
        <w:spacing w:after="0" w:line="259" w:lineRule="auto"/>
        <w:rPr>
          <w:sz w:val="20"/>
          <w:szCs w:val="20"/>
          <w:color w:val="auto"/>
        </w:rPr>
      </w:pPr>
      <w:r>
        <w:rPr>
          <w:rFonts w:ascii="Times New Roman" w:cs="Times New Roman" w:eastAsia="Times New Roman" w:hAnsi="Times New Roman"/>
          <w:sz w:val="19"/>
          <w:szCs w:val="19"/>
          <w:color w:val="auto"/>
        </w:rPr>
        <w:t>Related Documents that are originals or copies shall be clearly segregated from any other documents or instruments maintained by the Custodian. All Related Documents that are delivered to the Custodian in electronic format shall be saved onto disks and/or onto the Custodian’s secure computer system, and maintained in a manner so as to permit retrieval and access.</w:t>
      </w:r>
    </w:p>
    <w:p>
      <w:pPr>
        <w:spacing w:after="0" w:line="178" w:lineRule="exact"/>
        <w:rPr>
          <w:sz w:val="20"/>
          <w:szCs w:val="20"/>
          <w:color w:val="auto"/>
        </w:rPr>
      </w:pPr>
    </w:p>
    <w:p>
      <w:pPr>
        <w:ind w:left="1340" w:right="880" w:firstLine="47"/>
        <w:spacing w:after="0" w:line="234" w:lineRule="exact"/>
        <w:tabs>
          <w:tab w:leader="none" w:pos="1713"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each Payment Date, the Custodian shall provide a written report to the Administrative Agent and the Collateral Manager (in a form acceptable to the Administrative Agent) identifying each Collateral Loan for which it holds Related Documents,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complying Collateral Loans and the applicable Review Criteria that any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complying Collateral Loan fails to satisfy.</w:t>
      </w:r>
    </w:p>
    <w:p>
      <w:pPr>
        <w:spacing w:after="0" w:line="186" w:lineRule="exact"/>
        <w:rPr>
          <w:rFonts w:ascii="Times New Roman" w:cs="Times New Roman" w:eastAsia="Times New Roman" w:hAnsi="Times New Roman"/>
          <w:sz w:val="19"/>
          <w:szCs w:val="19"/>
          <w:color w:val="auto"/>
        </w:rPr>
      </w:pPr>
    </w:p>
    <w:p>
      <w:pPr>
        <w:ind w:left="1340" w:right="800" w:firstLine="47"/>
        <w:spacing w:after="0" w:line="286" w:lineRule="auto"/>
        <w:tabs>
          <w:tab w:leader="none" w:pos="1660"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performing its duties, the Custodian shall use a similar degree of care and attention as it employs with respect to similar collateral that it holds as Custodian for others.</w:t>
      </w:r>
    </w:p>
    <w:p>
      <w:pPr>
        <w:spacing w:after="0" w:line="151" w:lineRule="exact"/>
        <w:rPr>
          <w:rFonts w:ascii="Times New Roman" w:cs="Times New Roman" w:eastAsia="Times New Roman" w:hAnsi="Times New Roman"/>
          <w:sz w:val="19"/>
          <w:szCs w:val="19"/>
          <w:color w:val="auto"/>
        </w:rPr>
      </w:pPr>
    </w:p>
    <w:p>
      <w:pPr>
        <w:ind w:left="1340" w:right="840" w:firstLine="47"/>
        <w:spacing w:after="0" w:line="262" w:lineRule="auto"/>
        <w:tabs>
          <w:tab w:leader="none" w:pos="1713"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the Custodian be liable for special, indirect or consequential losses or damages of any kind whatsoever (including but not limited to lost profits) even if the Custodian has been advised of the likelihood of such damages and regardless of the form of such action.</w:t>
      </w:r>
    </w:p>
    <w:p>
      <w:pPr>
        <w:spacing w:after="0" w:line="174" w:lineRule="exact"/>
        <w:rPr>
          <w:rFonts w:ascii="Times New Roman" w:cs="Times New Roman" w:eastAsia="Times New Roman" w:hAnsi="Times New Roman"/>
          <w:sz w:val="19"/>
          <w:szCs w:val="19"/>
          <w:color w:val="auto"/>
        </w:rPr>
      </w:pPr>
    </w:p>
    <w:p>
      <w:pPr>
        <w:ind w:left="1340" w:right="800" w:firstLine="47"/>
        <w:spacing w:after="0" w:line="230" w:lineRule="exact"/>
        <w:tabs>
          <w:tab w:leader="none" w:pos="1767"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delivery of the Collateral Loans acquired by the Borrower which constitute Noteless Loans or Participations or which are otherwise not evidenced by a “security” or “instrument” as defined in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 and Section 9</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102(a)(47) of the UCC, respectively, shall be made by delivery to the Custodian of (i) in the case of a Noteless Loan,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and (ii) in the case of a Participation, a copy of the related participation agreement. Any duty on the part of the Custodian with respect to the custody of such Collateral Loans shall be limited to the exercise of reasonable care by the Custodian in the physical custody of any such Related Documents and other documents delivered to it, and any related instrument, security, credit agreement, assignment agreement and/or other agreements or documents, if any (collectively, “</w:t>
      </w:r>
      <w:r>
        <w:rPr>
          <w:rFonts w:ascii="Times New Roman" w:cs="Times New Roman" w:eastAsia="Times New Roman" w:hAnsi="Times New Roman"/>
          <w:sz w:val="19"/>
          <w:szCs w:val="19"/>
          <w:i w:val="1"/>
          <w:iCs w:val="1"/>
          <w:color w:val="auto"/>
        </w:rPr>
        <w:t>Financing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Documents</w:t>
      </w:r>
      <w:r>
        <w:rPr>
          <w:rFonts w:ascii="Times New Roman" w:cs="Times New Roman" w:eastAsia="Times New Roman" w:hAnsi="Times New Roman"/>
          <w:sz w:val="19"/>
          <w:szCs w:val="19"/>
          <w:color w:val="auto"/>
        </w:rPr>
        <w:t>”), that may be delivered to it.</w:t>
      </w:r>
    </w:p>
    <w:p>
      <w:pPr>
        <w:spacing w:after="0" w:line="196" w:lineRule="exact"/>
        <w:rPr>
          <w:rFonts w:ascii="Times New Roman" w:cs="Times New Roman" w:eastAsia="Times New Roman" w:hAnsi="Times New Roman"/>
          <w:sz w:val="19"/>
          <w:szCs w:val="19"/>
          <w:color w:val="auto"/>
        </w:rPr>
      </w:pPr>
    </w:p>
    <w:p>
      <w:pPr>
        <w:ind w:left="1340" w:right="800" w:firstLine="47"/>
        <w:spacing w:after="0" w:line="233" w:lineRule="exact"/>
        <w:tabs>
          <w:tab w:leader="none" w:pos="1820"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may assume the genuineness of any such Financing Document it may receive and the genuineness and due authority of any signatures appearing thereon, and shall be entitled to assume that each such Financing Document it may receive is what it purports to be. If an original “security” or “instrument” as defined in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 and Section 9</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102(a)(47) of the UCC, respectively, is or shall be or become available with</w:t>
      </w:r>
    </w:p>
    <w:p>
      <w:pPr>
        <w:spacing w:after="0" w:line="2" w:lineRule="exact"/>
        <w:rPr>
          <w:sz w:val="20"/>
          <w:szCs w:val="20"/>
          <w:color w:val="auto"/>
        </w:rPr>
      </w:pPr>
    </w:p>
    <w:p>
      <w:pPr>
        <w:ind w:left="1340" w:right="900"/>
        <w:spacing w:after="0" w:line="248" w:lineRule="auto"/>
        <w:rPr>
          <w:sz w:val="20"/>
          <w:szCs w:val="20"/>
          <w:color w:val="auto"/>
        </w:rPr>
      </w:pPr>
      <w:r>
        <w:rPr>
          <w:rFonts w:ascii="Times New Roman" w:cs="Times New Roman" w:eastAsia="Times New Roman" w:hAnsi="Times New Roman"/>
          <w:sz w:val="19"/>
          <w:szCs w:val="19"/>
          <w:color w:val="auto"/>
        </w:rPr>
        <w:t>respect to any Collateral Loan to be held by the Custodian under this Agreement, it shall be the sole responsibility of the Borrower to make or cause delivery thereof to the Custodian, and the Custodian shall not be under any obligation at any time to determine whether any such original security or instrument has been or is required to be</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5" w:name="page246"/>
    <w:bookmarkEnd w:id="245"/>
    <w:p>
      <w:pPr>
        <w:spacing w:after="0" w:line="200" w:lineRule="exact"/>
        <w:rPr>
          <w:sz w:val="20"/>
          <w:szCs w:val="20"/>
          <w:color w:val="auto"/>
        </w:rPr>
      </w:pPr>
    </w:p>
    <w:p>
      <w:pPr>
        <w:spacing w:after="0" w:line="285" w:lineRule="exact"/>
        <w:rPr>
          <w:sz w:val="20"/>
          <w:szCs w:val="20"/>
          <w:color w:val="auto"/>
        </w:rPr>
      </w:pPr>
    </w:p>
    <w:p>
      <w:pPr>
        <w:ind w:left="1340" w:right="840"/>
        <w:spacing w:after="0" w:line="286" w:lineRule="auto"/>
        <w:rPr>
          <w:sz w:val="20"/>
          <w:szCs w:val="20"/>
          <w:color w:val="auto"/>
        </w:rPr>
      </w:pPr>
      <w:r>
        <w:rPr>
          <w:rFonts w:ascii="Times New Roman" w:cs="Times New Roman" w:eastAsia="Times New Roman" w:hAnsi="Times New Roman"/>
          <w:sz w:val="19"/>
          <w:szCs w:val="19"/>
          <w:color w:val="auto"/>
        </w:rPr>
        <w:t>issued or made available in respect of any Collateral Loan or to compel or cause delivery thereof to the Custodian.</w:t>
      </w:r>
    </w:p>
    <w:p>
      <w:pPr>
        <w:spacing w:after="0" w:line="149" w:lineRule="exact"/>
        <w:rPr>
          <w:sz w:val="20"/>
          <w:szCs w:val="20"/>
          <w:color w:val="auto"/>
        </w:rPr>
      </w:pPr>
    </w:p>
    <w:p>
      <w:pPr>
        <w:ind w:left="760" w:right="86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14.03. Merger or Consolidation</w:t>
      </w:r>
      <w:r>
        <w:rPr>
          <w:rFonts w:ascii="Times New Roman" w:cs="Times New Roman" w:eastAsia="Times New Roman" w:hAnsi="Times New Roman"/>
          <w:sz w:val="19"/>
          <w:szCs w:val="19"/>
          <w:color w:val="auto"/>
        </w:rPr>
        <w:t>. Any Person (i) into which the Custodian may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merged or consolidated, (ii) that may result from any merger or consolidation to which the Custodian shall be a party, or (iii) that may succeed to the properties and assets of the Custodian substantially as a whole, which Person in any of the foregoing cases executes an agreement of assumption to perform every obligation of the Custodian hereunder, shall be the successor to the Custodian under this Agreement without further act of any of the parties to this Agreement.</w:t>
      </w:r>
    </w:p>
    <w:p>
      <w:pPr>
        <w:spacing w:after="0" w:line="175" w:lineRule="exact"/>
        <w:rPr>
          <w:sz w:val="20"/>
          <w:szCs w:val="20"/>
          <w:color w:val="auto"/>
        </w:rPr>
      </w:pPr>
    </w:p>
    <w:p>
      <w:pPr>
        <w:ind w:left="760" w:right="820"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14.04. Custodian Compensation</w:t>
      </w:r>
      <w:r>
        <w:rPr>
          <w:rFonts w:ascii="Times New Roman" w:cs="Times New Roman" w:eastAsia="Times New Roman" w:hAnsi="Times New Roman"/>
          <w:sz w:val="19"/>
          <w:szCs w:val="19"/>
          <w:color w:val="auto"/>
        </w:rPr>
        <w:t>. As compensation for its Custodian activities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hereunder, the Custodian shall be entitled to fees pursuant to the Custodian Fee Letter. The Custodian’s entitlement to receive the fees under the Custodian Fee Letter shall cease on the earlier to occur of: (i) its removal as Custodian pursuant to Section 14.05 or (ii) the termination of this Agreement. Upon termination of this Agreement or earlier resignation or removal of the Custodian, the Borrower shall pay to the Custodian such compensation, and shall likewise reimburse the Custodian for its costs, expenses and disbursements, as may be due as of the date of such termination, resignation or removal, as the case may be. All indemnifications in favor of the Custodian under this Agreement shall survive the termination of this Agreement, or any resignation or removal of the Custodian. The Borrower agrees to pay or reimburse to the Custodian upon its request from time to time all costs, disbursements, advances, and expenses (including reasonable fees and expenses of legal counsel) incurred, in connection with the preparation or execution of this Agreement, or in connection with the transactions contemplated hereby or performance by the Custodian of its duties and services under this Agreement (including costs and expenses of any action deemed necessary by the Custodian to collect any amounts owing to it under this Agreement).</w:t>
      </w:r>
    </w:p>
    <w:p>
      <w:pPr>
        <w:spacing w:after="0" w:line="180" w:lineRule="exact"/>
        <w:rPr>
          <w:sz w:val="20"/>
          <w:szCs w:val="20"/>
          <w:color w:val="auto"/>
        </w:rPr>
      </w:pPr>
    </w:p>
    <w:p>
      <w:pPr>
        <w:ind w:left="760" w:right="92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14.05. Custodian Removal </w:t>
      </w:r>
      <w:r>
        <w:rPr>
          <w:rFonts w:ascii="Times New Roman" w:cs="Times New Roman" w:eastAsia="Times New Roman" w:hAnsi="Times New Roman"/>
          <w:sz w:val="19"/>
          <w:szCs w:val="19"/>
          <w:color w:val="auto"/>
        </w:rPr>
        <w:t>. The Custodian may be removed, with or without cause,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Administrative Agent by notice given in writing to the Custodian (the </w:t>
      </w:r>
      <w:r>
        <w:rPr>
          <w:rFonts w:ascii="Times New Roman" w:cs="Times New Roman" w:eastAsia="Times New Roman" w:hAnsi="Times New Roman"/>
          <w:sz w:val="19"/>
          <w:szCs w:val="19"/>
          <w:i w:val="1"/>
          <w:iCs w:val="1"/>
          <w:color w:val="auto"/>
        </w:rPr>
        <w:t>“Custodian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Termination Notice”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provided </w:t>
      </w:r>
      <w:r>
        <w:rPr>
          <w:rFonts w:ascii="Times New Roman" w:cs="Times New Roman" w:eastAsia="Times New Roman" w:hAnsi="Times New Roman"/>
          <w:sz w:val="19"/>
          <w:szCs w:val="19"/>
          <w:color w:val="auto"/>
        </w:rPr>
        <w:t>that notwithstanding its receipt of a Custodian Termination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Notice, the Custodian shall continue to act in such capacity (and shall continue to be entitled to receive fees) until a successor Custodian has been appointed, has agreed to act as Custodian hereunder, and has received all Related Documents held by the previous Custodian.</w:t>
      </w:r>
    </w:p>
    <w:p>
      <w:pPr>
        <w:spacing w:after="0" w:line="175" w:lineRule="exact"/>
        <w:rPr>
          <w:sz w:val="20"/>
          <w:szCs w:val="20"/>
          <w:color w:val="auto"/>
        </w:rPr>
      </w:pPr>
    </w:p>
    <w:p>
      <w:pPr>
        <w:ind w:left="760" w:right="78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14.06. Limitation on Liability</w:t>
      </w:r>
      <w:r>
        <w:rPr>
          <w:rFonts w:ascii="Times New Roman" w:cs="Times New Roman" w:eastAsia="Times New Roman" w:hAnsi="Times New Roman"/>
          <w:sz w:val="19"/>
          <w:szCs w:val="19"/>
          <w:color w:val="auto"/>
        </w:rPr>
        <w:t>. (a) The Custodian may conclusively rely on and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fully protected in acting upon any certificate, instrument, opinion, notice, letter, telegram or other document delivered to it and that in good faith it reasonably believes to be genuine and that has been signed by the proper party or parties. The Custodian may rely conclusively on and shall be fully protected in acting upon (a) the written instructions of any designated officer of the Administrative Agent or (b) the verbal instructions of the Administrative Agent.</w:t>
      </w:r>
    </w:p>
    <w:p>
      <w:pPr>
        <w:spacing w:after="0" w:line="177" w:lineRule="exact"/>
        <w:rPr>
          <w:sz w:val="20"/>
          <w:szCs w:val="20"/>
          <w:color w:val="auto"/>
        </w:rPr>
      </w:pPr>
    </w:p>
    <w:p>
      <w:pPr>
        <w:ind w:left="760" w:right="840" w:firstLine="50"/>
        <w:spacing w:after="0" w:line="254" w:lineRule="auto"/>
        <w:tabs>
          <w:tab w:leader="none" w:pos="1080"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6" w:name="page247"/>
    <w:bookmarkEnd w:id="246"/>
    <w:p>
      <w:pPr>
        <w:spacing w:after="0" w:line="200" w:lineRule="exact"/>
        <w:rPr>
          <w:sz w:val="20"/>
          <w:szCs w:val="20"/>
          <w:color w:val="auto"/>
        </w:rPr>
      </w:pPr>
    </w:p>
    <w:p>
      <w:pPr>
        <w:spacing w:after="0" w:line="285" w:lineRule="exact"/>
        <w:rPr>
          <w:sz w:val="20"/>
          <w:szCs w:val="20"/>
          <w:color w:val="auto"/>
        </w:rPr>
      </w:pPr>
    </w:p>
    <w:p>
      <w:pPr>
        <w:ind w:left="760" w:right="780" w:firstLine="50"/>
        <w:spacing w:after="0" w:line="257" w:lineRule="auto"/>
        <w:tabs>
          <w:tab w:leader="none" w:pos="1069"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shall not be liable for any error of judgment, or for any act done or step taken or omitted by it, in good faith, or for any mistakes of fact or law, or for anything that it may do or refrain from doing in connection herewith except, notwithstanding anything to the contrary contained herein, in the case of its willful misconduct, bad faith or grossly negligent performance or omission of its duties and in the case of its grossly negligent performance of its duties in taking and retaining custody of the Related Documents.</w:t>
      </w:r>
    </w:p>
    <w:p>
      <w:pPr>
        <w:spacing w:after="0" w:line="180" w:lineRule="exact"/>
        <w:rPr>
          <w:rFonts w:ascii="Times New Roman" w:cs="Times New Roman" w:eastAsia="Times New Roman" w:hAnsi="Times New Roman"/>
          <w:sz w:val="19"/>
          <w:szCs w:val="19"/>
          <w:color w:val="auto"/>
        </w:rPr>
      </w:pPr>
    </w:p>
    <w:p>
      <w:pPr>
        <w:ind w:left="760" w:right="780" w:firstLine="50"/>
        <w:spacing w:after="0" w:line="256" w:lineRule="auto"/>
        <w:tabs>
          <w:tab w:leader="none" w:pos="108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makes no warranty or representation and shall have no responsibility (except as expressly set forth in this Agreement) as to the content, enforceability, completeness, validity, sufficiency, value, genuineness, ownership or transferability of the Collateral, and will not be required to and will not make any representations as to the validity or value (except as expressly set forth in this Agreement) of any of the Collateral. The Custodian shall not be obligated to take any legal action hereunder that might in its judgment involve any expense or liability unless it has been furnished with an indemnity reasonably satisfactory to it.</w:t>
      </w:r>
    </w:p>
    <w:p>
      <w:pPr>
        <w:spacing w:after="0" w:line="181" w:lineRule="exact"/>
        <w:rPr>
          <w:rFonts w:ascii="Times New Roman" w:cs="Times New Roman" w:eastAsia="Times New Roman" w:hAnsi="Times New Roman"/>
          <w:sz w:val="19"/>
          <w:szCs w:val="19"/>
          <w:color w:val="auto"/>
        </w:rPr>
      </w:pPr>
    </w:p>
    <w:p>
      <w:pPr>
        <w:jc w:val="both"/>
        <w:ind w:left="760" w:right="820" w:firstLine="50"/>
        <w:spacing w:after="0" w:line="268" w:lineRule="auto"/>
        <w:tabs>
          <w:tab w:leader="none" w:pos="1069"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shall have no duties or responsibilities except such duties and responsibilities as are specifically set forth in this Agreement and no covenants or obligations shall be implied in this Agreement against the Custodian.</w:t>
      </w:r>
    </w:p>
    <w:p>
      <w:pPr>
        <w:spacing w:after="0" w:line="168" w:lineRule="exact"/>
        <w:rPr>
          <w:rFonts w:ascii="Times New Roman" w:cs="Times New Roman" w:eastAsia="Times New Roman" w:hAnsi="Times New Roman"/>
          <w:sz w:val="19"/>
          <w:szCs w:val="19"/>
          <w:color w:val="auto"/>
        </w:rPr>
      </w:pPr>
    </w:p>
    <w:p>
      <w:pPr>
        <w:ind w:left="760" w:right="860" w:firstLine="50"/>
        <w:spacing w:after="0" w:line="286" w:lineRule="auto"/>
        <w:tabs>
          <w:tab w:leader="none" w:pos="1048"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Custodian shall not be required to expend or risk its own funds in the performance of its duties hereunder.</w:t>
      </w:r>
    </w:p>
    <w:p>
      <w:pPr>
        <w:spacing w:after="0" w:line="151" w:lineRule="exact"/>
        <w:rPr>
          <w:rFonts w:ascii="Times New Roman" w:cs="Times New Roman" w:eastAsia="Times New Roman" w:hAnsi="Times New Roman"/>
          <w:sz w:val="19"/>
          <w:szCs w:val="19"/>
          <w:color w:val="auto"/>
        </w:rPr>
      </w:pPr>
    </w:p>
    <w:p>
      <w:pPr>
        <w:ind w:left="760" w:right="860" w:firstLine="50"/>
        <w:spacing w:after="0" w:line="268" w:lineRule="auto"/>
        <w:tabs>
          <w:tab w:leader="none" w:pos="108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expressly agreed and acknowledged that the Custodian is not guaranteeing performance of or assuming any liability for the obligations of the other parties hereto or any parties to the Collateral.</w:t>
      </w:r>
    </w:p>
    <w:p>
      <w:pPr>
        <w:spacing w:after="0" w:line="168" w:lineRule="exact"/>
        <w:rPr>
          <w:rFonts w:ascii="Times New Roman" w:cs="Times New Roman" w:eastAsia="Times New Roman" w:hAnsi="Times New Roman"/>
          <w:sz w:val="19"/>
          <w:szCs w:val="19"/>
          <w:color w:val="auto"/>
        </w:rPr>
      </w:pPr>
    </w:p>
    <w:p>
      <w:pPr>
        <w:ind w:left="760" w:right="860" w:firstLine="50"/>
        <w:spacing w:after="0" w:line="253" w:lineRule="auto"/>
        <w:tabs>
          <w:tab w:leader="none" w:pos="108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prejudice to the generality of the foregoing, the Custodian shall be without liability to the Borrower, Collateral Manager, the Administrative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fires, floods, earthquakes or other natural disasters, civil and military disturbance, acts of war or terrorism, riots, revolution, acts of God, work stoppages, strikes, national disasters of any kind, or other similar events or acts; errors by the Borrower, the Collateral Manager, collateral Administrator or the Administrative Agent (including any Authorized Person of any thereof) in its instructions to the Custodian; or changes in applicable law, regulation or orders.</w:t>
      </w:r>
    </w:p>
    <w:p>
      <w:pPr>
        <w:spacing w:after="0" w:line="189" w:lineRule="exact"/>
        <w:rPr>
          <w:rFonts w:ascii="Times New Roman" w:cs="Times New Roman" w:eastAsia="Times New Roman" w:hAnsi="Times New Roman"/>
          <w:sz w:val="19"/>
          <w:szCs w:val="19"/>
          <w:color w:val="auto"/>
        </w:rPr>
      </w:pPr>
    </w:p>
    <w:p>
      <w:pPr>
        <w:ind w:left="760" w:right="740" w:firstLine="50"/>
        <w:spacing w:after="0" w:line="253" w:lineRule="auto"/>
        <w:tabs>
          <w:tab w:leader="none" w:pos="1037"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(i) the Borrower, Collateral Agent, the Collateral Administrator, the Collateral Manager, the Administrative Agent, Lenders or Custodian shall be served by a third party with any type of levy, attachment, writ or court order with respect to any Collateral Loan or Related Documents or (ii) a third party shall institute any court proceeding by which any Related Document shall be required to be delivered otherwise than in accordance with the provisions of this Agreement, the party receiving such service shall promptly deliver or cause to be delivered to the other parties to this Agreement copies of all court papers, orders, documents and other materials concerning such proceedings. The Custodian shall, to the extent permitted by law,</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continue to</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7" w:name="page248"/>
    <w:bookmarkEnd w:id="247"/>
    <w:p>
      <w:pPr>
        <w:spacing w:after="0" w:line="200" w:lineRule="exact"/>
        <w:rPr>
          <w:sz w:val="20"/>
          <w:szCs w:val="20"/>
          <w:color w:val="auto"/>
        </w:rPr>
      </w:pPr>
    </w:p>
    <w:p>
      <w:pPr>
        <w:spacing w:after="0" w:line="285" w:lineRule="exact"/>
        <w:rPr>
          <w:sz w:val="20"/>
          <w:szCs w:val="20"/>
          <w:color w:val="auto"/>
        </w:rPr>
      </w:pPr>
    </w:p>
    <w:p>
      <w:pPr>
        <w:ind w:left="760" w:right="820"/>
        <w:spacing w:after="0" w:line="257" w:lineRule="auto"/>
        <w:rPr>
          <w:sz w:val="20"/>
          <w:szCs w:val="20"/>
          <w:color w:val="auto"/>
        </w:rPr>
      </w:pPr>
      <w:r>
        <w:rPr>
          <w:rFonts w:ascii="Times New Roman" w:cs="Times New Roman" w:eastAsia="Times New Roman" w:hAnsi="Times New Roman"/>
          <w:sz w:val="19"/>
          <w:szCs w:val="19"/>
          <w:color w:val="auto"/>
        </w:rPr>
        <w:t>hold and maintain all the Related Documents that are the subject of such proceedings pending a final, nonappealable order of a court of competent jurisdiction permitting or directing disposition thereof. Upon final determination of such court, the Custodian shall dispose of such Related Documents as directed by the Collateral Agent or Administrative Agent, which shall give a direction consistent with such determination. Expenses of the Custodian incurred as a result of such proceedings shall be borne by the Borrower.</w:t>
      </w:r>
    </w:p>
    <w:p>
      <w:pPr>
        <w:spacing w:after="0" w:line="179" w:lineRule="exact"/>
        <w:rPr>
          <w:sz w:val="20"/>
          <w:szCs w:val="20"/>
          <w:color w:val="auto"/>
        </w:rPr>
      </w:pPr>
    </w:p>
    <w:p>
      <w:pPr>
        <w:ind w:left="760" w:right="78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14.07. Resignation of the Custodian</w:t>
      </w:r>
      <w:r>
        <w:rPr>
          <w:rFonts w:ascii="Times New Roman" w:cs="Times New Roman" w:eastAsia="Times New Roman" w:hAnsi="Times New Roman"/>
          <w:sz w:val="19"/>
          <w:szCs w:val="19"/>
          <w:color w:val="auto"/>
        </w:rPr>
        <w:t>. The Custodian shall not resign from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obligations and duties hereby imposed on it except upon (a) ninety (90) days written notice to the Borrower, the Collateral Manager and the Administrative Agent, or (b) the Custodian’s determination that (i) the performance of its duties hereunder is or becomes impermissible under Applicable Law and (ii) there is no reasonable action that the Custodian could take to make the performance of its duties hereunder permissible under Applicable Law. Any such determination permitting the resignation of the Custodian shall be evidenced as to clause (i) above by an opinion of counsel to such effect delivered to the Administrative Agent. No such resignation shall become effective until a successor Custodian shall have assumed the responsibilities and obligations of the Custodian hereunder.</w:t>
      </w:r>
    </w:p>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14.08. Release of Related Documents</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760" w:firstLine="50"/>
        <w:spacing w:after="0" w:line="253" w:lineRule="auto"/>
        <w:tabs>
          <w:tab w:leader="none" w:pos="1072"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Release for Servicing. </w:t>
      </w:r>
      <w:r>
        <w:rPr>
          <w:rFonts w:ascii="Times New Roman" w:cs="Times New Roman" w:eastAsia="Times New Roman" w:hAnsi="Times New Roman"/>
          <w:sz w:val="19"/>
          <w:szCs w:val="19"/>
          <w:color w:val="auto"/>
        </w:rPr>
        <w:t>From time to time and as appropriate for the enforcement or servicing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any of the Collateral, the Custodian is hereby authorized (unless and until such authorization is revoked by the Administrative Agent) to, and shall, upon written receipt from the Collateral Manager of a request for release of documents and receipt in the form annexed hereto as Exhibit G, release to the Collateral Manager within two (2) Business Days of receipt of such request, the Related Documents or the documents set forth in such request and receipt to the Collateral Manager. All documents so released to the Collateral Manager shall be held by the Collateral Manager in trust for the benefit of the Administrative Agent in accordance with the terms of this Agreement. The Collateral Manager shall return to the Custodian the Related Documents or other such documents (i) promptly upon the request of the Administrative Agent, or (ii) when the Collateral Manager’s need therefor in connection with such enforcement or servicing no longer exists, unless the Collateral Loan shall be liquidated or sold, in which case, upon receipt of an additional request for release of documents and receipt certifying such liquidation or sale from the Collateral Manager to the Custodian in the form annexed hereto as Exhibit G, the Collateral Manager’s request and receipt submitted pursuant to the first sentence of this subsection shall be released by the Custodian to the Collateral Manager.</w:t>
      </w:r>
    </w:p>
    <w:p>
      <w:pPr>
        <w:spacing w:after="0" w:line="180" w:lineRule="exact"/>
        <w:rPr>
          <w:rFonts w:ascii="Times New Roman" w:cs="Times New Roman" w:eastAsia="Times New Roman" w:hAnsi="Times New Roman"/>
          <w:sz w:val="19"/>
          <w:szCs w:val="19"/>
          <w:color w:val="auto"/>
        </w:rPr>
      </w:pPr>
    </w:p>
    <w:p>
      <w:pPr>
        <w:ind w:left="760" w:right="820" w:firstLine="50"/>
        <w:spacing w:after="0" w:line="260" w:lineRule="auto"/>
        <w:tabs>
          <w:tab w:leader="none" w:pos="1084"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Release for Payment. </w:t>
      </w:r>
      <w:r>
        <w:rPr>
          <w:rFonts w:ascii="Times New Roman" w:cs="Times New Roman" w:eastAsia="Times New Roman" w:hAnsi="Times New Roman"/>
          <w:sz w:val="19"/>
          <w:szCs w:val="19"/>
          <w:color w:val="auto"/>
        </w:rPr>
        <w:t>Upon receipt by the Custodian of the Collateral Manager’s request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release of documents and receipt in the form annexed hereto as Exhibit G (which certification shall include a statement to the effect that all amounts received in connection with such payment or repurchase have been credited to the Collection Account as provided in this Agreement), the Custodian shall promptly release the Related Documents to the Collateral Manager.</w:t>
      </w:r>
    </w:p>
    <w:p>
      <w:pPr>
        <w:spacing w:after="0" w:line="173" w:lineRule="exact"/>
        <w:rPr>
          <w:sz w:val="20"/>
          <w:szCs w:val="20"/>
          <w:color w:val="auto"/>
        </w:rPr>
      </w:pPr>
    </w:p>
    <w:p>
      <w:pPr>
        <w:ind w:left="760" w:right="820" w:firstLine="48"/>
        <w:spacing w:after="0" w:line="259" w:lineRule="auto"/>
        <w:rPr>
          <w:sz w:val="20"/>
          <w:szCs w:val="20"/>
          <w:color w:val="auto"/>
        </w:rPr>
      </w:pPr>
      <w:r>
        <w:rPr>
          <w:rFonts w:ascii="Times New Roman" w:cs="Times New Roman" w:eastAsia="Times New Roman" w:hAnsi="Times New Roman"/>
          <w:sz w:val="19"/>
          <w:szCs w:val="19"/>
          <w:i w:val="1"/>
          <w:iCs w:val="1"/>
          <w:color w:val="auto"/>
        </w:rPr>
        <w:t>Section 14.09. Return of Related Documents</w:t>
      </w:r>
      <w:r>
        <w:rPr>
          <w:rFonts w:ascii="Times New Roman" w:cs="Times New Roman" w:eastAsia="Times New Roman" w:hAnsi="Times New Roman"/>
          <w:sz w:val="19"/>
          <w:szCs w:val="19"/>
          <w:color w:val="auto"/>
        </w:rPr>
        <w:t>. The Borrower may, with the prior written consent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the Administrative Agent (such consent not to be unreasonably withheld), require that</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156</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8" w:name="page249"/>
    <w:bookmarkEnd w:id="248"/>
    <w:p>
      <w:pPr>
        <w:spacing w:after="0" w:line="200" w:lineRule="exact"/>
        <w:rPr>
          <w:sz w:val="20"/>
          <w:szCs w:val="20"/>
          <w:color w:val="auto"/>
        </w:rPr>
      </w:pPr>
    </w:p>
    <w:p>
      <w:pPr>
        <w:spacing w:after="0" w:line="285" w:lineRule="exact"/>
        <w:rPr>
          <w:sz w:val="20"/>
          <w:szCs w:val="20"/>
          <w:color w:val="auto"/>
        </w:rPr>
      </w:pPr>
    </w:p>
    <w:p>
      <w:pPr>
        <w:ind w:left="760" w:right="760"/>
        <w:spacing w:after="0" w:line="253" w:lineRule="auto"/>
        <w:rPr>
          <w:sz w:val="20"/>
          <w:szCs w:val="20"/>
          <w:color w:val="auto"/>
        </w:rPr>
      </w:pPr>
      <w:r>
        <w:rPr>
          <w:rFonts w:ascii="Times New Roman" w:cs="Times New Roman" w:eastAsia="Times New Roman" w:hAnsi="Times New Roman"/>
          <w:sz w:val="19"/>
          <w:szCs w:val="19"/>
          <w:color w:val="auto"/>
        </w:rPr>
        <w:t>the Custodian return each Related Document (as applicable), respectively (a) delivered to the Custodian in error, (b) as to which the Lien on the underlying assets securing such related Collateral Loan has been so released pursuant to Section 7.02, (c) that has been the subject of a discretionary sale or any sale of loan pursuant to Section 10.01 or substitution pursuant to Section 10.03 or (d) that is required to be redelivered to the Borrower in connection with the termination of this Agreement, in each case by submitting to the Custodian and the Administrative Agent a written request in the form annexed hereto as Exhibit G (signed by both the Borrower and the Administrative Agent) specifying the Collateral to be so returned and reciting that the conditions to such release have been met (and specifying the Section or Sections of this Agreement being relied upon for such release). The Custodian shall upon its receipt of each such request for return executed by the Borrower and the Administrative Agent promptly, but in any event within two (2) Business Days, return the Related Documents so requested to the Borrower.</w:t>
      </w:r>
    </w:p>
    <w:p>
      <w:pPr>
        <w:spacing w:after="0" w:line="187" w:lineRule="exact"/>
        <w:rPr>
          <w:sz w:val="20"/>
          <w:szCs w:val="20"/>
          <w:color w:val="auto"/>
        </w:rPr>
      </w:pPr>
    </w:p>
    <w:p>
      <w:pPr>
        <w:ind w:left="760" w:right="76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Section 14.10. Access to Certain Documentation and Information Regarding the Collateral; Audits</w:t>
      </w:r>
      <w:r>
        <w:rPr>
          <w:rFonts w:ascii="Times New Roman" w:cs="Times New Roman" w:eastAsia="Times New Roman" w:hAnsi="Times New Roman"/>
          <w:sz w:val="19"/>
          <w:szCs w:val="19"/>
          <w:color w:val="auto"/>
        </w:rPr>
        <w:t>. (a) The Collateral Manager, the Borrower and the Custodian shall provide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Administrative Agent access to the Related Documents and all other documentation regarding the Collateral including in such cases where the Administrative Agent is required in connection with the enforcement of the rights or interests of the Secured Parties, or by applicable statutes or regulations, to review such documentation, such access being afforded without charge (but, with respect to the Custodian, at the expense of the Borrower) but only (i) upon two (2) Business Days’ prior written request, (ii) during normal business hours and (iii) subject to the Collateral Manager’s and Custodian’s normal security and confidentiality procedures;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Administrative Agent may, and shall upon request of any Lender, permit each Lender to be included on any such review, and shall use reasonably commercial efforts to schedule any review on a day when Lenders desiring to participate in such review may be included. From time to time at the discretion of the Administrative Agent, the Administrative Agent may review the Collateral Manager’s collection and administration of the Collateral in order to assess compliance by the Collateral Manager with ARTICLE XI and may conduct an audit of the Collateral, and Related Documents in conjunction with such a review. Such review shall be reasonable in scope and shall be completed in a reasonable period of time.</w:t>
      </w:r>
    </w:p>
    <w:p>
      <w:pPr>
        <w:spacing w:after="0" w:line="195" w:lineRule="exact"/>
        <w:rPr>
          <w:sz w:val="20"/>
          <w:szCs w:val="20"/>
          <w:color w:val="auto"/>
        </w:rPr>
      </w:pPr>
    </w:p>
    <w:p>
      <w:pPr>
        <w:ind w:left="760" w:right="820" w:firstLine="50"/>
        <w:spacing w:after="0" w:line="255" w:lineRule="auto"/>
        <w:tabs>
          <w:tab w:leader="none" w:pos="108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foregoing provisions of Section 14.10(a), from time to time on request of the Administrative Agent, the Custodian shall permit certified public accountants or other independent auditors acceptable to the Administrative Agent to conduct a review of the Related Documents and all other documentation regarding the Collateral. Up to two such reviews per fiscal year shall be at the expense of the Borrower and additional reviews in a fiscal year shall be at the expense of the requesting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after the occurrence and during the continuance of an Event of Default, any such reviews, regardless of frequency, shall be at the expense of the Borrower.</w:t>
      </w:r>
    </w:p>
    <w:p>
      <w:pPr>
        <w:spacing w:after="0" w:line="182" w:lineRule="exact"/>
        <w:rPr>
          <w:sz w:val="20"/>
          <w:szCs w:val="20"/>
          <w:color w:val="auto"/>
        </w:rPr>
      </w:pPr>
    </w:p>
    <w:p>
      <w:pPr>
        <w:ind w:left="760" w:right="156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Section 14.11. Representations and Warranties of the Custodian</w:t>
      </w:r>
      <w:r>
        <w:rPr>
          <w:rFonts w:ascii="Times New Roman" w:cs="Times New Roman" w:eastAsia="Times New Roman" w:hAnsi="Times New Roman"/>
          <w:sz w:val="19"/>
          <w:szCs w:val="19"/>
          <w:color w:val="auto"/>
        </w:rPr>
        <w:t>. The Custodian in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individual capacity and as Custodian represents and warrants as follows:</w:t>
      </w:r>
    </w:p>
    <w:p>
      <w:pPr>
        <w:spacing w:after="0" w:line="148" w:lineRule="exact"/>
        <w:rPr>
          <w:sz w:val="20"/>
          <w:szCs w:val="20"/>
          <w:color w:val="auto"/>
        </w:rPr>
      </w:pPr>
    </w:p>
    <w:p>
      <w:pPr>
        <w:ind w:left="1340" w:right="1300" w:firstLine="47"/>
        <w:spacing w:after="0" w:line="259" w:lineRule="auto"/>
        <w:tabs>
          <w:tab w:leader="none" w:pos="1652"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Organization; Power and Authority. </w:t>
      </w:r>
      <w:r>
        <w:rPr>
          <w:rFonts w:ascii="Times New Roman" w:cs="Times New Roman" w:eastAsia="Times New Roman" w:hAnsi="Times New Roman"/>
          <w:sz w:val="19"/>
          <w:szCs w:val="19"/>
          <w:color w:val="auto"/>
        </w:rPr>
        <w:t>It is a duly organized and validly existing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national banking association in good standing under the laws of the United States.</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49" w:name="page250"/>
    <w:bookmarkEnd w:id="249"/>
    <w:p>
      <w:pPr>
        <w:spacing w:after="0" w:line="200" w:lineRule="exact"/>
        <w:rPr>
          <w:sz w:val="20"/>
          <w:szCs w:val="20"/>
          <w:color w:val="auto"/>
        </w:rPr>
      </w:pPr>
    </w:p>
    <w:p>
      <w:pPr>
        <w:spacing w:after="0" w:line="285" w:lineRule="exact"/>
        <w:rPr>
          <w:sz w:val="20"/>
          <w:szCs w:val="20"/>
          <w:color w:val="auto"/>
        </w:rPr>
      </w:pPr>
    </w:p>
    <w:p>
      <w:pPr>
        <w:ind w:left="1340" w:right="1020"/>
        <w:spacing w:after="0" w:line="286" w:lineRule="auto"/>
        <w:rPr>
          <w:sz w:val="20"/>
          <w:szCs w:val="20"/>
          <w:color w:val="auto"/>
        </w:rPr>
      </w:pPr>
      <w:r>
        <w:rPr>
          <w:rFonts w:ascii="Times New Roman" w:cs="Times New Roman" w:eastAsia="Times New Roman" w:hAnsi="Times New Roman"/>
          <w:sz w:val="19"/>
          <w:szCs w:val="19"/>
          <w:color w:val="auto"/>
        </w:rPr>
        <w:t>It has full corporate power, authority and legal right to execute, deliver and perform its obligations as Custodian under this Agreement.</w:t>
      </w:r>
    </w:p>
    <w:p>
      <w:pPr>
        <w:spacing w:after="0" w:line="149" w:lineRule="exact"/>
        <w:rPr>
          <w:sz w:val="20"/>
          <w:szCs w:val="20"/>
          <w:color w:val="auto"/>
        </w:rPr>
      </w:pPr>
    </w:p>
    <w:p>
      <w:pPr>
        <w:ind w:left="1340" w:right="940" w:firstLine="47"/>
        <w:spacing w:after="0" w:line="263" w:lineRule="auto"/>
        <w:tabs>
          <w:tab w:leader="none" w:pos="1664"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Due Authorization. </w:t>
      </w:r>
      <w:r>
        <w:rPr>
          <w:rFonts w:ascii="Times New Roman" w:cs="Times New Roman" w:eastAsia="Times New Roman" w:hAnsi="Times New Roman"/>
          <w:sz w:val="19"/>
          <w:szCs w:val="19"/>
          <w:color w:val="auto"/>
        </w:rPr>
        <w:t>The execution and delivery of this Agreement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consummation of the transactions provided for herein have been duly authorized by all necessary association action on its part, either in its individual capacity or as Custodian, as the case may be.</w:t>
      </w:r>
    </w:p>
    <w:p>
      <w:pPr>
        <w:spacing w:after="0" w:line="170" w:lineRule="exact"/>
        <w:rPr>
          <w:rFonts w:ascii="Times New Roman" w:cs="Times New Roman" w:eastAsia="Times New Roman" w:hAnsi="Times New Roman"/>
          <w:sz w:val="19"/>
          <w:szCs w:val="19"/>
          <w:color w:val="auto"/>
        </w:rPr>
      </w:pPr>
    </w:p>
    <w:p>
      <w:pPr>
        <w:ind w:left="1340" w:right="860" w:firstLine="47"/>
        <w:spacing w:after="0" w:line="256" w:lineRule="auto"/>
        <w:tabs>
          <w:tab w:leader="none" w:pos="1652"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Conflict. </w:t>
      </w:r>
      <w:r>
        <w:rPr>
          <w:rFonts w:ascii="Times New Roman" w:cs="Times New Roman" w:eastAsia="Times New Roman" w:hAnsi="Times New Roman"/>
          <w:sz w:val="19"/>
          <w:szCs w:val="19"/>
          <w:color w:val="auto"/>
        </w:rPr>
        <w:t>The execution and delivery of this Agreement, the performance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transactions contemplated hereby and the fulfillment of the terms hereof will not conflict with, result in any breach of its articles of incorporation or bylaws or any of the material terms and provisions of, or constitute (with or without notice or lapse of time or both) a default under any indenture, contract, agreement, mortgage, deed of trust, or other instrument to which the Custodian is a party or by which it or any of its property is bound.</w:t>
      </w:r>
    </w:p>
    <w:p>
      <w:pPr>
        <w:spacing w:after="0" w:line="181" w:lineRule="exact"/>
        <w:rPr>
          <w:rFonts w:ascii="Times New Roman" w:cs="Times New Roman" w:eastAsia="Times New Roman" w:hAnsi="Times New Roman"/>
          <w:sz w:val="19"/>
          <w:szCs w:val="19"/>
          <w:color w:val="auto"/>
        </w:rPr>
      </w:pPr>
    </w:p>
    <w:p>
      <w:pPr>
        <w:jc w:val="both"/>
        <w:ind w:left="1340" w:right="860" w:firstLine="47"/>
        <w:spacing w:after="0" w:line="269" w:lineRule="auto"/>
        <w:tabs>
          <w:tab w:leader="none" w:pos="1664"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Violation. </w:t>
      </w:r>
      <w:r>
        <w:rPr>
          <w:rFonts w:ascii="Times New Roman" w:cs="Times New Roman" w:eastAsia="Times New Roman" w:hAnsi="Times New Roman"/>
          <w:sz w:val="19"/>
          <w:szCs w:val="19"/>
          <w:color w:val="auto"/>
        </w:rPr>
        <w:t>The execution and delivery of this Agreement, the performance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transactions contemplated hereby and the fulfillment of the terms hereof will not conflict with or violate, in any material respect, any Applicable Law as to the Custodian.</w:t>
      </w:r>
    </w:p>
    <w:p>
      <w:pPr>
        <w:spacing w:after="0" w:line="165" w:lineRule="exact"/>
        <w:rPr>
          <w:rFonts w:ascii="Times New Roman" w:cs="Times New Roman" w:eastAsia="Times New Roman" w:hAnsi="Times New Roman"/>
          <w:sz w:val="19"/>
          <w:szCs w:val="19"/>
          <w:color w:val="auto"/>
        </w:rPr>
      </w:pPr>
    </w:p>
    <w:p>
      <w:pPr>
        <w:ind w:left="1340" w:right="820" w:firstLine="47"/>
        <w:spacing w:after="0" w:line="260" w:lineRule="auto"/>
        <w:tabs>
          <w:tab w:leader="none" w:pos="1652"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All Consents Required. </w:t>
      </w:r>
      <w:r>
        <w:rPr>
          <w:rFonts w:ascii="Times New Roman" w:cs="Times New Roman" w:eastAsia="Times New Roman" w:hAnsi="Times New Roman"/>
          <w:sz w:val="19"/>
          <w:szCs w:val="19"/>
          <w:color w:val="auto"/>
        </w:rPr>
        <w:t>All approvals, authorizations, consents, orders or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actions of any Person or Governmental Authority applicable to the Custodian, required in connection with the execution and delivery of this Agreement, the performance by the Custodian of the transactions contemplated hereby and the fulfillment by the Custodian of the terms hereof have been obtained.</w:t>
      </w:r>
    </w:p>
    <w:p>
      <w:pPr>
        <w:spacing w:after="0" w:line="172" w:lineRule="exact"/>
        <w:rPr>
          <w:rFonts w:ascii="Times New Roman" w:cs="Times New Roman" w:eastAsia="Times New Roman" w:hAnsi="Times New Roman"/>
          <w:sz w:val="19"/>
          <w:szCs w:val="19"/>
          <w:color w:val="auto"/>
        </w:rPr>
      </w:pPr>
    </w:p>
    <w:p>
      <w:pPr>
        <w:ind w:left="1340" w:right="800" w:firstLine="47"/>
        <w:spacing w:after="0" w:line="263" w:lineRule="auto"/>
        <w:tabs>
          <w:tab w:leader="none" w:pos="1628"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Validity. </w:t>
      </w:r>
      <w:r>
        <w:rPr>
          <w:rFonts w:ascii="Times New Roman" w:cs="Times New Roman" w:eastAsia="Times New Roman" w:hAnsi="Times New Roman"/>
          <w:sz w:val="19"/>
          <w:szCs w:val="19"/>
          <w:color w:val="auto"/>
        </w:rPr>
        <w:t>The Agreement constitutes the legal, valid and binding obligation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Custodian, enforceable against the Custodian in accordance with its terms, except as such enforceability may be limited by applicable Bankruptcy Code and general principles of equity (whether considered in a suit at law or in equity)</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14.12. Covenants of the Custodian</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1080" w:hanging="270"/>
        <w:spacing w:after="0"/>
        <w:tabs>
          <w:tab w:leader="none" w:pos="108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Affirmative Covenants of the Custodian.</w:t>
      </w:r>
    </w:p>
    <w:p>
      <w:pPr>
        <w:spacing w:after="0" w:line="225" w:lineRule="exact"/>
        <w:rPr>
          <w:rFonts w:ascii="Times New Roman" w:cs="Times New Roman" w:eastAsia="Times New Roman" w:hAnsi="Times New Roman"/>
          <w:sz w:val="19"/>
          <w:szCs w:val="19"/>
          <w:color w:val="auto"/>
        </w:rPr>
      </w:pPr>
    </w:p>
    <w:p>
      <w:pPr>
        <w:ind w:left="1340" w:right="1080" w:firstLine="47"/>
        <w:spacing w:after="0" w:line="288" w:lineRule="auto"/>
        <w:tabs>
          <w:tab w:leader="none" w:pos="1616"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Compliance with Law. </w:t>
      </w:r>
      <w:r>
        <w:rPr>
          <w:rFonts w:ascii="Times New Roman" w:cs="Times New Roman" w:eastAsia="Times New Roman" w:hAnsi="Times New Roman"/>
          <w:sz w:val="19"/>
          <w:szCs w:val="19"/>
          <w:color w:val="auto"/>
        </w:rPr>
        <w:t>The Custodian will comply in all material respects with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 Law.</w:t>
      </w:r>
    </w:p>
    <w:p>
      <w:pPr>
        <w:spacing w:after="0" w:line="147" w:lineRule="exact"/>
        <w:rPr>
          <w:rFonts w:ascii="Times New Roman" w:cs="Times New Roman" w:eastAsia="Times New Roman" w:hAnsi="Times New Roman"/>
          <w:sz w:val="19"/>
          <w:szCs w:val="19"/>
          <w:color w:val="auto"/>
        </w:rPr>
      </w:pPr>
    </w:p>
    <w:p>
      <w:pPr>
        <w:ind w:left="1340" w:right="740" w:firstLine="47"/>
        <w:spacing w:after="0" w:line="259" w:lineRule="auto"/>
        <w:tabs>
          <w:tab w:leader="none" w:pos="1676"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Preservation of Existence</w:t>
      </w:r>
      <w:r>
        <w:rPr>
          <w:rFonts w:ascii="Times New Roman" w:cs="Times New Roman" w:eastAsia="Times New Roman" w:hAnsi="Times New Roman"/>
          <w:sz w:val="19"/>
          <w:szCs w:val="19"/>
          <w:color w:val="auto"/>
        </w:rPr>
        <w:t>. The Custodian will preserve and maintain its existence,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rights, franchises and privileges in the jurisdiction of its formation and qualify and remain qualified in good standing in each jurisdiction where failure to preserve and maintain such</w:t>
      </w:r>
    </w:p>
    <w:p>
      <w:pPr>
        <w:spacing w:after="0" w:line="1" w:lineRule="exact"/>
        <w:rPr>
          <w:sz w:val="20"/>
          <w:szCs w:val="20"/>
          <w:color w:val="auto"/>
        </w:rPr>
      </w:pPr>
    </w:p>
    <w:p>
      <w:pPr>
        <w:ind w:left="1340" w:right="900"/>
        <w:spacing w:after="0" w:line="246" w:lineRule="auto"/>
        <w:rPr>
          <w:sz w:val="20"/>
          <w:szCs w:val="20"/>
          <w:color w:val="auto"/>
        </w:rPr>
      </w:pPr>
      <w:r>
        <w:rPr>
          <w:rFonts w:ascii="Times New Roman" w:cs="Times New Roman" w:eastAsia="Times New Roman" w:hAnsi="Times New Roman"/>
          <w:sz w:val="19"/>
          <w:szCs w:val="19"/>
          <w:color w:val="auto"/>
        </w:rPr>
        <w:t>existence, rights, franchises, privileges and qualification has had, or could reasonably be expected to have, a Material Adverse Effect.</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0" w:name="page251"/>
    <w:bookmarkEnd w:id="250"/>
    <w:p>
      <w:pPr>
        <w:spacing w:after="0" w:line="200" w:lineRule="exact"/>
        <w:rPr>
          <w:sz w:val="20"/>
          <w:szCs w:val="20"/>
          <w:color w:val="auto"/>
        </w:rPr>
      </w:pPr>
    </w:p>
    <w:p>
      <w:pPr>
        <w:spacing w:after="0" w:line="283" w:lineRule="exact"/>
        <w:rPr>
          <w:sz w:val="20"/>
          <w:szCs w:val="20"/>
          <w:color w:val="auto"/>
        </w:rPr>
      </w:pPr>
    </w:p>
    <w:p>
      <w:pPr>
        <w:ind w:left="1340" w:right="820" w:firstLine="47"/>
        <w:spacing w:after="0" w:line="258" w:lineRule="auto"/>
        <w:tabs>
          <w:tab w:leader="none" w:pos="1724" w:val="left"/>
        </w:tabs>
        <w:numPr>
          <w:ilvl w:val="1"/>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Location of Related Documents. </w:t>
      </w:r>
      <w:r>
        <w:rPr>
          <w:rFonts w:ascii="Times New Roman" w:cs="Times New Roman" w:eastAsia="Times New Roman" w:hAnsi="Times New Roman"/>
          <w:sz w:val="19"/>
          <w:szCs w:val="19"/>
          <w:color w:val="auto"/>
        </w:rPr>
        <w:t>Subject to Section 14.08, the Related Documents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remain at all times in the possession of the Custodian at the Document Custodian Facilities unless notice of a different address is given in accordance with the terms hereof or unless the Administrative Agent agrees to allow certain Related Documents to be released to the Collateral Manager on a temporary basis in accordance with the terms hereof, except as such Related Documents may be released pursuant to this Agreement.</w:t>
      </w:r>
    </w:p>
    <w:p>
      <w:pPr>
        <w:spacing w:after="0" w:line="175" w:lineRule="exact"/>
        <w:rPr>
          <w:rFonts w:ascii="Times New Roman" w:cs="Times New Roman" w:eastAsia="Times New Roman" w:hAnsi="Times New Roman"/>
          <w:sz w:val="19"/>
          <w:szCs w:val="19"/>
          <w:color w:val="auto"/>
        </w:rPr>
      </w:pPr>
    </w:p>
    <w:p>
      <w:pPr>
        <w:ind w:left="1080" w:hanging="270"/>
        <w:spacing w:after="0"/>
        <w:tabs>
          <w:tab w:leader="none" w:pos="1080"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Negative Covenants of the Custodian.</w:t>
      </w:r>
    </w:p>
    <w:p>
      <w:pPr>
        <w:spacing w:after="0" w:line="225" w:lineRule="exact"/>
        <w:rPr>
          <w:rFonts w:ascii="Times New Roman" w:cs="Times New Roman" w:eastAsia="Times New Roman" w:hAnsi="Times New Roman"/>
          <w:sz w:val="19"/>
          <w:szCs w:val="19"/>
          <w:color w:val="auto"/>
        </w:rPr>
      </w:pPr>
    </w:p>
    <w:p>
      <w:pPr>
        <w:ind w:left="1340" w:right="1000" w:firstLine="47"/>
        <w:spacing w:after="0" w:line="269" w:lineRule="auto"/>
        <w:tabs>
          <w:tab w:leader="none" w:pos="1616"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Related Documents. </w:t>
      </w:r>
      <w:r>
        <w:rPr>
          <w:rFonts w:ascii="Times New Roman" w:cs="Times New Roman" w:eastAsia="Times New Roman" w:hAnsi="Times New Roman"/>
          <w:sz w:val="19"/>
          <w:szCs w:val="19"/>
          <w:color w:val="auto"/>
        </w:rPr>
        <w:t>The Custodian will not dispose of any documents constituting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Related Documents in any manner that is inconsistent with the performance of its obligations as the Custodian pursuant to this Agreement.</w:t>
      </w:r>
    </w:p>
    <w:p>
      <w:pPr>
        <w:spacing w:after="0" w:line="166" w:lineRule="exact"/>
        <w:rPr>
          <w:sz w:val="20"/>
          <w:szCs w:val="20"/>
          <w:color w:val="auto"/>
        </w:rPr>
      </w:pPr>
    </w:p>
    <w:p>
      <w:pPr>
        <w:ind w:left="1340" w:right="980" w:firstLine="47"/>
        <w:spacing w:after="0" w:line="269" w:lineRule="auto"/>
        <w:tabs>
          <w:tab w:leader="none" w:pos="1676"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Changes to Custodian Fee. </w:t>
      </w:r>
      <w:r>
        <w:rPr>
          <w:rFonts w:ascii="Times New Roman" w:cs="Times New Roman" w:eastAsia="Times New Roman" w:hAnsi="Times New Roman"/>
          <w:sz w:val="19"/>
          <w:szCs w:val="19"/>
          <w:color w:val="auto"/>
        </w:rPr>
        <w:t>The Custodian will not make any changes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custodian fee set forth in the Custodian Fee Letter without the prior written approval of the Administrative Agent and the Borrower.</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XV</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226" w:lineRule="exact"/>
        <w:rPr>
          <w:sz w:val="20"/>
          <w:szCs w:val="20"/>
          <w:color w:val="auto"/>
        </w:rPr>
      </w:pPr>
    </w:p>
    <w:p>
      <w:pPr>
        <w:ind w:left="760" w:right="80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15.01. No Waiver; Modifications in Writing</w:t>
      </w:r>
      <w:r>
        <w:rPr>
          <w:rFonts w:ascii="Times New Roman" w:cs="Times New Roman" w:eastAsia="Times New Roman" w:hAnsi="Times New Roman"/>
          <w:sz w:val="19"/>
          <w:szCs w:val="19"/>
          <w:color w:val="auto"/>
        </w:rPr>
        <w:t>. (a) No failure or delay on the part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Secured Party exercising any right, power or remedy hereunder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181" w:lineRule="exact"/>
        <w:rPr>
          <w:sz w:val="20"/>
          <w:szCs w:val="20"/>
          <w:color w:val="auto"/>
        </w:rPr>
      </w:pPr>
    </w:p>
    <w:p>
      <w:pPr>
        <w:ind w:left="760" w:right="760" w:firstLine="50"/>
        <w:spacing w:after="0" w:line="257" w:lineRule="auto"/>
        <w:tabs>
          <w:tab w:leader="none" w:pos="1080"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provided in this Agreement, including, without limitation, as provided in Section 2.11(b) with respect to the implementation of a Benchmark Replacement Rate or Benchmark Replacement Conforming Changes (as set forth therein), no amendment, modification, supplement or waiver of this Agreement shall be effective unless signed by the Borrower, the Collateral Manager, the Administrative Agent and the Required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180" w:lineRule="exact"/>
        <w:rPr>
          <w:rFonts w:ascii="Times New Roman" w:cs="Times New Roman" w:eastAsia="Times New Roman" w:hAnsi="Times New Roman"/>
          <w:sz w:val="19"/>
          <w:szCs w:val="19"/>
          <w:color w:val="auto"/>
        </w:rPr>
      </w:pPr>
    </w:p>
    <w:p>
      <w:pPr>
        <w:ind w:left="1620" w:hanging="233"/>
        <w:spacing w:after="0"/>
        <w:tabs>
          <w:tab w:leader="none" w:pos="1620" w:val="left"/>
        </w:tabs>
        <w:numPr>
          <w:ilvl w:val="1"/>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Fundamental Amendment shall require the written consent of all Lenders; and</w:t>
      </w:r>
    </w:p>
    <w:p>
      <w:pPr>
        <w:spacing w:after="0" w:line="225" w:lineRule="exact"/>
        <w:rPr>
          <w:rFonts w:ascii="Times New Roman" w:cs="Times New Roman" w:eastAsia="Times New Roman" w:hAnsi="Times New Roman"/>
          <w:sz w:val="19"/>
          <w:szCs w:val="19"/>
          <w:color w:val="auto"/>
        </w:rPr>
      </w:pPr>
    </w:p>
    <w:p>
      <w:pPr>
        <w:ind w:left="1340" w:right="960" w:firstLine="47"/>
        <w:spacing w:after="0" w:line="258" w:lineRule="auto"/>
        <w:tabs>
          <w:tab w:leader="none" w:pos="1670" w:val="left"/>
        </w:tabs>
        <w:numPr>
          <w:ilvl w:val="1"/>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such amendment, modification, supplement or waiver shall amend, modify or otherwise affect the rights or duties of any Agent, the Swingline Lender, the Custodian, the Collateral Administrator or the Backup Collateral Manager (including in its role as</w:t>
      </w:r>
    </w:p>
    <w:p>
      <w:pPr>
        <w:spacing w:after="0" w:line="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successor Collateral Manager if it shall be so appointed) hereunder without the prior</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159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1" w:name="page252"/>
    <w:bookmarkEnd w:id="251"/>
    <w:p>
      <w:pPr>
        <w:spacing w:after="0" w:line="200" w:lineRule="exact"/>
        <w:rPr>
          <w:sz w:val="20"/>
          <w:szCs w:val="20"/>
          <w:color w:val="auto"/>
        </w:rPr>
      </w:pPr>
    </w:p>
    <w:p>
      <w:pPr>
        <w:spacing w:after="0" w:line="285" w:lineRule="exact"/>
        <w:rPr>
          <w:sz w:val="20"/>
          <w:szCs w:val="20"/>
          <w:color w:val="auto"/>
        </w:rPr>
      </w:pPr>
    </w:p>
    <w:p>
      <w:pPr>
        <w:ind w:left="1340" w:right="780"/>
        <w:spacing w:after="0" w:line="286" w:lineRule="auto"/>
        <w:rPr>
          <w:sz w:val="20"/>
          <w:szCs w:val="20"/>
          <w:color w:val="auto"/>
        </w:rPr>
      </w:pPr>
      <w:r>
        <w:rPr>
          <w:rFonts w:ascii="Times New Roman" w:cs="Times New Roman" w:eastAsia="Times New Roman" w:hAnsi="Times New Roman"/>
          <w:sz w:val="19"/>
          <w:szCs w:val="19"/>
          <w:color w:val="auto"/>
        </w:rPr>
        <w:t>written consent of such Agent, the Swingline Lender, Custodian, Collateral Administrator or Backup Collateral Manager, as the case may be.</w:t>
      </w:r>
    </w:p>
    <w:p>
      <w:pPr>
        <w:spacing w:after="0" w:line="151" w:lineRule="exact"/>
        <w:rPr>
          <w:sz w:val="20"/>
          <w:szCs w:val="20"/>
          <w:color w:val="auto"/>
        </w:rPr>
      </w:pPr>
    </w:p>
    <w:p>
      <w:pPr>
        <w:jc w:val="both"/>
        <w:ind w:left="760" w:right="1040" w:firstLine="576"/>
        <w:spacing w:after="0" w:line="257" w:lineRule="auto"/>
        <w:rPr>
          <w:sz w:val="20"/>
          <w:szCs w:val="20"/>
          <w:color w:val="auto"/>
        </w:rPr>
      </w:pPr>
      <w:r>
        <w:rPr>
          <w:rFonts w:ascii="Times New Roman" w:cs="Times New Roman" w:eastAsia="Times New Roman" w:hAnsi="Times New Roman"/>
          <w:sz w:val="19"/>
          <w:szCs w:val="19"/>
          <w:color w:val="auto"/>
        </w:rPr>
        <w:t>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w:t>
      </w:r>
    </w:p>
    <w:p>
      <w:pPr>
        <w:spacing w:after="0" w:line="179" w:lineRule="exact"/>
        <w:rPr>
          <w:sz w:val="20"/>
          <w:szCs w:val="20"/>
          <w:color w:val="auto"/>
        </w:rPr>
      </w:pPr>
    </w:p>
    <w:p>
      <w:pPr>
        <w:ind w:left="760" w:right="760"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15.02. Notices, Etc</w:t>
      </w:r>
      <w:r>
        <w:rPr>
          <w:rFonts w:ascii="Times New Roman" w:cs="Times New Roman" w:eastAsia="Times New Roman" w:hAnsi="Times New Roman"/>
          <w:sz w:val="19"/>
          <w:szCs w:val="19"/>
          <w:color w:val="auto"/>
        </w:rPr>
        <w:t>. Except where telephonic instructions are authorized herein to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given, all notices, demands, instructions and other 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Schedule 6</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and shall be deemed to be given for purposes of this Agreement on the day that such writing is received by the intended recipient thereof in accordance with the provisions of this Section 15.02. Unless otherwise specified in a notice sent or delivered in accordance with the foregoing provisions of this Section 15.02, notices, demands, instructions and other communications in writing shall be given to or made upon the respective parties hereto at their respective addresses (or to their respective facsimile numbers or email addresses) indicated in Schedule 6, and, in the case of telephonic instructions or notices, by calling the telephone number or numbers indicated for such party in Schedule 6.</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15.03. Taxes</w:t>
      </w:r>
      <w:r>
        <w:rPr>
          <w:rFonts w:ascii="Times New Roman" w:cs="Times New Roman" w:eastAsia="Times New Roman" w:hAnsi="Times New Roman"/>
          <w:sz w:val="19"/>
          <w:szCs w:val="19"/>
          <w:color w:val="auto"/>
        </w:rPr>
        <w:t>. (a) Any and all payments by the Borrower under this Agreement shall be</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made, in accordance with this Agreement, free and clear of and without deduction for any and all</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present or future taxes, levies, imposts, deductions, charges or withholdings, and all liabilities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(including penalties, interest and expenses) with respect thereto, excluding, (A) income and</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franchise taxes or branch profit taxes imposed (i) in the case of any Secured Party or any Lender,</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by the jurisdiction (or any political subdivision thereof) under the laws of which such Secured</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Party is organized or in which its principal office is located, or in the case of any Lender, in</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which its applicable lending office is located, or (ii) in the case of any Secured Party or any</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Lender, by any jurisdiction solely by reason of such Secured Party or such Lender having any</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other present or former connection with such jurisdiction (other than a connection arising solely</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from entering into, receiving any payment under or enforcing its rights under this Agreement or</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any other Facility Document) (“</w:t>
      </w:r>
      <w:r>
        <w:rPr>
          <w:rFonts w:ascii="Times New Roman" w:cs="Times New Roman" w:eastAsia="Times New Roman" w:hAnsi="Times New Roman"/>
          <w:sz w:val="19"/>
          <w:szCs w:val="19"/>
          <w:i w:val="1"/>
          <w:iCs w:val="1"/>
          <w:color w:val="auto"/>
        </w:rPr>
        <w:t>Other Connection Taxes</w:t>
      </w:r>
      <w:r>
        <w:rPr>
          <w:rFonts w:ascii="Times New Roman" w:cs="Times New Roman" w:eastAsia="Times New Roman" w:hAnsi="Times New Roman"/>
          <w:sz w:val="19"/>
          <w:szCs w:val="19"/>
          <w:color w:val="auto"/>
        </w:rPr>
        <w:t>”) and (B) any withholding taxes</w:t>
      </w:r>
    </w:p>
    <w:p>
      <w:pPr>
        <w:spacing w:after="0" w:line="10" w:lineRule="exact"/>
        <w:rPr>
          <w:sz w:val="20"/>
          <w:szCs w:val="20"/>
          <w:color w:val="auto"/>
        </w:rPr>
      </w:pPr>
    </w:p>
    <w:p>
      <w:pPr>
        <w:ind w:left="760"/>
        <w:spacing w:after="0" w:line="219" w:lineRule="exact"/>
        <w:rPr>
          <w:sz w:val="20"/>
          <w:szCs w:val="20"/>
          <w:color w:val="auto"/>
        </w:rPr>
      </w:pPr>
      <w:r>
        <w:rPr>
          <w:rFonts w:ascii="Times New Roman" w:cs="Times New Roman" w:eastAsia="Times New Roman" w:hAnsi="Times New Roman"/>
          <w:sz w:val="19"/>
          <w:szCs w:val="19"/>
          <w:color w:val="auto"/>
        </w:rPr>
        <w:t>imposed on payments by the Borrower under FATCA (all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excluded taxes, levies,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imposts, deductions, charges, withholdings and liabilities being hereinafter referred to as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 If the Borrower shall be required by law (or by the interpretation or administration</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thereof) to deduct any Taxes from or in respect of any sum payable by it hereunder or under any</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other Facility Document to any Secured Party, (i) the sum payable by the Borrower shall be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increased as may be necessary so that after making all required deductions (including deductions</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applicable to additional sums payable under this Section 15.03) such Secured Party receives an</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amount equal to the sum it would have received had no such deductions been made, (ii) the</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Borrower shall make such deductions, and (iii) the Borrower shall timely pay the full amount</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deducted to the relevant Governmental Authority in accordance with Applicable Law.</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2" w:name="page253"/>
    <w:bookmarkEnd w:id="252"/>
    <w:p>
      <w:pPr>
        <w:spacing w:after="0" w:line="200" w:lineRule="exact"/>
        <w:rPr>
          <w:sz w:val="20"/>
          <w:szCs w:val="20"/>
          <w:color w:val="auto"/>
        </w:rPr>
      </w:pPr>
    </w:p>
    <w:p>
      <w:pPr>
        <w:spacing w:after="0" w:line="285" w:lineRule="exact"/>
        <w:rPr>
          <w:sz w:val="20"/>
          <w:szCs w:val="20"/>
          <w:color w:val="auto"/>
        </w:rPr>
      </w:pPr>
    </w:p>
    <w:p>
      <w:pPr>
        <w:ind w:left="760" w:right="780" w:firstLine="50"/>
        <w:spacing w:after="0" w:line="255" w:lineRule="auto"/>
        <w:tabs>
          <w:tab w:leader="none" w:pos="1080"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the Borrower agrees (and, to the extent the funds available for by the Borrower therefor on any Payment Date are insufficient to pay such amounts in full, the Collateral Manager, on behalf of the Borrower, will shall pay such amounts), to timely pay any present or future stamp or documentary taxes or any other excise or property taxes, charges or similar levies which arise from any payment made by the Borrower hereunder or under any other Facility Document or from the execution, delivery or registration of, or otherwise with respect to, this Agreement or under any other Facility Document, except any such taxes that are Other Connection Taxes imposed with respect to an assignment (hereinafter referred to as </w:t>
      </w:r>
      <w:r>
        <w:rPr>
          <w:rFonts w:ascii="Times New Roman" w:cs="Times New Roman" w:eastAsia="Times New Roman" w:hAnsi="Times New Roman"/>
          <w:sz w:val="19"/>
          <w:szCs w:val="19"/>
          <w:i w:val="1"/>
          <w:iCs w:val="1"/>
          <w:color w:val="auto"/>
        </w:rPr>
        <w:t>“Other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19"/>
          <w:szCs w:val="19"/>
          <w:color w:val="auto"/>
        </w:rPr>
      </w:pPr>
    </w:p>
    <w:p>
      <w:pPr>
        <w:spacing w:after="0" w:line="211" w:lineRule="exact"/>
        <w:rPr>
          <w:rFonts w:ascii="Times New Roman" w:cs="Times New Roman" w:eastAsia="Times New Roman" w:hAnsi="Times New Roman"/>
          <w:sz w:val="19"/>
          <w:szCs w:val="19"/>
          <w:color w:val="auto"/>
        </w:rPr>
      </w:pPr>
    </w:p>
    <w:p>
      <w:pPr>
        <w:ind w:left="760" w:right="740" w:firstLine="50"/>
        <w:spacing w:after="0" w:line="254" w:lineRule="auto"/>
        <w:tabs>
          <w:tab w:leader="none" w:pos="1069"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indemnify (and, to the extent the funds available for by the Borrower therefor on any Payment Date are insufficient to pay such amounts in full, the Collateral Manager, on behalf of the Borrower, will shall pay such amounts) each of the Secured Parties for the full amount of Taxes or Other Taxes (including any Taxes or Other Taxes imposed or asserted by any jurisdiction on amounts payable under this Section 15.03) paid by any Secured Party in respect of the Borrower, whether or not such Taxes or Other Taxes were correctly or legally imposed or asserted. Payments by Borrower or the Collateral Manager pursuant to this indemnification shall be made promptly following the date the Secured Party makes written demand therefor, which demand shall be accompanied by a certificate describing in reasonable detail the basis thereof. Such certificate shall be presumed to be correct absent manifest error.</w:t>
      </w:r>
    </w:p>
    <w:p>
      <w:pPr>
        <w:spacing w:after="0" w:line="184" w:lineRule="exact"/>
        <w:rPr>
          <w:rFonts w:ascii="Times New Roman" w:cs="Times New Roman" w:eastAsia="Times New Roman" w:hAnsi="Times New Roman"/>
          <w:sz w:val="19"/>
          <w:szCs w:val="19"/>
          <w:color w:val="auto"/>
        </w:rPr>
      </w:pPr>
    </w:p>
    <w:p>
      <w:pPr>
        <w:ind w:left="760" w:right="760" w:firstLine="50"/>
        <w:spacing w:after="0" w:line="253" w:lineRule="auto"/>
        <w:tabs>
          <w:tab w:leader="none" w:pos="1080"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herein to the contrary, the Borrower shall not be required to indemnify any Secured Party, or pay any additional amounts to any Secured Party (including under Section 15.03(a)), in respect of United States Federal withholding tax or backup withholding tax to the extent that (i) the obligation to withhold amounts with respect to United States Federal withholding or backup withholding tax existed on the date such Lender became a party to this Agreement or, with respect to payments to a new lending office so designated by a Lender (a </w:t>
      </w:r>
      <w:r>
        <w:rPr>
          <w:rFonts w:ascii="Times New Roman" w:cs="Times New Roman" w:eastAsia="Times New Roman" w:hAnsi="Times New Roman"/>
          <w:sz w:val="19"/>
          <w:szCs w:val="19"/>
          <w:i w:val="1"/>
          <w:iCs w:val="1"/>
          <w:color w:val="auto"/>
        </w:rPr>
        <w:t>“New Lending Office”</w:t>
      </w:r>
      <w:r>
        <w:rPr>
          <w:rFonts w:ascii="Times New Roman" w:cs="Times New Roman" w:eastAsia="Times New Roman" w:hAnsi="Times New Roman"/>
          <w:sz w:val="19"/>
          <w:szCs w:val="19"/>
          <w:color w:val="auto"/>
        </w:rPr>
        <w:t xml:space="preserve">), the date such Lender designated such New Lending Office with respect to an Advance;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this clause (i) shall not apply to the extent the indemnity payment or additional amounts any Secured Party would be entitled to receive (without regard to this clause (i)) do not exceed the indemnity payment or additional amounts that the transferor Lender or the Lender making the designation of such New Lending Office would have been entitled to receive in the absence of such transfer or designation, or (ii) the obligation to pay such additional amounts would not have arisen but for a failure by such Secured Party to comply with paragraphs (g) or (h) below.</w:t>
      </w:r>
    </w:p>
    <w:p>
      <w:pPr>
        <w:spacing w:after="0" w:line="184" w:lineRule="exact"/>
        <w:rPr>
          <w:rFonts w:ascii="Times New Roman" w:cs="Times New Roman" w:eastAsia="Times New Roman" w:hAnsi="Times New Roman"/>
          <w:sz w:val="19"/>
          <w:szCs w:val="19"/>
          <w:color w:val="auto"/>
        </w:rPr>
      </w:pPr>
    </w:p>
    <w:p>
      <w:pPr>
        <w:ind w:left="760" w:right="780" w:firstLine="50"/>
        <w:spacing w:after="0" w:line="262" w:lineRule="auto"/>
        <w:tabs>
          <w:tab w:leader="none" w:pos="1069"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date of any payment of Taxes or Other Taxes, the Borrower will furnish to each Agent the original or a certified copy of a receipt issued by the relevant Governmental Authority evidencing payment thereof (or other evidence of payment as may be reasonably satisfactory to such Agent).</w:t>
      </w:r>
    </w:p>
    <w:p>
      <w:pPr>
        <w:spacing w:after="0" w:line="174" w:lineRule="exact"/>
        <w:rPr>
          <w:rFonts w:ascii="Times New Roman" w:cs="Times New Roman" w:eastAsia="Times New Roman" w:hAnsi="Times New Roman"/>
          <w:sz w:val="19"/>
          <w:szCs w:val="19"/>
          <w:color w:val="auto"/>
        </w:rPr>
      </w:pPr>
    </w:p>
    <w:p>
      <w:pPr>
        <w:ind w:left="1060" w:hanging="250"/>
        <w:spacing w:after="0"/>
        <w:tabs>
          <w:tab w:leader="none" w:pos="1060"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payment is made by the Borrower (or the Collateral Manager on its behalf) to or for</w:t>
      </w:r>
    </w:p>
    <w:p>
      <w:pPr>
        <w:spacing w:after="0" w:line="32" w:lineRule="exact"/>
        <w:rPr>
          <w:sz w:val="20"/>
          <w:szCs w:val="20"/>
          <w:color w:val="auto"/>
        </w:rPr>
      </w:pPr>
    </w:p>
    <w:p>
      <w:pPr>
        <w:ind w:left="760" w:right="880"/>
        <w:spacing w:after="0" w:line="248" w:lineRule="auto"/>
        <w:rPr>
          <w:sz w:val="20"/>
          <w:szCs w:val="20"/>
          <w:color w:val="auto"/>
        </w:rPr>
      </w:pPr>
      <w:r>
        <w:rPr>
          <w:rFonts w:ascii="Times New Roman" w:cs="Times New Roman" w:eastAsia="Times New Roman" w:hAnsi="Times New Roman"/>
          <w:sz w:val="19"/>
          <w:szCs w:val="19"/>
          <w:color w:val="auto"/>
        </w:rPr>
        <w:t>the account of any Secured Party after deduction for or on account of any Taxes or Other Taxes, and an indemnity payment or additional amounts are paid by the Borrower pursuant to this Section 15.03, then, if such Secured Party in its sole discretion determines that it is entitled to a refund of such Taxes or Other Taxes, such Secured Party shall, to the extent that it can do so without prejudice to the retention of the amount of such refund, apply for such refund and</w:t>
      </w:r>
    </w:p>
    <w:p>
      <w:pPr>
        <w:spacing w:after="0" w:line="4"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3" w:name="page254"/>
    <w:bookmarkEnd w:id="253"/>
    <w:p>
      <w:pPr>
        <w:spacing w:after="0" w:line="200" w:lineRule="exact"/>
        <w:rPr>
          <w:sz w:val="20"/>
          <w:szCs w:val="20"/>
          <w:color w:val="auto"/>
        </w:rPr>
      </w:pPr>
    </w:p>
    <w:p>
      <w:pPr>
        <w:spacing w:after="0" w:line="285" w:lineRule="exact"/>
        <w:rPr>
          <w:sz w:val="20"/>
          <w:szCs w:val="20"/>
          <w:color w:val="auto"/>
        </w:rPr>
      </w:pPr>
    </w:p>
    <w:p>
      <w:pPr>
        <w:ind w:left="760" w:right="760"/>
        <w:spacing w:after="0" w:line="231" w:lineRule="exact"/>
        <w:rPr>
          <w:sz w:val="20"/>
          <w:szCs w:val="20"/>
          <w:color w:val="auto"/>
        </w:rPr>
      </w:pPr>
      <w:r>
        <w:rPr>
          <w:rFonts w:ascii="Times New Roman" w:cs="Times New Roman" w:eastAsia="Times New Roman" w:hAnsi="Times New Roman"/>
          <w:sz w:val="19"/>
          <w:szCs w:val="19"/>
          <w:color w:val="auto"/>
        </w:rPr>
        <w:t xml:space="preserve">reimburse to the Borrower (or the Collateral Manager, as applicable) such amount of any refund received (net of reasonable out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pocket expenses including Taxes incurred and without interest, other than interest received by the applicable Secured Party from the relevant Governmental Authority) as such Secured Party shall determine in its sole discretion to be attributable to the relevant Taxes or Other Taxes;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event that such Secured Party is required to repay such refund to the relevant taxing authority, the Borrower agrees to return the refund to such Secured Party pursuant to this paragraph (f) (plus any penalties, interest or other charges imposed by the relevant Governmental Authority).</w:t>
      </w:r>
    </w:p>
    <w:p>
      <w:pPr>
        <w:spacing w:after="0" w:line="198" w:lineRule="exact"/>
        <w:rPr>
          <w:sz w:val="20"/>
          <w:szCs w:val="20"/>
          <w:color w:val="auto"/>
        </w:rPr>
      </w:pPr>
    </w:p>
    <w:p>
      <w:pPr>
        <w:ind w:left="760" w:right="760" w:firstLine="50"/>
        <w:spacing w:after="0" w:line="252" w:lineRule="auto"/>
        <w:tabs>
          <w:tab w:leader="none" w:pos="1080"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Secured Party and each Participant that is entitled to an exemption from or reduction of withholding tax, with respect to payments hereunder shall deliver to the Borrower (with a copy to the Administrative Agent), at the time or times reasonably requested by a Borrower or the Administrative Agent, such properly completed and executed documentation reasonably requested by the Borrower or the Administrative Agent as will permit such payments to be made without withholding or at a reduced rate of withholding. In addition, any Secured Party or Participant, if requested by a Borrower or the Administrative Agent, shall deliver such other forms, documentation, or other information reasonably requested by a Borrower or the Administrative Agent as will enable the Borrowers or the Administrative Agent (i) to determine whether or not such Lender or Participant is subject to backup withholding or information reporting requirement. Notwithstanding anything to the contrary in the preceding two sentences, the completion, execution or submission of such documentation (other than such documentation set forth in this Section 15.03(g) below) shall not be required if in such Lender’s or Participant’s reasonable judgment such completion, execution or submission would subject such Lender to any material unreimbursed cost or expense or would materially prejudice the legal or commercial position of such Lender or Participant.</w:t>
      </w:r>
    </w:p>
    <w:p>
      <w:pPr>
        <w:spacing w:after="0" w:line="195" w:lineRule="exact"/>
        <w:rPr>
          <w:sz w:val="20"/>
          <w:szCs w:val="20"/>
          <w:color w:val="auto"/>
        </w:rPr>
      </w:pPr>
    </w:p>
    <w:p>
      <w:pPr>
        <w:ind w:left="760" w:right="760"/>
        <w:spacing w:after="0" w:line="229" w:lineRule="exact"/>
        <w:rPr>
          <w:sz w:val="20"/>
          <w:szCs w:val="20"/>
          <w:color w:val="auto"/>
        </w:rPr>
      </w:pPr>
      <w:r>
        <w:rPr>
          <w:rFonts w:ascii="Times New Roman" w:cs="Times New Roman" w:eastAsia="Times New Roman" w:hAnsi="Times New Roman"/>
          <w:sz w:val="19"/>
          <w:szCs w:val="19"/>
          <w:color w:val="auto"/>
        </w:rPr>
        <w:t>Without limiting the generality of the foregoing, each Secured Party and each Participant that is a U.S. Person hereby agrees that it shall, no later than the Funding Effective Date or, in the case of a Secured Party or a Participant which becomes a party hereto pursuant to Section 15.06, the date upon which such Secured Party becomes a party hereto or participant herein, deliver to the Borrower and each Agent, if applicable, two accurate, complete and signed copies of IRS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 or successor form, certifying that such Secured Party or Participant is on the date of delivery thereof entitled to an exemption from United States backup withholding tax. Each Secured Party or Participant that is organized under the laws of a jurisdiction outside than the United States (a “</w:t>
      </w:r>
      <w:r>
        <w:rPr>
          <w:rFonts w:ascii="Times New Roman" w:cs="Times New Roman" w:eastAsia="Times New Roman" w:hAnsi="Times New Roman"/>
          <w:sz w:val="19"/>
          <w:szCs w:val="19"/>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U.S. Lender</w:t>
      </w:r>
      <w:r>
        <w:rPr>
          <w:rFonts w:ascii="Times New Roman" w:cs="Times New Roman" w:eastAsia="Times New Roman" w:hAnsi="Times New Roman"/>
          <w:sz w:val="19"/>
          <w:szCs w:val="19"/>
          <w:color w:val="auto"/>
        </w:rPr>
        <w:t>”) shall, no later than the date on which such Secured Party becomes a party hereto or a participant herein pursuant to Section 15.06, deliver to the Borrower and each Agent two properly completed and duly executed copies of either IRS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 IRS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8ECI, IRS Form W-8EXP or IRS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8IMY (and any required attachments to such forms) or any subsequent versions thereof or successors thereto, in each case claiming complete exemption from, or reduced rate of, U.S. Federal withholding tax with respect to payments of interest hereunder. In addition, in the case of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Lender claiming exemption from U.S. Federal withholding tax under Section 871(h) or 881(c) of the Code,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Lender hereby represents that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Lender is not a bank for purposes of Section 881(c) of the Code, is not a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percent shareholder (within the meaning of Section 871(h)(3)(B) of the Code) of the Borrower and is not a controlled foreign corporation related to the Borrower (within the meaning of Section 864(d)(4) of the Code), and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Lender agrees that it shall notify the</w:t>
      </w:r>
    </w:p>
    <w:p>
      <w:pPr>
        <w:spacing w:after="0" w:line="6"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4" w:name="page255"/>
    <w:bookmarkEnd w:id="254"/>
    <w:p>
      <w:pPr>
        <w:spacing w:after="0" w:line="200" w:lineRule="exact"/>
        <w:rPr>
          <w:sz w:val="20"/>
          <w:szCs w:val="20"/>
          <w:color w:val="auto"/>
        </w:rPr>
      </w:pPr>
    </w:p>
    <w:p>
      <w:pPr>
        <w:spacing w:after="0" w:line="285" w:lineRule="exact"/>
        <w:rPr>
          <w:sz w:val="20"/>
          <w:szCs w:val="20"/>
          <w:color w:val="auto"/>
        </w:rPr>
      </w:pPr>
    </w:p>
    <w:p>
      <w:pPr>
        <w:ind w:left="760" w:right="740"/>
        <w:spacing w:after="0" w:line="231" w:lineRule="exact"/>
        <w:rPr>
          <w:sz w:val="20"/>
          <w:szCs w:val="20"/>
          <w:color w:val="auto"/>
        </w:rPr>
      </w:pPr>
      <w:r>
        <w:rPr>
          <w:rFonts w:ascii="Times New Roman" w:cs="Times New Roman" w:eastAsia="Times New Roman" w:hAnsi="Times New Roman"/>
          <w:sz w:val="19"/>
          <w:szCs w:val="19"/>
          <w:color w:val="auto"/>
        </w:rPr>
        <w:t>Borrower and each Agent in the event any such representation is no longer accurate. Such forms shall be delivered by each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Lender on or before the date it becomes a party to this Agreement or participant herein and on or before the date, if any,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Lender designates a New Lending Office. In addition, each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Lender shall deliver such forms as promptly as practicable after receipt of a written request therefor from the Borrower or an Agent. Each Secured Party and each Participant agrees that if any form or certification it previously delivered pursuant to this Section 15.03(g) expires or becomes obsolete or inaccurate in any respect, or if a successor version of such form or certification is published, it shall update such form or certification or promptly notify the Borrower and the Administrative Agent in writing of its legal inability to do so. Notwithstanding any other provision of this Section 15.03,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Lender shall not be required to deliver any form pursuant to this Section 15.03(g) that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Lender is not legally able to deliver.</w:t>
      </w:r>
    </w:p>
    <w:p>
      <w:pPr>
        <w:spacing w:after="0" w:line="189" w:lineRule="exact"/>
        <w:rPr>
          <w:sz w:val="20"/>
          <w:szCs w:val="20"/>
          <w:color w:val="auto"/>
        </w:rPr>
      </w:pPr>
    </w:p>
    <w:p>
      <w:pPr>
        <w:ind w:left="760" w:right="760" w:firstLine="50"/>
        <w:spacing w:after="0" w:line="254" w:lineRule="auto"/>
        <w:tabs>
          <w:tab w:leader="none" w:pos="1080"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Secured Party requires the Borrower to pay any additional amount to such Secured Party or any taxing Governmental Authority for the account of such Secured Party or to indemnify such Secured Party pursuant to this Section 15.03,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Section 15.03 in the future and (ii) would not subject such Secured Party to any unreimbursed cost or expense and would not otherwise be disadvantageous to such Secured Party. The Borrower hereby agrees to pay all reasonable costs and expenses incurred by any Lender in connection with any such designation or assignment.</w:t>
      </w:r>
    </w:p>
    <w:p>
      <w:pPr>
        <w:spacing w:after="0" w:line="200" w:lineRule="exact"/>
        <w:rPr>
          <w:rFonts w:ascii="Times New Roman" w:cs="Times New Roman" w:eastAsia="Times New Roman" w:hAnsi="Times New Roman"/>
          <w:sz w:val="19"/>
          <w:szCs w:val="19"/>
          <w:color w:val="auto"/>
        </w:rPr>
      </w:pPr>
    </w:p>
    <w:p>
      <w:pPr>
        <w:spacing w:after="0" w:line="212" w:lineRule="exact"/>
        <w:rPr>
          <w:rFonts w:ascii="Times New Roman" w:cs="Times New Roman" w:eastAsia="Times New Roman" w:hAnsi="Times New Roman"/>
          <w:sz w:val="19"/>
          <w:szCs w:val="19"/>
          <w:color w:val="auto"/>
        </w:rPr>
      </w:pPr>
    </w:p>
    <w:p>
      <w:pPr>
        <w:ind w:left="760" w:right="920" w:firstLine="50"/>
        <w:spacing w:after="0" w:line="268" w:lineRule="auto"/>
        <w:tabs>
          <w:tab w:leader="none" w:pos="1037"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Section 15.03 shall be construed to require any Secured Party to make available its tax returns (or any other information relating to its taxes that it deems confidential) to the Borrower or any other Person.</w:t>
      </w:r>
    </w:p>
    <w:p>
      <w:pPr>
        <w:spacing w:after="0" w:line="166" w:lineRule="exact"/>
        <w:rPr>
          <w:rFonts w:ascii="Times New Roman" w:cs="Times New Roman" w:eastAsia="Times New Roman" w:hAnsi="Times New Roman"/>
          <w:sz w:val="19"/>
          <w:szCs w:val="19"/>
          <w:color w:val="auto"/>
        </w:rPr>
      </w:pPr>
    </w:p>
    <w:p>
      <w:pPr>
        <w:ind w:left="760" w:right="840" w:firstLine="50"/>
        <w:spacing w:after="0" w:line="256" w:lineRule="auto"/>
        <w:tabs>
          <w:tab w:leader="none" w:pos="1036"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Compliance with FATCA. </w:t>
      </w:r>
      <w:r>
        <w:rPr>
          <w:rFonts w:ascii="Times New Roman" w:cs="Times New Roman" w:eastAsia="Times New Roman" w:hAnsi="Times New Roman"/>
          <w:sz w:val="19"/>
          <w:szCs w:val="19"/>
          <w:color w:val="auto"/>
        </w:rPr>
        <w:t>Each Lender that is organized under the laws of a jurisdiction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than the United States shall comply with any certification, documentation, information or other reporting necessary to establish an exemption from withholding under FATCA and shall provide any other documentation reasonably requested by the Borrower or the Administrative Agent sufficient for the Administrative Agent and the Borrower to comply with their obligations under FATCA and to determine that such Lender has complied with such applicable reporting requirements.</w:t>
      </w:r>
    </w:p>
    <w:p>
      <w:pPr>
        <w:spacing w:after="0" w:line="181" w:lineRule="exact"/>
        <w:rPr>
          <w:sz w:val="20"/>
          <w:szCs w:val="20"/>
          <w:color w:val="auto"/>
        </w:rPr>
      </w:pPr>
    </w:p>
    <w:p>
      <w:pPr>
        <w:ind w:left="760" w:right="760" w:firstLine="48"/>
        <w:spacing w:after="0" w:line="231" w:lineRule="exact"/>
        <w:rPr>
          <w:sz w:val="20"/>
          <w:szCs w:val="20"/>
          <w:color w:val="auto"/>
        </w:rPr>
      </w:pPr>
      <w:r>
        <w:rPr>
          <w:rFonts w:ascii="Times New Roman" w:cs="Times New Roman" w:eastAsia="Times New Roman" w:hAnsi="Times New Roman"/>
          <w:sz w:val="19"/>
          <w:szCs w:val="19"/>
          <w:i w:val="1"/>
          <w:iCs w:val="1"/>
          <w:color w:val="auto"/>
        </w:rPr>
        <w:t>Section 15.04. Costs and Expenses; Indemnification</w:t>
      </w:r>
      <w:r>
        <w:rPr>
          <w:rFonts w:ascii="Times New Roman" w:cs="Times New Roman" w:eastAsia="Times New Roman" w:hAnsi="Times New Roman"/>
          <w:sz w:val="19"/>
          <w:szCs w:val="19"/>
          <w:color w:val="auto"/>
        </w:rPr>
        <w:t>. (a) The Borrower agrees to promptly pay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demand (i) all reasonable and documented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costs and expenses of the Agents, the Custodian, the Collateral Administrator, the Backup Collateral Manager and the other Lenders in connection with the preparation, review, negotiation, reproduction, execution and delivery of this Agreement and the other Facility Documents, including the reasonable and documented fees and disbursements of outside counsel for each of the Administrative Agent, the Collateral Agent, the Custodian, the Collateral Administrator, the Backup Collateral Manager and the other Lenders, UCC filing fees and all other related fees and expenses in connection therewith; and in connection with any modification or amendment of this Agreement or any other Facility Document. Further,</w:t>
      </w:r>
    </w:p>
    <w:p>
      <w:pPr>
        <w:spacing w:after="0" w:line="225"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5" w:name="page256"/>
    <w:bookmarkEnd w:id="255"/>
    <w:p>
      <w:pPr>
        <w:spacing w:after="0" w:line="200" w:lineRule="exact"/>
        <w:rPr>
          <w:sz w:val="20"/>
          <w:szCs w:val="20"/>
          <w:color w:val="auto"/>
        </w:rPr>
      </w:pPr>
    </w:p>
    <w:p>
      <w:pPr>
        <w:spacing w:after="0" w:line="266" w:lineRule="exact"/>
        <w:rPr>
          <w:sz w:val="20"/>
          <w:szCs w:val="20"/>
          <w:color w:val="auto"/>
        </w:rPr>
      </w:pPr>
    </w:p>
    <w:p>
      <w:pPr>
        <w:ind w:left="760" w:right="800"/>
        <w:spacing w:after="0" w:line="230" w:lineRule="exact"/>
        <w:rPr>
          <w:sz w:val="20"/>
          <w:szCs w:val="20"/>
          <w:color w:val="auto"/>
        </w:rPr>
      </w:pPr>
      <w:r>
        <w:rPr>
          <w:rFonts w:ascii="Times New Roman" w:cs="Times New Roman" w:eastAsia="Times New Roman" w:hAnsi="Times New Roman"/>
          <w:sz w:val="19"/>
          <w:szCs w:val="19"/>
          <w:color w:val="auto"/>
        </w:rPr>
        <w:t>the Borrower shall promptly pay on demand (A) all reasonable and documented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of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costs and expenses (including all reasonable fees, expenses and disbursements of legal counsel and any auditors, accountants, consultants or appraisers or other professional advisors and agents engaged by the Agents and the Lenders) incurred by the Agents and the Lenders in the preparation, execution, delivery, filing, recordation, administration, performance or enforcement of this Agreement or any other Facility Document or any consent, amendment, waiver or other modification relating thereto or the enforcement of this Agreement or any other Facility Document against the Borrower or the Collateral Manager, (B) all reasonable and documented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pocket costs and expenses of creating, perfecting, releasing or enforcing the Collateral Agent’s security interests in the Collateral, including filing and recording fees, expenses and taxes, stamp or documentary taxes, search fees, and title insurance premiums, and (C) after the occurrence of any Event of Default, all reasonable and documented costs and expenses incurred by the Agents and the Lenders in connection with the preservation, collection, foreclosure or enforcement of the Collateral subject to the Facility Documents or any interest, right, power or remedy of the Agents and the Lenders or in connection with the collection or enforcement of any of the Obligations or the proof, protection, administration or resolution of any claim based upon the Obligations in any insolvency proceeding, including all reasonable fees and disbursements of attorneys, accountants, auditors, consultants, appraisers and other professionals engaged by the Agents and the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the foregoing or anything to the contrary herein, in each case, the Borrower shall only be responsible for the fees, expenses and disbursements of a single primary counsel to the Agents and the Lenders and a single local counsel to the Agents and the Lenders in each relevant jurisdiction (unless there is an actual or perceived conflict of interest or the availability of different claims or defenses among the Agents and the Lenders, in which case each such similarly conflicted group of Persons may retain its own counsel). The undertaking in this Section shall survive repayment of the Obligations, any foreclosure under, or modification, release or discharge of, any or all of the Related Documents, termination of this Agreement and the resignation or replacement of the Collateral Agent. Without prejudice to its rights hereunder, the expenses and the compensation for the services of the Collateral Agent are intended to constitute expenses of administration under any applicable bankruptcy law.</w:t>
      </w:r>
    </w:p>
    <w:p>
      <w:pPr>
        <w:spacing w:after="0" w:line="195" w:lineRule="exact"/>
        <w:rPr>
          <w:sz w:val="20"/>
          <w:szCs w:val="20"/>
          <w:color w:val="auto"/>
        </w:rPr>
      </w:pPr>
    </w:p>
    <w:p>
      <w:pPr>
        <w:ind w:left="760" w:right="760" w:firstLine="50"/>
        <w:spacing w:after="0" w:line="251" w:lineRule="auto"/>
        <w:tabs>
          <w:tab w:leader="none" w:pos="1080"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indemnify and hold harmless each Secured Party and each of their Affiliates and the respective officers, directors, employees, agents, managers of, and any Person controlling any of, the foregoing (each, an “</w:t>
      </w:r>
      <w:r>
        <w:rPr>
          <w:rFonts w:ascii="Times New Roman" w:cs="Times New Roman" w:eastAsia="Times New Roman" w:hAnsi="Times New Roman"/>
          <w:sz w:val="19"/>
          <w:szCs w:val="19"/>
          <w:i w:val="1"/>
          <w:iCs w:val="1"/>
          <w:color w:val="auto"/>
        </w:rPr>
        <w:t>Indemnified Party</w:t>
      </w:r>
      <w:r>
        <w:rPr>
          <w:rFonts w:ascii="Times New Roman" w:cs="Times New Roman" w:eastAsia="Times New Roman" w:hAnsi="Times New Roman"/>
          <w:sz w:val="19"/>
          <w:szCs w:val="19"/>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and including for the avoidance of doubt the enforcement of any contractual and indemnification obligation against the Borrower or the Collateral Manager) (collectively, the “</w:t>
      </w:r>
      <w:r>
        <w:rPr>
          <w:rFonts w:ascii="Times New Roman" w:cs="Times New Roman" w:eastAsia="Times New Roman" w:hAnsi="Times New Roman"/>
          <w:sz w:val="19"/>
          <w:szCs w:val="19"/>
          <w:i w:val="1"/>
          <w:iCs w:val="1"/>
          <w:color w:val="auto"/>
        </w:rPr>
        <w:t>Liabilities</w:t>
      </w:r>
      <w:r>
        <w:rPr>
          <w:rFonts w:ascii="Times New Roman" w:cs="Times New Roman" w:eastAsia="Times New Roman" w:hAnsi="Times New Roman"/>
          <w:sz w:val="19"/>
          <w:szCs w:val="19"/>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w:t>
      </w:r>
    </w:p>
    <w:p>
      <w:pPr>
        <w:spacing w:after="0" w:line="8"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6" w:name="page257"/>
    <w:bookmarkEnd w:id="256"/>
    <w:p>
      <w:pPr>
        <w:spacing w:after="0" w:line="200" w:lineRule="exact"/>
        <w:rPr>
          <w:sz w:val="20"/>
          <w:szCs w:val="20"/>
          <w:color w:val="auto"/>
        </w:rPr>
      </w:pPr>
    </w:p>
    <w:p>
      <w:pPr>
        <w:spacing w:after="0" w:line="285" w:lineRule="exact"/>
        <w:rPr>
          <w:sz w:val="20"/>
          <w:szCs w:val="20"/>
          <w:color w:val="auto"/>
        </w:rPr>
      </w:pPr>
    </w:p>
    <w:p>
      <w:pPr>
        <w:ind w:left="760" w:right="800"/>
        <w:spacing w:after="0" w:line="252" w:lineRule="auto"/>
        <w:rPr>
          <w:sz w:val="20"/>
          <w:szCs w:val="20"/>
          <w:color w:val="auto"/>
        </w:rPr>
      </w:pPr>
      <w:r>
        <w:rPr>
          <w:rFonts w:ascii="Times New Roman" w:cs="Times New Roman" w:eastAsia="Times New Roman" w:hAnsi="Times New Roman"/>
          <w:sz w:val="19"/>
          <w:szCs w:val="19"/>
          <w:color w:val="auto"/>
        </w:rPr>
        <w:t>thereby; (ii) any breach of any covenant by the Borrower or the Collateral Manager contained in any Facility Document; (iii) any representation or warranty made or deemed made by the Borrower or the Collateral Manager contained in any Facility Document or in any certificate, statement or report delivered in connection therewith is false or misleading; (iv) any failure by the Borrower or the Collateral Manager to comply with any Applicable Law or contractual obligation binding upon it; (v) any failure to vest, or delay in vesting, in the Collateral Agent (for the benefit of the Secured Parties) a perfected security interest in all of the Collateral free and clear of all Liens; (vi) any action or omission, not expressly authorized by the Facility Documents, by the Borrower or any Affiliate of the Borrower which has the effect of reducing or impairing the Collateral or the rights of the Agents or the Secured Parties with respect thereto;</w:t>
      </w:r>
    </w:p>
    <w:p>
      <w:pPr>
        <w:spacing w:after="0" w:line="9" w:lineRule="exact"/>
        <w:rPr>
          <w:sz w:val="20"/>
          <w:szCs w:val="20"/>
          <w:color w:val="auto"/>
        </w:rPr>
      </w:pPr>
    </w:p>
    <w:p>
      <w:pPr>
        <w:ind w:left="760" w:right="780" w:firstLine="2"/>
        <w:spacing w:after="0" w:line="228" w:lineRule="exact"/>
        <w:tabs>
          <w:tab w:leader="none" w:pos="1139"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 (viii) any dispute, claim, offset or defense (other than the discharge in bankruptcy of an Obligor) of an Obligor to the payment with respect to any Collateral (including, without limitation, a defense based on any Collateral Loan (or the Related Documents evidencing such Collateral Loan) not being a legal, valid and binding obligation of such Obligor enforceable against it in accordance with its terms), or any other claim resulting from any related property;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without limitation, any provision of the Bankruptcy Code; (xi) the failure of the Borrower, the Collateral Manager or any of their respective agents or representatives to remit to the Collection Account, within one (1) Business Day of receipt, Collections on the Collateral Loans remitted to the Borrower, the Collateral Manager or any such agent or representative as provided in this Agreement; (xii) any environmental liabilities and (xiii) any Default or Event of Default;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Borrower shall not be liable (A) for any Liability or losses arising due to the deterioration in the credit quality or market value of the Collateral Loans or other Collateral hereunder to the extent that such credit quality or market value was not misrepresented in any material respect by the Borrower or any of its Affiliates or (B) to the extent any such Liability is found in a final,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appealable judgment by a court of competent jurisdiction to have resulted solely from such Indemnified Party’s bad faith, gross negligence or willful misconduct;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however that in no event will such Indemnified Party have any liability for any special, exemplary, indirect, punitive or consequential damages in connection with or as a result of such Indemnified Party’s activities related to this Agreement or any Facility Document or any agreement or instrument contemplated hereby or thereby or referred to herein or therein;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any payment hereunder which relates to taxes, levies, imposes, deductions, charges and withholdings, and all liabilities (including penalties, interest and expenses) with respect thereto, or additional sums described in Sections 2.09, 2.10 or 15.03, shall not be covered by this Section 15.04(b).</w:t>
      </w:r>
    </w:p>
    <w:p>
      <w:pPr>
        <w:spacing w:after="0" w:line="209" w:lineRule="exact"/>
        <w:rPr>
          <w:sz w:val="20"/>
          <w:szCs w:val="20"/>
          <w:color w:val="auto"/>
        </w:rPr>
      </w:pPr>
    </w:p>
    <w:p>
      <w:pPr>
        <w:ind w:left="760" w:right="780" w:firstLine="50"/>
        <w:spacing w:after="0" w:line="253" w:lineRule="auto"/>
        <w:tabs>
          <w:tab w:leader="none" w:pos="1069"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Indemnified Party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Facility Documents or the transactions contemplated hereby or thereby.</w:t>
      </w:r>
    </w:p>
    <w:p>
      <w:pPr>
        <w:spacing w:after="0" w:line="4"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165</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7" w:name="page258"/>
    <w:bookmarkEnd w:id="257"/>
    <w:p>
      <w:pPr>
        <w:spacing w:after="0" w:line="200" w:lineRule="exact"/>
        <w:rPr>
          <w:sz w:val="20"/>
          <w:szCs w:val="20"/>
          <w:color w:val="auto"/>
        </w:rPr>
      </w:pPr>
    </w:p>
    <w:p>
      <w:pPr>
        <w:spacing w:after="0" w:line="285" w:lineRule="exact"/>
        <w:rPr>
          <w:sz w:val="20"/>
          <w:szCs w:val="20"/>
          <w:color w:val="auto"/>
        </w:rPr>
      </w:pPr>
    </w:p>
    <w:p>
      <w:pPr>
        <w:ind w:left="760" w:right="1260" w:firstLine="50"/>
        <w:spacing w:after="0" w:line="286" w:lineRule="auto"/>
        <w:tabs>
          <w:tab w:leader="none" w:pos="108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Section 15.04 shall survive the discharge and termination of this Agreement or earlier resignation or removal of an indemnitee.</w:t>
      </w:r>
    </w:p>
    <w:p>
      <w:pPr>
        <w:spacing w:after="0" w:line="149" w:lineRule="exact"/>
        <w:rPr>
          <w:sz w:val="20"/>
          <w:szCs w:val="20"/>
          <w:color w:val="auto"/>
        </w:rPr>
      </w:pPr>
    </w:p>
    <w:p>
      <w:pPr>
        <w:ind w:left="760" w:right="82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15.05. Execution in Counterparts</w:t>
      </w:r>
      <w:r>
        <w:rPr>
          <w:rFonts w:ascii="Times New Roman" w:cs="Times New Roman" w:eastAsia="Times New Roman" w:hAnsi="Times New Roman"/>
          <w:sz w:val="19"/>
          <w:szCs w:val="19"/>
          <w:color w:val="auto"/>
        </w:rPr>
        <w:t>. This Agreement may be executed in any number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counterparts and by different parties hereto on 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75" w:lineRule="exact"/>
        <w:rPr>
          <w:sz w:val="20"/>
          <w:szCs w:val="20"/>
          <w:color w:val="auto"/>
        </w:rPr>
      </w:pPr>
    </w:p>
    <w:p>
      <w:pPr>
        <w:ind w:left="760" w:right="920" w:firstLine="48"/>
        <w:spacing w:after="0" w:line="256" w:lineRule="auto"/>
        <w:rPr>
          <w:sz w:val="20"/>
          <w:szCs w:val="20"/>
          <w:color w:val="auto"/>
        </w:rPr>
      </w:pPr>
      <w:r>
        <w:rPr>
          <w:rFonts w:ascii="Times New Roman" w:cs="Times New Roman" w:eastAsia="Times New Roman" w:hAnsi="Times New Roman"/>
          <w:sz w:val="19"/>
          <w:szCs w:val="19"/>
          <w:i w:val="1"/>
          <w:iCs w:val="1"/>
          <w:color w:val="auto"/>
        </w:rPr>
        <w:t>Section 15.06. Assignability</w:t>
      </w:r>
      <w:r>
        <w:rPr>
          <w:rFonts w:ascii="Times New Roman" w:cs="Times New Roman" w:eastAsia="Times New Roman" w:hAnsi="Times New Roman"/>
          <w:sz w:val="19"/>
          <w:szCs w:val="19"/>
          <w:color w:val="auto"/>
        </w:rPr>
        <w:t>. (a) Each Lender may, with the consent of the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Agent and the Borrower (in each case not to be unreasonably withheld or delayed), assign to an assignee all or a portion of its rights and obligations under this Agreement (including all or a portion of its outstanding Advances or interests therein owned by it, together with ratable portions of its Commitment);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w:t>
      </w:r>
    </w:p>
    <w:p>
      <w:pPr>
        <w:spacing w:after="0" w:line="183" w:lineRule="exact"/>
        <w:rPr>
          <w:sz w:val="20"/>
          <w:szCs w:val="20"/>
          <w:color w:val="auto"/>
        </w:rPr>
      </w:pPr>
    </w:p>
    <w:p>
      <w:pPr>
        <w:ind w:left="1340" w:right="840" w:firstLine="47"/>
        <w:spacing w:after="0" w:line="286" w:lineRule="auto"/>
        <w:tabs>
          <w:tab w:leader="none" w:pos="1617"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consent to any such assignment shall not be required if the assignee is a Permitted Assignee with respect to such assignor;</w:t>
      </w:r>
    </w:p>
    <w:p>
      <w:pPr>
        <w:spacing w:after="0" w:line="151" w:lineRule="exact"/>
        <w:rPr>
          <w:rFonts w:ascii="Times New Roman" w:cs="Times New Roman" w:eastAsia="Times New Roman" w:hAnsi="Times New Roman"/>
          <w:sz w:val="19"/>
          <w:szCs w:val="19"/>
          <w:color w:val="auto"/>
        </w:rPr>
      </w:pPr>
    </w:p>
    <w:p>
      <w:pPr>
        <w:jc w:val="both"/>
        <w:ind w:left="1340" w:right="760" w:firstLine="47"/>
        <w:spacing w:after="0" w:line="268" w:lineRule="auto"/>
        <w:tabs>
          <w:tab w:leader="none" w:pos="167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consent to any such assignment pursuant to this Section 15.06(a) shall not be required if an Event of Default shall have occurred and is continuing (and not been waived by the Lenders in accordance with Section 15.01); and</w:t>
      </w:r>
    </w:p>
    <w:p>
      <w:pPr>
        <w:spacing w:after="0" w:line="168" w:lineRule="exact"/>
        <w:rPr>
          <w:rFonts w:ascii="Times New Roman" w:cs="Times New Roman" w:eastAsia="Times New Roman" w:hAnsi="Times New Roman"/>
          <w:sz w:val="19"/>
          <w:szCs w:val="19"/>
          <w:color w:val="auto"/>
        </w:rPr>
      </w:pPr>
    </w:p>
    <w:p>
      <w:pPr>
        <w:ind w:left="1720" w:hanging="333"/>
        <w:spacing w:after="0"/>
        <w:tabs>
          <w:tab w:leader="none" w:pos="172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such assignment shall be made to a natural person.</w:t>
      </w:r>
    </w:p>
    <w:p>
      <w:pPr>
        <w:spacing w:after="0" w:line="226" w:lineRule="exact"/>
        <w:rPr>
          <w:sz w:val="20"/>
          <w:szCs w:val="20"/>
          <w:color w:val="auto"/>
        </w:rPr>
      </w:pPr>
    </w:p>
    <w:p>
      <w:pPr>
        <w:ind w:left="760" w:right="760" w:firstLine="576"/>
        <w:spacing w:after="0" w:line="255" w:lineRule="auto"/>
        <w:rPr>
          <w:sz w:val="20"/>
          <w:szCs w:val="20"/>
          <w:color w:val="auto"/>
        </w:rPr>
      </w:pPr>
      <w:r>
        <w:rPr>
          <w:rFonts w:ascii="Times New Roman" w:cs="Times New Roman" w:eastAsia="Times New Roman" w:hAnsi="Times New Roman"/>
          <w:sz w:val="19"/>
          <w:szCs w:val="19"/>
          <w:color w:val="auto"/>
        </w:rPr>
        <w:t xml:space="preserve">The parties to each such assignment shall execute and deliver to the Administrative Agent (with a copy to the Collateral Agent) an Assignment and Acceptance and the applicable tax forms required by Section 15.03(g) . Notwithstanding any other provision of this Section 15.06,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such pledge or grant of a security interest shall release such Lender from any of its obligations hereunder or substitute any such pledgee or grantee for such Lender as a party hereto.</w:t>
      </w:r>
    </w:p>
    <w:p>
      <w:pPr>
        <w:spacing w:after="0" w:line="179" w:lineRule="exact"/>
        <w:rPr>
          <w:sz w:val="20"/>
          <w:szCs w:val="20"/>
          <w:color w:val="auto"/>
        </w:rPr>
      </w:pPr>
    </w:p>
    <w:p>
      <w:pPr>
        <w:ind w:left="760" w:right="1340" w:firstLine="50"/>
        <w:spacing w:after="0" w:line="286" w:lineRule="auto"/>
        <w:tabs>
          <w:tab w:leader="none" w:pos="1080"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not assign its rights or obligations hereunder or any interest herein without the prior written consent of the Agents and the Lenders.</w:t>
      </w:r>
    </w:p>
    <w:p>
      <w:pPr>
        <w:spacing w:after="0" w:line="151" w:lineRule="exact"/>
        <w:rPr>
          <w:rFonts w:ascii="Times New Roman" w:cs="Times New Roman" w:eastAsia="Times New Roman" w:hAnsi="Times New Roman"/>
          <w:sz w:val="19"/>
          <w:szCs w:val="19"/>
          <w:color w:val="auto"/>
        </w:rPr>
      </w:pPr>
    </w:p>
    <w:p>
      <w:pPr>
        <w:jc w:val="both"/>
        <w:ind w:left="760" w:right="960" w:firstLine="50"/>
        <w:spacing w:after="0" w:line="262" w:lineRule="auto"/>
        <w:tabs>
          <w:tab w:leader="none" w:pos="1069"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Lender may, without the consent of the Borrower, the Administrative Agent or the Swingline Lender sell participations to one or more banks or other entities (a </w:t>
      </w:r>
      <w:r>
        <w:rPr>
          <w:rFonts w:ascii="Times New Roman" w:cs="Times New Roman" w:eastAsia="Times New Roman" w:hAnsi="Times New Roman"/>
          <w:sz w:val="19"/>
          <w:szCs w:val="19"/>
          <w:i w:val="1"/>
          <w:iCs w:val="1"/>
          <w:color w:val="auto"/>
        </w:rPr>
        <w:t>“Participant”</w:t>
      </w:r>
      <w:r>
        <w:rPr>
          <w:rFonts w:ascii="Times New Roman" w:cs="Times New Roman" w:eastAsia="Times New Roman" w:hAnsi="Times New Roman"/>
          <w:sz w:val="19"/>
          <w:szCs w:val="19"/>
          <w:color w:val="auto"/>
        </w:rPr>
        <w:t>) in</w:t>
      </w:r>
    </w:p>
    <w:p>
      <w:pPr>
        <w:spacing w:after="0" w:line="1" w:lineRule="exact"/>
        <w:rPr>
          <w:sz w:val="20"/>
          <w:szCs w:val="20"/>
          <w:color w:val="auto"/>
        </w:rPr>
      </w:pPr>
    </w:p>
    <w:p>
      <w:pPr>
        <w:jc w:val="center"/>
        <w:ind w:left="760" w:right="860"/>
        <w:spacing w:after="0" w:line="230" w:lineRule="exact"/>
        <w:rPr>
          <w:sz w:val="20"/>
          <w:szCs w:val="20"/>
          <w:color w:val="auto"/>
        </w:rPr>
      </w:pPr>
      <w:r>
        <w:rPr>
          <w:rFonts w:ascii="Times New Roman" w:cs="Times New Roman" w:eastAsia="Times New Roman" w:hAnsi="Times New Roman"/>
          <w:sz w:val="19"/>
          <w:szCs w:val="19"/>
          <w:color w:val="auto"/>
        </w:rPr>
        <w:t xml:space="preserve">all or a portion of such Lender’s rights and obligations under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 (C) such Borrower, the Agents and the other Lenders shall continue to deal solely and directly with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166</w:t>
      </w:r>
      <w:r>
        <w:rPr>
          <w:rFonts w:ascii="MS PGothic" w:cs="MS PGothic" w:eastAsia="MS PGothic" w:hAnsi="MS PGothic"/>
          <w:sz w:val="19"/>
          <w:szCs w:val="19"/>
          <w:color w:val="auto"/>
        </w:rPr>
        <w:t>‑</w:t>
      </w:r>
    </w:p>
    <w:p>
      <w:pPr>
        <w:spacing w:after="0" w:line="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8" w:name="page259"/>
    <w:bookmarkEnd w:id="258"/>
    <w:p>
      <w:pPr>
        <w:spacing w:after="0" w:line="200" w:lineRule="exact"/>
        <w:rPr>
          <w:sz w:val="20"/>
          <w:szCs w:val="20"/>
          <w:color w:val="auto"/>
        </w:rPr>
      </w:pPr>
    </w:p>
    <w:p>
      <w:pPr>
        <w:spacing w:after="0" w:line="285" w:lineRule="exact"/>
        <w:rPr>
          <w:sz w:val="20"/>
          <w:szCs w:val="20"/>
          <w:color w:val="auto"/>
        </w:rPr>
      </w:pPr>
    </w:p>
    <w:p>
      <w:pPr>
        <w:ind w:left="760" w:right="920"/>
        <w:spacing w:after="0" w:line="262" w:lineRule="auto"/>
        <w:rPr>
          <w:sz w:val="20"/>
          <w:szCs w:val="20"/>
          <w:color w:val="auto"/>
        </w:rPr>
      </w:pPr>
      <w:r>
        <w:rPr>
          <w:rFonts w:ascii="Times New Roman" w:cs="Times New Roman" w:eastAsia="Times New Roman" w:hAnsi="Times New Roman"/>
          <w:sz w:val="19"/>
          <w:szCs w:val="19"/>
          <w:color w:val="auto"/>
        </w:rPr>
        <w:t>such Lender in connection with such Lender’s rights and obligations under this Agreement, and (D) each Participant shall have agreed to be bound by this Section 15.06(c) and Sections</w:t>
      </w:r>
    </w:p>
    <w:p>
      <w:pPr>
        <w:spacing w:after="0" w:line="1" w:lineRule="exact"/>
        <w:rPr>
          <w:sz w:val="20"/>
          <w:szCs w:val="20"/>
          <w:color w:val="auto"/>
        </w:rPr>
      </w:pPr>
    </w:p>
    <w:p>
      <w:pPr>
        <w:ind w:left="760" w:right="760"/>
        <w:spacing w:after="0" w:line="251" w:lineRule="auto"/>
        <w:rPr>
          <w:sz w:val="20"/>
          <w:szCs w:val="20"/>
          <w:color w:val="auto"/>
        </w:rPr>
      </w:pPr>
      <w:r>
        <w:rPr>
          <w:rFonts w:ascii="Times New Roman" w:cs="Times New Roman" w:eastAsia="Times New Roman" w:hAnsi="Times New Roman"/>
          <w:sz w:val="19"/>
          <w:szCs w:val="19"/>
          <w:color w:val="auto"/>
        </w:rPr>
        <w:t xml:space="preserve">15.09(b), 15.15 and 15.19.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agreement may provide that such Lender will not, without the consent of the Participant, agree to any Fundamental Amendment. Sections 2.09, 2.10, and 15.03 shall apply to each Participant as if it were a Lender and had acquired its interest by assignment pursuant to paragraph (a) of this Section;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Participant shall be entitled to any amount under Section 2.09, 2.10, or 15.03 which is greater than the amount the related Lender would have been entitled to under any such Sections or provisions if the applicable participation had not occurred.</w:t>
      </w:r>
    </w:p>
    <w:p>
      <w:pPr>
        <w:spacing w:after="0" w:line="190" w:lineRule="exact"/>
        <w:rPr>
          <w:sz w:val="20"/>
          <w:szCs w:val="20"/>
          <w:color w:val="auto"/>
        </w:rPr>
      </w:pPr>
    </w:p>
    <w:p>
      <w:pPr>
        <w:ind w:left="760" w:right="760" w:firstLine="50"/>
        <w:spacing w:after="0" w:line="252" w:lineRule="auto"/>
        <w:tabs>
          <w:tab w:leader="none" w:pos="1091"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Times New Roman" w:cs="Times New Roman" w:eastAsia="Times New Roman" w:hAnsi="Times New Roman"/>
          <w:sz w:val="19"/>
          <w:szCs w:val="19"/>
          <w:i w:val="1"/>
          <w:iCs w:val="1"/>
          <w:color w:val="auto"/>
        </w:rPr>
        <w:t>“Participant Register”</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provided </w:t>
      </w:r>
      <w:r>
        <w:rPr>
          <w:rFonts w:ascii="Times New Roman" w:cs="Times New Roman" w:eastAsia="Times New Roman" w:hAnsi="Times New Roman"/>
          <w:sz w:val="19"/>
          <w:szCs w:val="19"/>
          <w:color w:val="auto"/>
        </w:rPr>
        <w:t>that no Lender shall have any obligation to disclose all 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portion of the Participant Register to any Person (including the identity of any participant or any information relating to a participant’s interest in any Commitments, Advances or its other obligations under this Agreement) except to the extent that the relevant parties, acting reasonably and in good faith, determine that such disclosure is necessary to establish that such Commitment, Advance or other obligation is in registered form under Section 5f.103-1(c) of the United States Treasury Regulations. Unless otherwise required by the IRS, any disclosure required by the foregoing sentence shall be made by the relevant Lender directly and solely to the IRS. An Advance may be participated in whole or in part only by registration of such participation on the Participant Register. Any participation of such Advance may be effected only by the registration of such participation on the Participant Register. The entries in the Participant Register shall be conclusive absent manifest error.</w:t>
      </w:r>
    </w:p>
    <w:p>
      <w:pPr>
        <w:spacing w:after="0" w:line="195" w:lineRule="exact"/>
        <w:rPr>
          <w:sz w:val="20"/>
          <w:szCs w:val="20"/>
          <w:color w:val="auto"/>
        </w:rPr>
      </w:pPr>
    </w:p>
    <w:p>
      <w:pPr>
        <w:ind w:left="760" w:right="740" w:firstLine="50"/>
        <w:spacing w:after="0" w:line="253" w:lineRule="auto"/>
        <w:tabs>
          <w:tab w:leader="none" w:pos="108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Collateral Agent, on behalf of and acting solely for this purpose as the nonfiduciary agent of the Borrower, shall maintain at its address specified in Section 15.02 or such other address as the Collateral Agent shall designate in writing to the Lenders, a copy of this Agreement and each signature page hereto and each Assignment and Acceptance delivered to and accepted by it and a register (the </w:t>
      </w:r>
      <w:r>
        <w:rPr>
          <w:rFonts w:ascii="Times New Roman" w:cs="Times New Roman" w:eastAsia="Times New Roman" w:hAnsi="Times New Roman"/>
          <w:sz w:val="19"/>
          <w:szCs w:val="19"/>
          <w:i w:val="1"/>
          <w:iCs w:val="1"/>
          <w:color w:val="auto"/>
        </w:rPr>
        <w:t>“Register”</w:t>
      </w:r>
      <w:r>
        <w:rPr>
          <w:rFonts w:ascii="Times New Roman" w:cs="Times New Roman" w:eastAsia="Times New Roman" w:hAnsi="Times New Roman"/>
          <w:sz w:val="19"/>
          <w:szCs w:val="19"/>
          <w:color w:val="auto"/>
        </w:rPr>
        <w:t>)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 An Advance may be assigned or sold in whole or in part only by registration of such assignment or sale on the Register and in accordance with this Section 15.06.</w:t>
      </w:r>
    </w:p>
    <w:p>
      <w:pPr>
        <w:spacing w:after="0" w:line="200" w:lineRule="exact"/>
        <w:rPr>
          <w:rFonts w:ascii="Times New Roman" w:cs="Times New Roman" w:eastAsia="Times New Roman" w:hAnsi="Times New Roman"/>
          <w:sz w:val="19"/>
          <w:szCs w:val="19"/>
          <w:color w:val="auto"/>
        </w:rPr>
      </w:pPr>
    </w:p>
    <w:p>
      <w:pPr>
        <w:spacing w:after="0" w:line="214" w:lineRule="exact"/>
        <w:rPr>
          <w:rFonts w:ascii="Times New Roman" w:cs="Times New Roman" w:eastAsia="Times New Roman" w:hAnsi="Times New Roman"/>
          <w:sz w:val="19"/>
          <w:szCs w:val="19"/>
          <w:color w:val="auto"/>
        </w:rPr>
      </w:pPr>
    </w:p>
    <w:p>
      <w:pPr>
        <w:ind w:left="760" w:right="860" w:firstLine="50"/>
        <w:spacing w:after="0" w:line="255" w:lineRule="auto"/>
        <w:tabs>
          <w:tab w:leader="none" w:pos="1069"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set forth herein or in any other Facility Document, each Lender hereunder, and each Participant, must at all times be a “qualified purchaser” as defined in the Investment Company Act (a “</w:t>
      </w:r>
      <w:r>
        <w:rPr>
          <w:rFonts w:ascii="Times New Roman" w:cs="Times New Roman" w:eastAsia="Times New Roman" w:hAnsi="Times New Roman"/>
          <w:sz w:val="19"/>
          <w:szCs w:val="19"/>
          <w:i w:val="1"/>
          <w:iCs w:val="1"/>
          <w:color w:val="auto"/>
        </w:rPr>
        <w:t>Qualified Purchaser</w:t>
      </w:r>
      <w:r>
        <w:rPr>
          <w:rFonts w:ascii="Times New Roman" w:cs="Times New Roman" w:eastAsia="Times New Roman" w:hAnsi="Times New Roman"/>
          <w:sz w:val="19"/>
          <w:szCs w:val="19"/>
          <w:color w:val="auto"/>
        </w:rPr>
        <w:t>”) and a “qualified</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167</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59" w:name="page260"/>
    <w:bookmarkEnd w:id="259"/>
    <w:p>
      <w:pPr>
        <w:spacing w:after="0" w:line="200" w:lineRule="exact"/>
        <w:rPr>
          <w:sz w:val="20"/>
          <w:szCs w:val="20"/>
          <w:color w:val="auto"/>
        </w:rPr>
      </w:pPr>
    </w:p>
    <w:p>
      <w:pPr>
        <w:spacing w:after="0" w:line="283" w:lineRule="exact"/>
        <w:rPr>
          <w:sz w:val="20"/>
          <w:szCs w:val="20"/>
          <w:color w:val="auto"/>
        </w:rPr>
      </w:pPr>
    </w:p>
    <w:p>
      <w:pPr>
        <w:ind w:left="760" w:right="740"/>
        <w:spacing w:after="0" w:line="256" w:lineRule="auto"/>
        <w:rPr>
          <w:sz w:val="20"/>
          <w:szCs w:val="20"/>
          <w:color w:val="auto"/>
        </w:rPr>
      </w:pPr>
      <w:r>
        <w:rPr>
          <w:rFonts w:ascii="Times New Roman" w:cs="Times New Roman" w:eastAsia="Times New Roman" w:hAnsi="Times New Roman"/>
          <w:sz w:val="19"/>
          <w:szCs w:val="19"/>
          <w:color w:val="auto"/>
        </w:rPr>
        <w:t>institutional buyer” as defined in Rule 144A under the Securities Act (a “</w:t>
      </w:r>
      <w:r>
        <w:rPr>
          <w:rFonts w:ascii="Times New Roman" w:cs="Times New Roman" w:eastAsia="Times New Roman" w:hAnsi="Times New Roman"/>
          <w:sz w:val="19"/>
          <w:szCs w:val="19"/>
          <w:i w:val="1"/>
          <w:iCs w:val="1"/>
          <w:color w:val="auto"/>
        </w:rPr>
        <w:t>QIB</w:t>
      </w:r>
      <w:r>
        <w:rPr>
          <w:rFonts w:ascii="Times New Roman" w:cs="Times New Roman" w:eastAsia="Times New Roman" w:hAnsi="Times New Roman"/>
          <w:sz w:val="19"/>
          <w:szCs w:val="19"/>
          <w:color w:val="auto"/>
        </w:rPr>
        <w:t>”). Each Lender represents to the Borrower, (i) on the date that it becomes a party to this Agreement (whether by being a signatory hereto or by entering into an Assignment and Acceptance) and (ii) on each date on which it makes an Advance hereunder, that it is a Qualified Purchaser and a QIB. Each Lender further agrees that it shall not assign, or grant any participations in, any of its Advances or its Commitment to (x) any Person that is not both a Qualified Purchaser and a QIB or (y) the Borrower or any of the Borrower’s Affiliates.</w:t>
      </w:r>
    </w:p>
    <w:p>
      <w:pPr>
        <w:spacing w:after="0" w:line="181" w:lineRule="exact"/>
        <w:rPr>
          <w:sz w:val="20"/>
          <w:szCs w:val="20"/>
          <w:color w:val="auto"/>
        </w:rPr>
      </w:pPr>
    </w:p>
    <w:p>
      <w:pPr>
        <w:ind w:left="760" w:right="84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15.07. Governing Law </w:t>
      </w:r>
      <w:r>
        <w:rPr>
          <w:rFonts w:ascii="Times New Roman" w:cs="Times New Roman" w:eastAsia="Times New Roman" w:hAnsi="Times New Roman"/>
          <w:sz w:val="19"/>
          <w:szCs w:val="19"/>
          <w:color w:val="auto"/>
        </w:rPr>
        <w:t>. This Agreement and the Rights and Obligations of the Parties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this Agreement Shall be Governed by and Construed in Accordance with the internal Law of the State of New York.</w:t>
      </w:r>
    </w:p>
    <w:p>
      <w:pPr>
        <w:spacing w:after="0" w:line="166" w:lineRule="exact"/>
        <w:rPr>
          <w:sz w:val="20"/>
          <w:szCs w:val="20"/>
          <w:color w:val="auto"/>
        </w:rPr>
      </w:pPr>
    </w:p>
    <w:p>
      <w:pPr>
        <w:ind w:left="760" w:right="880"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Section 15.08. Severability of Provisions</w:t>
      </w:r>
      <w:r>
        <w:rPr>
          <w:rFonts w:ascii="Times New Roman" w:cs="Times New Roman" w:eastAsia="Times New Roman" w:hAnsi="Times New Roman"/>
          <w:sz w:val="19"/>
          <w:szCs w:val="19"/>
          <w:color w:val="auto"/>
        </w:rPr>
        <w:t>. Any provision of this Agreement which is prohibited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54" w:lineRule="exact"/>
        <w:rPr>
          <w:sz w:val="20"/>
          <w:szCs w:val="20"/>
          <w:color w:val="auto"/>
        </w:rPr>
      </w:pPr>
    </w:p>
    <w:p>
      <w:pPr>
        <w:ind w:left="760" w:right="760" w:firstLine="48"/>
        <w:spacing w:after="0" w:line="229" w:lineRule="exact"/>
        <w:rPr>
          <w:sz w:val="20"/>
          <w:szCs w:val="20"/>
          <w:color w:val="auto"/>
        </w:rPr>
      </w:pPr>
      <w:r>
        <w:rPr>
          <w:rFonts w:ascii="Times New Roman" w:cs="Times New Roman" w:eastAsia="Times New Roman" w:hAnsi="Times New Roman"/>
          <w:sz w:val="19"/>
          <w:szCs w:val="19"/>
          <w:i w:val="1"/>
          <w:iCs w:val="1"/>
          <w:color w:val="auto"/>
        </w:rPr>
        <w:t>Section 15.09. Confidentiality</w:t>
      </w:r>
      <w:r>
        <w:rPr>
          <w:rFonts w:ascii="Times New Roman" w:cs="Times New Roman" w:eastAsia="Times New Roman" w:hAnsi="Times New Roman"/>
          <w:sz w:val="19"/>
          <w:szCs w:val="19"/>
          <w:color w:val="auto"/>
        </w:rPr>
        <w:t>. (a) Each Secured Party agrees to keep confidential all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public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information provided to it by the Borrower or the Collateral Manager with respect to the Borrower, its Affiliates, the Collateral or any other information furnished to any Secured Party pursuant to this Agreement or any other Facility Document (collectively,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Information”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provided </w:t>
      </w:r>
      <w:r>
        <w:rPr>
          <w:rFonts w:ascii="Times New Roman" w:cs="Times New Roman" w:eastAsia="Times New Roman" w:hAnsi="Times New Roman"/>
          <w:sz w:val="19"/>
          <w:szCs w:val="19"/>
          <w:color w:val="auto"/>
        </w:rPr>
        <w:t>that nothing herein shall prevent any Secured Party from disclosing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Borrower Information (a) in connection with this Agreement and the other Facility Documents and not for any other purpose, (x) to any Secured Party or any Affiliate of a Secured Party, or (y) any of their respective Affiliates, employees, directors, agents, attorneys, accountants and other professional advisors (collectively, the </w:t>
      </w:r>
      <w:r>
        <w:rPr>
          <w:rFonts w:ascii="Times New Roman" w:cs="Times New Roman" w:eastAsia="Times New Roman" w:hAnsi="Times New Roman"/>
          <w:sz w:val="19"/>
          <w:szCs w:val="19"/>
          <w:i w:val="1"/>
          <w:iCs w:val="1"/>
          <w:color w:val="auto"/>
        </w:rPr>
        <w:t>“Secured Party Representatives”</w:t>
      </w:r>
      <w:r>
        <w:rPr>
          <w:rFonts w:ascii="Times New Roman" w:cs="Times New Roman" w:eastAsia="Times New Roman" w:hAnsi="Times New Roman"/>
          <w:sz w:val="19"/>
          <w:szCs w:val="19"/>
          <w:color w:val="auto"/>
        </w:rPr>
        <w:t>), it being understood that the Persons to whom such disclosure is made will be informed of the confidential nature of such Borrower Information, (b) subject to an agreement to comply with the provisions of this Section (or other provisions at least as restrictive as this Section), (i)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and (ii) as reasonably required by any direct or indirect contractual counterparties for professional advisors thereto, to any swap or derivative transaction relating to the Borrower and its obligations, (c) to any Governmental Authority purporting to have jurisdiction over any Secured Party or any of its Affiliates or any Secured Party Representative, (d) in response to any order of any court or other Governmental Authority or as may otherwise be required to be disclosed pursuant to any Applicable Law, (e) that is a matter of general public knowledge or that has heretofore been made available to the public by any Person other than any Secured Party or any Secured Party Representative, (f) in connection with the exercise of any remedy hereunder or under any other Facility Document, or (g) with the consent of the Borrower or to any other party to this Agreement. In addition, each Secured Party may disclose the existence of this Agreement and information about this Agreement to market data collectors, similar service providers to the lending industry and service providers to the Secured Parties in connection with the administration and management of this Agreement and the other Facility Documents.</w:t>
      </w:r>
    </w:p>
    <w:p>
      <w:pPr>
        <w:spacing w:after="0" w:line="2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168</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0" w:name="page261"/>
    <w:bookmarkEnd w:id="260"/>
    <w:p>
      <w:pPr>
        <w:spacing w:after="0" w:line="200" w:lineRule="exact"/>
        <w:rPr>
          <w:sz w:val="20"/>
          <w:szCs w:val="20"/>
          <w:color w:val="auto"/>
        </w:rPr>
      </w:pPr>
    </w:p>
    <w:p>
      <w:pPr>
        <w:spacing w:after="0" w:line="285" w:lineRule="exact"/>
        <w:rPr>
          <w:sz w:val="20"/>
          <w:szCs w:val="20"/>
          <w:color w:val="auto"/>
        </w:rPr>
      </w:pPr>
    </w:p>
    <w:p>
      <w:pPr>
        <w:ind w:left="760" w:right="800" w:firstLine="50"/>
        <w:spacing w:after="0" w:line="230" w:lineRule="exact"/>
        <w:tabs>
          <w:tab w:leader="none" w:pos="1080"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or in any of the other Transaction Documents, each of the parties hereto acknowledges and agrees that the Administrative Agent or any Lender may post to a secured password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protected internet website maintained by the Administrative Agent or such Lender and required by any Rating Agency rating the commercial paper notes of any CP Conduit in connection with Rule 17g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 (as defined below) such information as any such Rating Agency may request in connection with the confirming its rating of such commercial paper notes or that the Administrative Agent or such Lender may otherwise determine is necessary or appropriate to post to such website in furtherance of the requirements of Rule 17g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 “Rule 17g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 shall mean Rule 17g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 under the Securities Exchange Act of 1934 as such may be amended from time to time, and subject to such clarification and interpretation as has been provided by the Securities and Exchange Commission in the adopting release (Amendments to Rules for Nationally Recognized Statistical Rating Organizations, Exchange Act Release No. 34</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61050, 74 Fed. Reg. 63,832, 63,865 (Dec. 4, 2009)) and subject to such clarification and interpretation as may be provided by the Securities and Exchange Commission or its staff from time to time.</w:t>
      </w:r>
    </w:p>
    <w:p>
      <w:pPr>
        <w:spacing w:after="0" w:line="194" w:lineRule="exact"/>
        <w:rPr>
          <w:sz w:val="20"/>
          <w:szCs w:val="20"/>
          <w:color w:val="auto"/>
        </w:rPr>
      </w:pPr>
    </w:p>
    <w:p>
      <w:pPr>
        <w:ind w:left="760" w:right="880"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Section 15.10. Merger</w:t>
      </w:r>
      <w:r>
        <w:rPr>
          <w:rFonts w:ascii="Times New Roman" w:cs="Times New Roman" w:eastAsia="Times New Roman" w:hAnsi="Times New Roman"/>
          <w:sz w:val="19"/>
          <w:szCs w:val="19"/>
          <w:color w:val="auto"/>
        </w:rPr>
        <w:t>. This Agreement and the other Facility Documents executed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or the Lenders taken as a whole incorporate the entire agreement between the parties thereto concerning the subject matter thereof and such Facility Documents supersede any prior agreements among the parties relating to the subject matter thereof.</w:t>
      </w:r>
    </w:p>
    <w:p>
      <w:pPr>
        <w:spacing w:after="0" w:line="171" w:lineRule="exact"/>
        <w:rPr>
          <w:sz w:val="20"/>
          <w:szCs w:val="20"/>
          <w:color w:val="auto"/>
        </w:rPr>
      </w:pPr>
    </w:p>
    <w:p>
      <w:pPr>
        <w:ind w:left="760" w:right="78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15.11. Survival</w:t>
      </w:r>
      <w:r>
        <w:rPr>
          <w:rFonts w:ascii="Times New Roman" w:cs="Times New Roman" w:eastAsia="Times New Roman" w:hAnsi="Times New Roman"/>
          <w:sz w:val="19"/>
          <w:szCs w:val="19"/>
          <w:color w:val="auto"/>
        </w:rPr>
        <w:t>. All representations and warranties made hereunder, in the other Facility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Documents and in any certificate delivered pursuant hereto or thereto or in connection herewith or therewith shall survive the execution and delivery of this Agreement and the making of the Advances hereunder. The agreements in Sections 2.04(f), 2.09, 2.10, 2.12, 15.03, 15.04, 15.09, 15.16, 15.18 and 15.19 and this Section 15.11 shall survive the termination of this Agreement in whole or in part and the payment in full of the principal of and interest on the Advances.</w:t>
      </w:r>
    </w:p>
    <w:p>
      <w:pPr>
        <w:spacing w:after="0" w:line="175" w:lineRule="exact"/>
        <w:rPr>
          <w:sz w:val="20"/>
          <w:szCs w:val="20"/>
          <w:color w:val="auto"/>
        </w:rPr>
      </w:pPr>
    </w:p>
    <w:p>
      <w:pPr>
        <w:ind w:left="760" w:right="94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Section 15.12. Submission to Jurisdiction; Waivers; Etc. </w:t>
      </w:r>
      <w:r>
        <w:rPr>
          <w:rFonts w:ascii="Times New Roman" w:cs="Times New Roman" w:eastAsia="Times New Roman" w:hAnsi="Times New Roman"/>
          <w:sz w:val="19"/>
          <w:szCs w:val="19"/>
          <w:color w:val="auto"/>
        </w:rPr>
        <w:t>Each party hereto hereby irrevocably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unconditionally:</w:t>
      </w:r>
    </w:p>
    <w:p>
      <w:pPr>
        <w:spacing w:after="0" w:line="150" w:lineRule="exact"/>
        <w:rPr>
          <w:sz w:val="20"/>
          <w:szCs w:val="20"/>
          <w:color w:val="auto"/>
        </w:rPr>
      </w:pPr>
    </w:p>
    <w:p>
      <w:pPr>
        <w:ind w:left="1340" w:right="820" w:firstLine="47"/>
        <w:spacing w:after="0" w:line="257" w:lineRule="auto"/>
        <w:tabs>
          <w:tab w:leader="none" w:pos="1649"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County of New York, the courts of the United States of America for the Southern District of New York, and the appellate courts of any of them;</w:t>
      </w:r>
    </w:p>
    <w:p>
      <w:pPr>
        <w:spacing w:after="0" w:line="180" w:lineRule="exact"/>
        <w:rPr>
          <w:rFonts w:ascii="Times New Roman" w:cs="Times New Roman" w:eastAsia="Times New Roman" w:hAnsi="Times New Roman"/>
          <w:sz w:val="19"/>
          <w:szCs w:val="19"/>
          <w:color w:val="auto"/>
        </w:rPr>
      </w:pPr>
    </w:p>
    <w:p>
      <w:pPr>
        <w:ind w:left="1340" w:right="820" w:firstLine="47"/>
        <w:spacing w:after="0" w:line="259" w:lineRule="auto"/>
        <w:tabs>
          <w:tab w:leader="none" w:pos="1660"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that any such action or proceeding may be brought in any court described in Section 15.12(a)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177" w:lineRule="exact"/>
        <w:rPr>
          <w:rFonts w:ascii="Times New Roman" w:cs="Times New Roman" w:eastAsia="Times New Roman" w:hAnsi="Times New Roman"/>
          <w:sz w:val="19"/>
          <w:szCs w:val="19"/>
          <w:color w:val="auto"/>
        </w:rPr>
      </w:pPr>
    </w:p>
    <w:p>
      <w:pPr>
        <w:ind w:left="1340" w:right="1060" w:firstLine="47"/>
        <w:spacing w:after="0" w:line="258" w:lineRule="auto"/>
        <w:tabs>
          <w:tab w:leader="none" w:pos="1649"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service of process in any such action or proceeding may be effected by mailing a copy thereof by registered or certified mail (or any substantially</w:t>
      </w:r>
    </w:p>
    <w:p>
      <w:pPr>
        <w:spacing w:after="0" w:line="1"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169</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1" w:name="page262"/>
    <w:bookmarkEnd w:id="261"/>
    <w:p>
      <w:pPr>
        <w:spacing w:after="0" w:line="200" w:lineRule="exact"/>
        <w:rPr>
          <w:sz w:val="20"/>
          <w:szCs w:val="20"/>
          <w:color w:val="auto"/>
        </w:rPr>
      </w:pPr>
    </w:p>
    <w:p>
      <w:pPr>
        <w:spacing w:after="0" w:line="285" w:lineRule="exact"/>
        <w:rPr>
          <w:sz w:val="20"/>
          <w:szCs w:val="20"/>
          <w:color w:val="auto"/>
        </w:rPr>
      </w:pPr>
    </w:p>
    <w:p>
      <w:pPr>
        <w:ind w:left="1340" w:right="1120"/>
        <w:spacing w:after="0" w:line="286" w:lineRule="auto"/>
        <w:rPr>
          <w:sz w:val="20"/>
          <w:szCs w:val="20"/>
          <w:color w:val="auto"/>
        </w:rPr>
      </w:pPr>
      <w:r>
        <w:rPr>
          <w:rFonts w:ascii="Times New Roman" w:cs="Times New Roman" w:eastAsia="Times New Roman" w:hAnsi="Times New Roman"/>
          <w:sz w:val="19"/>
          <w:szCs w:val="19"/>
          <w:color w:val="auto"/>
        </w:rPr>
        <w:t>similar form of mail), postage prepaid, to such party at its address set forth in Section 15.02 or at such other address as may be permitted thereunder;</w:t>
      </w:r>
    </w:p>
    <w:p>
      <w:pPr>
        <w:spacing w:after="0" w:line="151" w:lineRule="exact"/>
        <w:rPr>
          <w:sz w:val="20"/>
          <w:szCs w:val="20"/>
          <w:color w:val="auto"/>
        </w:rPr>
      </w:pPr>
    </w:p>
    <w:p>
      <w:pPr>
        <w:ind w:left="1340" w:right="1160" w:firstLine="47"/>
        <w:spacing w:after="0" w:line="286" w:lineRule="auto"/>
        <w:tabs>
          <w:tab w:leader="none" w:pos="1660"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nothing herein shall affect the right to effect service of process in any other manner permitted by law; and</w:t>
      </w:r>
    </w:p>
    <w:p>
      <w:pPr>
        <w:spacing w:after="0" w:line="151" w:lineRule="exact"/>
        <w:rPr>
          <w:rFonts w:ascii="Times New Roman" w:cs="Times New Roman" w:eastAsia="Times New Roman" w:hAnsi="Times New Roman"/>
          <w:sz w:val="19"/>
          <w:szCs w:val="19"/>
          <w:color w:val="auto"/>
        </w:rPr>
      </w:pPr>
    </w:p>
    <w:p>
      <w:pPr>
        <w:ind w:left="1340" w:right="880" w:firstLine="47"/>
        <w:spacing w:after="0" w:line="257" w:lineRule="auto"/>
        <w:tabs>
          <w:tab w:leader="none" w:pos="1649"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waives, to the maximum extent not prohibited by law, any right it may have to claim or recover in any legal action or proceeding against any Secured Party arising out of or relating to this Agreement or any other Facility Document any special, exemplary, indirect, punitive or consequential damages (as opposed to direct or actual damages) (whether or not the claim therefor is based on contract, tort or duty imposed by any applicable legal requirement).</w:t>
      </w:r>
    </w:p>
    <w:p>
      <w:pPr>
        <w:spacing w:after="0" w:line="179" w:lineRule="exact"/>
        <w:rPr>
          <w:sz w:val="20"/>
          <w:szCs w:val="20"/>
          <w:color w:val="auto"/>
        </w:rPr>
      </w:pPr>
    </w:p>
    <w:p>
      <w:pPr>
        <w:ind w:left="760" w:right="90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Section 15.13. Waiver of Jury Trial</w:t>
      </w:r>
      <w:r>
        <w:rPr>
          <w:rFonts w:ascii="Times New Roman" w:cs="Times New Roman" w:eastAsia="Times New Roman" w:hAnsi="Times New Roman"/>
          <w:sz w:val="19"/>
          <w:szCs w:val="19"/>
          <w:color w:val="auto"/>
        </w:rPr>
        <w:t>. Each of the parties hereto hereby irrevocably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unconditionally waives trial by jury in any legal action or proceeding relating to this Agreement or any other Facility Document or for any counterclaim therein or relating thereto.</w:t>
      </w:r>
    </w:p>
    <w:p>
      <w:pPr>
        <w:spacing w:after="0" w:line="166" w:lineRule="exact"/>
        <w:rPr>
          <w:sz w:val="20"/>
          <w:szCs w:val="20"/>
          <w:color w:val="auto"/>
        </w:rPr>
      </w:pPr>
    </w:p>
    <w:p>
      <w:pPr>
        <w:ind w:left="760" w:right="780"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Section 15.14. Service of Process</w:t>
      </w:r>
      <w:r>
        <w:rPr>
          <w:rFonts w:ascii="Times New Roman" w:cs="Times New Roman" w:eastAsia="Times New Roman" w:hAnsi="Times New Roman"/>
          <w:sz w:val="19"/>
          <w:szCs w:val="19"/>
          <w:color w:val="auto"/>
        </w:rPr>
        <w:t>. If the Borrower fails at any time to maintain a business office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within the State of New York, it shall immediately (but no later than five (5) Business Days following such occurrence) (i) notify the Administrative Agent and (ii) appoint a process agent in accordance with the procedure set forth below.</w:t>
      </w:r>
    </w:p>
    <w:p>
      <w:pPr>
        <w:spacing w:after="0" w:line="171" w:lineRule="exact"/>
        <w:rPr>
          <w:sz w:val="20"/>
          <w:szCs w:val="20"/>
          <w:color w:val="auto"/>
        </w:rPr>
      </w:pPr>
    </w:p>
    <w:p>
      <w:pPr>
        <w:ind w:left="760" w:right="760" w:firstLine="576"/>
        <w:spacing w:after="0" w:line="251" w:lineRule="auto"/>
        <w:rPr>
          <w:sz w:val="20"/>
          <w:szCs w:val="20"/>
          <w:color w:val="auto"/>
        </w:rPr>
      </w:pPr>
      <w:r>
        <w:rPr>
          <w:rFonts w:ascii="Times New Roman" w:cs="Times New Roman" w:eastAsia="Times New Roman" w:hAnsi="Times New Roman"/>
          <w:sz w:val="19"/>
          <w:szCs w:val="19"/>
          <w:color w:val="auto"/>
        </w:rPr>
        <w:t xml:space="preserve">The Borrower shall irrevocably designate, appoint and empower an agent (the </w:t>
      </w:r>
      <w:r>
        <w:rPr>
          <w:rFonts w:ascii="Times New Roman" w:cs="Times New Roman" w:eastAsia="Times New Roman" w:hAnsi="Times New Roman"/>
          <w:sz w:val="19"/>
          <w:szCs w:val="19"/>
          <w:i w:val="1"/>
          <w:iCs w:val="1"/>
          <w:color w:val="auto"/>
        </w:rPr>
        <w:t>“Process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Agent”</w:t>
      </w:r>
      <w:r>
        <w:rPr>
          <w:rFonts w:ascii="Times New Roman" w:cs="Times New Roman" w:eastAsia="Times New Roman" w:hAnsi="Times New Roman"/>
          <w:sz w:val="19"/>
          <w:szCs w:val="19"/>
          <w:color w:val="auto"/>
        </w:rPr>
        <w:t>), with an office in New York, New York, as its designee, appointee and agent to receive,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accept and acknowledge for and on its behalf, and its properties, assets and revenues, service for any and all legal process, summons, notices and documents which may be served in any action, suit or proceeding brought in the courts listed in Section 15.12 in connection with or arising out of this Agreement or any other Facility Document. If for any reason the Process Agent shall cease to act as such and the Borrower does not at such time have a business office within the State of New York, the Borrower agrees to promptly designate new designees, appointees and agents in New York, New York on the terms and for the purposes of this Section 15.14 satisfactory to the Administrative Agent, which new designees, appointees and agents shall thereafter be deemed to be the Process Agent for all purposes of this Agreement and the other Facility Documents. The Borrower further hereby irrevocably consents and agrees to the service of any and all legal process, summons, notices and documents out of any of the aforesaid courts 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Section 15.14. The Borrower agrees that the failure of the Process Agent to give any notice of 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 may be</w:t>
      </w:r>
    </w:p>
    <w:p>
      <w:pPr>
        <w:spacing w:after="0" w:line="7"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170</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2" w:name="page263"/>
    <w:bookmarkEnd w:id="262"/>
    <w:p>
      <w:pPr>
        <w:spacing w:after="0" w:line="200" w:lineRule="exact"/>
        <w:rPr>
          <w:sz w:val="20"/>
          <w:szCs w:val="20"/>
          <w:color w:val="auto"/>
        </w:rPr>
      </w:pPr>
    </w:p>
    <w:p>
      <w:pPr>
        <w:spacing w:after="0" w:line="285" w:lineRule="exact"/>
        <w:rPr>
          <w:sz w:val="20"/>
          <w:szCs w:val="20"/>
          <w:color w:val="auto"/>
        </w:rPr>
      </w:pPr>
    </w:p>
    <w:p>
      <w:pPr>
        <w:ind w:left="760" w:right="740"/>
        <w:spacing w:after="0" w:line="256" w:lineRule="auto"/>
        <w:rPr>
          <w:sz w:val="20"/>
          <w:szCs w:val="20"/>
          <w:color w:val="auto"/>
        </w:rPr>
      </w:pPr>
      <w:r>
        <w:rPr>
          <w:rFonts w:ascii="Times New Roman" w:cs="Times New Roman" w:eastAsia="Times New Roman" w:hAnsi="Times New Roman"/>
          <w:sz w:val="19"/>
          <w:szCs w:val="19"/>
          <w:color w:val="auto"/>
        </w:rPr>
        <w:t>permitted by Applicable Law. The Borrower hereby irrevocably and unconditionally waives any objection which it may now or hereafter have to the laying of venue of any of the aforesaid actions, suits or proceedings arising out of or in connection with this Agreement or any other Facility Document brought in the court chosen by any Secured Party and hereby further irrevocably and unconditionally waives and agrees not to plead or claim in any such court that any such action, suit or proceeding brought in any such court has been brought in an inconvenient forum.</w:t>
      </w:r>
    </w:p>
    <w:p>
      <w:pPr>
        <w:spacing w:after="0" w:line="179" w:lineRule="exact"/>
        <w:rPr>
          <w:sz w:val="20"/>
          <w:szCs w:val="20"/>
          <w:color w:val="auto"/>
        </w:rPr>
      </w:pPr>
    </w:p>
    <w:p>
      <w:pPr>
        <w:ind w:left="760" w:right="92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Section 15.15. Waiver of Setoff</w:t>
      </w:r>
      <w:r>
        <w:rPr>
          <w:rFonts w:ascii="Times New Roman" w:cs="Times New Roman" w:eastAsia="Times New Roman" w:hAnsi="Times New Roman"/>
          <w:sz w:val="19"/>
          <w:szCs w:val="19"/>
          <w:color w:val="auto"/>
        </w:rPr>
        <w:t>. Each of the Borrowers and the Collateral Manager hereby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waives any right of setoff it may have or to which it may be entitled under this Agreement from time to time against any Lender or its assets.</w:t>
      </w:r>
    </w:p>
    <w:p>
      <w:pPr>
        <w:spacing w:after="0" w:line="166" w:lineRule="exact"/>
        <w:rPr>
          <w:sz w:val="20"/>
          <w:szCs w:val="20"/>
          <w:color w:val="auto"/>
        </w:rPr>
      </w:pPr>
    </w:p>
    <w:p>
      <w:pPr>
        <w:ind w:left="760" w:right="800" w:firstLine="48"/>
        <w:spacing w:after="0" w:line="231" w:lineRule="exact"/>
        <w:rPr>
          <w:sz w:val="20"/>
          <w:szCs w:val="20"/>
          <w:color w:val="auto"/>
        </w:rPr>
      </w:pPr>
      <w:r>
        <w:rPr>
          <w:rFonts w:ascii="Times New Roman" w:cs="Times New Roman" w:eastAsia="Times New Roman" w:hAnsi="Times New Roman"/>
          <w:sz w:val="19"/>
          <w:szCs w:val="19"/>
          <w:i w:val="1"/>
          <w:iCs w:val="1"/>
          <w:color w:val="auto"/>
        </w:rPr>
        <w:t>Section 15.16. PATRIOT Act Notice</w:t>
      </w:r>
      <w:r>
        <w:rPr>
          <w:rFonts w:ascii="Times New Roman" w:cs="Times New Roman" w:eastAsia="Times New Roman" w:hAnsi="Times New Roman"/>
          <w:sz w:val="19"/>
          <w:szCs w:val="19"/>
          <w:color w:val="auto"/>
        </w:rPr>
        <w:t>. Each Lender and each of the Administrative Agent,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Collateral Agent, the Custodian and the Backup Collateral Manager hereby notifies the Borrower that pursuant to the requirements of the USA PATRIOT Act (Title III of Pub. L. 107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56 (signed into law on October 26, 2001)) (the </w:t>
      </w:r>
      <w:r>
        <w:rPr>
          <w:rFonts w:ascii="Times New Roman" w:cs="Times New Roman" w:eastAsia="Times New Roman" w:hAnsi="Times New Roman"/>
          <w:sz w:val="19"/>
          <w:szCs w:val="19"/>
          <w:i w:val="1"/>
          <w:iCs w:val="1"/>
          <w:color w:val="auto"/>
        </w:rPr>
        <w:t>“PATRIOT Act”</w:t>
      </w:r>
      <w:r>
        <w:rPr>
          <w:rFonts w:ascii="Times New Roman" w:cs="Times New Roman" w:eastAsia="Times New Roman" w:hAnsi="Times New Roman"/>
          <w:sz w:val="19"/>
          <w:szCs w:val="19"/>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in order to assist such Lender in maintaining compliance with the PATRIOT Act.</w:t>
      </w:r>
    </w:p>
    <w:p>
      <w:pPr>
        <w:spacing w:after="0" w:line="196" w:lineRule="exact"/>
        <w:rPr>
          <w:sz w:val="20"/>
          <w:szCs w:val="20"/>
          <w:color w:val="auto"/>
        </w:rPr>
      </w:pPr>
    </w:p>
    <w:p>
      <w:pPr>
        <w:ind w:left="760" w:right="780" w:firstLine="48"/>
        <w:spacing w:after="0" w:line="256" w:lineRule="auto"/>
        <w:rPr>
          <w:sz w:val="20"/>
          <w:szCs w:val="20"/>
          <w:color w:val="auto"/>
        </w:rPr>
      </w:pPr>
      <w:r>
        <w:rPr>
          <w:rFonts w:ascii="Times New Roman" w:cs="Times New Roman" w:eastAsia="Times New Roman" w:hAnsi="Times New Roman"/>
          <w:sz w:val="19"/>
          <w:szCs w:val="19"/>
          <w:i w:val="1"/>
          <w:iCs w:val="1"/>
          <w:color w:val="auto"/>
        </w:rPr>
        <w:t>Section 15.17. Legal Holidays</w:t>
      </w:r>
      <w:r>
        <w:rPr>
          <w:rFonts w:ascii="Times New Roman" w:cs="Times New Roman" w:eastAsia="Times New Roman" w:hAnsi="Times New Roman"/>
          <w:sz w:val="19"/>
          <w:szCs w:val="19"/>
          <w:color w:val="auto"/>
        </w:rPr>
        <w:t>. In the event that the date of any Payment Date, date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prepayment or Final Maturity Date shall not be a Business 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164" w:lineRule="exact"/>
        <w:rPr>
          <w:sz w:val="20"/>
          <w:szCs w:val="20"/>
          <w:color w:val="auto"/>
        </w:rPr>
      </w:pPr>
    </w:p>
    <w:p>
      <w:pPr>
        <w:ind w:left="760" w:right="860" w:firstLine="48"/>
        <w:spacing w:after="0" w:line="234" w:lineRule="exact"/>
        <w:rPr>
          <w:sz w:val="20"/>
          <w:szCs w:val="20"/>
          <w:color w:val="auto"/>
        </w:rPr>
      </w:pPr>
      <w:r>
        <w:rPr>
          <w:rFonts w:ascii="Times New Roman" w:cs="Times New Roman" w:eastAsia="Times New Roman" w:hAnsi="Times New Roman"/>
          <w:sz w:val="19"/>
          <w:szCs w:val="19"/>
          <w:i w:val="1"/>
          <w:iCs w:val="1"/>
          <w:color w:val="auto"/>
        </w:rPr>
        <w:t>Section 15.18. 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Petition</w:t>
      </w:r>
      <w:r>
        <w:rPr>
          <w:rFonts w:ascii="Times New Roman" w:cs="Times New Roman" w:eastAsia="Times New Roman" w:hAnsi="Times New Roman"/>
          <w:sz w:val="19"/>
          <w:szCs w:val="19"/>
          <w:color w:val="auto"/>
        </w:rPr>
        <w:t>. The Collateral Manager, the Collateral Agent, the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Administrator, the Backup Collateral Manager and the Custodian each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one year and one day, or if longer the applicable preference period then in effect plus one day, after the payment in full of the Advances and the termination of all Commitments. The provisions of this Section 15.18 shall survive the termination of this Agreement.</w:t>
      </w:r>
    </w:p>
    <w:p>
      <w:pPr>
        <w:spacing w:after="0" w:line="193" w:lineRule="exact"/>
        <w:rPr>
          <w:sz w:val="20"/>
          <w:szCs w:val="20"/>
          <w:color w:val="auto"/>
        </w:rPr>
      </w:pPr>
    </w:p>
    <w:p>
      <w:pPr>
        <w:ind w:left="760" w:right="76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15.19. CP Conduit Provisions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i w:val="1"/>
          <w:iCs w:val="1"/>
          <w:color w:val="auto"/>
        </w:rPr>
        <w:t xml:space="preserve"> No Proceedings</w:t>
      </w:r>
      <w:r>
        <w:rPr>
          <w:rFonts w:ascii="Times New Roman" w:cs="Times New Roman" w:eastAsia="Times New Roman" w:hAnsi="Times New Roman"/>
          <w:sz w:val="19"/>
          <w:szCs w:val="19"/>
          <w:color w:val="auto"/>
        </w:rPr>
        <w:t>. Each party hereto agrees, for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benefit of the holders of the privately or publicly placed indebtedness for borrowed money of any CP Conduit party hereto, to not, prior to the date which is one year and one day after the payment in full of all such indebtedness, acquiesce, petition or otherwise, directly or indirectly, invoke, or cause such CP Conduit to invoke, the process of any governmental authority for the purpose of (i) commencing or sustaining a case against such CP Conduit under any federal or state bankruptcy, insolvency or similar law (including the Bankruptcy Code), (ii) appointing a receiver, liquidator, assignee, trustee, custodian, sequestrator or other similar official for such CP Conduit,</w:t>
      </w:r>
    </w:p>
    <w:p>
      <w:pPr>
        <w:spacing w:after="0" w:line="220"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171</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3" w:name="page264"/>
    <w:bookmarkEnd w:id="263"/>
    <w:p>
      <w:pPr>
        <w:spacing w:after="0" w:line="200" w:lineRule="exact"/>
        <w:rPr>
          <w:sz w:val="20"/>
          <w:szCs w:val="20"/>
          <w:color w:val="auto"/>
        </w:rPr>
      </w:pPr>
    </w:p>
    <w:p>
      <w:pPr>
        <w:spacing w:after="0" w:line="285" w:lineRule="exact"/>
        <w:rPr>
          <w:sz w:val="20"/>
          <w:szCs w:val="20"/>
          <w:color w:val="auto"/>
        </w:rPr>
      </w:pPr>
    </w:p>
    <w:p>
      <w:pPr>
        <w:jc w:val="both"/>
        <w:ind w:left="760" w:right="820"/>
        <w:spacing w:after="0" w:line="268" w:lineRule="auto"/>
        <w:rPr>
          <w:sz w:val="20"/>
          <w:szCs w:val="20"/>
          <w:color w:val="auto"/>
        </w:rPr>
      </w:pPr>
      <w:r>
        <w:rPr>
          <w:rFonts w:ascii="Times New Roman" w:cs="Times New Roman" w:eastAsia="Times New Roman" w:hAnsi="Times New Roman"/>
          <w:sz w:val="19"/>
          <w:szCs w:val="19"/>
          <w:color w:val="auto"/>
        </w:rPr>
        <w:t>or any substantial part of its property, or (iii) ordering the winding up or liquidation of the affairs of such CP Conduit. The provisions of this Section 15.19(a) shall survive the termination of this Agreement.</w:t>
      </w:r>
    </w:p>
    <w:p>
      <w:pPr>
        <w:spacing w:after="0" w:line="166" w:lineRule="exact"/>
        <w:rPr>
          <w:sz w:val="20"/>
          <w:szCs w:val="20"/>
          <w:color w:val="auto"/>
        </w:rPr>
      </w:pPr>
    </w:p>
    <w:p>
      <w:pPr>
        <w:ind w:left="760" w:right="780" w:firstLine="50"/>
        <w:spacing w:after="0" w:line="252" w:lineRule="auto"/>
        <w:tabs>
          <w:tab w:leader="none" w:pos="1084"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Excess Funds</w:t>
      </w:r>
      <w:r>
        <w:rPr>
          <w:rFonts w:ascii="Times New Roman" w:cs="Times New Roman" w:eastAsia="Times New Roman" w:hAnsi="Times New Roman"/>
          <w:sz w:val="19"/>
          <w:szCs w:val="19"/>
          <w:color w:val="auto"/>
        </w:rPr>
        <w:t>. Notwithstanding any provisions contained in this Agreement to the contrary,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 CP Conduit party hereto shall, nor shall be obligated to, pay any amount pursuant to this Agreement unless (i) such CP Conduit has received funds which may be used to make such payment and which funds are not required to repay its commercial paper notes when due and (ii) after giving effect to such payment, either (x) such CP Conduit could issue commercial paper notes to refinance all of its outstanding commercial paper notes (assuming such outstanding commercial paper notes matured at such time) in accordance with the program documents governing its securitization program or (y) all of such CP Conduit’s commercial paper notes are paid in full. Any amount which such CP Conduit does not pay pursuant to the operation of the preceding sentence will not constitute a claim (as defined in § 101 of the Bankruptcy Code) against or obligation of such CP Conduit for any such insufficiency unless and until such CP Conduit satisfies the provisions of clauses (i) and (ii) above. Notwithstanding the foregoing, if such CP Conduit would (but for the operation of this Section 15.19) be obligated to fund any Advance hereunder, or make any other payment hereunder (including, without limitation, under Section 12.04), it shall cause its Liquidity Banks to fund such Advances, or make such payments, directly to the Borrower or to the other Persons entitled hereunder to receive such funds (and, by their execution and delivery hereof, the applicable Liquidity Banks hereby expressly agree to make such payments). The provisions of this Section 15.19(b) will survive the termination of this Agreement.</w:t>
      </w:r>
    </w:p>
    <w:p>
      <w:pPr>
        <w:spacing w:after="0" w:line="190" w:lineRule="exact"/>
        <w:rPr>
          <w:rFonts w:ascii="Times New Roman" w:cs="Times New Roman" w:eastAsia="Times New Roman" w:hAnsi="Times New Roman"/>
          <w:sz w:val="19"/>
          <w:szCs w:val="19"/>
          <w:color w:val="auto"/>
        </w:rPr>
      </w:pPr>
    </w:p>
    <w:p>
      <w:pPr>
        <w:ind w:left="760" w:right="740" w:firstLine="50"/>
        <w:spacing w:after="0" w:line="252" w:lineRule="auto"/>
        <w:tabs>
          <w:tab w:leader="none" w:pos="1072"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Funding</w:t>
      </w:r>
      <w:r>
        <w:rPr>
          <w:rFonts w:ascii="Times New Roman" w:cs="Times New Roman" w:eastAsia="Times New Roman" w:hAnsi="Times New Roman"/>
          <w:sz w:val="19"/>
          <w:szCs w:val="19"/>
          <w:color w:val="auto"/>
        </w:rPr>
        <w:t>. For the avoidance of doubt, Mountcliff Funding LLC (</w:t>
      </w:r>
      <w:r>
        <w:rPr>
          <w:rFonts w:ascii="Times New Roman" w:cs="Times New Roman" w:eastAsia="Times New Roman" w:hAnsi="Times New Roman"/>
          <w:sz w:val="19"/>
          <w:szCs w:val="19"/>
          <w:i w:val="1"/>
          <w:iCs w:val="1"/>
          <w:color w:val="auto"/>
        </w:rPr>
        <w:t>“Mountcliff”</w:t>
      </w:r>
      <w:r>
        <w:rPr>
          <w:rFonts w:ascii="Times New Roman" w:cs="Times New Roman" w:eastAsia="Times New Roman" w:hAnsi="Times New Roman"/>
          <w:sz w:val="19"/>
          <w:szCs w:val="19"/>
          <w:color w:val="auto"/>
        </w:rPr>
        <w:t>) shall be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related CP Conduit for Société Générale (</w:t>
      </w:r>
      <w:r>
        <w:rPr>
          <w:rFonts w:ascii="Times New Roman" w:cs="Times New Roman" w:eastAsia="Times New Roman" w:hAnsi="Times New Roman"/>
          <w:sz w:val="19"/>
          <w:szCs w:val="19"/>
          <w:i w:val="1"/>
          <w:iCs w:val="1"/>
          <w:color w:val="auto"/>
        </w:rPr>
        <w:t>“SG”</w:t>
      </w:r>
      <w:r>
        <w:rPr>
          <w:rFonts w:ascii="Times New Roman" w:cs="Times New Roman" w:eastAsia="Times New Roman" w:hAnsi="Times New Roman"/>
          <w:sz w:val="19"/>
          <w:szCs w:val="19"/>
          <w:color w:val="auto"/>
        </w:rPr>
        <w:t>) with respect to Syndicated Advances denominated in Dollars. Mountcliff’s making, funding or maintaining any such Dollar-denominated Syndicated Advance shall satisfy SG’s Commitment to make, fund or maintain such Syndicated Advance, and SG’s unfunded Commitment shall be reduced by the principal amount of Mountcliff’s Syndicated Advances. Notwithstanding the otherwise-applicable restrictions on assignment set forth in Section 15.06(a), without the consent of any Person other than SG and Mountcliff and without delivering an Assignment and Acceptance or any new or additional tax forms, (i) SG may, with the consent of Mountcliff, at any time assign to Mountcliff all or any portion of SG’s Dollar-denominated Syndicated Advances, together with SG’s rights (including, without limitation, the right to receive payments of principal and interest thereon) and obligations with respect thereto, and (ii) Mountcliff may, with the consent of SG or pursuant to any purchase commitment made by SG to Mountcliff, at any time assign to SG all or any portion of Mountcliff’s Dollar-denominated Syndicated Advances, together with Mountcliff’s rights (including, without limitation, the right to receive payments of principal and interest thereon) and obligations with respect thereto. Promptly following any such assignment by SG to Mountcliff or by Mountcliff to SG, as the case may be, SG shall notify the Administrative Agent of such assignment and principal amount of Syndicated Advances so assigned, and the Administrative Agent shall record such assignment in the Register pursuant to Section 15.06(d).</w:t>
      </w:r>
    </w:p>
    <w:p>
      <w:pPr>
        <w:spacing w:after="0" w:line="191" w:lineRule="exact"/>
        <w:rPr>
          <w:sz w:val="20"/>
          <w:szCs w:val="20"/>
          <w:color w:val="auto"/>
        </w:rPr>
      </w:pPr>
    </w:p>
    <w:p>
      <w:pPr>
        <w:ind w:left="760" w:right="880" w:firstLine="624"/>
        <w:spacing w:after="0" w:line="256" w:lineRule="auto"/>
        <w:rPr>
          <w:sz w:val="20"/>
          <w:szCs w:val="20"/>
          <w:color w:val="auto"/>
        </w:rPr>
      </w:pPr>
      <w:r>
        <w:rPr>
          <w:rFonts w:ascii="Times New Roman" w:cs="Times New Roman" w:eastAsia="Times New Roman" w:hAnsi="Times New Roman"/>
          <w:sz w:val="19"/>
          <w:szCs w:val="19"/>
          <w:i w:val="1"/>
          <w:iCs w:val="1"/>
          <w:color w:val="auto"/>
        </w:rPr>
        <w:t>Section 15.20. Third Party Beneficiary</w:t>
      </w:r>
      <w:r>
        <w:rPr>
          <w:rFonts w:ascii="Times New Roman" w:cs="Times New Roman" w:eastAsia="Times New Roman" w:hAnsi="Times New Roman"/>
          <w:sz w:val="19"/>
          <w:szCs w:val="19"/>
          <w:color w:val="auto"/>
        </w:rPr>
        <w:t>. The BDC shall be an express third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beneficiary of this Agreement with a right to enforce the provisions of Section 9.01 that inure to its benefit.</w:t>
      </w:r>
    </w:p>
    <w:p>
      <w:pPr>
        <w:spacing w:after="0" w:line="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172</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4" w:name="page265"/>
    <w:bookmarkEnd w:id="264"/>
    <w:p>
      <w:pPr>
        <w:spacing w:after="0" w:line="200" w:lineRule="exact"/>
        <w:rPr>
          <w:sz w:val="20"/>
          <w:szCs w:val="20"/>
          <w:color w:val="auto"/>
        </w:rPr>
      </w:pPr>
    </w:p>
    <w:p>
      <w:pPr>
        <w:spacing w:after="0" w:line="2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15.21.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right="760"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Section 15.22. No Fiduciary Duty. </w:t>
      </w:r>
      <w:r>
        <w:rPr>
          <w:rFonts w:ascii="Times New Roman" w:cs="Times New Roman" w:eastAsia="Times New Roman" w:hAnsi="Times New Roman"/>
          <w:sz w:val="19"/>
          <w:szCs w:val="19"/>
          <w:color w:val="auto"/>
        </w:rPr>
        <w:t>The Administrative Agent, each Lender and their Affiliates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(collectively, solely for purposes of this paragraph, the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xml:space="preserve">), may have economic interests that conflict with those of the Credit Parties, their stockholders and/or their affiliates. The Borrower, the Collateral Manager and the BDC (collectively, solely for purposes of this paragraph, the </w:t>
      </w:r>
      <w:r>
        <w:rPr>
          <w:rFonts w:ascii="Times New Roman" w:cs="Times New Roman" w:eastAsia="Times New Roman" w:hAnsi="Times New Roman"/>
          <w:sz w:val="19"/>
          <w:szCs w:val="19"/>
          <w:i w:val="1"/>
          <w:iCs w:val="1"/>
          <w:color w:val="auto"/>
        </w:rPr>
        <w:t>“Credit Parties”</w:t>
      </w:r>
      <w:r>
        <w:rPr>
          <w:rFonts w:ascii="Times New Roman" w:cs="Times New Roman" w:eastAsia="Times New Roman" w:hAnsi="Times New Roman"/>
          <w:sz w:val="19"/>
          <w:szCs w:val="19"/>
          <w:color w:val="auto"/>
        </w:rPr>
        <w:t>) each agree that nothing in the Facility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Facility Documents (including the exercise of rights and remedies hereunder and thereunder) are arm’s -length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Facility Documents and (y) each Lender is acting solely as principal and not as the agent or fiduciary of any Credit Party, its management, stockholders, creditors or any other Person.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spacing w:after="0" w:line="184" w:lineRule="exact"/>
        <w:rPr>
          <w:sz w:val="20"/>
          <w:szCs w:val="20"/>
          <w:color w:val="auto"/>
        </w:rPr>
      </w:pPr>
    </w:p>
    <w:p>
      <w:pPr>
        <w:ind w:left="760" w:right="78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Section 15.23. Sharing of Payments by Lenders. </w:t>
      </w:r>
      <w:r>
        <w:rPr>
          <w:rFonts w:ascii="Times New Roman" w:cs="Times New Roman" w:eastAsia="Times New Roman" w:hAnsi="Times New Roman"/>
          <w:sz w:val="19"/>
          <w:szCs w:val="19"/>
          <w:color w:val="auto"/>
        </w:rPr>
        <w:t>If any Lender shall, by exercising any right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setoff or counterclaim or otherwise, obtain payment in respect of any principal of or interest on any of its Advances or other obligations hereunder resulting in such Lender receiving payment of a proportion of the aggregate amount of its Advances and accrued interest thereon or other such obligations greater than its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thereof as provided herein, then the Lender receiving such greater proportion shall (a) notify the Administrative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w:t>
      </w:r>
    </w:p>
    <w:p>
      <w:pPr>
        <w:spacing w:after="0" w:line="183" w:lineRule="exact"/>
        <w:rPr>
          <w:sz w:val="20"/>
          <w:szCs w:val="20"/>
          <w:color w:val="auto"/>
        </w:rPr>
      </w:pPr>
    </w:p>
    <w:p>
      <w:pPr>
        <w:ind w:left="1340" w:right="900" w:firstLine="47"/>
        <w:spacing w:after="0" w:line="268" w:lineRule="auto"/>
        <w:tabs>
          <w:tab w:leader="none" w:pos="1649"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68" w:lineRule="exact"/>
        <w:rPr>
          <w:rFonts w:ascii="Times New Roman" w:cs="Times New Roman" w:eastAsia="Times New Roman" w:hAnsi="Times New Roman"/>
          <w:sz w:val="19"/>
          <w:szCs w:val="19"/>
          <w:color w:val="auto"/>
        </w:rPr>
      </w:pPr>
    </w:p>
    <w:p>
      <w:pPr>
        <w:ind w:left="1340" w:right="1220" w:firstLine="47"/>
        <w:spacing w:after="0" w:line="255" w:lineRule="auto"/>
        <w:tabs>
          <w:tab w:leader="none" w:pos="1660"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Section shall not be construed to apply to (x) any payment made by the Borrower pursuant to and in accordance with the express terms of this Agreement (including the application of funds arising from the existence of a</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173</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5" w:name="page266"/>
    <w:bookmarkEnd w:id="265"/>
    <w:p>
      <w:pPr>
        <w:spacing w:after="0" w:line="200" w:lineRule="exact"/>
        <w:rPr>
          <w:sz w:val="20"/>
          <w:szCs w:val="20"/>
          <w:color w:val="auto"/>
        </w:rPr>
      </w:pPr>
    </w:p>
    <w:p>
      <w:pPr>
        <w:spacing w:after="0" w:line="285" w:lineRule="exact"/>
        <w:rPr>
          <w:sz w:val="20"/>
          <w:szCs w:val="20"/>
          <w:color w:val="auto"/>
        </w:rPr>
      </w:pPr>
    </w:p>
    <w:p>
      <w:pPr>
        <w:ind w:left="1340" w:right="1160"/>
        <w:spacing w:after="0" w:line="268" w:lineRule="auto"/>
        <w:rPr>
          <w:sz w:val="20"/>
          <w:szCs w:val="20"/>
          <w:color w:val="auto"/>
        </w:rPr>
      </w:pPr>
      <w:r>
        <w:rPr>
          <w:rFonts w:ascii="Times New Roman" w:cs="Times New Roman" w:eastAsia="Times New Roman" w:hAnsi="Times New Roman"/>
          <w:sz w:val="19"/>
          <w:szCs w:val="19"/>
          <w:color w:val="auto"/>
        </w:rPr>
        <w:t>defaulting Lender), or (y) any payment obtained by a Lender as consideration for the assignment of or sale of a participation in any of its Advances to any assignee or participant.</w:t>
      </w:r>
    </w:p>
    <w:p>
      <w:pPr>
        <w:spacing w:after="0" w:line="168" w:lineRule="exact"/>
        <w:rPr>
          <w:sz w:val="20"/>
          <w:szCs w:val="20"/>
          <w:color w:val="auto"/>
        </w:rPr>
      </w:pPr>
    </w:p>
    <w:p>
      <w:pPr>
        <w:ind w:left="760" w:right="860"/>
        <w:spacing w:after="0" w:line="259" w:lineRule="auto"/>
        <w:rPr>
          <w:sz w:val="20"/>
          <w:szCs w:val="20"/>
          <w:color w:val="auto"/>
        </w:rPr>
      </w:pPr>
      <w:r>
        <w:rPr>
          <w:rFonts w:ascii="Times New Roman" w:cs="Times New Roman" w:eastAsia="Times New Roman" w:hAnsi="Times New Roman"/>
          <w:sz w:val="19"/>
          <w:szCs w:val="19"/>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6" w:lineRule="exact"/>
        <w:rPr>
          <w:sz w:val="20"/>
          <w:szCs w:val="20"/>
          <w:color w:val="auto"/>
        </w:rPr>
      </w:pPr>
    </w:p>
    <w:p>
      <w:pPr>
        <w:ind w:left="760" w:right="760" w:firstLine="48"/>
        <w:spacing w:after="0" w:line="251" w:lineRule="auto"/>
        <w:rPr>
          <w:sz w:val="20"/>
          <w:szCs w:val="20"/>
          <w:color w:val="auto"/>
        </w:rPr>
      </w:pPr>
      <w:r>
        <w:rPr>
          <w:rFonts w:ascii="Times New Roman" w:cs="Times New Roman" w:eastAsia="Times New Roman" w:hAnsi="Times New Roman"/>
          <w:sz w:val="19"/>
          <w:szCs w:val="19"/>
          <w:i w:val="1"/>
          <w:iCs w:val="1"/>
          <w:color w:val="auto"/>
        </w:rPr>
        <w:t xml:space="preserve">Section 15.24. Judgment Currency. </w:t>
      </w:r>
      <w:r>
        <w:rPr>
          <w:rFonts w:ascii="Times New Roman" w:cs="Times New Roman" w:eastAsia="Times New Roman" w:hAnsi="Times New Roman"/>
          <w:sz w:val="19"/>
          <w:szCs w:val="19"/>
          <w:color w:val="auto"/>
        </w:rPr>
        <w:t>This is an international loan transaction in which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specification of Dollars or any Agreed Foreign Currency, as the case may be (the </w:t>
      </w:r>
      <w:r>
        <w:rPr>
          <w:rFonts w:ascii="Times New Roman" w:cs="Times New Roman" w:eastAsia="Times New Roman" w:hAnsi="Times New Roman"/>
          <w:sz w:val="19"/>
          <w:szCs w:val="19"/>
          <w:i w:val="1"/>
          <w:iCs w:val="1"/>
          <w:color w:val="auto"/>
        </w:rPr>
        <w:t>“Specified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Currency”</w:t>
      </w:r>
      <w:r>
        <w:rPr>
          <w:rFonts w:ascii="Times New Roman" w:cs="Times New Roman" w:eastAsia="Times New Roman" w:hAnsi="Times New Roman"/>
          <w:sz w:val="19"/>
          <w:szCs w:val="19"/>
          <w:color w:val="auto"/>
        </w:rPr>
        <w:t>), and payment in New York City, New York or the country of the Specified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Currency, as the case may be (the </w:t>
      </w:r>
      <w:r>
        <w:rPr>
          <w:rFonts w:ascii="Times New Roman" w:cs="Times New Roman" w:eastAsia="Times New Roman" w:hAnsi="Times New Roman"/>
          <w:sz w:val="19"/>
          <w:szCs w:val="19"/>
          <w:i w:val="1"/>
          <w:iCs w:val="1"/>
          <w:color w:val="auto"/>
        </w:rPr>
        <w:t>“Specified Place”</w:t>
      </w:r>
      <w:r>
        <w:rPr>
          <w:rFonts w:ascii="Times New Roman" w:cs="Times New Roman" w:eastAsia="Times New Roman" w:hAnsi="Times New Roman"/>
          <w:sz w:val="19"/>
          <w:szCs w:val="19"/>
          <w:color w:val="auto"/>
        </w:rPr>
        <w:t xml:space="preserve">), is of the essence, and the Specified Currency shall be the currency of account in all events relating to Advances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19"/>
          <w:szCs w:val="19"/>
          <w:i w:val="1"/>
          <w:iCs w:val="1"/>
          <w:color w:val="auto"/>
        </w:rPr>
        <w:t>“Second Currency”</w:t>
      </w:r>
      <w:r>
        <w:rPr>
          <w:rFonts w:ascii="Times New Roman" w:cs="Times New Roman" w:eastAsia="Times New Roman" w:hAnsi="Times New Roman"/>
          <w:sz w:val="19"/>
          <w:szCs w:val="19"/>
          <w:color w:val="auto"/>
        </w:rPr>
        <w:t xml:space="preserve">),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Facility Document (in this Section called an </w:t>
      </w:r>
      <w:r>
        <w:rPr>
          <w:rFonts w:ascii="Times New Roman" w:cs="Times New Roman" w:eastAsia="Times New Roman" w:hAnsi="Times New Roman"/>
          <w:sz w:val="19"/>
          <w:szCs w:val="19"/>
          <w:i w:val="1"/>
          <w:iCs w:val="1"/>
          <w:color w:val="auto"/>
        </w:rPr>
        <w:t>“Entitled Person”</w:t>
      </w:r>
      <w:r>
        <w:rPr>
          <w:rFonts w:ascii="Times New Roman" w:cs="Times New Roman" w:eastAsia="Times New Roman" w:hAnsi="Times New Roman"/>
          <w:sz w:val="19"/>
          <w:szCs w:val="19"/>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(but subject to the provisos set forth in Section 15.04(b)),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205" w:lineRule="exact"/>
        <w:rPr>
          <w:sz w:val="20"/>
          <w:szCs w:val="20"/>
          <w:color w:val="auto"/>
        </w:rPr>
      </w:pPr>
    </w:p>
    <w:p>
      <w:pPr>
        <w:ind w:left="760" w:right="80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15.25. Acknowledgement and Consent to Bail-In of EEA Financial Institutions. </w:t>
      </w:r>
      <w:r>
        <w:rPr>
          <w:rFonts w:ascii="Times New Roman" w:cs="Times New Roman" w:eastAsia="Times New Roman" w:hAnsi="Times New Roman"/>
          <w:sz w:val="19"/>
          <w:szCs w:val="19"/>
          <w:color w:val="auto"/>
        </w:rPr>
        <w:t>Notwithstanding anything to the contrary in any Facility Document or in any other agreement, arrangement or understanding among any such parties, each party hereto acknowledges that any liability of any EEA Financial Institution arising under any Facility Document, to the extent such liability is unsecured, may be subject to the write-down and conversion powers of an EEA Resolution Authority and agrees and consents to, and acknowledges and agrees to be bound by:</w:t>
      </w:r>
    </w:p>
    <w:p>
      <w:pPr>
        <w:spacing w:after="0" w:line="177" w:lineRule="exact"/>
        <w:rPr>
          <w:sz w:val="20"/>
          <w:szCs w:val="20"/>
          <w:color w:val="auto"/>
        </w:rPr>
      </w:pPr>
    </w:p>
    <w:p>
      <w:pPr>
        <w:ind w:left="1340" w:right="1040" w:firstLine="47"/>
        <w:spacing w:after="0" w:line="255" w:lineRule="auto"/>
        <w:tabs>
          <w:tab w:leader="none" w:pos="1649"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3"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174</w:t>
      </w:r>
      <w:r>
        <w:rPr>
          <w:rFonts w:ascii="MS PGothic" w:cs="MS PGothic" w:eastAsia="MS PGothic" w:hAnsi="MS PGothic"/>
          <w:sz w:val="19"/>
          <w:szCs w:val="19"/>
          <w:color w:val="auto"/>
        </w:rPr>
        <w:t>‑</w:t>
      </w:r>
    </w:p>
    <w:p>
      <w:pPr>
        <w:spacing w:after="0" w:line="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6" w:name="page267"/>
    <w:bookmarkEnd w:id="266"/>
    <w:p>
      <w:pPr>
        <w:spacing w:after="0" w:line="200" w:lineRule="exact"/>
        <w:rPr>
          <w:sz w:val="20"/>
          <w:szCs w:val="20"/>
          <w:color w:val="auto"/>
        </w:rPr>
      </w:pPr>
    </w:p>
    <w:p>
      <w:pPr>
        <w:spacing w:after="0" w:line="285" w:lineRule="exact"/>
        <w:rPr>
          <w:sz w:val="20"/>
          <w:szCs w:val="20"/>
          <w:color w:val="auto"/>
        </w:rPr>
      </w:pPr>
    </w:p>
    <w:p>
      <w:pPr>
        <w:ind w:left="1660" w:hanging="273"/>
        <w:spacing w:after="0"/>
        <w:tabs>
          <w:tab w:leader="none" w:pos="166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25" w:lineRule="exact"/>
        <w:rPr>
          <w:rFonts w:ascii="Times New Roman" w:cs="Times New Roman" w:eastAsia="Times New Roman" w:hAnsi="Times New Roman"/>
          <w:sz w:val="19"/>
          <w:szCs w:val="19"/>
          <w:color w:val="auto"/>
        </w:rPr>
      </w:pPr>
    </w:p>
    <w:p>
      <w:pPr>
        <w:ind w:left="1660" w:hanging="225"/>
        <w:spacing w:after="0"/>
        <w:tabs>
          <w:tab w:leader="none" w:pos="1660"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25" w:lineRule="exact"/>
        <w:rPr>
          <w:rFonts w:ascii="Times New Roman" w:cs="Times New Roman" w:eastAsia="Times New Roman" w:hAnsi="Times New Roman"/>
          <w:sz w:val="19"/>
          <w:szCs w:val="19"/>
          <w:color w:val="auto"/>
        </w:rPr>
      </w:pPr>
    </w:p>
    <w:p>
      <w:pPr>
        <w:ind w:left="1340" w:right="860" w:firstLine="95"/>
        <w:spacing w:after="0" w:line="259" w:lineRule="auto"/>
        <w:tabs>
          <w:tab w:leader="none" w:pos="1718" w:val="left"/>
        </w:tabs>
        <w:numPr>
          <w:ilvl w:val="1"/>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Facility Document; or</w:t>
      </w:r>
    </w:p>
    <w:p>
      <w:pPr>
        <w:spacing w:after="0" w:line="177" w:lineRule="exact"/>
        <w:rPr>
          <w:rFonts w:ascii="Times New Roman" w:cs="Times New Roman" w:eastAsia="Times New Roman" w:hAnsi="Times New Roman"/>
          <w:sz w:val="19"/>
          <w:szCs w:val="19"/>
          <w:color w:val="auto"/>
        </w:rPr>
      </w:pPr>
    </w:p>
    <w:p>
      <w:pPr>
        <w:ind w:left="1340" w:right="1140" w:firstLine="95"/>
        <w:spacing w:after="0" w:line="286" w:lineRule="auto"/>
        <w:tabs>
          <w:tab w:leader="none" w:pos="1772" w:val="left"/>
        </w:tabs>
        <w:numPr>
          <w:ilvl w:val="1"/>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any EEA Resolution Authority.</w:t>
      </w:r>
    </w:p>
    <w:p>
      <w:pPr>
        <w:spacing w:after="0" w:line="312" w:lineRule="exact"/>
        <w:rPr>
          <w:sz w:val="20"/>
          <w:szCs w:val="20"/>
          <w:color w:val="auto"/>
        </w:rPr>
      </w:pPr>
    </w:p>
    <w:p>
      <w:pPr>
        <w:jc w:val="center"/>
        <w:spacing w:after="0" w:line="21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175</w:t>
      </w:r>
      <w:r>
        <w:rPr>
          <w:rFonts w:ascii="MS PGothic" w:cs="MS PGothic" w:eastAsia="MS PGothic" w:hAnsi="MS PGothic"/>
          <w:sz w:val="19"/>
          <w:szCs w:val="19"/>
          <w:color w:val="auto"/>
        </w:rPr>
        <w:t>‑</w:t>
      </w:r>
    </w:p>
    <w:p>
      <w:pPr>
        <w:spacing w:after="0" w:line="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FILENAME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510540</wp:posOffset>
            </wp:positionV>
            <wp:extent cx="626046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6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3"/>
          <w:szCs w:val="13"/>
          <w:b w:val="1"/>
          <w:bCs w:val="1"/>
          <w:color w:val="auto"/>
        </w:rPr>
        <w:t>CHIEF EXECUTIVE OFFICER CERTIFICATION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I, Arthur H. Penn, Chief Executive Officer of PennantPark Floating Rate Capital, Ltd., certify that:</w:t>
      </w:r>
    </w:p>
    <w:p>
      <w:pPr>
        <w:spacing w:after="0" w:line="163" w:lineRule="exact"/>
        <w:rPr>
          <w:sz w:val="20"/>
          <w:szCs w:val="20"/>
          <w:color w:val="auto"/>
        </w:rPr>
      </w:pPr>
    </w:p>
    <w:p>
      <w:pPr>
        <w:ind w:left="560" w:hanging="134"/>
        <w:spacing w:after="0"/>
        <w:tabs>
          <w:tab w:leader="none" w:pos="560"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Floating Rate Capital, Ltd.;</w:t>
      </w:r>
    </w:p>
    <w:p>
      <w:pPr>
        <w:spacing w:after="0" w:line="162" w:lineRule="exact"/>
        <w:rPr>
          <w:rFonts w:ascii="Times New Roman" w:cs="Times New Roman" w:eastAsia="Times New Roman" w:hAnsi="Times New Roman"/>
          <w:sz w:val="13"/>
          <w:szCs w:val="13"/>
          <w:color w:val="auto"/>
        </w:rPr>
      </w:pPr>
    </w:p>
    <w:p>
      <w:pPr>
        <w:ind w:left="60" w:right="820" w:firstLine="366"/>
        <w:spacing w:after="0" w:line="286" w:lineRule="auto"/>
        <w:tabs>
          <w:tab w:leader="none" w:pos="552"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left="60" w:right="300" w:firstLine="366"/>
        <w:spacing w:after="0" w:line="286" w:lineRule="auto"/>
        <w:tabs>
          <w:tab w:leader="none" w:pos="552"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auto"/>
        </w:rPr>
      </w:pPr>
    </w:p>
    <w:p>
      <w:pPr>
        <w:ind w:left="60" w:right="220" w:firstLine="366"/>
        <w:spacing w:after="0" w:line="286" w:lineRule="auto"/>
        <w:tabs>
          <w:tab w:leader="none" w:pos="552"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3"/>
          <w:szCs w:val="13"/>
          <w:color w:val="auto"/>
        </w:rPr>
      </w:pPr>
    </w:p>
    <w:p>
      <w:pPr>
        <w:ind w:left="60" w:right="460" w:firstLine="582"/>
        <w:spacing w:after="0" w:line="268" w:lineRule="auto"/>
        <w:tabs>
          <w:tab w:leader="none" w:pos="772" w:val="left"/>
        </w:tabs>
        <w:numPr>
          <w:ilvl w:val="1"/>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3"/>
          <w:szCs w:val="13"/>
          <w:color w:val="auto"/>
        </w:rPr>
      </w:pPr>
    </w:p>
    <w:p>
      <w:pPr>
        <w:ind w:left="780" w:hanging="138"/>
        <w:spacing w:after="0"/>
        <w:tabs>
          <w:tab w:leader="none" w:pos="780" w:val="left"/>
        </w:tabs>
        <w:numPr>
          <w:ilvl w:val="1"/>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w:t>
      </w:r>
    </w:p>
    <w:p>
      <w:pPr>
        <w:spacing w:after="0" w:line="21" w:lineRule="exact"/>
        <w:rPr>
          <w:sz w:val="20"/>
          <w:szCs w:val="20"/>
          <w:color w:val="auto"/>
        </w:rPr>
      </w:pPr>
    </w:p>
    <w:p>
      <w:pPr>
        <w:ind w:left="60" w:right="460"/>
        <w:spacing w:after="0" w:line="263" w:lineRule="auto"/>
        <w:rPr>
          <w:sz w:val="20"/>
          <w:szCs w:val="20"/>
          <w:color w:val="auto"/>
        </w:rPr>
      </w:pPr>
      <w:r>
        <w:rPr>
          <w:rFonts w:ascii="Times New Roman" w:cs="Times New Roman" w:eastAsia="Times New Roman" w:hAnsi="Times New Roman"/>
          <w:sz w:val="13"/>
          <w:szCs w:val="13"/>
          <w:color w:val="auto"/>
        </w:rPr>
        <w:t>to provide reasonable assurance regarding the reliability of financial reporting and the preparation of financial statements for external purposes in accordance with generally accepted accounting principles;</w:t>
      </w:r>
    </w:p>
    <w:p>
      <w:pPr>
        <w:spacing w:after="0" w:line="127" w:lineRule="exact"/>
        <w:rPr>
          <w:sz w:val="20"/>
          <w:szCs w:val="20"/>
          <w:color w:val="auto"/>
        </w:rPr>
      </w:pPr>
    </w:p>
    <w:p>
      <w:pPr>
        <w:ind w:left="60" w:right="100" w:firstLine="582"/>
        <w:spacing w:after="0" w:line="286" w:lineRule="auto"/>
        <w:tabs>
          <w:tab w:leader="none" w:pos="772" w:val="left"/>
        </w:tabs>
        <w:numPr>
          <w:ilvl w:val="1"/>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jc w:val="both"/>
        <w:ind w:left="60" w:right="460" w:firstLine="582"/>
        <w:spacing w:after="0" w:line="268" w:lineRule="auto"/>
        <w:tabs>
          <w:tab w:leader="none" w:pos="779" w:val="left"/>
        </w:tabs>
        <w:numPr>
          <w:ilvl w:val="1"/>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3"/>
          <w:szCs w:val="13"/>
          <w:color w:val="auto"/>
        </w:rPr>
      </w:pPr>
    </w:p>
    <w:p>
      <w:pPr>
        <w:ind w:left="60" w:right="160" w:firstLine="366"/>
        <w:spacing w:after="0" w:line="286" w:lineRule="auto"/>
        <w:tabs>
          <w:tab w:leader="none" w:pos="552"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left="60" w:right="300" w:firstLine="582"/>
        <w:spacing w:after="0" w:line="286" w:lineRule="auto"/>
        <w:tabs>
          <w:tab w:leader="none" w:pos="772" w:val="left"/>
        </w:tabs>
        <w:numPr>
          <w:ilvl w:val="1"/>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60" w:right="460" w:firstLine="582"/>
        <w:spacing w:after="0" w:line="286" w:lineRule="auto"/>
        <w:tabs>
          <w:tab w:leader="none" w:pos="779" w:val="left"/>
        </w:tabs>
        <w:numPr>
          <w:ilvl w:val="1"/>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Dated: August 11,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/s/ Arthur H. Penn</w:t>
      </w:r>
    </w:p>
    <w:p>
      <w:pPr>
        <w:spacing w:after="0" w:line="21"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3"/>
          <w:szCs w:val="13"/>
          <w:color w:val="auto"/>
        </w:rPr>
        <w:t>Name:</w:t>
        <w:tab/>
        <w:t>Arthur H. Penn</w:t>
      </w:r>
    </w:p>
    <w:p>
      <w:pPr>
        <w:spacing w:after="0" w:line="7"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629920</wp:posOffset>
            </wp:positionV>
            <wp:extent cx="626046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100"/>
          </w:cols>
          <w:pgMar w:left="1440" w:top="1132" w:right="1360"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6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3"/>
          <w:szCs w:val="13"/>
          <w:b w:val="1"/>
          <w:bCs w:val="1"/>
          <w:color w:val="auto"/>
        </w:rPr>
        <w:t>CHIEF FINANCIAL OFFICER CERTIFICATION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I, Richard T. Allorto, Jr., Chief Financial Officer of PennantPark Floating Rate Capital, Ltd., certify that:</w:t>
      </w:r>
    </w:p>
    <w:p>
      <w:pPr>
        <w:spacing w:after="0" w:line="163" w:lineRule="exact"/>
        <w:rPr>
          <w:sz w:val="20"/>
          <w:szCs w:val="20"/>
          <w:color w:val="auto"/>
        </w:rPr>
      </w:pPr>
    </w:p>
    <w:p>
      <w:pPr>
        <w:ind w:left="560" w:hanging="134"/>
        <w:spacing w:after="0"/>
        <w:tabs>
          <w:tab w:leader="none" w:pos="560"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Floating Rate Capital, Ltd.;</w:t>
      </w:r>
    </w:p>
    <w:p>
      <w:pPr>
        <w:spacing w:after="0" w:line="162" w:lineRule="exact"/>
        <w:rPr>
          <w:rFonts w:ascii="Times New Roman" w:cs="Times New Roman" w:eastAsia="Times New Roman" w:hAnsi="Times New Roman"/>
          <w:sz w:val="13"/>
          <w:szCs w:val="13"/>
          <w:color w:val="auto"/>
        </w:rPr>
      </w:pPr>
    </w:p>
    <w:p>
      <w:pPr>
        <w:ind w:left="60" w:right="820" w:firstLine="366"/>
        <w:spacing w:after="0" w:line="286" w:lineRule="auto"/>
        <w:tabs>
          <w:tab w:leader="none" w:pos="552"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left="60" w:right="300" w:firstLine="366"/>
        <w:spacing w:after="0" w:line="286" w:lineRule="auto"/>
        <w:tabs>
          <w:tab w:leader="none" w:pos="552"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auto"/>
        </w:rPr>
      </w:pPr>
    </w:p>
    <w:p>
      <w:pPr>
        <w:jc w:val="both"/>
        <w:ind w:left="60" w:right="440" w:firstLine="366"/>
        <w:spacing w:after="0" w:line="268" w:lineRule="auto"/>
        <w:tabs>
          <w:tab w:leader="none" w:pos="552"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3"/>
          <w:szCs w:val="13"/>
          <w:color w:val="auto"/>
        </w:rPr>
      </w:pPr>
    </w:p>
    <w:p>
      <w:pPr>
        <w:ind w:left="60" w:right="460" w:firstLine="582"/>
        <w:spacing w:after="0" w:line="268" w:lineRule="auto"/>
        <w:tabs>
          <w:tab w:leader="none" w:pos="772" w:val="left"/>
        </w:tabs>
        <w:numPr>
          <w:ilvl w:val="1"/>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3"/>
          <w:szCs w:val="13"/>
          <w:color w:val="auto"/>
        </w:rPr>
      </w:pPr>
    </w:p>
    <w:p>
      <w:pPr>
        <w:jc w:val="both"/>
        <w:ind w:left="60" w:right="440" w:firstLine="582"/>
        <w:spacing w:after="0" w:line="268" w:lineRule="auto"/>
        <w:tabs>
          <w:tab w:leader="none" w:pos="779" w:val="left"/>
        </w:tabs>
        <w:numPr>
          <w:ilvl w:val="1"/>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3"/>
          <w:szCs w:val="13"/>
          <w:color w:val="auto"/>
        </w:rPr>
      </w:pPr>
    </w:p>
    <w:p>
      <w:pPr>
        <w:ind w:left="60" w:right="100" w:firstLine="582"/>
        <w:spacing w:after="0" w:line="286" w:lineRule="auto"/>
        <w:tabs>
          <w:tab w:leader="none" w:pos="772" w:val="left"/>
        </w:tabs>
        <w:numPr>
          <w:ilvl w:val="1"/>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jc w:val="both"/>
        <w:ind w:left="60" w:right="460" w:firstLine="582"/>
        <w:spacing w:after="0" w:line="268" w:lineRule="auto"/>
        <w:tabs>
          <w:tab w:leader="none" w:pos="779" w:val="left"/>
        </w:tabs>
        <w:numPr>
          <w:ilvl w:val="1"/>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3"/>
          <w:szCs w:val="13"/>
          <w:color w:val="auto"/>
        </w:rPr>
      </w:pPr>
    </w:p>
    <w:p>
      <w:pPr>
        <w:ind w:left="60" w:right="160" w:firstLine="366"/>
        <w:spacing w:after="0" w:line="286" w:lineRule="auto"/>
        <w:tabs>
          <w:tab w:leader="none" w:pos="552"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left="60" w:right="300" w:firstLine="582"/>
        <w:spacing w:after="0" w:line="286" w:lineRule="auto"/>
        <w:tabs>
          <w:tab w:leader="none" w:pos="772" w:val="left"/>
        </w:tabs>
        <w:numPr>
          <w:ilvl w:val="1"/>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60" w:right="460" w:firstLine="582"/>
        <w:spacing w:after="0" w:line="286" w:lineRule="auto"/>
        <w:tabs>
          <w:tab w:leader="none" w:pos="779" w:val="left"/>
        </w:tabs>
        <w:numPr>
          <w:ilvl w:val="1"/>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Dated: August 11,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21"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3"/>
          <w:szCs w:val="13"/>
          <w:color w:val="auto"/>
        </w:rPr>
        <w:t>Name:</w:t>
        <w:tab/>
        <w:t>Richard T. Allorto, Jr.</w:t>
      </w:r>
    </w:p>
    <w:p>
      <w:pPr>
        <w:spacing w:after="0" w:line="7"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3"/>
          <w:szCs w:val="13"/>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629920</wp:posOffset>
            </wp:positionV>
            <wp:extent cx="626046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100"/>
          </w:cols>
          <w:pgMar w:left="1440" w:top="1132" w:right="1360"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49" w:lineRule="exact"/>
        <w:rPr>
          <w:sz w:val="20"/>
          <w:szCs w:val="20"/>
          <w:color w:val="auto"/>
        </w:rPr>
      </w:pPr>
    </w:p>
    <w:p>
      <w:pPr>
        <w:ind w:left="60" w:right="20" w:firstLine="372"/>
        <w:spacing w:after="0" w:line="268" w:lineRule="auto"/>
        <w:rPr>
          <w:sz w:val="20"/>
          <w:szCs w:val="20"/>
          <w:color w:val="auto"/>
        </w:rPr>
      </w:pPr>
      <w:r>
        <w:rPr>
          <w:rFonts w:ascii="Times New Roman" w:cs="Times New Roman" w:eastAsia="Times New Roman" w:hAnsi="Times New Roman"/>
          <w:sz w:val="13"/>
          <w:szCs w:val="13"/>
          <w:color w:val="auto"/>
        </w:rPr>
        <w:t>In connection with this Report on Form 10-Q for the three and nine months ended June 30, 2025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123" w:lineRule="exact"/>
        <w:rPr>
          <w:sz w:val="20"/>
          <w:szCs w:val="20"/>
          <w:color w:val="auto"/>
        </w:rPr>
      </w:pPr>
    </w:p>
    <w:p>
      <w:pPr>
        <w:ind w:left="700" w:hanging="262"/>
        <w:spacing w:after="0"/>
        <w:tabs>
          <w:tab w:leader="none" w:pos="70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3"/>
          <w:szCs w:val="13"/>
          <w:color w:val="auto"/>
        </w:rPr>
      </w:pPr>
    </w:p>
    <w:p>
      <w:pPr>
        <w:ind w:left="700" w:hanging="262"/>
        <w:spacing w:after="0"/>
        <w:tabs>
          <w:tab w:leader="none" w:pos="70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/s/ Arthur H. Penn</w:t>
      </w:r>
    </w:p>
    <w:p>
      <w:pPr>
        <w:spacing w:after="0" w:line="21"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3"/>
          <w:szCs w:val="13"/>
          <w:color w:val="auto"/>
        </w:rPr>
        <w:t>Name:</w:t>
        <w:tab/>
        <w:t>Arthur H. Penn</w:t>
      </w:r>
    </w:p>
    <w:p>
      <w:pPr>
        <w:spacing w:after="0" w:line="7"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pacing w:after="0" w:line="7" w:lineRule="exact"/>
        <w:rPr>
          <w:sz w:val="20"/>
          <w:szCs w:val="20"/>
          <w:color w:val="auto"/>
        </w:rPr>
      </w:pPr>
    </w:p>
    <w:p>
      <w:pPr>
        <w:ind w:left="60"/>
        <w:spacing w:after="0"/>
        <w:tabs>
          <w:tab w:leader="none" w:pos="500" w:val="left"/>
        </w:tabs>
        <w:rPr>
          <w:sz w:val="20"/>
          <w:szCs w:val="20"/>
          <w:color w:val="auto"/>
        </w:rPr>
      </w:pPr>
      <w:r>
        <w:rPr>
          <w:rFonts w:ascii="Times New Roman" w:cs="Times New Roman" w:eastAsia="Times New Roman" w:hAnsi="Times New Roman"/>
          <w:sz w:val="13"/>
          <w:szCs w:val="13"/>
          <w:color w:val="auto"/>
        </w:rPr>
        <w:t>Date:</w:t>
        <w:tab/>
        <w:t>August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629920</wp:posOffset>
            </wp:positionV>
            <wp:extent cx="626046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100"/>
          </w:cols>
          <w:pgMar w:left="1440" w:top="1132" w:right="1360" w:bottom="1440" w:gutter="0" w:footer="0" w:header="0"/>
        </w:sectPr>
      </w:pPr>
    </w:p>
    <w:bookmarkStart w:id="270" w:name="page271"/>
    <w:bookmarkEnd w:id="270"/>
    <w:p>
      <w:pPr>
        <w:ind w:left="8680"/>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49" w:lineRule="exact"/>
        <w:rPr>
          <w:sz w:val="20"/>
          <w:szCs w:val="20"/>
          <w:color w:val="auto"/>
        </w:rPr>
      </w:pPr>
    </w:p>
    <w:p>
      <w:pPr>
        <w:ind w:left="460" w:right="340" w:firstLine="372"/>
        <w:spacing w:after="0" w:line="268" w:lineRule="auto"/>
        <w:rPr>
          <w:sz w:val="20"/>
          <w:szCs w:val="20"/>
          <w:color w:val="auto"/>
        </w:rPr>
      </w:pPr>
      <w:r>
        <w:rPr>
          <w:rFonts w:ascii="Times New Roman" w:cs="Times New Roman" w:eastAsia="Times New Roman" w:hAnsi="Times New Roman"/>
          <w:sz w:val="13"/>
          <w:szCs w:val="13"/>
          <w:color w:val="auto"/>
        </w:rPr>
        <w:t>In connection with this Report on Form 10-Q for the three and nine months ended June 30, 2025 (the “Report”) of PennantPark Floating Rate Capital, Ltd. (the “Registrant”), as filed with the Securities and Exchange Commission on the date hereof, I, Richard T. Allorto, Jr., Chief Financial Officer of the Registrant, hereby certify, to the best of my knowledge, that:</w:t>
      </w:r>
    </w:p>
    <w:p>
      <w:pPr>
        <w:spacing w:after="0" w:line="123" w:lineRule="exact"/>
        <w:rPr>
          <w:sz w:val="20"/>
          <w:szCs w:val="20"/>
          <w:color w:val="auto"/>
        </w:rPr>
      </w:pPr>
    </w:p>
    <w:p>
      <w:pPr>
        <w:ind w:left="1100" w:hanging="262"/>
        <w:spacing w:after="0"/>
        <w:tabs>
          <w:tab w:leader="none" w:pos="110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3"/>
          <w:szCs w:val="13"/>
          <w:color w:val="auto"/>
        </w:rPr>
      </w:pPr>
    </w:p>
    <w:p>
      <w:pPr>
        <w:ind w:left="1100" w:hanging="262"/>
        <w:spacing w:after="0"/>
        <w:tabs>
          <w:tab w:leader="none" w:pos="110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Name:</w:t>
            </w:r>
          </w:p>
        </w:tc>
        <w:tc>
          <w:tcPr>
            <w:tcW w:w="8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56"/>
        </w:trPr>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Title:</w:t>
            </w:r>
          </w:p>
        </w:tc>
        <w:tc>
          <w:tcPr>
            <w:tcW w:w="8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72"/>
        </w:trPr>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Date:</w:t>
            </w:r>
          </w:p>
        </w:tc>
        <w:tc>
          <w:tcPr>
            <w:tcW w:w="8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August 11, 2025</w:t>
            </w:r>
          </w:p>
        </w:tc>
      </w:tr>
      <w:tr>
        <w:trPr>
          <w:trHeight w:val="1016"/>
        </w:trPr>
        <w:tc>
          <w:tcPr>
            <w:tcW w:w="920" w:type="dxa"/>
            <w:vAlign w:val="bottom"/>
            <w:tcBorders>
              <w:bottom w:val="single" w:sz="8" w:color="EEEEEE"/>
            </w:tcBorders>
          </w:tcPr>
          <w:p>
            <w:pPr>
              <w:spacing w:after="0"/>
              <w:rPr>
                <w:sz w:val="24"/>
                <w:szCs w:val="24"/>
                <w:color w:val="auto"/>
              </w:rPr>
            </w:pPr>
          </w:p>
        </w:tc>
        <w:tc>
          <w:tcPr>
            <w:tcW w:w="89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-27305</wp:posOffset>
            </wp:positionV>
            <wp:extent cx="626046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6260465" cy="40640"/>
                    </a:xfrm>
                    <a:prstGeom prst="rect">
                      <a:avLst/>
                    </a:prstGeom>
                    <a:noFill/>
                  </pic:spPr>
                </pic:pic>
              </a:graphicData>
            </a:graphic>
          </wp:anchor>
        </w:drawing>
      </w:r>
    </w:p>
    <w:p>
      <w:pPr>
        <w:sectPr>
          <w:pgSz w:w="11900" w:h="16840" w:orient="portrait"/>
          <w:cols w:equalWidth="0" w:num="1">
            <w:col w:w="9820"/>
          </w:cols>
          <w:pgMar w:left="1040" w:top="1132" w:right="1040" w:bottom="1440" w:gutter="0" w:footer="0" w:header="0"/>
        </w:sectPr>
      </w:pPr>
    </w:p>
    <w:bookmarkStart w:id="271" w:name="page272"/>
    <w:bookmarkEnd w:id="27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57F6BC"/>
    <w:multiLevelType w:val="hybridMultilevel"/>
    <w:lvl w:ilvl="0">
      <w:lvlJc w:val="left"/>
      <w:lvlText w:val="☒"/>
      <w:numFmt w:val="bullet"/>
      <w:start w:val="1"/>
    </w:lvl>
  </w:abstractNum>
  <w:abstractNum w:abstractNumId="1">
    <w:nsid w:val="704E1DD5"/>
    <w:multiLevelType w:val="hybridMultilevel"/>
    <w:lvl w:ilvl="0">
      <w:lvlJc w:val="left"/>
      <w:lvlText w:val="☐"/>
      <w:numFmt w:val="bullet"/>
      <w:start w:val="1"/>
    </w:lvl>
  </w:abstractNum>
  <w:abstractNum w:abstractNumId="2">
    <w:nsid w:val="57D2F10E"/>
    <w:multiLevelType w:val="hybridMultilevel"/>
    <w:lvl w:ilvl="0">
      <w:lvlJc w:val="left"/>
      <w:lvlText w:val="(%1)"/>
      <w:numFmt w:val="lowerRoman"/>
      <w:start w:val="2"/>
    </w:lvl>
  </w:abstractNum>
  <w:abstractNum w:abstractNumId="3">
    <w:nsid w:val="BFFAE18"/>
    <w:multiLevelType w:val="hybridMultilevel"/>
    <w:lvl w:ilvl="0">
      <w:lvlJc w:val="left"/>
      <w:lvlText w:val="$"/>
      <w:numFmt w:val="bullet"/>
      <w:start w:val="1"/>
    </w:lvl>
  </w:abstractNum>
  <w:abstractNum w:abstractNumId="4">
    <w:nsid w:val="E3E47A8"/>
    <w:multiLevelType w:val="hybridMultilevel"/>
    <w:lvl w:ilvl="0">
      <w:lvlJc w:val="left"/>
      <w:lvlText w:val="%1"/>
      <w:numFmt w:val="upperLetter"/>
      <w:start w:val="35"/>
    </w:lvl>
  </w:abstractNum>
  <w:abstractNum w:abstractNumId="5">
    <w:nsid w:val="2E48F044"/>
    <w:multiLevelType w:val="hybridMultilevel"/>
    <w:lvl w:ilvl="0">
      <w:lvlJc w:val="left"/>
      <w:lvlText w:val="$"/>
      <w:numFmt w:val="bullet"/>
      <w:start w:val="1"/>
    </w:lvl>
  </w:abstractNum>
  <w:abstractNum w:abstractNumId="6">
    <w:nsid w:val="49D0FEAC"/>
    <w:multiLevelType w:val="hybridMultilevel"/>
    <w:lvl w:ilvl="0">
      <w:lvlJc w:val="left"/>
      <w:lvlText w:val="$"/>
      <w:numFmt w:val="bullet"/>
      <w:start w:val="1"/>
    </w:lvl>
  </w:abstractNum>
  <w:abstractNum w:abstractNumId="7">
    <w:nsid w:val="4BEE5A5B"/>
    <w:multiLevelType w:val="hybridMultilevel"/>
    <w:lvl w:ilvl="0">
      <w:lvlJc w:val="left"/>
      <w:lvlText w:val="$"/>
      <w:numFmt w:val="bullet"/>
      <w:start w:val="1"/>
    </w:lvl>
    <w:lvl w:ilvl="1">
      <w:lvlJc w:val="left"/>
      <w:lvlText w:val="(%2)"/>
      <w:numFmt w:val="lowerLetter"/>
      <w:start w:val="5"/>
    </w:lvl>
  </w:abstractNum>
  <w:abstractNum w:abstractNumId="8">
    <w:nsid w:val="5551B9F3"/>
    <w:multiLevelType w:val="hybridMultilevel"/>
    <w:lvl w:ilvl="0">
      <w:lvlJc w:val="left"/>
      <w:lvlText w:val="%1."/>
      <w:numFmt w:val="decimal"/>
      <w:start w:val="3"/>
    </w:lvl>
    <w:lvl w:ilvl="1">
      <w:lvlJc w:val="left"/>
      <w:lvlText w:val="(%2)"/>
      <w:numFmt w:val="lowerLetter"/>
      <w:start w:val="1"/>
    </w:lvl>
  </w:abstractNum>
  <w:abstractNum w:abstractNumId="9">
    <w:nsid w:val="24F6AB8E"/>
    <w:multiLevelType w:val="hybridMultilevel"/>
    <w:lvl w:ilvl="0">
      <w:lvlJc w:val="left"/>
      <w:lvlText w:val="$"/>
      <w:numFmt w:val="bullet"/>
      <w:start w:val="1"/>
    </w:lvl>
  </w:abstractNum>
  <w:abstractNum w:abstractNumId="10">
    <w:nsid w:val="634C574C"/>
    <w:multiLevelType w:val="hybridMultilevel"/>
    <w:lvl w:ilvl="0">
      <w:lvlJc w:val="left"/>
      <w:lvlText w:val="$"/>
      <w:numFmt w:val="bullet"/>
      <w:start w:val="1"/>
    </w:lvl>
  </w:abstractNum>
  <w:abstractNum w:abstractNumId="11">
    <w:nsid w:val="24E99DD7"/>
    <w:multiLevelType w:val="hybridMultilevel"/>
    <w:lvl w:ilvl="0">
      <w:lvlJc w:val="left"/>
      <w:lvlText w:val="(%1)"/>
      <w:numFmt w:val="decimal"/>
      <w:start w:val="1"/>
    </w:lvl>
  </w:abstractNum>
  <w:abstractNum w:abstractNumId="12">
    <w:nsid w:val="2A31B62D"/>
    <w:multiLevelType w:val="hybridMultilevel"/>
    <w:lvl w:ilvl="0">
      <w:lvlJc w:val="left"/>
      <w:lvlText w:val="$"/>
      <w:numFmt w:val="bullet"/>
      <w:start w:val="1"/>
    </w:lvl>
  </w:abstractNum>
  <w:abstractNum w:abstractNumId="13">
    <w:nsid w:val="1849C29B"/>
    <w:multiLevelType w:val="hybridMultilevel"/>
    <w:lvl w:ilvl="0">
      <w:lvlJc w:val="left"/>
      <w:lvlText w:val="$"/>
      <w:numFmt w:val="bullet"/>
      <w:start w:val="1"/>
    </w:lvl>
  </w:abstractNum>
  <w:abstractNum w:abstractNumId="14">
    <w:nsid w:val="7DFF9D09"/>
    <w:multiLevelType w:val="hybridMultilevel"/>
    <w:lvl w:ilvl="0">
      <w:lvlJc w:val="left"/>
      <w:lvlText w:val="*"/>
      <w:numFmt w:val="bullet"/>
      <w:start w:val="1"/>
    </w:lvl>
  </w:abstractNum>
  <w:abstractNum w:abstractNumId="15">
    <w:nsid w:val="754342"/>
    <w:multiLevelType w:val="hybridMultilevel"/>
    <w:lvl w:ilvl="0">
      <w:lvlJc w:val="left"/>
      <w:lvlText w:val="*"/>
      <w:numFmt w:val="bullet"/>
      <w:start w:val="1"/>
    </w:lvl>
  </w:abstractNum>
  <w:abstractNum w:abstractNumId="16">
    <w:nsid w:val="69E7F3E5"/>
    <w:multiLevelType w:val="hybridMultilevel"/>
    <w:lvl w:ilvl="0">
      <w:lvlJc w:val="left"/>
      <w:lvlText w:val="*"/>
      <w:numFmt w:val="bullet"/>
      <w:start w:val="1"/>
    </w:lvl>
  </w:abstractNum>
  <w:abstractNum w:abstractNumId="17">
    <w:nsid w:val="2A6DE806"/>
    <w:multiLevelType w:val="hybridMultilevel"/>
    <w:lvl w:ilvl="0">
      <w:lvlJc w:val="left"/>
      <w:lvlText w:val="**"/>
      <w:numFmt w:val="bullet"/>
      <w:start w:val="1"/>
    </w:lvl>
  </w:abstractNum>
  <w:abstractNum w:abstractNumId="18">
    <w:nsid w:val="1816F8C4"/>
    <w:multiLevelType w:val="hybridMultilevel"/>
    <w:lvl w:ilvl="0">
      <w:lvlJc w:val="left"/>
      <w:lvlText w:val="(%1)"/>
      <w:numFmt w:val="lowerRoman"/>
      <w:start w:val="7"/>
    </w:lvl>
  </w:abstractNum>
  <w:abstractNum w:abstractNumId="19">
    <w:nsid w:val="37DF2233"/>
    <w:multiLevelType w:val="hybridMultilevel"/>
    <w:lvl w:ilvl="0">
      <w:lvlJc w:val="left"/>
      <w:lvlText w:val="$"/>
      <w:numFmt w:val="bullet"/>
      <w:start w:val="1"/>
    </w:lvl>
  </w:abstractNum>
  <w:abstractNum w:abstractNumId="20">
    <w:nsid w:val="7AB49DAF"/>
    <w:multiLevelType w:val="hybridMultilevel"/>
    <w:lvl w:ilvl="0">
      <w:lvlJc w:val="left"/>
      <w:lvlText w:val="(%1)"/>
      <w:numFmt w:val="lowerRoman"/>
      <w:start w:val="3"/>
    </w:lvl>
  </w:abstractNum>
  <w:abstractNum w:abstractNumId="21">
    <w:nsid w:val="759F82CD"/>
    <w:multiLevelType w:val="hybridMultilevel"/>
    <w:lvl w:ilvl="0">
      <w:lvlJc w:val="left"/>
      <w:lvlText w:val="%1"/>
      <w:numFmt w:val="upperLetter"/>
      <w:start w:val="35"/>
    </w:lvl>
  </w:abstractNum>
  <w:abstractNum w:abstractNumId="22">
    <w:nsid w:val="61E74EA3"/>
    <w:multiLevelType w:val="hybridMultilevel"/>
    <w:lvl w:ilvl="0">
      <w:lvlJc w:val="left"/>
      <w:lvlText w:val="(%1)"/>
      <w:numFmt w:val="decimal"/>
      <w:start w:val="1"/>
    </w:lvl>
  </w:abstractNum>
  <w:abstractNum w:abstractNumId="23">
    <w:nsid w:val="597B4D84"/>
    <w:multiLevelType w:val="hybridMultilevel"/>
    <w:lvl w:ilvl="0">
      <w:lvlJc w:val="left"/>
      <w:lvlText w:val="%1"/>
      <w:numFmt w:val="decimal"/>
      <w:start w:val="104"/>
    </w:lvl>
  </w:abstractNum>
  <w:abstractNum w:abstractNumId="24">
    <w:nsid w:val="F819E7F"/>
    <w:multiLevelType w:val="hybridMultilevel"/>
    <w:lvl w:ilvl="0">
      <w:lvlJc w:val="left"/>
      <w:lvlText w:val="(%1)"/>
      <w:numFmt w:val="lowerLetter"/>
      <w:start w:val="1"/>
    </w:lvl>
    <w:lvl w:ilvl="1">
      <w:lvlJc w:val="left"/>
      <w:lvlText w:val="(%2)"/>
      <w:numFmt w:val="lowerRoman"/>
      <w:start w:val="1"/>
    </w:lvl>
  </w:abstractNum>
  <w:abstractNum w:abstractNumId="25">
    <w:nsid w:val="57C7D42D"/>
    <w:multiLevelType w:val="hybridMultilevel"/>
    <w:lvl w:ilvl="0">
      <w:lvlJc w:val="left"/>
      <w:lvlText w:val="(%1)"/>
      <w:numFmt w:val="lowerRoman"/>
      <w:start w:val="4"/>
    </w:lvl>
  </w:abstractNum>
  <w:abstractNum w:abstractNumId="26">
    <w:nsid w:val="312167AD"/>
    <w:multiLevelType w:val="hybridMultilevel"/>
    <w:lvl w:ilvl="0">
      <w:lvlJc w:val="left"/>
      <w:lvlText w:val="(%1)"/>
      <w:numFmt w:val="lowerLetter"/>
      <w:start w:val="1"/>
    </w:lvl>
  </w:abstractNum>
  <w:abstractNum w:abstractNumId="27">
    <w:nsid w:val="631B64D4"/>
    <w:multiLevelType w:val="hybridMultilevel"/>
    <w:lvl w:ilvl="0">
      <w:lvlJc w:val="left"/>
      <w:lvlText w:val="(%1)"/>
      <w:numFmt w:val="lowerLetter"/>
      <w:start w:val="1"/>
    </w:lvl>
  </w:abstractNum>
  <w:abstractNum w:abstractNumId="28">
    <w:nsid w:val="78B5E776"/>
    <w:multiLevelType w:val="hybridMultilevel"/>
    <w:lvl w:ilvl="0">
      <w:lvlJc w:val="left"/>
      <w:lvlText w:val="(%1)"/>
      <w:numFmt w:val="lowerLetter"/>
      <w:start w:val="1"/>
    </w:lvl>
  </w:abstractNum>
  <w:abstractNum w:abstractNumId="29">
    <w:nsid w:val="75486E47"/>
    <w:multiLevelType w:val="hybridMultilevel"/>
    <w:lvl w:ilvl="0">
      <w:lvlJc w:val="left"/>
      <w:lvlText w:val="(%1)"/>
      <w:numFmt w:val="lowerLetter"/>
      <w:start w:val="1"/>
    </w:lvl>
  </w:abstractNum>
  <w:abstractNum w:abstractNumId="30">
    <w:nsid w:val="6E534CDE"/>
    <w:multiLevelType w:val="hybridMultilevel"/>
    <w:lvl w:ilvl="0">
      <w:lvlJc w:val="left"/>
      <w:lvlText w:val="(%1)"/>
      <w:numFmt w:val="decimal"/>
      <w:start w:val="1"/>
    </w:lvl>
  </w:abstractNum>
  <w:abstractNum w:abstractNumId="31">
    <w:nsid w:val="1A0DDE32"/>
    <w:multiLevelType w:val="hybridMultilevel"/>
    <w:lvl w:ilvl="0">
      <w:lvlJc w:val="left"/>
      <w:lvlText w:val="(%1)"/>
      <w:numFmt w:val="lowerLetter"/>
      <w:start w:val="1"/>
    </w:lvl>
  </w:abstractNum>
  <w:abstractNum w:abstractNumId="32">
    <w:nsid w:val="65968C1C"/>
    <w:multiLevelType w:val="hybridMultilevel"/>
    <w:lvl w:ilvl="0">
      <w:lvlJc w:val="left"/>
      <w:lvlText w:val="(%1)"/>
      <w:numFmt w:val="lowerLetter"/>
      <w:start w:val="2"/>
    </w:lvl>
  </w:abstractNum>
  <w:abstractNum w:abstractNumId="33">
    <w:nsid w:val="46263DEC"/>
    <w:multiLevelType w:val="hybridMultilevel"/>
    <w:lvl w:ilvl="0">
      <w:lvlJc w:val="left"/>
      <w:lvlText w:val="(%1)"/>
      <w:numFmt w:val="lowerLetter"/>
      <w:start w:val="1"/>
    </w:lvl>
  </w:abstractNum>
  <w:abstractNum w:abstractNumId="34">
    <w:nsid w:val="260D8C4A"/>
    <w:multiLevelType w:val="hybridMultilevel"/>
    <w:lvl w:ilvl="0">
      <w:lvlJc w:val="left"/>
      <w:lvlText w:val="(%1)"/>
      <w:numFmt w:val="lowerLetter"/>
      <w:start w:val="14"/>
    </w:lvl>
  </w:abstractNum>
  <w:abstractNum w:abstractNumId="35">
    <w:nsid w:val="73D4D3C4"/>
    <w:multiLevelType w:val="hybridMultilevel"/>
    <w:lvl w:ilvl="0">
      <w:lvlJc w:val="left"/>
      <w:lvlText w:val="(%1)"/>
      <w:numFmt w:val="lowerLetter"/>
      <w:start w:val="1"/>
    </w:lvl>
  </w:abstractNum>
  <w:abstractNum w:abstractNumId="36">
    <w:nsid w:val="746F2E30"/>
    <w:multiLevelType w:val="hybridMultilevel"/>
    <w:lvl w:ilvl="0">
      <w:lvlJc w:val="left"/>
      <w:lvlText w:val="(%1)"/>
      <w:numFmt w:val="lowerLetter"/>
      <w:start w:val="1"/>
    </w:lvl>
  </w:abstractNum>
  <w:abstractNum w:abstractNumId="37">
    <w:nsid w:val="6FDE8AF6"/>
    <w:multiLevelType w:val="hybridMultilevel"/>
    <w:lvl w:ilvl="0">
      <w:lvlJc w:val="left"/>
      <w:lvlText w:val="(%1)"/>
      <w:numFmt w:val="decimal"/>
      <w:start w:val="6"/>
    </w:lvl>
  </w:abstractNum>
  <w:abstractNum w:abstractNumId="38">
    <w:nsid w:val="3FC32E20"/>
    <w:multiLevelType w:val="hybridMultilevel"/>
    <w:lvl w:ilvl="0">
      <w:lvlJc w:val="left"/>
      <w:lvlText w:val="(%1)"/>
      <w:numFmt w:val="lowerRoman"/>
      <w:start w:val="1"/>
    </w:lvl>
  </w:abstractNum>
  <w:abstractNum w:abstractNumId="39">
    <w:nsid w:val="49C0E823"/>
    <w:multiLevelType w:val="hybridMultilevel"/>
    <w:lvl w:ilvl="0">
      <w:lvlJc w:val="left"/>
      <w:lvlText w:val="(%1)"/>
      <w:numFmt w:val="lowerLetter"/>
      <w:start w:val="3"/>
    </w:lvl>
  </w:abstractNum>
  <w:abstractNum w:abstractNumId="40">
    <w:nsid w:val="14D53685"/>
    <w:multiLevelType w:val="hybridMultilevel"/>
    <w:lvl w:ilvl="0">
      <w:lvlJc w:val="left"/>
      <w:lvlText w:val="(%1)"/>
      <w:numFmt w:val="lowerLetter"/>
      <w:start w:val="1"/>
    </w:lvl>
    <w:lvl w:ilvl="1">
      <w:lvlJc w:val="left"/>
      <w:lvlText w:val="(%2)"/>
      <w:numFmt w:val="lowerRoman"/>
      <w:start w:val="1"/>
    </w:lvl>
  </w:abstractNum>
  <w:abstractNum w:abstractNumId="41">
    <w:nsid w:val="230F856C"/>
    <w:multiLevelType w:val="hybridMultilevel"/>
    <w:lvl w:ilvl="0">
      <w:lvlJc w:val="left"/>
      <w:lvlText w:val="%1"/>
      <w:numFmt w:val="lowerLetter"/>
      <w:start w:val="1"/>
    </w:lvl>
    <w:lvl w:ilvl="1">
      <w:lvlJc w:val="left"/>
      <w:lvlText w:val="(%2)"/>
      <w:numFmt w:val="lowerLetter"/>
      <w:start w:val="35"/>
    </w:lvl>
  </w:abstractNum>
  <w:abstractNum w:abstractNumId="42">
    <w:nsid w:val="6EAA85FB"/>
    <w:multiLevelType w:val="hybridMultilevel"/>
    <w:lvl w:ilvl="0">
      <w:lvlJc w:val="left"/>
      <w:lvlText w:val="(%1)"/>
      <w:numFmt w:val="lowerLetter"/>
      <w:start w:val="5"/>
    </w:lvl>
    <w:lvl w:ilvl="1">
      <w:lvlJc w:val="left"/>
      <w:lvlText w:val="(%2)"/>
      <w:numFmt w:val="lowerLetter"/>
      <w:start w:val="9"/>
    </w:lvl>
  </w:abstractNum>
  <w:abstractNum w:abstractNumId="43">
    <w:nsid w:val="3F06ECB2"/>
    <w:multiLevelType w:val="hybridMultilevel"/>
    <w:lvl w:ilvl="0">
      <w:lvlJc w:val="left"/>
      <w:lvlText w:val="%1"/>
      <w:numFmt w:val="lowerLetter"/>
      <w:start w:val="1"/>
    </w:lvl>
    <w:lvl w:ilvl="1">
      <w:lvlJc w:val="left"/>
      <w:lvlText w:val="(%2)"/>
      <w:numFmt w:val="lowerRoman"/>
      <w:start w:val="2"/>
    </w:lvl>
  </w:abstractNum>
  <w:abstractNum w:abstractNumId="44">
    <w:nsid w:val="3B594807"/>
    <w:multiLevelType w:val="hybridMultilevel"/>
    <w:lvl w:ilvl="0">
      <w:lvlJc w:val="left"/>
      <w:lvlText w:val="(%1)"/>
      <w:numFmt w:val="lowerLetter"/>
      <w:start w:val="6"/>
    </w:lvl>
    <w:lvl w:ilvl="1">
      <w:lvlJc w:val="left"/>
      <w:lvlText w:val="(%2)"/>
      <w:numFmt w:val="lowerRoman"/>
      <w:start w:val="1"/>
    </w:lvl>
  </w:abstractNum>
  <w:abstractNum w:abstractNumId="45">
    <w:nsid w:val="6CAA2304"/>
    <w:multiLevelType w:val="hybridMultilevel"/>
    <w:lvl w:ilvl="0">
      <w:lvlJc w:val="left"/>
      <w:lvlText w:val="(%1)"/>
      <w:numFmt w:val="lowerLetter"/>
      <w:start w:val="1"/>
    </w:lvl>
  </w:abstractNum>
  <w:abstractNum w:abstractNumId="46">
    <w:nsid w:val="3F7C2FF4"/>
    <w:multiLevelType w:val="hybridMultilevel"/>
    <w:lvl w:ilvl="0">
      <w:lvlJc w:val="left"/>
      <w:lvlText w:val="(%1)"/>
      <w:numFmt w:val="lowerLetter"/>
      <w:start w:val="1"/>
    </w:lvl>
  </w:abstractNum>
  <w:abstractNum w:abstractNumId="47">
    <w:nsid w:val="25413BEC"/>
    <w:multiLevelType w:val="hybridMultilevel"/>
    <w:lvl w:ilvl="0">
      <w:lvlJc w:val="left"/>
      <w:lvlText w:val="(%1)"/>
      <w:numFmt w:val="lowerLetter"/>
      <w:start w:val="5"/>
    </w:lvl>
  </w:abstractNum>
  <w:abstractNum w:abstractNumId="48">
    <w:nsid w:val="17180B0B"/>
    <w:multiLevelType w:val="hybridMultilevel"/>
    <w:lvl w:ilvl="0">
      <w:lvlJc w:val="left"/>
      <w:lvlText w:val="(%1)"/>
      <w:numFmt w:val="lowerLetter"/>
      <w:start w:val="20"/>
    </w:lvl>
  </w:abstractNum>
  <w:abstractNum w:abstractNumId="49">
    <w:nsid w:val="579328B9"/>
    <w:multiLevelType w:val="hybridMultilevel"/>
    <w:lvl w:ilvl="0">
      <w:lvlJc w:val="left"/>
      <w:lvlText w:val="%1"/>
      <w:numFmt w:val="upperLetter"/>
      <w:start w:val="1"/>
    </w:lvl>
    <w:lvl w:ilvl="1">
      <w:lvlJc w:val="left"/>
      <w:lvlText w:val="(%2)"/>
      <w:numFmt w:val="lowerLetter"/>
      <w:start w:val="27"/>
    </w:lvl>
  </w:abstractNum>
  <w:abstractNum w:abstractNumId="50">
    <w:nsid w:val="5D205E20"/>
    <w:multiLevelType w:val="hybridMultilevel"/>
    <w:lvl w:ilvl="0">
      <w:lvlJc w:val="left"/>
      <w:lvlText w:val="(%1)"/>
      <w:numFmt w:val="upperLetter"/>
      <w:start w:val="2"/>
    </w:lvl>
    <w:lvl w:ilvl="1">
      <w:lvlJc w:val="left"/>
      <w:lvlText w:val="(%2)"/>
      <w:numFmt w:val="lowerLetter"/>
      <w:start w:val="29"/>
    </w:lvl>
  </w:abstractNum>
  <w:abstractNum w:abstractNumId="51">
    <w:nsid w:val="11CCA8BA"/>
    <w:multiLevelType w:val="hybridMultilevel"/>
    <w:lvl w:ilvl="0">
      <w:lvlJc w:val="left"/>
      <w:lvlText w:val="(%1)"/>
      <w:numFmt w:val="lowerLetter"/>
      <w:start w:val="30"/>
    </w:lvl>
  </w:abstractNum>
  <w:abstractNum w:abstractNumId="52">
    <w:nsid w:val="4D32AB86"/>
    <w:multiLevelType w:val="hybridMultilevel"/>
    <w:lvl w:ilvl="0">
      <w:lvlJc w:val="left"/>
      <w:lvlText w:val="(%1)"/>
      <w:numFmt w:val="lowerRoman"/>
      <w:start w:val="2"/>
    </w:lvl>
  </w:abstractNum>
  <w:abstractNum w:abstractNumId="53">
    <w:nsid w:val="3F07ACC3"/>
    <w:multiLevelType w:val="hybridMultilevel"/>
    <w:lvl w:ilvl="0">
      <w:lvlJc w:val="left"/>
      <w:lvlText w:val="(%1)"/>
      <w:numFmt w:val="lowerRoman"/>
      <w:start w:val="1"/>
    </w:lvl>
  </w:abstractNum>
  <w:abstractNum w:abstractNumId="54">
    <w:nsid w:val="6B47F63E"/>
    <w:multiLevelType w:val="hybridMultilevel"/>
    <w:lvl w:ilvl="0">
      <w:lvlJc w:val="left"/>
      <w:lvlText w:val="(%1)"/>
      <w:numFmt w:val="lowerRoman"/>
      <w:start w:val="3"/>
    </w:lvl>
  </w:abstractNum>
  <w:abstractNum w:abstractNumId="55">
    <w:nsid w:val="5CB44A05"/>
    <w:multiLevelType w:val="hybridMultilevel"/>
    <w:lvl w:ilvl="0">
      <w:lvlJc w:val="left"/>
      <w:lvlText w:val="(%1)"/>
      <w:numFmt w:val="lowerLetter"/>
      <w:start w:val="3"/>
    </w:lvl>
  </w:abstractNum>
  <w:abstractNum w:abstractNumId="56">
    <w:nsid w:val="16CF80F1"/>
    <w:multiLevelType w:val="hybridMultilevel"/>
    <w:lvl w:ilvl="0">
      <w:lvlJc w:val="left"/>
      <w:lvlText w:val="(%1)"/>
      <w:numFmt w:val="lowerLetter"/>
      <w:start w:val="4"/>
    </w:lvl>
  </w:abstractNum>
  <w:abstractNum w:abstractNumId="57">
    <w:nsid w:val="1C695DEC"/>
    <w:multiLevelType w:val="hybridMultilevel"/>
    <w:lvl w:ilvl="0">
      <w:lvlJc w:val="left"/>
      <w:lvlText w:val="(%1)"/>
      <w:numFmt w:val="lowerLetter"/>
      <w:start w:val="1"/>
    </w:lvl>
  </w:abstractNum>
  <w:abstractNum w:abstractNumId="58">
    <w:nsid w:val="3FCFAED9"/>
    <w:multiLevelType w:val="hybridMultilevel"/>
    <w:lvl w:ilvl="0">
      <w:lvlJc w:val="left"/>
      <w:lvlText w:val="(%1)"/>
      <w:numFmt w:val="lowerLetter"/>
      <w:start w:val="3"/>
    </w:lvl>
  </w:abstractNum>
  <w:abstractNum w:abstractNumId="59">
    <w:nsid w:val="F856867"/>
    <w:multiLevelType w:val="hybridMultilevel"/>
    <w:lvl w:ilvl="0">
      <w:lvlJc w:val="left"/>
      <w:lvlText w:val="(%1)"/>
      <w:numFmt w:val="lowerLetter"/>
      <w:start w:val="1"/>
    </w:lvl>
  </w:abstractNum>
  <w:abstractNum w:abstractNumId="60">
    <w:nsid w:val="11B1CC33"/>
    <w:multiLevelType w:val="hybridMultilevel"/>
    <w:lvl w:ilvl="0">
      <w:lvlJc w:val="left"/>
      <w:lvlText w:val="(%1)"/>
      <w:numFmt w:val="lowerRoman"/>
      <w:start w:val="1"/>
    </w:lvl>
  </w:abstractNum>
  <w:abstractNum w:abstractNumId="61">
    <w:nsid w:val="2E22FBB7"/>
    <w:multiLevelType w:val="hybridMultilevel"/>
    <w:lvl w:ilvl="0">
      <w:lvlJc w:val="left"/>
      <w:lvlText w:val="(%1)"/>
      <w:numFmt w:val="lowerLetter"/>
      <w:start w:val="2"/>
    </w:lvl>
  </w:abstractNum>
  <w:abstractNum w:abstractNumId="62">
    <w:nsid w:val="29934699"/>
    <w:multiLevelType w:val="hybridMultilevel"/>
    <w:lvl w:ilvl="0">
      <w:lvlJc w:val="left"/>
      <w:lvlText w:val="(%1)"/>
      <w:numFmt w:val="lowerLetter"/>
      <w:start w:val="1"/>
    </w:lvl>
  </w:abstractNum>
  <w:abstractNum w:abstractNumId="63">
    <w:nsid w:val="77485850"/>
    <w:multiLevelType w:val="hybridMultilevel"/>
    <w:lvl w:ilvl="0">
      <w:lvlJc w:val="left"/>
      <w:lvlText w:val="(%1)"/>
      <w:numFmt w:val="lowerLetter"/>
      <w:start w:val="1"/>
    </w:lvl>
  </w:abstractNum>
  <w:abstractNum w:abstractNumId="64">
    <w:nsid w:val="744939A3"/>
    <w:multiLevelType w:val="hybridMultilevel"/>
    <w:lvl w:ilvl="0">
      <w:lvlJc w:val="left"/>
      <w:lvlText w:val="(%1)"/>
      <w:numFmt w:val="decimal"/>
      <w:start w:val="1"/>
    </w:lvl>
  </w:abstractNum>
  <w:abstractNum w:abstractNumId="65">
    <w:nsid w:val="4FA0D2E3"/>
    <w:multiLevelType w:val="hybridMultilevel"/>
    <w:lvl w:ilvl="0">
      <w:lvlJc w:val="left"/>
      <w:lvlText w:val="(%1)"/>
      <w:numFmt w:val="lowerLetter"/>
      <w:start w:val="1"/>
    </w:lvl>
  </w:abstractNum>
  <w:abstractNum w:abstractNumId="66">
    <w:nsid w:val="6B1D2C14"/>
    <w:multiLevelType w:val="hybridMultilevel"/>
    <w:lvl w:ilvl="0">
      <w:lvlJc w:val="left"/>
      <w:lvlText w:val="(%1)"/>
      <w:numFmt w:val="upperLetter"/>
      <w:start w:val="1"/>
    </w:lvl>
  </w:abstractNum>
  <w:abstractNum w:abstractNumId="67">
    <w:nsid w:val="68B867D3"/>
    <w:multiLevelType w:val="hybridMultilevel"/>
    <w:lvl w:ilvl="0">
      <w:lvlJc w:val="left"/>
      <w:lvlText w:val="(%1)"/>
      <w:numFmt w:val="upperLetter"/>
      <w:start w:val="1"/>
    </w:lvl>
  </w:abstractNum>
  <w:abstractNum w:abstractNumId="68">
    <w:nsid w:val="3F7F5DD9"/>
    <w:multiLevelType w:val="hybridMultilevel"/>
    <w:lvl w:ilvl="0">
      <w:lvlJc w:val="left"/>
      <w:lvlText w:val="(%1)"/>
      <w:numFmt w:val="upperLetter"/>
      <w:start w:val="1"/>
    </w:lvl>
  </w:abstractNum>
  <w:abstractNum w:abstractNumId="69">
    <w:nsid w:val="2AE05A34"/>
    <w:multiLevelType w:val="hybridMultilevel"/>
    <w:lvl w:ilvl="0">
      <w:lvlJc w:val="left"/>
      <w:lvlText w:val="(%1)"/>
      <w:numFmt w:val="upperLetter"/>
      <w:start w:val="1"/>
    </w:lvl>
  </w:abstractNum>
  <w:abstractNum w:abstractNumId="70">
    <w:nsid w:val="32794FF7"/>
    <w:multiLevelType w:val="hybridMultilevel"/>
    <w:lvl w:ilvl="0">
      <w:lvlJc w:val="left"/>
      <w:lvlText w:val="(%1)"/>
      <w:numFmt w:val="lowerLetter"/>
      <w:start w:val="1"/>
    </w:lvl>
    <w:lvl w:ilvl="1">
      <w:lvlJc w:val="left"/>
      <w:lvlText w:val="(%2)"/>
      <w:numFmt w:val="lowerRoman"/>
      <w:start w:val="1"/>
    </w:lvl>
  </w:abstractNum>
  <w:abstractNum w:abstractNumId="71">
    <w:nsid w:val="5454945E"/>
    <w:multiLevelType w:val="hybridMultilevel"/>
    <w:lvl w:ilvl="0">
      <w:lvlJc w:val="left"/>
      <w:lvlText w:val="(%1)"/>
      <w:numFmt w:val="lowerLetter"/>
      <w:start w:val="1"/>
    </w:lvl>
  </w:abstractNum>
  <w:abstractNum w:abstractNumId="72">
    <w:nsid w:val="4DEFDFA0"/>
    <w:multiLevelType w:val="hybridMultilevel"/>
    <w:lvl w:ilvl="0">
      <w:lvlJc w:val="left"/>
      <w:lvlText w:val="(%1)"/>
      <w:numFmt w:val="lowerLetter"/>
      <w:start w:val="1"/>
    </w:lvl>
    <w:lvl w:ilvl="1">
      <w:lvlJc w:val="left"/>
      <w:lvlText w:val="(%2)"/>
      <w:numFmt w:val="lowerRoman"/>
      <w:start w:val="1"/>
    </w:lvl>
  </w:abstractNum>
  <w:abstractNum w:abstractNumId="73">
    <w:nsid w:val="2123D5F2"/>
    <w:multiLevelType w:val="hybridMultilevel"/>
    <w:lvl w:ilvl="0">
      <w:lvlJc w:val="left"/>
      <w:lvlText w:val="(%1)"/>
      <w:numFmt w:val="lowerRoman"/>
      <w:start w:val="2"/>
    </w:lvl>
  </w:abstractNum>
  <w:abstractNum w:abstractNumId="74">
    <w:nsid w:val="135B8110"/>
    <w:multiLevelType w:val="hybridMultilevel"/>
    <w:lvl w:ilvl="0">
      <w:lvlJc w:val="left"/>
      <w:lvlText w:val="%1"/>
      <w:numFmt w:val="lowerRoman"/>
      <w:start w:val="1"/>
    </w:lvl>
    <w:lvl w:ilvl="1">
      <w:lvlJc w:val="left"/>
      <w:lvlText w:val="(%2)"/>
      <w:numFmt w:val="lowerLetter"/>
      <w:start w:val="1"/>
    </w:lvl>
  </w:abstractNum>
  <w:abstractNum w:abstractNumId="75">
    <w:nsid w:val="94927A8"/>
    <w:multiLevelType w:val="hybridMultilevel"/>
    <w:lvl w:ilvl="0">
      <w:lvlJc w:val="left"/>
      <w:lvlText w:val="(%1)"/>
      <w:numFmt w:val="lowerRoman"/>
      <w:start w:val="4"/>
    </w:lvl>
    <w:lvl w:ilvl="1">
      <w:lvlJc w:val="left"/>
      <w:lvlText w:val="%2"/>
      <w:numFmt w:val="lowerLetter"/>
      <w:start w:val="1"/>
    </w:lvl>
  </w:abstractNum>
  <w:abstractNum w:abstractNumId="76">
    <w:nsid w:val="DCDF8F6"/>
    <w:multiLevelType w:val="hybridMultilevel"/>
    <w:lvl w:ilvl="0">
      <w:lvlJc w:val="left"/>
      <w:lvlText w:val="(%1)"/>
      <w:numFmt w:val="decimal"/>
      <w:start w:val="2"/>
    </w:lvl>
  </w:abstractNum>
  <w:abstractNum w:abstractNumId="77">
    <w:nsid w:val="52D7B105"/>
    <w:multiLevelType w:val="hybridMultilevel"/>
    <w:lvl w:ilvl="0">
      <w:lvlJc w:val="left"/>
      <w:lvlText w:val="(%1)"/>
      <w:numFmt w:val="lowerLetter"/>
      <w:start w:val="1"/>
    </w:lvl>
    <w:lvl w:ilvl="1">
      <w:lvlJc w:val="left"/>
      <w:lvlText w:val="(%2)"/>
      <w:numFmt w:val="lowerRoman"/>
      <w:start w:val="1"/>
    </w:lvl>
  </w:abstractNum>
  <w:abstractNum w:abstractNumId="78">
    <w:nsid w:val="2E8A6394"/>
    <w:multiLevelType w:val="hybridMultilevel"/>
    <w:lvl w:ilvl="0">
      <w:lvlJc w:val="left"/>
      <w:lvlText w:val="(%1)"/>
      <w:numFmt w:val="lowerRoman"/>
      <w:start w:val="4"/>
    </w:lvl>
  </w:abstractNum>
  <w:abstractNum w:abstractNumId="79">
    <w:nsid w:val="24E60401"/>
    <w:multiLevelType w:val="hybridMultilevel"/>
    <w:lvl w:ilvl="0">
      <w:lvlJc w:val="left"/>
      <w:lvlText w:val="(%1)"/>
      <w:numFmt w:val="lowerLetter"/>
      <w:start w:val="1"/>
    </w:lvl>
  </w:abstractNum>
  <w:abstractNum w:abstractNumId="80">
    <w:nsid w:val="2A6AD9BE"/>
    <w:multiLevelType w:val="hybridMultilevel"/>
    <w:lvl w:ilvl="0">
      <w:lvlJc w:val="left"/>
      <w:lvlText w:val="(%1)"/>
      <w:numFmt w:val="lowerLetter"/>
      <w:start w:val="35"/>
    </w:lvl>
  </w:abstractNum>
  <w:abstractNum w:abstractNumId="81">
    <w:nsid w:val="BAAC1B4"/>
    <w:multiLevelType w:val="hybridMultilevel"/>
    <w:lvl w:ilvl="0">
      <w:lvlJc w:val="left"/>
      <w:lvlText w:val="%1"/>
      <w:numFmt w:val="decimal"/>
      <w:start w:val="1"/>
    </w:lvl>
    <w:lvl w:ilvl="1">
      <w:lvlJc w:val="left"/>
      <w:lvlText w:val="(%2)"/>
      <w:numFmt w:val="lowerLetter"/>
      <w:start w:val="1"/>
    </w:lvl>
  </w:abstractNum>
  <w:abstractNum w:abstractNumId="82">
    <w:nsid w:val="36B2ACBC"/>
    <w:multiLevelType w:val="hybridMultilevel"/>
    <w:lvl w:ilvl="0">
      <w:lvlJc w:val="left"/>
      <w:lvlText w:val="(%1)"/>
      <w:numFmt w:val="decimal"/>
      <w:start w:val="1"/>
    </w:lvl>
    <w:lvl w:ilvl="1">
      <w:lvlJc w:val="left"/>
      <w:lvlText w:val="(%2)"/>
      <w:numFmt w:val="lowerLetter"/>
      <w:start w:val="2"/>
    </w:lvl>
  </w:abstractNum>
  <w:abstractNum w:abstractNumId="83">
    <w:nsid w:val="779D8544"/>
    <w:multiLevelType w:val="hybridMultilevel"/>
    <w:lvl w:ilvl="0">
      <w:lvlJc w:val="left"/>
      <w:lvlText w:val="(%1)"/>
      <w:numFmt w:val="lowerLetter"/>
      <w:start w:val="1"/>
    </w:lvl>
  </w:abstractNum>
  <w:abstractNum w:abstractNumId="84">
    <w:nsid w:val="4AB26E78"/>
    <w:multiLevelType w:val="hybridMultilevel"/>
    <w:lvl w:ilvl="0">
      <w:lvlJc w:val="left"/>
      <w:lvlText w:val="%1"/>
      <w:numFmt w:val="decimal"/>
      <w:start w:val="1"/>
    </w:lvl>
    <w:lvl w:ilvl="1">
      <w:lvlJc w:val="left"/>
      <w:lvlText w:val="(%2)"/>
      <w:numFmt w:val="lowerLetter"/>
      <w:start w:val="1"/>
    </w:lvl>
  </w:abstractNum>
  <w:abstractNum w:abstractNumId="85">
    <w:nsid w:val="21FAA2FA"/>
    <w:multiLevelType w:val="hybridMultilevel"/>
    <w:lvl w:ilvl="0">
      <w:lvlJc w:val="left"/>
      <w:lvlText w:val="(%1)"/>
      <w:numFmt w:val="decimal"/>
      <w:start w:val="2"/>
    </w:lvl>
    <w:lvl w:ilvl="1">
      <w:lvlJc w:val="left"/>
      <w:lvlText w:val="(%2)"/>
      <w:numFmt w:val="lowerLetter"/>
      <w:start w:val="2"/>
    </w:lvl>
  </w:abstractNum>
  <w:abstractNum w:abstractNumId="86">
    <w:nsid w:val="5451CF49"/>
    <w:multiLevelType w:val="hybridMultilevel"/>
    <w:lvl w:ilvl="0">
      <w:lvlJc w:val="left"/>
      <w:lvlText w:val="(%1)"/>
      <w:numFmt w:val="lowerLetter"/>
      <w:start w:val="2"/>
    </w:lvl>
  </w:abstractNum>
  <w:abstractNum w:abstractNumId="87">
    <w:nsid w:val="6181EF69"/>
    <w:multiLevelType w:val="hybridMultilevel"/>
    <w:lvl w:ilvl="0">
      <w:lvlJc w:val="left"/>
      <w:lvlText w:val="(%1)"/>
      <w:numFmt w:val="lowerLetter"/>
      <w:start w:val="1"/>
    </w:lvl>
  </w:abstractNum>
  <w:abstractNum w:abstractNumId="88">
    <w:nsid w:val="3E6400E6"/>
    <w:multiLevelType w:val="hybridMultilevel"/>
    <w:lvl w:ilvl="0">
      <w:lvlJc w:val="left"/>
      <w:lvlText w:val="(%1)"/>
      <w:numFmt w:val="lowerLetter"/>
      <w:start w:val="1"/>
    </w:lvl>
  </w:abstractNum>
  <w:abstractNum w:abstractNumId="89">
    <w:nsid w:val="14217E23"/>
    <w:multiLevelType w:val="hybridMultilevel"/>
    <w:lvl w:ilvl="0">
      <w:lvlJc w:val="left"/>
      <w:lvlText w:val="X"/>
      <w:numFmt w:val="bullet"/>
      <w:start w:val="1"/>
    </w:lvl>
  </w:abstractNum>
  <w:abstractNum w:abstractNumId="90">
    <w:nsid w:val="710757D0"/>
    <w:multiLevelType w:val="hybridMultilevel"/>
    <w:lvl w:ilvl="0">
      <w:lvlJc w:val="left"/>
      <w:lvlText w:val="(%1)"/>
      <w:numFmt w:val="lowerLetter"/>
      <w:start w:val="1"/>
    </w:lvl>
  </w:abstractNum>
  <w:abstractNum w:abstractNumId="91">
    <w:nsid w:val="5015CD1A"/>
    <w:multiLevelType w:val="hybridMultilevel"/>
    <w:lvl w:ilvl="0">
      <w:lvlJc w:val="left"/>
      <w:lvlText w:val="(%1)"/>
      <w:numFmt w:val="lowerLetter"/>
      <w:start w:val="4"/>
    </w:lvl>
  </w:abstractNum>
  <w:abstractNum w:abstractNumId="92">
    <w:nsid w:val="424479DA"/>
    <w:multiLevelType w:val="hybridMultilevel"/>
    <w:lvl w:ilvl="0">
      <w:lvlJc w:val="left"/>
      <w:lvlText w:val="(%1)"/>
      <w:numFmt w:val="lowerLetter"/>
      <w:start w:val="11"/>
    </w:lvl>
  </w:abstractNum>
  <w:abstractNum w:abstractNumId="93">
    <w:nsid w:val="1A9A9E69"/>
    <w:multiLevelType w:val="hybridMultilevel"/>
    <w:lvl w:ilvl="0">
      <w:lvlJc w:val="left"/>
      <w:lvlText w:val="(%1)"/>
      <w:numFmt w:val="lowerLetter"/>
      <w:start w:val="1"/>
    </w:lvl>
  </w:abstractNum>
  <w:abstractNum w:abstractNumId="94">
    <w:nsid w:val="475E256A"/>
    <w:multiLevelType w:val="hybridMultilevel"/>
    <w:lvl w:ilvl="0">
      <w:lvlJc w:val="left"/>
      <w:lvlText w:val="(%1)"/>
      <w:numFmt w:val="lowerLetter"/>
      <w:start w:val="3"/>
    </w:lvl>
  </w:abstractNum>
  <w:abstractNum w:abstractNumId="95">
    <w:nsid w:val="368DB37E"/>
    <w:multiLevelType w:val="hybridMultilevel"/>
    <w:lvl w:ilvl="0">
      <w:lvlJc w:val="left"/>
      <w:lvlText w:val="%1"/>
      <w:numFmt w:val="decimal"/>
      <w:start w:val="1"/>
    </w:lvl>
    <w:lvl w:ilvl="1">
      <w:lvlJc w:val="left"/>
      <w:lvlText w:val="(%2)"/>
      <w:numFmt w:val="lowerRoman"/>
      <w:start w:val="1"/>
    </w:lvl>
  </w:abstractNum>
  <w:abstractNum w:abstractNumId="96">
    <w:nsid w:val="6A3B714C"/>
    <w:multiLevelType w:val="hybridMultilevel"/>
    <w:lvl w:ilvl="0">
      <w:lvlJc w:val="left"/>
      <w:lvlText w:val="(%1)"/>
      <w:numFmt w:val="decimal"/>
      <w:start w:val="1"/>
    </w:lvl>
    <w:lvl w:ilvl="1">
      <w:lvlJc w:val="left"/>
      <w:lvlText w:val="(%2)"/>
      <w:numFmt w:val="lowerRoman"/>
      <w:start w:val="2"/>
    </w:lvl>
  </w:abstractNum>
  <w:abstractNum w:abstractNumId="97">
    <w:nsid w:val="327B517E"/>
    <w:multiLevelType w:val="hybridMultilevel"/>
    <w:lvl w:ilvl="0">
      <w:lvlJc w:val="left"/>
      <w:lvlText w:val="(%1)"/>
      <w:numFmt w:val="lowerLetter"/>
      <w:start w:val="2"/>
    </w:lvl>
    <w:lvl w:ilvl="1">
      <w:lvlJc w:val="left"/>
      <w:lvlText w:val="(%2)"/>
      <w:numFmt w:val="lowerRoman"/>
      <w:start w:val="1"/>
    </w:lvl>
  </w:abstractNum>
  <w:abstractNum w:abstractNumId="98">
    <w:nsid w:val="1F461B51"/>
    <w:multiLevelType w:val="hybridMultilevel"/>
    <w:lvl w:ilvl="0">
      <w:lvlJc w:val="left"/>
      <w:lvlText w:val="(%1)"/>
      <w:numFmt w:val="lowerLetter"/>
      <w:start w:val="4"/>
    </w:lvl>
  </w:abstractNum>
  <w:abstractNum w:abstractNumId="99">
    <w:nsid w:val="29BACF25"/>
    <w:multiLevelType w:val="hybridMultilevel"/>
    <w:lvl w:ilvl="0">
      <w:lvlJc w:val="left"/>
      <w:lvlText w:val="(%1)"/>
      <w:numFmt w:val="lowerLetter"/>
      <w:start w:val="2"/>
    </w:lvl>
  </w:abstractNum>
  <w:abstractNum w:abstractNumId="100">
    <w:nsid w:val="5D5BABB3"/>
    <w:multiLevelType w:val="hybridMultilevel"/>
    <w:lvl w:ilvl="0">
      <w:lvlJc w:val="left"/>
      <w:lvlText w:val="(%1)"/>
      <w:numFmt w:val="lowerLetter"/>
      <w:start w:val="1"/>
    </w:lvl>
  </w:abstractNum>
  <w:abstractNum w:abstractNumId="101">
    <w:nsid w:val="51BF6B48"/>
    <w:multiLevelType w:val="hybridMultilevel"/>
    <w:lvl w:ilvl="0">
      <w:lvlJc w:val="left"/>
      <w:lvlText w:val="(%1)"/>
      <w:numFmt w:val="lowerLetter"/>
      <w:start w:val="6"/>
    </w:lvl>
  </w:abstractNum>
  <w:abstractNum w:abstractNumId="102">
    <w:nsid w:val="7E0F6384"/>
    <w:multiLevelType w:val="hybridMultilevel"/>
    <w:lvl w:ilvl="0">
      <w:lvlJc w:val="left"/>
      <w:lvlText w:val="(%1)"/>
      <w:numFmt w:val="lowerLetter"/>
      <w:start w:val="2"/>
    </w:lvl>
  </w:abstractNum>
  <w:abstractNum w:abstractNumId="103">
    <w:nsid w:val="2B4B8B53"/>
    <w:multiLevelType w:val="hybridMultilevel"/>
    <w:lvl w:ilvl="0">
      <w:lvlJc w:val="left"/>
      <w:lvlText w:val="(%1)"/>
      <w:numFmt w:val="lowerLetter"/>
      <w:start w:val="1"/>
    </w:lvl>
  </w:abstractNum>
  <w:abstractNum w:abstractNumId="104">
    <w:nsid w:val="72E3413A"/>
    <w:multiLevelType w:val="hybridMultilevel"/>
    <w:lvl w:ilvl="0">
      <w:lvlJc w:val="left"/>
      <w:lvlText w:val="(%1)"/>
      <w:numFmt w:val="lowerLetter"/>
      <w:start w:val="3"/>
    </w:lvl>
  </w:abstractNum>
  <w:abstractNum w:abstractNumId="105">
    <w:nsid w:val="116AE494"/>
    <w:multiLevelType w:val="hybridMultilevel"/>
    <w:lvl w:ilvl="0">
      <w:lvlJc w:val="left"/>
      <w:lvlText w:val="(%1)"/>
      <w:numFmt w:val="lowerLetter"/>
      <w:start w:val="2"/>
    </w:lvl>
  </w:abstractNum>
  <w:abstractNum w:abstractNumId="106">
    <w:nsid w:val="3494B2FB"/>
    <w:multiLevelType w:val="hybridMultilevel"/>
    <w:lvl w:ilvl="0">
      <w:lvlJc w:val="left"/>
      <w:lvlText w:val="(%1)"/>
      <w:numFmt w:val="lowerRoman"/>
      <w:start w:val="1"/>
    </w:lvl>
  </w:abstractNum>
  <w:abstractNum w:abstractNumId="107">
    <w:nsid w:val="B13A31"/>
    <w:multiLevelType w:val="hybridMultilevel"/>
    <w:lvl w:ilvl="0">
      <w:lvlJc w:val="left"/>
      <w:lvlText w:val="(%1)"/>
      <w:numFmt w:val="lowerLetter"/>
      <w:start w:val="1"/>
    </w:lvl>
    <w:lvl w:ilvl="1">
      <w:lvlJc w:val="left"/>
      <w:lvlText w:val="(%2)"/>
      <w:numFmt w:val="lowerRoman"/>
      <w:start w:val="1"/>
    </w:lvl>
  </w:abstractNum>
  <w:abstractNum w:abstractNumId="108">
    <w:nsid w:val="64429599"/>
    <w:multiLevelType w:val="hybridMultilevel"/>
    <w:lvl w:ilvl="0">
      <w:lvlJc w:val="left"/>
      <w:lvlText w:val="(%1)"/>
      <w:numFmt w:val="lowerLetter"/>
      <w:start w:val="2"/>
    </w:lvl>
  </w:abstractNum>
  <w:abstractNum w:abstractNumId="109">
    <w:nsid w:val="631F1690"/>
    <w:multiLevelType w:val="hybridMultilevel"/>
    <w:lvl w:ilvl="0">
      <w:lvlJc w:val="left"/>
      <w:lvlText w:val="(%1)"/>
      <w:numFmt w:val="lowerRoman"/>
      <w:start w:val="2"/>
    </w:lvl>
  </w:abstractNum>
  <w:abstractNum w:abstractNumId="110">
    <w:nsid w:val="25973E32"/>
    <w:multiLevelType w:val="hybridMultilevel"/>
    <w:lvl w:ilvl="0">
      <w:lvlJc w:val="left"/>
      <w:lvlText w:val="(%1)"/>
      <w:numFmt w:val="lowerRoman"/>
      <w:start w:val="3"/>
    </w:lvl>
  </w:abstractNum>
  <w:abstractNum w:abstractNumId="111">
    <w:nsid w:val="EAD6F57"/>
    <w:multiLevelType w:val="hybridMultilevel"/>
    <w:lvl w:ilvl="0">
      <w:lvlJc w:val="left"/>
      <w:lvlText w:val="(%1)"/>
      <w:numFmt w:val="lowerRoman"/>
      <w:start w:val="7"/>
    </w:lvl>
  </w:abstractNum>
  <w:abstractNum w:abstractNumId="112">
    <w:nsid w:val="6EC9D844"/>
    <w:multiLevelType w:val="hybridMultilevel"/>
    <w:lvl w:ilvl="0">
      <w:lvlJc w:val="left"/>
      <w:lvlText w:val="(%1)"/>
      <w:numFmt w:val="lowerLetter"/>
      <w:start w:val="3"/>
    </w:lvl>
  </w:abstractNum>
  <w:abstractNum w:abstractNumId="113">
    <w:nsid w:val="5C49EAEE"/>
    <w:multiLevelType w:val="hybridMultilevel"/>
    <w:lvl w:ilvl="0">
      <w:lvlJc w:val="left"/>
      <w:lvlText w:val="(%1)"/>
      <w:numFmt w:val="decimal"/>
      <w:start w:val="1"/>
    </w:lvl>
  </w:abstractNum>
  <w:abstractNum w:abstractNumId="114">
    <w:nsid w:val="64AF49B"/>
    <w:multiLevelType w:val="hybridMultilevel"/>
    <w:lvl w:ilvl="0">
      <w:lvlJc w:val="left"/>
      <w:lvlText w:val="(%1)"/>
      <w:numFmt w:val="decimal"/>
      <w:start w:val="2"/>
    </w:lvl>
  </w:abstractNum>
  <w:abstractNum w:abstractNumId="115">
    <w:nsid w:val="397C46BC"/>
    <w:multiLevelType w:val="hybridMultilevel"/>
    <w:lvl w:ilvl="0">
      <w:lvlJc w:val="left"/>
      <w:lvlText w:val="(%1)"/>
      <w:numFmt w:val="decimal"/>
      <w:start w:val="1"/>
    </w:lvl>
    <w:lvl w:ilvl="1">
      <w:lvlJc w:val="left"/>
      <w:lvlText w:val="(%2)"/>
      <w:numFmt w:val="lowerLetter"/>
      <w:start w:val="1"/>
    </w:lvl>
  </w:abstractNum>
  <w:abstractNum w:abstractNumId="116">
    <w:nsid w:val="7E448DE9"/>
    <w:multiLevelType w:val="hybridMultilevel"/>
    <w:lvl w:ilvl="0">
      <w:lvlJc w:val="left"/>
      <w:lvlText w:val="(%1)"/>
      <w:numFmt w:val="decimal"/>
      <w:start w:val="1"/>
    </w:lvl>
  </w:abstractNum>
  <w:abstractNum w:abstractNumId="117">
    <w:nsid w:val="5A9CC3E5"/>
    <w:multiLevelType w:val="hybridMultilevel"/>
    <w:lvl w:ilvl="0">
      <w:lvlJc w:val="left"/>
      <w:lvlText w:val="(%1)"/>
      <w:numFmt w:val="decimal"/>
      <w:start w:val="3"/>
    </w:lvl>
  </w:abstractNum>
  <w:abstractNum w:abstractNumId="118">
    <w:nsid w:val="1AFE3625"/>
    <w:multiLevelType w:val="hybridMultilevel"/>
    <w:lvl w:ilvl="0">
      <w:lvlJc w:val="left"/>
      <w:lvlText w:val="(%1)"/>
      <w:numFmt w:val="lowerLetter"/>
      <w:start w:val="1"/>
    </w:lvl>
  </w:abstractNum>
  <w:abstractNum w:abstractNumId="119">
    <w:nsid w:val="3CA88ECF"/>
    <w:multiLevelType w:val="hybridMultilevel"/>
    <w:lvl w:ilvl="0">
      <w:lvlJc w:val="left"/>
      <w:lvlText w:val="(%1)"/>
      <w:numFmt w:val="lowerLetter"/>
      <w:start w:val="2"/>
    </w:lvl>
  </w:abstractNum>
  <w:abstractNum w:abstractNumId="120">
    <w:nsid w:val="6EBE4208"/>
    <w:multiLevelType w:val="hybridMultilevel"/>
    <w:lvl w:ilvl="0">
      <w:lvlJc w:val="left"/>
      <w:lvlText w:val="(%1)"/>
      <w:numFmt w:val="upperLetter"/>
      <w:start w:val="1"/>
    </w:lvl>
  </w:abstractNum>
  <w:abstractNum w:abstractNumId="121">
    <w:nsid w:val="C058DF5"/>
    <w:multiLevelType w:val="hybridMultilevel"/>
    <w:lvl w:ilvl="0">
      <w:lvlJc w:val="left"/>
      <w:lvlText w:val="(%1)"/>
      <w:numFmt w:val="lowerLetter"/>
      <w:start w:val="2"/>
    </w:lvl>
  </w:abstractNum>
  <w:abstractNum w:abstractNumId="122">
    <w:nsid w:val="CBE5BE9"/>
    <w:multiLevelType w:val="hybridMultilevel"/>
    <w:lvl w:ilvl="0">
      <w:lvlJc w:val="left"/>
      <w:lvlText w:val="(%1)"/>
      <w:numFmt w:val="lowerLetter"/>
      <w:start w:val="1"/>
    </w:lvl>
    <w:lvl w:ilvl="1">
      <w:lvlJc w:val="left"/>
      <w:lvlText w:val="(%2)"/>
      <w:numFmt w:val="lowerRoman"/>
      <w:start w:val="1"/>
    </w:lvl>
  </w:abstractNum>
  <w:abstractNum w:abstractNumId="123">
    <w:nsid w:val="3102BBE2"/>
    <w:multiLevelType w:val="hybridMultilevel"/>
    <w:lvl w:ilvl="0">
      <w:lvlJc w:val="left"/>
      <w:lvlText w:val="(%1)"/>
      <w:numFmt w:val="lowerRoman"/>
      <w:start w:val="3"/>
    </w:lvl>
  </w:abstractNum>
  <w:abstractNum w:abstractNumId="124">
    <w:nsid w:val="26A02C5E"/>
    <w:multiLevelType w:val="hybridMultilevel"/>
    <w:lvl w:ilvl="0">
      <w:lvlJc w:val="left"/>
      <w:lvlText w:val="%1"/>
      <w:numFmt w:val="lowerLetter"/>
      <w:start w:val="1"/>
    </w:lvl>
    <w:lvl w:ilvl="1">
      <w:lvlJc w:val="left"/>
      <w:lvlText w:val="(%2)"/>
      <w:numFmt w:val="lowerLetter"/>
      <w:start w:val="22"/>
    </w:lvl>
  </w:abstractNum>
  <w:abstractNum w:abstractNumId="125">
    <w:nsid w:val="541C8153"/>
    <w:multiLevelType w:val="hybridMultilevel"/>
    <w:lvl w:ilvl="0">
      <w:lvlJc w:val="left"/>
      <w:lvlText w:val="(%1)"/>
      <w:numFmt w:val="lowerLetter"/>
      <w:start w:val="2"/>
    </w:lvl>
    <w:lvl w:ilvl="1">
      <w:lvlJc w:val="left"/>
      <w:lvlText w:val="%2"/>
      <w:numFmt w:val="lowerLetter"/>
      <w:start w:val="1"/>
    </w:lvl>
  </w:abstractNum>
  <w:abstractNum w:abstractNumId="126">
    <w:nsid w:val="67906F60"/>
    <w:multiLevelType w:val="hybridMultilevel"/>
    <w:lvl w:ilvl="0">
      <w:lvlJc w:val="left"/>
      <w:lvlText w:val="(%1)"/>
      <w:numFmt w:val="lowerLetter"/>
      <w:start w:val="1"/>
    </w:lvl>
  </w:abstractNum>
  <w:abstractNum w:abstractNumId="127">
    <w:nsid w:val="10DB9DAA"/>
    <w:multiLevelType w:val="hybridMultilevel"/>
    <w:lvl w:ilvl="0">
      <w:lvlJc w:val="left"/>
      <w:lvlText w:val="(%1)"/>
      <w:numFmt w:val="lowerLetter"/>
      <w:start w:val="3"/>
    </w:lvl>
  </w:abstractNum>
  <w:abstractNum w:abstractNumId="128">
    <w:nsid w:val="697D2D2"/>
    <w:multiLevelType w:val="hybridMultilevel"/>
    <w:lvl w:ilvl="0">
      <w:lvlJc w:val="left"/>
      <w:lvlText w:val="(%1)"/>
      <w:numFmt w:val="lowerLetter"/>
      <w:start w:val="11"/>
    </w:lvl>
    <w:lvl w:ilvl="1">
      <w:lvlJc w:val="left"/>
      <w:lvlText w:val="(%2)"/>
      <w:numFmt w:val="lowerRoman"/>
      <w:start w:val="1"/>
    </w:lvl>
  </w:abstractNum>
  <w:abstractNum w:abstractNumId="129">
    <w:nsid w:val="6D68AB2"/>
    <w:multiLevelType w:val="hybridMultilevel"/>
    <w:lvl w:ilvl="0">
      <w:lvlJc w:val="left"/>
      <w:lvlText w:val="(%1)"/>
      <w:numFmt w:val="lowerLetter"/>
      <w:start w:val="15"/>
    </w:lvl>
  </w:abstractNum>
  <w:abstractNum w:abstractNumId="130">
    <w:nsid w:val="3A966CD0"/>
    <w:multiLevelType w:val="hybridMultilevel"/>
    <w:lvl w:ilvl="0">
      <w:lvlJc w:val="left"/>
      <w:lvlText w:val="(%1)"/>
      <w:numFmt w:val="lowerLetter"/>
      <w:start w:val="1"/>
    </w:lvl>
  </w:abstractNum>
  <w:abstractNum w:abstractNumId="131">
    <w:nsid w:val="63F37E85"/>
    <w:multiLevelType w:val="hybridMultilevel"/>
    <w:lvl w:ilvl="0">
      <w:lvlJc w:val="left"/>
      <w:lvlText w:val="(%1)"/>
      <w:numFmt w:val="lowerLetter"/>
      <w:start w:val="1"/>
    </w:lvl>
  </w:abstractNum>
  <w:abstractNum w:abstractNumId="132">
    <w:nsid w:val="5895F5FA"/>
    <w:multiLevelType w:val="hybridMultilevel"/>
    <w:lvl w:ilvl="0">
      <w:lvlJc w:val="left"/>
      <w:lvlText w:val="(%1)"/>
      <w:numFmt w:val="lowerRoman"/>
      <w:start w:val="3"/>
    </w:lvl>
  </w:abstractNum>
  <w:abstractNum w:abstractNumId="133">
    <w:nsid w:val="38A5D054"/>
    <w:multiLevelType w:val="hybridMultilevel"/>
    <w:lvl w:ilvl="0">
      <w:lvlJc w:val="left"/>
      <w:lvlText w:val="(%1)"/>
      <w:numFmt w:val="lowerLetter"/>
      <w:start w:val="5"/>
    </w:lvl>
  </w:abstractNum>
  <w:abstractNum w:abstractNumId="134">
    <w:nsid w:val="F3F09D8"/>
    <w:multiLevelType w:val="hybridMultilevel"/>
    <w:lvl w:ilvl="0">
      <w:lvlJc w:val="left"/>
      <w:lvlText w:val="(%1)"/>
      <w:numFmt w:val="lowerLetter"/>
      <w:start w:val="8"/>
    </w:lvl>
  </w:abstractNum>
  <w:abstractNum w:abstractNumId="135">
    <w:nsid w:val="4B793735"/>
    <w:multiLevelType w:val="hybridMultilevel"/>
    <w:lvl w:ilvl="0">
      <w:lvlJc w:val="left"/>
      <w:lvlText w:val="(%1)"/>
      <w:numFmt w:val="lowerLetter"/>
      <w:start w:val="16"/>
    </w:lvl>
    <w:lvl w:ilvl="1">
      <w:lvlJc w:val="left"/>
      <w:lvlText w:val="(%2)"/>
      <w:numFmt w:val="lowerRoman"/>
      <w:start w:val="1"/>
    </w:lvl>
  </w:abstractNum>
  <w:abstractNum w:abstractNumId="136">
    <w:nsid w:val="4A10B4E8"/>
    <w:multiLevelType w:val="hybridMultilevel"/>
    <w:lvl w:ilvl="0">
      <w:lvlJc w:val="left"/>
      <w:lvlText w:val="(%1)"/>
      <w:numFmt w:val="decimal"/>
      <w:start w:val="18"/>
    </w:lvl>
    <w:lvl w:ilvl="1">
      <w:lvlJc w:val="left"/>
      <w:lvlText w:val="(%2)"/>
      <w:numFmt w:val="lowerRoman"/>
      <w:start w:val="4"/>
    </w:lvl>
  </w:abstractNum>
  <w:abstractNum w:abstractNumId="137">
    <w:nsid w:val="43D3BCD4"/>
    <w:multiLevelType w:val="hybridMultilevel"/>
    <w:lvl w:ilvl="0">
      <w:lvlJc w:val="left"/>
      <w:lvlText w:val="(%1)"/>
      <w:numFmt w:val="lowerLetter"/>
      <w:start w:val="1"/>
    </w:lvl>
  </w:abstractNum>
  <w:abstractNum w:abstractNumId="138">
    <w:nsid w:val="4C2A7166"/>
    <w:multiLevelType w:val="hybridMultilevel"/>
    <w:lvl w:ilvl="0">
      <w:lvlJc w:val="left"/>
      <w:lvlText w:val="(%1)"/>
      <w:numFmt w:val="lowerLetter"/>
      <w:start w:val="5"/>
    </w:lvl>
  </w:abstractNum>
  <w:abstractNum w:abstractNumId="139">
    <w:nsid w:val="2E534A82"/>
    <w:multiLevelType w:val="hybridMultilevel"/>
    <w:lvl w:ilvl="0">
      <w:lvlJc w:val="left"/>
      <w:lvlText w:val="(%1)"/>
      <w:numFmt w:val="lowerLetter"/>
      <w:start w:val="9"/>
    </w:lvl>
  </w:abstractNum>
  <w:abstractNum w:abstractNumId="140">
    <w:nsid w:val="26F2D364"/>
    <w:multiLevelType w:val="hybridMultilevel"/>
    <w:lvl w:ilvl="0">
      <w:lvlJc w:val="left"/>
      <w:lvlText w:val="(%1)"/>
      <w:numFmt w:val="lowerLetter"/>
      <w:start w:val="1"/>
    </w:lvl>
  </w:abstractNum>
  <w:abstractNum w:abstractNumId="141">
    <w:nsid w:val="71C1AF98"/>
    <w:multiLevelType w:val="hybridMultilevel"/>
    <w:lvl w:ilvl="0">
      <w:lvlJc w:val="left"/>
      <w:lvlText w:val="(%1)"/>
      <w:numFmt w:val="lowerRoman"/>
      <w:start w:val="2"/>
    </w:lvl>
  </w:abstractNum>
  <w:abstractNum w:abstractNumId="142">
    <w:nsid w:val="3D00B9D9"/>
    <w:multiLevelType w:val="hybridMultilevel"/>
    <w:lvl w:ilvl="0">
      <w:lvlJc w:val="left"/>
      <w:lvlText w:val="(%1)"/>
      <w:numFmt w:val="lowerLetter"/>
      <w:start w:val="3"/>
    </w:lvl>
  </w:abstractNum>
  <w:abstractNum w:abstractNumId="143">
    <w:nsid w:val="15BCABA8"/>
    <w:multiLevelType w:val="hybridMultilevel"/>
    <w:lvl w:ilvl="0">
      <w:lvlJc w:val="left"/>
      <w:lvlText w:val="(%1)"/>
      <w:numFmt w:val="lowerLetter"/>
      <w:start w:val="4"/>
    </w:lvl>
    <w:lvl w:ilvl="1">
      <w:lvlJc w:val="left"/>
      <w:lvlText w:val="(%2)"/>
      <w:numFmt w:val="lowerRoman"/>
      <w:start w:val="1"/>
    </w:lvl>
  </w:abstractNum>
  <w:abstractNum w:abstractNumId="144">
    <w:nsid w:val="4E0B9A87"/>
    <w:multiLevelType w:val="hybridMultilevel"/>
    <w:lvl w:ilvl="0">
      <w:lvlJc w:val="left"/>
      <w:lvlText w:val="%1"/>
      <w:numFmt w:val="lowerLetter"/>
      <w:start w:val="1"/>
    </w:lvl>
    <w:lvl w:ilvl="1">
      <w:lvlJc w:val="left"/>
      <w:lvlText w:val="(%2)"/>
      <w:numFmt w:val="lowerRoman"/>
      <w:start w:val="5"/>
    </w:lvl>
  </w:abstractNum>
  <w:abstractNum w:abstractNumId="145">
    <w:nsid w:val="434BAE75"/>
    <w:multiLevelType w:val="hybridMultilevel"/>
    <w:lvl w:ilvl="0">
      <w:lvlJc w:val="left"/>
      <w:lvlText w:val="(%1)"/>
      <w:numFmt w:val="lowerLetter"/>
      <w:start w:val="5"/>
    </w:lvl>
    <w:lvl w:ilvl="1">
      <w:lvlJc w:val="left"/>
      <w:lvlText w:val="%2"/>
      <w:numFmt w:val="lowerRoman"/>
      <w:start w:val="1"/>
    </w:lvl>
  </w:abstractNum>
  <w:abstractNum w:abstractNumId="146">
    <w:nsid w:val="4F38F265"/>
    <w:multiLevelType w:val="hybridMultilevel"/>
    <w:lvl w:ilvl="0">
      <w:lvlJc w:val="left"/>
      <w:lvlText w:val="(%1)"/>
      <w:numFmt w:val="lowerLetter"/>
      <w:start w:val="6"/>
    </w:lvl>
    <w:lvl w:ilvl="1">
      <w:lvlJc w:val="left"/>
      <w:lvlText w:val="(%2)"/>
      <w:numFmt w:val="lowerRoman"/>
      <w:start w:val="1"/>
    </w:lvl>
  </w:abstractNum>
  <w:abstractNum w:abstractNumId="147">
    <w:nsid w:val="4C502870"/>
    <w:multiLevelType w:val="hybridMultilevel"/>
    <w:lvl w:ilvl="0">
      <w:lvlJc w:val="left"/>
      <w:lvlText w:val="%1"/>
      <w:numFmt w:val="lowerLetter"/>
      <w:start w:val="1"/>
    </w:lvl>
    <w:lvl w:ilvl="1">
      <w:lvlJc w:val="left"/>
      <w:lvlText w:val="(%2)"/>
      <w:numFmt w:val="lowerLetter"/>
      <w:start w:val="7"/>
    </w:lvl>
  </w:abstractNum>
  <w:abstractNum w:abstractNumId="148">
    <w:nsid w:val="1DE8725A"/>
    <w:multiLevelType w:val="hybridMultilevel"/>
    <w:lvl w:ilvl="0">
      <w:lvlJc w:val="left"/>
      <w:lvlText w:val="(%1)"/>
      <w:numFmt w:val="lowerLetter"/>
      <w:start w:val="35"/>
    </w:lvl>
    <w:lvl w:ilvl="1">
      <w:lvlJc w:val="left"/>
      <w:lvlText w:val="%2"/>
      <w:numFmt w:val="lowerLetter"/>
      <w:start w:val="1"/>
    </w:lvl>
  </w:abstractNum>
  <w:abstractNum w:abstractNumId="149">
    <w:nsid w:val="6A37288A"/>
    <w:multiLevelType w:val="hybridMultilevel"/>
    <w:lvl w:ilvl="0">
      <w:lvlJc w:val="left"/>
      <w:lvlText w:val="(%1)"/>
      <w:numFmt w:val="lowerLetter"/>
      <w:start w:val="8"/>
    </w:lvl>
  </w:abstractNum>
  <w:abstractNum w:abstractNumId="150">
    <w:nsid w:val="8F8B73F"/>
    <w:multiLevelType w:val="hybridMultilevel"/>
    <w:lvl w:ilvl="0">
      <w:lvlJc w:val="left"/>
      <w:lvlText w:val="(%1)"/>
      <w:numFmt w:val="lowerLetter"/>
      <w:start w:val="13"/>
    </w:lvl>
  </w:abstractNum>
  <w:abstractNum w:abstractNumId="151">
    <w:nsid w:val="CA6B462"/>
    <w:multiLevelType w:val="hybridMultilevel"/>
    <w:lvl w:ilvl="0">
      <w:lvlJc w:val="left"/>
      <w:lvlText w:val="(%1)"/>
      <w:numFmt w:val="lowerLetter"/>
      <w:start w:val="1"/>
    </w:lvl>
  </w:abstractNum>
  <w:abstractNum w:abstractNumId="152">
    <w:nsid w:val="763CB680"/>
    <w:multiLevelType w:val="hybridMultilevel"/>
    <w:lvl w:ilvl="0">
      <w:lvlJc w:val="left"/>
      <w:lvlText w:val="(%1)"/>
      <w:numFmt w:val="lowerLetter"/>
      <w:start w:val="5"/>
    </w:lvl>
  </w:abstractNum>
  <w:abstractNum w:abstractNumId="153">
    <w:nsid w:val="15B71329"/>
    <w:multiLevelType w:val="hybridMultilevel"/>
    <w:lvl w:ilvl="0">
      <w:lvlJc w:val="left"/>
      <w:lvlText w:val="(%1)"/>
      <w:numFmt w:val="lowerLetter"/>
      <w:start w:val="13"/>
    </w:lvl>
  </w:abstractNum>
  <w:abstractNum w:abstractNumId="154">
    <w:nsid w:val="3DA97044"/>
    <w:multiLevelType w:val="hybridMultilevel"/>
    <w:lvl w:ilvl="0">
      <w:lvlJc w:val="left"/>
      <w:lvlText w:val="(%1)"/>
      <w:numFmt w:val="lowerLetter"/>
      <w:start w:val="21"/>
    </w:lvl>
  </w:abstractNum>
  <w:abstractNum w:abstractNumId="155">
    <w:nsid w:val="1CDCE2DE"/>
    <w:multiLevelType w:val="hybridMultilevel"/>
    <w:lvl w:ilvl="0">
      <w:lvlJc w:val="left"/>
      <w:lvlText w:val="(%1)"/>
      <w:numFmt w:val="lowerLetter"/>
      <w:start w:val="1"/>
    </w:lvl>
  </w:abstractNum>
  <w:abstractNum w:abstractNumId="156">
    <w:nsid w:val="69D3947C"/>
    <w:multiLevelType w:val="hybridMultilevel"/>
    <w:lvl w:ilvl="0">
      <w:lvlJc w:val="left"/>
      <w:lvlText w:val="(%1)"/>
      <w:numFmt w:val="lowerLetter"/>
      <w:start w:val="2"/>
    </w:lvl>
  </w:abstractNum>
  <w:abstractNum w:abstractNumId="157">
    <w:nsid w:val="2539DFA5"/>
    <w:multiLevelType w:val="hybridMultilevel"/>
    <w:lvl w:ilvl="0">
      <w:lvlJc w:val="left"/>
      <w:lvlText w:val="(%1)"/>
      <w:numFmt w:val="lowerRoman"/>
      <w:start w:val="2"/>
    </w:lvl>
  </w:abstractNum>
  <w:abstractNum w:abstractNumId="158">
    <w:nsid w:val="2DB88089"/>
    <w:multiLevelType w:val="hybridMultilevel"/>
    <w:lvl w:ilvl="0">
      <w:lvlJc w:val="left"/>
      <w:lvlText w:val="(%1)"/>
      <w:numFmt w:val="lowerLetter"/>
      <w:start w:val="3"/>
    </w:lvl>
  </w:abstractNum>
  <w:abstractNum w:abstractNumId="159">
    <w:nsid w:val="706B674E"/>
    <w:multiLevelType w:val="hybridMultilevel"/>
    <w:lvl w:ilvl="0">
      <w:lvlJc w:val="left"/>
      <w:lvlText w:val="(%1)"/>
      <w:numFmt w:val="lowerLetter"/>
      <w:start w:val="4"/>
    </w:lvl>
  </w:abstractNum>
  <w:abstractNum w:abstractNumId="160">
    <w:nsid w:val="2C106A57"/>
    <w:multiLevelType w:val="hybridMultilevel"/>
    <w:lvl w:ilvl="0">
      <w:lvlJc w:val="left"/>
      <w:lvlText w:val="%1"/>
      <w:numFmt w:val="lowerLetter"/>
      <w:start w:val="1"/>
    </w:lvl>
    <w:lvl w:ilvl="1">
      <w:lvlJc w:val="left"/>
      <w:lvlText w:val="(%2)"/>
      <w:numFmt w:val="lowerLetter"/>
      <w:start w:val="5"/>
    </w:lvl>
  </w:abstractNum>
  <w:abstractNum w:abstractNumId="161">
    <w:nsid w:val="684EED59"/>
    <w:multiLevelType w:val="hybridMultilevel"/>
    <w:lvl w:ilvl="0">
      <w:lvlJc w:val="left"/>
      <w:lvlText w:val="(%1)"/>
      <w:numFmt w:val="lowerLetter"/>
      <w:start w:val="5"/>
    </w:lvl>
    <w:lvl w:ilvl="1">
      <w:lvlJc w:val="left"/>
      <w:lvlText w:val="(%2)"/>
      <w:numFmt w:val="lowerLetter"/>
      <w:start w:val="6"/>
    </w:lvl>
  </w:abstractNum>
  <w:abstractNum w:abstractNumId="162">
    <w:nsid w:val="545EE5D3"/>
    <w:multiLevelType w:val="hybridMultilevel"/>
    <w:lvl w:ilvl="0">
      <w:lvlJc w:val="left"/>
      <w:lvlText w:val="(%1)"/>
      <w:numFmt w:val="lowerLetter"/>
      <w:start w:val="1"/>
    </w:lvl>
  </w:abstractNum>
  <w:abstractNum w:abstractNumId="163">
    <w:nsid w:val="4A66051"/>
    <w:multiLevelType w:val="hybridMultilevel"/>
    <w:lvl w:ilvl="0">
      <w:lvlJc w:val="left"/>
      <w:lvlText w:val="(%1)"/>
      <w:numFmt w:val="lowerLetter"/>
      <w:start w:val="3"/>
    </w:lvl>
  </w:abstractNum>
  <w:abstractNum w:abstractNumId="164">
    <w:nsid w:val="20F4BDAD"/>
    <w:multiLevelType w:val="hybridMultilevel"/>
    <w:lvl w:ilvl="0">
      <w:lvlJc w:val="left"/>
      <w:lvlText w:val="(%1)"/>
      <w:numFmt w:val="decimal"/>
      <w:start w:val="1"/>
    </w:lvl>
  </w:abstractNum>
  <w:abstractNum w:abstractNumId="165">
    <w:nsid w:val="639DEFAC"/>
    <w:multiLevelType w:val="hybridMultilevel"/>
    <w:lvl w:ilvl="0">
      <w:lvlJc w:val="left"/>
      <w:lvlText w:val="(%1)"/>
      <w:numFmt w:val="decimal"/>
      <w:start w:val="8"/>
    </w:lvl>
  </w:abstractNum>
  <w:abstractNum w:abstractNumId="166">
    <w:nsid w:val="501F9786"/>
    <w:multiLevelType w:val="hybridMultilevel"/>
    <w:lvl w:ilvl="0">
      <w:lvlJc w:val="left"/>
      <w:lvlText w:val="(%1)"/>
      <w:numFmt w:val="decimal"/>
      <w:start w:val="21"/>
    </w:lvl>
  </w:abstractNum>
  <w:abstractNum w:abstractNumId="167">
    <w:nsid w:val="6B057295"/>
    <w:multiLevelType w:val="hybridMultilevel"/>
    <w:lvl w:ilvl="0">
      <w:lvlJc w:val="left"/>
      <w:lvlText w:val="(%1)"/>
      <w:numFmt w:val="lowerLetter"/>
      <w:start w:val="1"/>
    </w:lvl>
  </w:abstractNum>
  <w:abstractNum w:abstractNumId="168">
    <w:nsid w:val="2771AC80"/>
    <w:multiLevelType w:val="hybridMultilevel"/>
    <w:lvl w:ilvl="0">
      <w:lvlJc w:val="left"/>
      <w:lvlText w:val="(%1)"/>
      <w:numFmt w:val="lowerLetter"/>
      <w:start w:val="6"/>
    </w:lvl>
  </w:abstractNum>
  <w:abstractNum w:abstractNumId="169">
    <w:nsid w:val="1C4A08EC"/>
    <w:multiLevelType w:val="hybridMultilevel"/>
    <w:lvl w:ilvl="0">
      <w:lvlJc w:val="left"/>
      <w:lvlText w:val="(%1)"/>
      <w:numFmt w:val="lowerLetter"/>
      <w:start w:val="23"/>
    </w:lvl>
  </w:abstractNum>
  <w:abstractNum w:abstractNumId="170">
    <w:nsid w:val="1958BD17"/>
    <w:multiLevelType w:val="hybridMultilevel"/>
    <w:lvl w:ilvl="0">
      <w:lvlJc w:val="left"/>
      <w:lvlText w:val="(%1)"/>
      <w:numFmt w:val="lowerLetter"/>
      <w:start w:val="1"/>
    </w:lvl>
  </w:abstractNum>
  <w:abstractNum w:abstractNumId="171">
    <w:nsid w:val="4E647FE4"/>
    <w:multiLevelType w:val="hybridMultilevel"/>
    <w:lvl w:ilvl="0">
      <w:lvlJc w:val="left"/>
      <w:lvlText w:val="(%1)"/>
      <w:numFmt w:val="lowerLetter"/>
      <w:start w:val="4"/>
    </w:lvl>
  </w:abstractNum>
  <w:abstractNum w:abstractNumId="172">
    <w:nsid w:val="E0BB885"/>
    <w:multiLevelType w:val="hybridMultilevel"/>
    <w:lvl w:ilvl="0">
      <w:lvlJc w:val="left"/>
      <w:lvlText w:val="(%1)"/>
      <w:numFmt w:val="lowerLetter"/>
      <w:start w:val="12"/>
    </w:lvl>
  </w:abstractNum>
  <w:abstractNum w:abstractNumId="173">
    <w:nsid w:val="565976F1"/>
    <w:multiLevelType w:val="hybridMultilevel"/>
    <w:lvl w:ilvl="0">
      <w:lvlJc w:val="left"/>
      <w:lvlText w:val="(%1)"/>
      <w:numFmt w:val="lowerRoman"/>
      <w:start w:val="1"/>
    </w:lvl>
  </w:abstractNum>
  <w:abstractNum w:abstractNumId="174">
    <w:nsid w:val="64212B8C"/>
    <w:multiLevelType w:val="hybridMultilevel"/>
    <w:lvl w:ilvl="0">
      <w:lvlJc w:val="left"/>
      <w:lvlText w:val="(%1)"/>
      <w:numFmt w:val="lowerRoman"/>
      <w:start w:val="4"/>
    </w:lvl>
  </w:abstractNum>
  <w:abstractNum w:abstractNumId="175">
    <w:nsid w:val="5C17530C"/>
    <w:multiLevelType w:val="hybridMultilevel"/>
    <w:lvl w:ilvl="0">
      <w:lvlJc w:val="left"/>
      <w:lvlText w:val="(%1)"/>
      <w:numFmt w:val="lowerLetter"/>
      <w:start w:val="2"/>
    </w:lvl>
  </w:abstractNum>
  <w:abstractNum w:abstractNumId="176">
    <w:nsid w:val="19A52566"/>
    <w:multiLevelType w:val="hybridMultilevel"/>
    <w:lvl w:ilvl="0">
      <w:lvlJc w:val="left"/>
      <w:lvlText w:val="(%1)"/>
      <w:numFmt w:val="lowerLetter"/>
      <w:start w:val="2"/>
    </w:lvl>
  </w:abstractNum>
  <w:abstractNum w:abstractNumId="177">
    <w:nsid w:val="335A1DF1"/>
    <w:multiLevelType w:val="hybridMultilevel"/>
    <w:lvl w:ilvl="0">
      <w:lvlJc w:val="left"/>
      <w:lvlText w:val="(%1)"/>
      <w:numFmt w:val="lowerLetter"/>
      <w:start w:val="2"/>
    </w:lvl>
  </w:abstractNum>
  <w:abstractNum w:abstractNumId="178">
    <w:nsid w:val="28677B7C"/>
    <w:multiLevelType w:val="hybridMultilevel"/>
    <w:lvl w:ilvl="0">
      <w:lvlJc w:val="left"/>
      <w:lvlText w:val="(%1)"/>
      <w:numFmt w:val="lowerRoman"/>
      <w:start w:val="1"/>
    </w:lvl>
  </w:abstractNum>
  <w:abstractNum w:abstractNumId="179">
    <w:nsid w:val="378D97C0"/>
    <w:multiLevelType w:val="hybridMultilevel"/>
    <w:lvl w:ilvl="0">
      <w:lvlJc w:val="left"/>
      <w:lvlText w:val="(%1)"/>
      <w:numFmt w:val="lowerRoman"/>
      <w:start w:val="3"/>
    </w:lvl>
  </w:abstractNum>
  <w:abstractNum w:abstractNumId="180">
    <w:nsid w:val="1D91467C"/>
    <w:multiLevelType w:val="hybridMultilevel"/>
    <w:lvl w:ilvl="0">
      <w:lvlJc w:val="left"/>
      <w:lvlText w:val="(%1)"/>
      <w:numFmt w:val="lowerLetter"/>
      <w:start w:val="2"/>
    </w:lvl>
  </w:abstractNum>
  <w:abstractNum w:abstractNumId="181">
    <w:nsid w:val="316032BB"/>
    <w:multiLevelType w:val="hybridMultilevel"/>
    <w:lvl w:ilvl="0">
      <w:lvlJc w:val="left"/>
      <w:lvlText w:val="(%1)"/>
      <w:numFmt w:val="lowerLetter"/>
      <w:start w:val="2"/>
    </w:lvl>
  </w:abstractNum>
  <w:abstractNum w:abstractNumId="182">
    <w:nsid w:val="44344C22"/>
    <w:multiLevelType w:val="hybridMultilevel"/>
    <w:lvl w:ilvl="0">
      <w:lvlJc w:val="left"/>
      <w:lvlText w:val="(%1)"/>
      <w:numFmt w:val="decimal"/>
      <w:start w:val="30"/>
    </w:lvl>
  </w:abstractNum>
  <w:abstractNum w:abstractNumId="183">
    <w:nsid w:val="13CDFCFC"/>
    <w:multiLevelType w:val="hybridMultilevel"/>
    <w:lvl w:ilvl="0">
      <w:lvlJc w:val="left"/>
      <w:lvlText w:val="(%1)"/>
      <w:numFmt w:val="lowerLetter"/>
      <w:start w:val="2"/>
    </w:lvl>
  </w:abstractNum>
  <w:abstractNum w:abstractNumId="184">
    <w:nsid w:val="471745E4"/>
    <w:multiLevelType w:val="hybridMultilevel"/>
    <w:lvl w:ilvl="0">
      <w:lvlJc w:val="left"/>
      <w:lvlText w:val="(%1)"/>
      <w:numFmt w:val="lowerLetter"/>
      <w:start w:val="3"/>
    </w:lvl>
  </w:abstractNum>
  <w:abstractNum w:abstractNumId="185">
    <w:nsid w:val="1DDBC66"/>
    <w:multiLevelType w:val="hybridMultilevel"/>
    <w:lvl w:ilvl="0">
      <w:lvlJc w:val="left"/>
      <w:lvlText w:val="(%1)"/>
      <w:numFmt w:val="lowerLetter"/>
      <w:start w:val="1"/>
    </w:lvl>
  </w:abstractNum>
  <w:abstractNum w:abstractNumId="186">
    <w:nsid w:val="30AADFDA"/>
    <w:multiLevelType w:val="hybridMultilevel"/>
    <w:lvl w:ilvl="0">
      <w:lvlJc w:val="left"/>
      <w:lvlText w:val="(%1)"/>
      <w:numFmt w:val="lowerLetter"/>
      <w:start w:val="2"/>
    </w:lvl>
  </w:abstractNum>
  <w:abstractNum w:abstractNumId="187">
    <w:nsid w:val="30EADA61"/>
    <w:multiLevelType w:val="hybridMultilevel"/>
    <w:lvl w:ilvl="0">
      <w:lvlJc w:val="left"/>
      <w:lvlText w:val="(%1)"/>
      <w:numFmt w:val="upperLetter"/>
      <w:start w:val="2"/>
    </w:lvl>
  </w:abstractNum>
  <w:abstractNum w:abstractNumId="188">
    <w:nsid w:val="27179C0B"/>
    <w:multiLevelType w:val="hybridMultilevel"/>
    <w:lvl w:ilvl="0">
      <w:lvlJc w:val="left"/>
      <w:lvlText w:val="(%1)"/>
      <w:numFmt w:val="lowerLetter"/>
      <w:start w:val="2"/>
    </w:lvl>
  </w:abstractNum>
  <w:abstractNum w:abstractNumId="189">
    <w:nsid w:val="5E636063"/>
    <w:multiLevelType w:val="hybridMultilevel"/>
    <w:lvl w:ilvl="0">
      <w:lvlJc w:val="left"/>
      <w:lvlText w:val="(%1)"/>
      <w:numFmt w:val="lowerLetter"/>
      <w:start w:val="3"/>
    </w:lvl>
  </w:abstractNum>
  <w:abstractNum w:abstractNumId="190">
    <w:nsid w:val="215641AF"/>
    <w:multiLevelType w:val="hybridMultilevel"/>
    <w:lvl w:ilvl="0">
      <w:lvlJc w:val="left"/>
      <w:lvlText w:val="(%1)"/>
      <w:numFmt w:val="lowerLetter"/>
      <w:start w:val="2"/>
    </w:lvl>
  </w:abstractNum>
  <w:abstractNum w:abstractNumId="191">
    <w:nsid w:val="53280662"/>
    <w:multiLevelType w:val="hybridMultilevel"/>
    <w:lvl w:ilvl="0">
      <w:lvlJc w:val="left"/>
      <w:lvlText w:val="(%1)"/>
      <w:numFmt w:val="lowerRoman"/>
      <w:start w:val="1"/>
    </w:lvl>
    <w:lvl w:ilvl="1">
      <w:lvlJc w:val="left"/>
      <w:lvlText w:val="(%2)"/>
      <w:numFmt w:val="upperLetter"/>
      <w:start w:val="1"/>
    </w:lvl>
  </w:abstractNum>
  <w:abstractNum w:abstractNumId="192">
    <w:nsid w:val="46B24DBC"/>
    <w:multiLevelType w:val="hybridMultilevel"/>
    <w:lvl w:ilvl="0">
      <w:lvlJc w:val="left"/>
      <w:lvlText w:val="%1"/>
      <w:numFmt w:val="lowerRoman"/>
      <w:start w:val="1"/>
    </w:lvl>
    <w:lvl w:ilvl="1">
      <w:lvlJc w:val="left"/>
      <w:lvlText w:val="(%2)"/>
      <w:numFmt w:val="upperLetter"/>
      <w:start w:val="6"/>
    </w:lvl>
  </w:abstractNum>
  <w:abstractNum w:abstractNumId="193">
    <w:nsid w:val="75B52783"/>
    <w:multiLevelType w:val="hybridMultilevel"/>
    <w:lvl w:ilvl="0">
      <w:lvlJc w:val="left"/>
      <w:lvlText w:val="(%1)"/>
      <w:numFmt w:val="lowerRoman"/>
      <w:start w:val="2"/>
    </w:lvl>
    <w:lvl w:ilvl="1">
      <w:lvlJc w:val="left"/>
      <w:lvlText w:val="(%2)"/>
      <w:numFmt w:val="upperLetter"/>
      <w:start w:val="12"/>
    </w:lvl>
  </w:abstractNum>
  <w:abstractNum w:abstractNumId="194">
    <w:nsid w:val="57CE66B4"/>
    <w:multiLevelType w:val="hybridMultilevel"/>
    <w:lvl w:ilvl="0">
      <w:lvlJc w:val="left"/>
      <w:lvlText w:val="(%1)"/>
      <w:numFmt w:val="lowerRoman"/>
      <w:start w:val="2"/>
    </w:lvl>
  </w:abstractNum>
  <w:abstractNum w:abstractNumId="195">
    <w:nsid w:val="67A70B69"/>
    <w:multiLevelType w:val="hybridMultilevel"/>
    <w:lvl w:ilvl="0">
      <w:lvlJc w:val="left"/>
      <w:lvlText w:val="%1"/>
      <w:numFmt w:val="lowerLetter"/>
      <w:start w:val="1"/>
    </w:lvl>
    <w:lvl w:ilvl="1">
      <w:lvlJc w:val="left"/>
      <w:lvlText w:val="(%2)"/>
      <w:numFmt w:val="upperLetter"/>
      <w:start w:val="1"/>
    </w:lvl>
  </w:abstractNum>
  <w:abstractNum w:abstractNumId="196">
    <w:nsid w:val="5953172F"/>
    <w:multiLevelType w:val="hybridMultilevel"/>
    <w:lvl w:ilvl="0">
      <w:lvlJc w:val="left"/>
      <w:lvlText w:val="(%1)"/>
      <w:numFmt w:val="lowerLetter"/>
      <w:start w:val="2"/>
    </w:lvl>
    <w:lvl w:ilvl="1">
      <w:lvlJc w:val="left"/>
      <w:lvlText w:val="%2"/>
      <w:numFmt w:val="upperLetter"/>
      <w:start w:val="1"/>
    </w:lvl>
  </w:abstractNum>
  <w:abstractNum w:abstractNumId="197">
    <w:nsid w:val="27EDFE3A"/>
    <w:multiLevelType w:val="hybridMultilevel"/>
    <w:lvl w:ilvl="0">
      <w:lvlJc w:val="left"/>
      <w:lvlText w:val="(%1)"/>
      <w:numFmt w:val="lowerLetter"/>
      <w:start w:val="1"/>
    </w:lvl>
    <w:lvl w:ilvl="1">
      <w:lvlJc w:val="left"/>
      <w:lvlText w:val="(%2)"/>
      <w:numFmt w:val="lowerRoman"/>
      <w:start w:val="1"/>
    </w:lvl>
  </w:abstractNum>
  <w:abstractNum w:abstractNumId="198">
    <w:nsid w:val="52AC7DFF"/>
    <w:multiLevelType w:val="hybridMultilevel"/>
    <w:lvl w:ilvl="0">
      <w:lvlJc w:val="left"/>
      <w:lvlText w:val="(%1)"/>
      <w:numFmt w:val="lowerLetter"/>
      <w:start w:val="2"/>
    </w:lvl>
  </w:abstractNum>
  <w:abstractNum w:abstractNumId="199">
    <w:nsid w:val="C4C3AF"/>
    <w:multiLevelType w:val="hybridMultilevel"/>
    <w:lvl w:ilvl="0">
      <w:lvlJc w:val="left"/>
      <w:lvlText w:val="(%1)"/>
      <w:numFmt w:val="lowerLetter"/>
      <w:start w:val="1"/>
    </w:lvl>
    <w:lvl w:ilvl="1">
      <w:lvlJc w:val="left"/>
      <w:lvlText w:val="(%2)"/>
      <w:numFmt w:val="lowerRoman"/>
      <w:start w:val="1"/>
    </w:lvl>
  </w:abstractNum>
  <w:abstractNum w:abstractNumId="200">
    <w:nsid w:val="44380727"/>
    <w:multiLevelType w:val="hybridMultilevel"/>
    <w:lvl w:ilvl="0">
      <w:lvlJc w:val="left"/>
      <w:lvlText w:val="(%1)"/>
      <w:numFmt w:val="lowerLetter"/>
      <w:start w:val="1"/>
    </w:lvl>
    <w:lvl w:ilvl="1">
      <w:lvlJc w:val="left"/>
      <w:lvlText w:val="(%2)"/>
      <w:numFmt w:val="lowerRoman"/>
      <w:start w:val="1"/>
    </w:lvl>
  </w:abstractNum>
  <w:abstractNum w:abstractNumId="201">
    <w:nsid w:val="6C053B16"/>
    <w:multiLevelType w:val="hybridMultilevel"/>
    <w:lvl w:ilvl="0">
      <w:lvlJc w:val="left"/>
      <w:lvlText w:val="(%1)"/>
      <w:numFmt w:val="lowerRoman"/>
      <w:start w:val="9"/>
    </w:lvl>
  </w:abstractNum>
  <w:abstractNum w:abstractNumId="202">
    <w:nsid w:val="4F294393"/>
    <w:multiLevelType w:val="hybridMultilevel"/>
    <w:lvl w:ilvl="0">
      <w:lvlJc w:val="left"/>
      <w:lvlText w:val="%1"/>
      <w:numFmt w:val="lowerLetter"/>
      <w:start w:val="1"/>
    </w:lvl>
    <w:lvl w:ilvl="1">
      <w:lvlJc w:val="left"/>
      <w:lvlText w:val="(%2)"/>
      <w:numFmt w:val="lowerLetter"/>
      <w:start w:val="2"/>
    </w:lvl>
  </w:abstractNum>
  <w:abstractNum w:abstractNumId="203">
    <w:nsid w:val="5243BFAC"/>
    <w:multiLevelType w:val="hybridMultilevel"/>
    <w:lvl w:ilvl="0">
      <w:lvlJc w:val="left"/>
      <w:lvlText w:val="(%1)"/>
      <w:numFmt w:val="lowerLetter"/>
      <w:start w:val="35"/>
    </w:lvl>
    <w:lvl w:ilvl="1">
      <w:lvlJc w:val="left"/>
      <w:lvlText w:val="(%2)"/>
      <w:numFmt w:val="lowerLetter"/>
      <w:start w:val="3"/>
    </w:lvl>
  </w:abstractNum>
  <w:abstractNum w:abstractNumId="204">
    <w:nsid w:val="425EB207"/>
    <w:multiLevelType w:val="hybridMultilevel"/>
    <w:lvl w:ilvl="0">
      <w:lvlJc w:val="left"/>
      <w:lvlText w:val="(%1)"/>
      <w:numFmt w:val="lowerLetter"/>
      <w:start w:val="1"/>
    </w:lvl>
  </w:abstractNum>
  <w:abstractNum w:abstractNumId="205">
    <w:nsid w:val="334A6F1F"/>
    <w:multiLevelType w:val="hybridMultilevel"/>
    <w:lvl w:ilvl="0">
      <w:lvlJc w:val="left"/>
      <w:lvlText w:val="(%1)"/>
      <w:numFmt w:val="lowerLetter"/>
      <w:start w:val="1"/>
    </w:lvl>
    <w:lvl w:ilvl="1">
      <w:lvlJc w:val="left"/>
      <w:lvlText w:val="(%2)"/>
      <w:numFmt w:val="lowerRoman"/>
      <w:start w:val="1"/>
    </w:lvl>
  </w:abstractNum>
  <w:abstractNum w:abstractNumId="206">
    <w:nsid w:val="2E5B12B8"/>
    <w:multiLevelType w:val="hybridMultilevel"/>
    <w:lvl w:ilvl="0">
      <w:lvlJc w:val="left"/>
      <w:lvlText w:val="(%1)"/>
      <w:numFmt w:val="lowerRoman"/>
      <w:start w:val="3"/>
    </w:lvl>
  </w:abstractNum>
  <w:abstractNum w:abstractNumId="207">
    <w:nsid w:val="5C03D76D"/>
    <w:multiLevelType w:val="hybridMultilevel"/>
    <w:lvl w:ilvl="0">
      <w:lvlJc w:val="left"/>
      <w:lvlText w:val="(%1)"/>
      <w:numFmt w:val="lowerRoman"/>
      <w:start w:val="14"/>
    </w:lvl>
  </w:abstractNum>
  <w:abstractNum w:abstractNumId="208">
    <w:nsid w:val="66A48D11"/>
    <w:multiLevelType w:val="hybridMultilevel"/>
    <w:lvl w:ilvl="0">
      <w:lvlJc w:val="left"/>
      <w:lvlText w:val="(%1)"/>
      <w:numFmt w:val="lowerLetter"/>
      <w:start w:val="2"/>
    </w:lvl>
  </w:abstractNum>
  <w:abstractNum w:abstractNumId="209">
    <w:nsid w:val="56C28E34"/>
    <w:multiLevelType w:val="hybridMultilevel"/>
    <w:lvl w:ilvl="0">
      <w:lvlJc w:val="left"/>
      <w:lvlText w:val="(%1)"/>
      <w:numFmt w:val="lowerLetter"/>
      <w:start w:val="2"/>
    </w:lvl>
  </w:abstractNum>
  <w:abstractNum w:abstractNumId="210">
    <w:nsid w:val="13916F2D"/>
    <w:multiLevelType w:val="hybridMultilevel"/>
    <w:lvl w:ilvl="0">
      <w:lvlJc w:val="left"/>
      <w:lvlText w:val="(%1)"/>
      <w:numFmt w:val="lowerLetter"/>
      <w:start w:val="2"/>
    </w:lvl>
  </w:abstractNum>
  <w:abstractNum w:abstractNumId="211">
    <w:nsid w:val="435D38D"/>
    <w:multiLevelType w:val="hybridMultilevel"/>
    <w:lvl w:ilvl="0">
      <w:lvlJc w:val="left"/>
      <w:lvlText w:val="(%1)"/>
      <w:numFmt w:val="lowerLetter"/>
      <w:start w:val="3"/>
    </w:lvl>
  </w:abstractNum>
  <w:abstractNum w:abstractNumId="212">
    <w:nsid w:val="822C0EF"/>
    <w:multiLevelType w:val="hybridMultilevel"/>
    <w:lvl w:ilvl="0">
      <w:lvlJc w:val="left"/>
      <w:lvlText w:val="(%1)"/>
      <w:numFmt w:val="lowerLetter"/>
      <w:start w:val="5"/>
    </w:lvl>
  </w:abstractNum>
  <w:abstractNum w:abstractNumId="213">
    <w:nsid w:val="57C5BB4F"/>
    <w:multiLevelType w:val="hybridMultilevel"/>
    <w:lvl w:ilvl="0">
      <w:lvlJc w:val="left"/>
      <w:lvlText w:val="(%1)"/>
      <w:numFmt w:val="lowerLetter"/>
      <w:start w:val="10"/>
    </w:lvl>
  </w:abstractNum>
  <w:abstractNum w:abstractNumId="214">
    <w:nsid w:val="1803D089"/>
    <w:multiLevelType w:val="hybridMultilevel"/>
    <w:lvl w:ilvl="0">
      <w:lvlJc w:val="left"/>
      <w:lvlText w:val="(%1)"/>
      <w:numFmt w:val="lowerRoman"/>
      <w:start w:val="4"/>
    </w:lvl>
  </w:abstractNum>
  <w:abstractNum w:abstractNumId="215">
    <w:nsid w:val="4F3A06D4"/>
    <w:multiLevelType w:val="hybridMultilevel"/>
    <w:lvl w:ilvl="0">
      <w:lvlJc w:val="left"/>
      <w:lvlText w:val="(%1)"/>
      <w:numFmt w:val="lowerLetter"/>
      <w:start w:val="2"/>
    </w:lvl>
  </w:abstractNum>
  <w:abstractNum w:abstractNumId="216">
    <w:nsid w:val="59A377B6"/>
    <w:multiLevelType w:val="hybridMultilevel"/>
    <w:lvl w:ilvl="0">
      <w:lvlJc w:val="left"/>
      <w:lvlText w:val="(%1)"/>
      <w:numFmt w:val="lowerLetter"/>
      <w:start w:val="3"/>
    </w:lvl>
  </w:abstractNum>
  <w:abstractNum w:abstractNumId="217">
    <w:nsid w:val="48AEB063"/>
    <w:multiLevelType w:val="hybridMultilevel"/>
    <w:lvl w:ilvl="0">
      <w:lvlJc w:val="left"/>
      <w:lvlText w:val="(%1)"/>
      <w:numFmt w:val="lowerLetter"/>
      <w:start w:val="2"/>
    </w:lvl>
  </w:abstractNum>
  <w:abstractNum w:abstractNumId="218">
    <w:nsid w:val="24E135"/>
    <w:multiLevelType w:val="hybridMultilevel"/>
    <w:lvl w:ilvl="0">
      <w:lvlJc w:val="left"/>
      <w:lvlText w:val="(%1)"/>
      <w:numFmt w:val="lowerRoman"/>
      <w:start w:val="1"/>
    </w:lvl>
  </w:abstractNum>
  <w:abstractNum w:abstractNumId="219">
    <w:nsid w:val="BB13C1"/>
    <w:multiLevelType w:val="hybridMultilevel"/>
    <w:lvl w:ilvl="0">
      <w:lvlJc w:val="left"/>
      <w:lvlText w:val="(%1)"/>
      <w:numFmt w:val="lowerLetter"/>
      <w:start w:val="3"/>
    </w:lvl>
  </w:abstractNum>
  <w:abstractNum w:abstractNumId="220">
    <w:nsid w:val="271210C7"/>
    <w:multiLevelType w:val="hybridMultilevel"/>
    <w:lvl w:ilvl="0">
      <w:lvlJc w:val="left"/>
      <w:lvlText w:val="(%1)"/>
      <w:numFmt w:val="lowerLetter"/>
      <w:start w:val="35"/>
    </w:lvl>
    <w:lvl w:ilvl="1">
      <w:lvlJc w:val="left"/>
      <w:lvlText w:val="(%2)"/>
      <w:numFmt w:val="lowerLetter"/>
      <w:start w:val="5"/>
    </w:lvl>
  </w:abstractNum>
  <w:abstractNum w:abstractNumId="221">
    <w:nsid w:val="217B22E4"/>
    <w:multiLevelType w:val="hybridMultilevel"/>
    <w:lvl w:ilvl="0">
      <w:lvlJc w:val="left"/>
      <w:lvlText w:val="(%1)"/>
      <w:numFmt w:val="lowerLetter"/>
      <w:start w:val="2"/>
    </w:lvl>
  </w:abstractNum>
  <w:abstractNum w:abstractNumId="222">
    <w:nsid w:val="53E31A24"/>
    <w:multiLevelType w:val="hybridMultilevel"/>
    <w:lvl w:ilvl="0">
      <w:lvlJc w:val="left"/>
      <w:lvlText w:val="(%1)"/>
      <w:numFmt w:val="lowerLetter"/>
      <w:start w:val="2"/>
    </w:lvl>
  </w:abstractNum>
  <w:abstractNum w:abstractNumId="223">
    <w:nsid w:val="6DC45E83"/>
    <w:multiLevelType w:val="hybridMultilevel"/>
    <w:lvl w:ilvl="0">
      <w:lvlJc w:val="left"/>
      <w:lvlText w:val="(%1)"/>
      <w:numFmt w:val="lowerLetter"/>
      <w:start w:val="2"/>
    </w:lvl>
  </w:abstractNum>
  <w:abstractNum w:abstractNumId="224">
    <w:nsid w:val="17304A67"/>
    <w:multiLevelType w:val="hybridMultilevel"/>
    <w:lvl w:ilvl="0">
      <w:lvlJc w:val="left"/>
      <w:lvlText w:val="(%1)"/>
      <w:numFmt w:val="lowerLetter"/>
      <w:start w:val="1"/>
    </w:lvl>
  </w:abstractNum>
  <w:abstractNum w:abstractNumId="225">
    <w:nsid w:val="2BB180D8"/>
    <w:multiLevelType w:val="hybridMultilevel"/>
    <w:lvl w:ilvl="0">
      <w:lvlJc w:val="left"/>
      <w:lvlText w:val="(%1)"/>
      <w:numFmt w:val="lowerLetter"/>
      <w:start w:val="2"/>
    </w:lvl>
  </w:abstractNum>
  <w:abstractNum w:abstractNumId="226">
    <w:nsid w:val="556B69ED"/>
    <w:multiLevelType w:val="hybridMultilevel"/>
    <w:lvl w:ilvl="0">
      <w:lvlJc w:val="left"/>
      <w:lvlText w:val="(%1)"/>
      <w:numFmt w:val="lowerLetter"/>
      <w:start w:val="1"/>
    </w:lvl>
  </w:abstractNum>
  <w:abstractNum w:abstractNumId="227">
    <w:nsid w:val="70836196"/>
    <w:multiLevelType w:val="hybridMultilevel"/>
    <w:lvl w:ilvl="0">
      <w:lvlJc w:val="left"/>
      <w:lvlText w:val="(%1)"/>
      <w:numFmt w:val="lowerLetter"/>
      <w:start w:val="1"/>
    </w:lvl>
  </w:abstractNum>
  <w:abstractNum w:abstractNumId="228">
    <w:nsid w:val="539F7F12"/>
    <w:multiLevelType w:val="hybridMultilevel"/>
    <w:lvl w:ilvl="0">
      <w:lvlJc w:val="left"/>
      <w:lvlText w:val="(%1)"/>
      <w:numFmt w:val="lowerRoman"/>
      <w:start w:val="1"/>
    </w:lvl>
  </w:abstractNum>
  <w:abstractNum w:abstractNumId="229">
    <w:nsid w:val="2817E7EC"/>
    <w:multiLevelType w:val="hybridMultilevel"/>
    <w:lvl w:ilvl="0">
      <w:lvlJc w:val="left"/>
      <w:lvlText w:val="(%1)"/>
      <w:numFmt w:val="lowerRoman"/>
      <w:start w:val="4"/>
    </w:lvl>
  </w:abstractNum>
  <w:abstractNum w:abstractNumId="230">
    <w:nsid w:val="71482545"/>
    <w:multiLevelType w:val="hybridMultilevel"/>
    <w:lvl w:ilvl="0">
      <w:lvlJc w:val="left"/>
      <w:lvlText w:val="(%1)"/>
      <w:numFmt w:val="lowerLetter"/>
      <w:start w:val="2"/>
    </w:lvl>
  </w:abstractNum>
  <w:abstractNum w:abstractNumId="231">
    <w:nsid w:val="17D78639"/>
    <w:multiLevelType w:val="hybridMultilevel"/>
    <w:lvl w:ilvl="0">
      <w:lvlJc w:val="left"/>
      <w:lvlText w:val="(%1)"/>
      <w:numFmt w:val="lowerLetter"/>
      <w:start w:val="3"/>
    </w:lvl>
  </w:abstractNum>
  <w:abstractNum w:abstractNumId="232">
    <w:nsid w:val="141D2302"/>
    <w:multiLevelType w:val="hybridMultilevel"/>
    <w:lvl w:ilvl="0">
      <w:lvlJc w:val="left"/>
      <w:lvlText w:val="(%1)"/>
      <w:numFmt w:val="lowerLetter"/>
      <w:start w:val="1"/>
    </w:lvl>
  </w:abstractNum>
  <w:abstractNum w:abstractNumId="233">
    <w:nsid w:val="407168D8"/>
    <w:multiLevelType w:val="hybridMultilevel"/>
    <w:lvl w:ilvl="0">
      <w:lvlJc w:val="left"/>
      <w:lvlText w:val="(%1)"/>
      <w:numFmt w:val="lowerLetter"/>
      <w:start w:val="2"/>
    </w:lvl>
  </w:abstractNum>
  <w:abstractNum w:abstractNumId="234">
    <w:nsid w:val="6A1B45E5"/>
    <w:multiLevelType w:val="hybridMultilevel"/>
    <w:lvl w:ilvl="0">
      <w:lvlJc w:val="left"/>
      <w:lvlText w:val="(%1)"/>
      <w:numFmt w:val="lowerLetter"/>
      <w:start w:val="1"/>
    </w:lvl>
  </w:abstractNum>
  <w:abstractNum w:abstractNumId="235">
    <w:nsid w:val="567BD50A"/>
    <w:multiLevelType w:val="hybridMultilevel"/>
    <w:lvl w:ilvl="0">
      <w:lvlJc w:val="left"/>
      <w:lvlText w:val="(%1)"/>
      <w:numFmt w:val="lowerLetter"/>
      <w:start w:val="2"/>
    </w:lvl>
  </w:abstractNum>
  <w:abstractNum w:abstractNumId="236">
    <w:nsid w:val="73BBD7F8"/>
    <w:multiLevelType w:val="hybridMultilevel"/>
    <w:lvl w:ilvl="0">
      <w:lvlJc w:val="left"/>
      <w:lvlText w:val="(%1)"/>
      <w:numFmt w:val="lowerLetter"/>
      <w:start w:val="1"/>
    </w:lvl>
    <w:lvl w:ilvl="1">
      <w:lvlJc w:val="left"/>
      <w:lvlText w:val="(%2)"/>
      <w:numFmt w:val="lowerRoman"/>
      <w:start w:val="1"/>
    </w:lvl>
  </w:abstractNum>
  <w:abstractNum w:abstractNumId="237">
    <w:nsid w:val="1876589D"/>
    <w:multiLevelType w:val="hybridMultilevel"/>
    <w:lvl w:ilvl="0">
      <w:lvlJc w:val="left"/>
      <w:lvlText w:val="%1"/>
      <w:numFmt w:val="lowerLetter"/>
      <w:start w:val="1"/>
    </w:lvl>
    <w:lvl w:ilvl="1">
      <w:lvlJc w:val="left"/>
      <w:lvlText w:val="(%2)"/>
      <w:numFmt w:val="lowerLetter"/>
      <w:start w:val="61"/>
    </w:lvl>
  </w:abstractNum>
  <w:abstractNum w:abstractNumId="238">
    <w:nsid w:val="327FAC77"/>
    <w:multiLevelType w:val="hybridMultilevel"/>
    <w:lvl w:ilvl="0">
      <w:lvlJc w:val="left"/>
      <w:lvlText w:val="(%1)"/>
      <w:numFmt w:val="lowerLetter"/>
      <w:start w:val="2"/>
    </w:lvl>
    <w:lvl w:ilvl="1">
      <w:lvlJc w:val="left"/>
      <w:lvlText w:val="(%2)"/>
      <w:numFmt w:val="lowerLetter"/>
      <w:start w:val="9"/>
    </w:lvl>
  </w:abstractNum>
  <w:abstractNum w:abstractNumId="239">
    <w:nsid w:val="5A606509"/>
    <w:multiLevelType w:val="hybridMultilevel"/>
    <w:lvl w:ilvl="0">
      <w:lvlJc w:val="left"/>
      <w:lvlText w:val="(%1)"/>
      <w:numFmt w:val="lowerRoman"/>
      <w:start w:val="2"/>
    </w:lvl>
  </w:abstractNum>
  <w:abstractNum w:abstractNumId="240">
    <w:nsid w:val="6F38E6D1"/>
    <w:multiLevelType w:val="hybridMultilevel"/>
    <w:lvl w:ilvl="0">
      <w:lvlJc w:val="left"/>
      <w:lvlText w:val="(%1)"/>
      <w:numFmt w:val="lowerLetter"/>
      <w:start w:val="2"/>
    </w:lvl>
    <w:lvl w:ilvl="1">
      <w:lvlJc w:val="left"/>
      <w:lvlText w:val="(%2)"/>
      <w:numFmt w:val="lowerRoman"/>
      <w:start w:val="1"/>
    </w:lvl>
  </w:abstractNum>
  <w:abstractNum w:abstractNumId="241">
    <w:nsid w:val="46111BA5"/>
    <w:multiLevelType w:val="hybridMultilevel"/>
    <w:lvl w:ilvl="0">
      <w:lvlJc w:val="left"/>
      <w:lvlText w:val="(%1)"/>
      <w:numFmt w:val="lowerLetter"/>
      <w:start w:val="2"/>
    </w:lvl>
  </w:abstractNum>
  <w:abstractNum w:abstractNumId="242">
    <w:nsid w:val="5E963896"/>
    <w:multiLevelType w:val="hybridMultilevel"/>
    <w:lvl w:ilvl="0">
      <w:lvlJc w:val="left"/>
      <w:lvlText w:val="(%1)"/>
      <w:numFmt w:val="lowerLetter"/>
      <w:start w:val="7"/>
    </w:lvl>
  </w:abstractNum>
  <w:abstractNum w:abstractNumId="243">
    <w:nsid w:val="775BA7C1"/>
    <w:multiLevelType w:val="hybridMultilevel"/>
    <w:lvl w:ilvl="0">
      <w:lvlJc w:val="left"/>
      <w:lvlText w:val="(%1)"/>
      <w:numFmt w:val="lowerLetter"/>
      <w:start w:val="8"/>
    </w:lvl>
  </w:abstractNum>
  <w:abstractNum w:abstractNumId="244">
    <w:nsid w:val="1DD6D6F4"/>
    <w:multiLevelType w:val="hybridMultilevel"/>
    <w:lvl w:ilvl="0">
      <w:lvlJc w:val="left"/>
      <w:lvlText w:val="(%1)"/>
      <w:numFmt w:val="lowerLetter"/>
      <w:start w:val="2"/>
    </w:lvl>
  </w:abstractNum>
  <w:abstractNum w:abstractNumId="245">
    <w:nsid w:val="769A091F"/>
    <w:multiLevelType w:val="hybridMultilevel"/>
    <w:lvl w:ilvl="0">
      <w:lvlJc w:val="left"/>
      <w:lvlText w:val="(%1)"/>
      <w:numFmt w:val="lowerRoman"/>
      <w:start w:val="7"/>
    </w:lvl>
  </w:abstractNum>
  <w:abstractNum w:abstractNumId="246">
    <w:nsid w:val="4695AE95"/>
    <w:multiLevelType w:val="hybridMultilevel"/>
    <w:lvl w:ilvl="0">
      <w:lvlJc w:val="left"/>
      <w:lvlText w:val="(%1)"/>
      <w:numFmt w:val="lowerLetter"/>
      <w:start w:val="3"/>
    </w:lvl>
  </w:abstractNum>
  <w:abstractNum w:abstractNumId="247">
    <w:nsid w:val="777A4EAA"/>
    <w:multiLevelType w:val="hybridMultilevel"/>
    <w:lvl w:ilvl="0">
      <w:lvlJc w:val="left"/>
      <w:lvlText w:val="(%1)"/>
      <w:numFmt w:val="lowerLetter"/>
      <w:start w:val="4"/>
    </w:lvl>
  </w:abstractNum>
  <w:abstractNum w:abstractNumId="248">
    <w:nsid w:val="3F48B982"/>
    <w:multiLevelType w:val="hybridMultilevel"/>
    <w:lvl w:ilvl="0">
      <w:lvlJc w:val="left"/>
      <w:lvlText w:val="(%1)"/>
      <w:numFmt w:val="lowerRoman"/>
      <w:start w:val="1"/>
    </w:lvl>
  </w:abstractNum>
  <w:abstractNum w:abstractNumId="249">
    <w:nsid w:val="46BA8FCA"/>
    <w:multiLevelType w:val="hybridMultilevel"/>
    <w:lvl w:ilvl="0">
      <w:lvlJc w:val="left"/>
      <w:lvlText w:val="(%1)"/>
      <w:numFmt w:val="lowerLetter"/>
      <w:start w:val="2"/>
    </w:lvl>
  </w:abstractNum>
  <w:abstractNum w:abstractNumId="250">
    <w:nsid w:val="7835626C"/>
    <w:multiLevelType w:val="hybridMultilevel"/>
    <w:lvl w:ilvl="0">
      <w:lvlJc w:val="left"/>
      <w:lvlText w:val="(%1)"/>
      <w:numFmt w:val="lowerRoman"/>
      <w:start w:val="2"/>
    </w:lvl>
  </w:abstractNum>
  <w:abstractNum w:abstractNumId="251">
    <w:nsid w:val="665ACA49"/>
    <w:multiLevelType w:val="hybridMultilevel"/>
    <w:lvl w:ilvl="0">
      <w:lvlJc w:val="left"/>
      <w:lvlText w:val="(%1)"/>
      <w:numFmt w:val="lowerLetter"/>
      <w:start w:val="4"/>
    </w:lvl>
  </w:abstractNum>
  <w:abstractNum w:abstractNumId="252">
    <w:nsid w:val="6835B2AE"/>
    <w:multiLevelType w:val="hybridMultilevel"/>
    <w:lvl w:ilvl="0">
      <w:lvlJc w:val="left"/>
      <w:lvlText w:val="(%1)"/>
      <w:numFmt w:val="lowerLetter"/>
      <w:start w:val="2"/>
    </w:lvl>
  </w:abstractNum>
  <w:abstractNum w:abstractNumId="253">
    <w:nsid w:val="4C187C90"/>
    <w:multiLevelType w:val="hybridMultilevel"/>
    <w:lvl w:ilvl="0">
      <w:lvlJc w:val="left"/>
      <w:lvlText w:val="(%1)"/>
      <w:numFmt w:val="lowerLetter"/>
      <w:start w:val="1"/>
    </w:lvl>
  </w:abstractNum>
  <w:abstractNum w:abstractNumId="254">
    <w:nsid w:val="541F28CD"/>
    <w:multiLevelType w:val="hybridMultilevel"/>
    <w:lvl w:ilvl="0">
      <w:lvlJc w:val="left"/>
      <w:lvlText w:val="(%1)"/>
      <w:numFmt w:val="lowerLetter"/>
      <w:start w:val="4"/>
    </w:lvl>
  </w:abstractNum>
  <w:abstractNum w:abstractNumId="255">
    <w:nsid w:val="7F65FD16"/>
    <w:multiLevelType w:val="hybridMultilevel"/>
    <w:lvl w:ilvl="0">
      <w:lvlJc w:val="left"/>
      <w:lvlText w:val="(%1)"/>
      <w:numFmt w:val="lowerLetter"/>
      <w:start w:val="2"/>
    </w:lvl>
  </w:abstractNum>
  <w:abstractNum w:abstractNumId="256">
    <w:nsid w:val="77C9FD68"/>
    <w:multiLevelType w:val="hybridMultilevel"/>
    <w:lvl w:ilvl="0">
      <w:lvlJc w:val="left"/>
      <w:lvlText w:val="(%1)"/>
      <w:numFmt w:val="lowerLetter"/>
      <w:start w:val="1"/>
    </w:lvl>
  </w:abstractNum>
  <w:abstractNum w:abstractNumId="257">
    <w:nsid w:val="298A92BA"/>
    <w:multiLevelType w:val="hybridMultilevel"/>
    <w:lvl w:ilvl="0">
      <w:lvlJc w:val="left"/>
      <w:lvlText w:val="(%1)"/>
      <w:numFmt w:val="lowerLetter"/>
      <w:start w:val="1"/>
    </w:lvl>
  </w:abstractNum>
  <w:abstractNum w:abstractNumId="258">
    <w:nsid w:val="6FE95EAC"/>
    <w:multiLevelType w:val="hybridMultilevel"/>
    <w:lvl w:ilvl="0">
      <w:lvlJc w:val="left"/>
      <w:lvlText w:val="(%1)"/>
      <w:numFmt w:val="lowerLetter"/>
      <w:start w:val="2"/>
    </w:lvl>
    <w:lvl w:ilvl="1">
      <w:lvlJc w:val="left"/>
      <w:lvlText w:val="%2"/>
      <w:numFmt w:val="lowerRoman"/>
      <w:start w:val="1"/>
    </w:lvl>
  </w:abstractNum>
  <w:abstractNum w:abstractNumId="259">
    <w:nsid w:val="4B697C7A"/>
    <w:multiLevelType w:val="hybridMultilevel"/>
    <w:lvl w:ilvl="0">
      <w:lvlJc w:val="left"/>
      <w:lvlText w:val="(%1)"/>
      <w:numFmt w:val="lowerLetter"/>
      <w:start w:val="9"/>
    </w:lvl>
    <w:lvl w:ilvl="1">
      <w:lvlJc w:val="left"/>
      <w:lvlText w:val="(%2)"/>
      <w:numFmt w:val="lowerRoman"/>
      <w:start w:val="2"/>
    </w:lvl>
  </w:abstractNum>
  <w:abstractNum w:abstractNumId="260">
    <w:nsid w:val="51A27AA6"/>
    <w:multiLevelType w:val="hybridMultilevel"/>
    <w:lvl w:ilvl="0">
      <w:lvlJc w:val="left"/>
      <w:lvlText w:val="%1."/>
      <w:numFmt w:val="decimal"/>
      <w:start w:val="1"/>
    </w:lvl>
    <w:lvl w:ilvl="1">
      <w:lvlJc w:val="left"/>
      <w:lvlText w:val="%2)"/>
      <w:numFmt w:val="lowerLetter"/>
      <w:start w:val="1"/>
    </w:lvl>
  </w:abstractNum>
  <w:abstractNum w:abstractNumId="261">
    <w:nsid w:val="613183F2"/>
    <w:multiLevelType w:val="hybridMultilevel"/>
    <w:lvl w:ilvl="0">
      <w:lvlJc w:val="left"/>
      <w:lvlText w:val="%1"/>
      <w:numFmt w:val="decimal"/>
      <w:start w:val="1"/>
    </w:lvl>
    <w:lvl w:ilvl="1">
      <w:lvlJc w:val="left"/>
      <w:lvlText w:val="%2)"/>
      <w:numFmt w:val="lowerLetter"/>
      <w:start w:val="3"/>
    </w:lvl>
  </w:abstractNum>
  <w:abstractNum w:abstractNumId="262">
    <w:nsid w:val="634102B4"/>
    <w:multiLevelType w:val="hybridMultilevel"/>
    <w:lvl w:ilvl="0">
      <w:lvlJc w:val="left"/>
      <w:lvlText w:val="%1."/>
      <w:numFmt w:val="decimal"/>
      <w:start w:val="5"/>
    </w:lvl>
    <w:lvl w:ilvl="1">
      <w:lvlJc w:val="left"/>
      <w:lvlText w:val="%2)"/>
      <w:numFmt w:val="lowerLetter"/>
      <w:start w:val="1"/>
    </w:lvl>
  </w:abstractNum>
  <w:abstractNum w:abstractNumId="263">
    <w:nsid w:val="65BF9DA8"/>
    <w:multiLevelType w:val="hybridMultilevel"/>
    <w:lvl w:ilvl="0">
      <w:lvlJc w:val="left"/>
      <w:lvlText w:val="%1."/>
      <w:numFmt w:val="decimal"/>
      <w:start w:val="1"/>
    </w:lvl>
    <w:lvl w:ilvl="1">
      <w:lvlJc w:val="left"/>
      <w:lvlText w:val="%2)"/>
      <w:numFmt w:val="lowerLetter"/>
      <w:start w:val="1"/>
    </w:lvl>
  </w:abstractNum>
  <w:abstractNum w:abstractNumId="264">
    <w:nsid w:val="21A2ECCA"/>
    <w:multiLevelType w:val="hybridMultilevel"/>
    <w:lvl w:ilvl="0">
      <w:lvlJc w:val="left"/>
      <w:lvlText w:val="(%1)"/>
      <w:numFmt w:val="decimal"/>
      <w:start w:val="1"/>
    </w:lvl>
  </w:abstractNum>
  <w:abstractNum w:abstractNumId="265">
    <w:nsid w:val="4D5C48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jpe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85" Type="http://schemas.openxmlformats.org/officeDocument/2006/relationships/hyperlink" Target="https://www.sec.gov/Archives/edgar/data/1504619/000119312511080862/dex99a.htm" TargetMode="External"/><Relationship Id="rId86" Type="http://schemas.openxmlformats.org/officeDocument/2006/relationships/hyperlink" Target="https://www.sec.gov/Archives/edgar/data/1504619/000095017024092750/pflt-ex3_2.htm" TargetMode="External"/><Relationship Id="rId87" Type="http://schemas.openxmlformats.org/officeDocument/2006/relationships/hyperlink" Target="https://www.sec.gov/Archives/edgar/data/1504619/000156459020024167/pflt-ex32_144.htm" TargetMode="External"/><Relationship Id="rId88" Type="http://schemas.openxmlformats.org/officeDocument/2006/relationships/hyperlink" Target="https://www.sec.gov/Archives/edgar/data/1504619/000119312511088977/dex99d.htm" TargetMode="External"/><Relationship Id="rId89" Type="http://schemas.openxmlformats.org/officeDocument/2006/relationships/hyperlink" Target="https://www.sec.gov/Archives/edgar/data/1504619/000119312525089204/d944639d8k.htm" TargetMode="External"/><Relationship Id="rId95" Type="http://schemas.openxmlformats.org/officeDocument/2006/relationships/hyperlink" Target="https://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2025-08-11T15:23:11Z</dcterms:created>
  <dcterms:modified xsi:type="dcterms:W3CDTF">2025-08-11T15:23:11Z</dcterms:modified>
</cp:coreProperties>
</file>