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line="237" w:lineRule="auto"/>
        <w:rPr>
          <w:sz w:val="20"/>
          <w:szCs w:val="20"/>
          <w:color w:val="auto"/>
        </w:rPr>
      </w:pPr>
      <w:r>
        <w:rPr>
          <w:rFonts w:ascii="Times New Roman" w:cs="Times New Roman" w:eastAsia="Times New Roman" w:hAnsi="Times New Roman"/>
          <w:sz w:val="32"/>
          <w:szCs w:val="32"/>
          <w:b w:val="1"/>
          <w:bCs w:val="1"/>
          <w:color w:val="auto"/>
        </w:rPr>
        <w:t>Washington, D.C. 20549</w:t>
      </w:r>
    </w:p>
    <w:p>
      <w:pPr>
        <w:ind w:left="4000"/>
        <w:spacing w:after="0" w:line="238" w:lineRule="auto"/>
        <w:rPr>
          <w:sz w:val="20"/>
          <w:szCs w:val="20"/>
          <w:color w:val="auto"/>
        </w:rPr>
      </w:pPr>
      <w:r>
        <w:rPr>
          <w:rFonts w:ascii="Times New Roman" w:cs="Times New Roman" w:eastAsia="Times New Roman" w:hAnsi="Times New Roman"/>
          <w:sz w:val="32"/>
          <w:szCs w:val="32"/>
          <w:b w:val="1"/>
          <w:bCs w:val="1"/>
          <w:color w:val="auto"/>
        </w:rPr>
        <w:t>——————————</w:t>
      </w:r>
    </w:p>
    <w:p>
      <w:pPr>
        <w:spacing w:after="0" w:line="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9" w:lineRule="exact"/>
        <w:rPr>
          <w:sz w:val="24"/>
          <w:szCs w:val="24"/>
          <w:color w:val="auto"/>
        </w:rPr>
      </w:pPr>
    </w:p>
    <w:p>
      <w:pPr>
        <w:jc w:val="center"/>
        <w:ind w:left="2280" w:right="280"/>
        <w:spacing w:after="0" w:line="272" w:lineRule="auto"/>
        <w:rPr>
          <w:sz w:val="20"/>
          <w:szCs w:val="20"/>
          <w:color w:val="auto"/>
        </w:rPr>
      </w:pPr>
      <w:r>
        <w:rPr>
          <w:rFonts w:ascii="Times New Roman" w:cs="Times New Roman" w:eastAsia="Times New Roman" w:hAnsi="Times New Roman"/>
          <w:sz w:val="32"/>
          <w:szCs w:val="32"/>
          <w:b w:val="1"/>
          <w:bCs w:val="1"/>
          <w:color w:val="auto"/>
        </w:rPr>
        <w:t>Proxy Statement Pursuant to Section 14(a) of the Securities Exchange Act of 1934 ——————————</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7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8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19685</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31"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363220</wp:posOffset>
            </wp:positionV>
            <wp:extent cx="648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2065655" cy="48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2023 Annual Meeting of Stockholders (the “Annual Meeting”) of PennantPark Floating Rate Capital Ltd., a Maryland corporation (“PFLT” or the “Company”), to be held on February 7, 2023 at 9:45 AM, Eastern Time. The Annual Meeting will be conducted as a virtual meeting hosted by means of a live audio webcast. The Annual Meeting can be accessed on the above date and time, and you or your proxyholder can participate in and vote at the virtual Annual Meeting by registering at www.virtualshareholdermeeting.com/PFLT2023 and using the Control Number included in the Notice of Internet Availability of Proxy Materials.</w:t>
      </w:r>
    </w:p>
    <w:p>
      <w:pPr>
        <w:spacing w:after="0" w:line="7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Notice of Virtual Annual Meeting of Stockholders and the Proxy Statement of the Company, which is accessible on the Internet or by request, provides an outline of the business to be conducted at the Annual Meeting. At the Annual Meeting, you will be asked to consider and vote upon: (1) the election of two directors to the board of directors of the Company and (2) the ratification of the selection of RSM US LLP to serve as the Company’s independent registered public accounting firm for the fiscal year ending September 30, 2023.</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Whether or not you plan to attend the meeting in person (virtually), I urge you to follow the instructions on the Notice of Internet Availability of Proxy Materials to authorize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authorize your proxy by returning your proxy card to us after you request the hard copy materials. If you hold your shares through a Tel Aviv Stock Exchange member, please follow the voting instructions in the Proxy Statement, which are otherwise different from that of other stockholders.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115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786-297-9500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February 7, 2023</w:t>
      </w:r>
    </w:p>
    <w:p>
      <w:pPr>
        <w:spacing w:after="0" w:line="211"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6"/>
          <w:szCs w:val="16"/>
          <w:color w:val="auto"/>
        </w:rPr>
        <w:t>December 7, 2022</w:t>
      </w:r>
    </w:p>
    <w:p>
      <w:pPr>
        <w:spacing w:after="0" w:line="235"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Notice is hereby given to the owners of shares of common stock (the “Stockholders”) of PennantPark Floating Rate Capital Ltd., a Maryland corporation (“PFLT” or the “Company”), that:</w:t>
      </w:r>
    </w:p>
    <w:p>
      <w:pPr>
        <w:spacing w:after="0" w:line="164" w:lineRule="exact"/>
        <w:rPr>
          <w:sz w:val="20"/>
          <w:szCs w:val="20"/>
          <w:color w:val="auto"/>
        </w:rPr>
      </w:pPr>
    </w:p>
    <w:p>
      <w:pPr>
        <w:ind w:right="540" w:firstLine="509"/>
        <w:spacing w:after="0" w:line="298" w:lineRule="auto"/>
        <w:rPr>
          <w:sz w:val="20"/>
          <w:szCs w:val="20"/>
          <w:color w:val="auto"/>
        </w:rPr>
      </w:pPr>
      <w:r>
        <w:rPr>
          <w:rFonts w:ascii="Times New Roman" w:cs="Times New Roman" w:eastAsia="Times New Roman" w:hAnsi="Times New Roman"/>
          <w:sz w:val="16"/>
          <w:szCs w:val="16"/>
          <w:color w:val="auto"/>
        </w:rPr>
        <w:t>The 2023 Annual Meeting of Stockholders of the Company (the “Annual Meeting”) will be held virtually on February 7, 2023 at 9:45 a.m., Eastern Time, at www.virtualshareholdermeeting.com/PFLT2023 for the following purposes:</w:t>
      </w:r>
    </w:p>
    <w:p>
      <w:pPr>
        <w:spacing w:after="0" w:line="56" w:lineRule="exact"/>
        <w:rPr>
          <w:sz w:val="20"/>
          <w:szCs w:val="20"/>
          <w:color w:val="auto"/>
        </w:rPr>
      </w:pPr>
    </w:p>
    <w:p>
      <w:pPr>
        <w:ind w:left="1020" w:right="320" w:hanging="503"/>
        <w:spacing w:after="0" w:line="298"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consider and vote upon the election of two directors to the Board of Directors of the Company, who will each serve for a term of three years until the 2026 annual meeting of Stockholders and until his successor is duly elected and qualifies;</w:t>
      </w:r>
    </w:p>
    <w:p>
      <w:pPr>
        <w:spacing w:after="0" w:line="56" w:lineRule="exact"/>
        <w:rPr>
          <w:rFonts w:ascii="Times New Roman" w:cs="Times New Roman" w:eastAsia="Times New Roman" w:hAnsi="Times New Roman"/>
          <w:sz w:val="16"/>
          <w:szCs w:val="16"/>
          <w:color w:val="auto"/>
        </w:rPr>
      </w:pPr>
    </w:p>
    <w:p>
      <w:pPr>
        <w:ind w:left="1020" w:right="60" w:hanging="503"/>
        <w:spacing w:after="0" w:line="298" w:lineRule="auto"/>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consider and vote upon the ratification of the selection of RSM US LLP to serve as the Company’s independent registered public accounting firm for the fiscal year ending September 30, 2023 and</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postponement or adjournment of the Annual Meeting.</w:t>
      </w:r>
    </w:p>
    <w:p>
      <w:pPr>
        <w:spacing w:after="0" w:line="2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Annual Meeting will only be accessible virtually via live webcast over the Internet at www.virtualshareholdermeeting.com/PFLT2023.</w:t>
      </w:r>
    </w:p>
    <w:p>
      <w:pPr>
        <w:spacing w:after="0" w:line="235"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You have the right to receive notice of, and to vote at, the Annual Meeting if you were a stockholder of record of the Company at the close of business on November 30, 2022.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authorize your proxy, on the Internet.</w:t>
      </w:r>
    </w:p>
    <w:p>
      <w:pPr>
        <w:spacing w:after="0" w:line="186"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6"/>
          <w:szCs w:val="16"/>
          <w:color w:val="auto"/>
        </w:rPr>
        <w:t>Your vote is extremely important to us. Whether or not you plan to attend the Annual Meeting virtually, we encourage you to authorize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184"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b w:val="1"/>
          <w:bCs w:val="1"/>
          <w:color w:val="auto"/>
        </w:rPr>
        <w:t>THE COMPANY’S BOARD OF DIRECTORS, INCLUDING EACH OF THE INDEPENDENT DIRECTORS, UNANIMOUSLY RECOMMENDS THAT YOU VOTE “FOR” EACH OF THE PROPOSALS.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96925" cy="24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6925" cy="2482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Thomas J. Friedmann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Secretary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PennantPark Floating Rate Capital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786-297-9500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36130" cy="552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52450"/>
                    </a:xfrm>
                    <a:prstGeom prst="rect">
                      <a:avLst/>
                    </a:prstGeom>
                    <a:noFill/>
                  </pic:spPr>
                </pic:pic>
              </a:graphicData>
            </a:graphic>
          </wp:anchor>
        </w:drawing>
      </w:r>
    </w:p>
    <w:p>
      <w:pPr>
        <w:spacing w:after="0" w:line="226" w:lineRule="exact"/>
        <w:rPr>
          <w:sz w:val="20"/>
          <w:szCs w:val="20"/>
          <w:color w:val="auto"/>
        </w:rPr>
      </w:pPr>
    </w:p>
    <w:p>
      <w:pPr>
        <w:jc w:val="both"/>
        <w:ind w:left="140" w:right="100"/>
        <w:spacing w:after="0" w:line="276" w:lineRule="auto"/>
        <w:rPr>
          <w:sz w:val="20"/>
          <w:szCs w:val="20"/>
          <w:color w:val="auto"/>
        </w:rPr>
      </w:pPr>
      <w:r>
        <w:rPr>
          <w:rFonts w:ascii="Times New Roman" w:cs="Times New Roman" w:eastAsia="Times New Roman" w:hAnsi="Times New Roman"/>
          <w:sz w:val="16"/>
          <w:szCs w:val="16"/>
          <w:b w:val="1"/>
          <w:bCs w:val="1"/>
          <w:color w:val="auto"/>
        </w:rPr>
        <w:t>This is an important meeting. To ensure proper representation at the Annual Meeting, please follow the instructions on the Notice of Internet Availability of Proxy Materials to authorize your proxy via the Internet or request, complete, sign, date and return a proxy card. Your vote is extremely important no matter how many or how few shares you own. Even if you vote your shares prior to the Annual Meeting, you still may attend the Annual Meeting and vote your shares in person (virtually) should you wish to change your vote.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Miami, Florida 33139</w:t>
      </w:r>
    </w:p>
    <w:p>
      <w:pPr>
        <w:spacing w:after="0" w:line="9" w:lineRule="exact"/>
        <w:rPr>
          <w:sz w:val="20"/>
          <w:szCs w:val="20"/>
          <w:color w:val="auto"/>
        </w:rPr>
      </w:pPr>
    </w:p>
    <w:p>
      <w:pPr>
        <w:ind w:left="5480" w:hanging="441"/>
        <w:spacing w:after="0"/>
        <w:tabs>
          <w:tab w:leader="none" w:pos="5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297-9500</w:t>
      </w:r>
    </w:p>
    <w:p>
      <w:pPr>
        <w:spacing w:after="0" w:line="9" w:lineRule="exact"/>
        <w:rPr>
          <w:rFonts w:ascii="Times New Roman" w:cs="Times New Roman" w:eastAsia="Times New Roman" w:hAnsi="Times New Roman"/>
          <w:sz w:val="18"/>
          <w:szCs w:val="18"/>
          <w:b w:val="1"/>
          <w:bCs w:val="1"/>
          <w:color w:val="auto"/>
        </w:rPr>
      </w:pPr>
    </w:p>
    <w:p>
      <w:pPr>
        <w:ind w:left="4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9" w:lineRule="exact"/>
        <w:rPr>
          <w:rFonts w:ascii="Times New Roman" w:cs="Times New Roman" w:eastAsia="Times New Roman" w:hAnsi="Times New Roman"/>
          <w:sz w:val="18"/>
          <w:szCs w:val="18"/>
          <w:b w:val="1"/>
          <w:bCs w:val="1"/>
          <w:color w:val="auto"/>
        </w:rPr>
      </w:pPr>
    </w:p>
    <w:p>
      <w:pPr>
        <w:ind w:left="5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2023Annual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held on February 7, 2023</w:t>
      </w:r>
    </w:p>
    <w:p>
      <w:pPr>
        <w:spacing w:after="0" w:line="20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document will give you the information you need to vote on the matters listed on the accompanying Notice of Virtual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786-297-9500.</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Floating Rate Capital Ltd., a Maryland corporation (“PFLT,” the “Company,” “we,” “us” or “our”) for use at the Company’s 2023 Virtual Annual Meeting of Stockholders (the “Annual Meeting”) to be held on Tuesday, February 7, 2023 at 9:45 a.m., Eastern Time, at www.virtualshareholdermeeting.com/PFLT2023, and at any postponements or adjournments thereof. To participate in the Annual Meeting virtually, you will need the Control Number provided with the Notice of Internet Availability of Proxy Materials. Please note that those using the dial-in number for the listen-only conference call will not be able to vote or submit questions. This Proxy Statement and the Company’s Annual Report on Form 10-K for the fiscal year ended September 30, 2022 (the “Annual Report”) are being provided to the stockholders thereof (the “Stockholders”) via the Internet on or about December 21, 2022. In addition, a Notice of Annual Meeting and a Notice of Internet Availability of Proxy Materials are being sent to Stockholders of record of the Company as of the close of business on November 30, 2022 (the “Record Date”).</w:t>
      </w:r>
    </w:p>
    <w:p>
      <w:pPr>
        <w:spacing w:after="0" w:line="1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(virtually) at the Annual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Annual Meeting, your shares will be voted at the proxyholder’s discretion unless you specifically state otherwise on your proxy.</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(virtually) at the virtual Annual Meeting and voting online. Participating in the virtual Annual Meeting does not revoke your proxy unless you also vote online at the Annual Meeting. Any Stockholder entitled to vote at the Annual Meeting may attend the Annual Meeting and vote in person (virtually), whether or not he or she has previously voted his or her shares via proxy or wishes to change a previous vote.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will be eligible to authorize your proxy electronically via the Internet, by telephone or by mail.</w:t>
      </w:r>
    </w:p>
    <w:p>
      <w:pPr>
        <w:spacing w:after="0" w:line="22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you want to submit a question during the Annual Meeting, log into the live webcast at www.virtualshareholdermeeting.com/PFLT2023, type your question into the “Ask a Question” field, and click “Submit.”</w:t>
      </w:r>
    </w:p>
    <w:p>
      <w:pPr>
        <w:spacing w:after="0" w:line="162"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Only questions submitted via the live webcast that are pertinent to Annual Meeting matters will be answered during the Annual Meeting, subject to time constraints. Please note that no questions may be submitted via the listen-only conference call. We will attempt to answer all questions or comments related to the proxy or to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 w:name="page5"/>
    <w:bookmarkEnd w:id="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business. Questions or comments that are not related to the proposals under discussion, including personal concerns not shared by Stockholders generally, or questions or comments that use blatantly offensive language may be ruled out of order. Additionally, the Company may not be able to answer multiple questions submitted by the same Stockholder.</w:t>
      </w:r>
    </w:p>
    <w:p>
      <w:pPr>
        <w:spacing w:after="0" w:line="2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333" w:lineRule="exact"/>
        <w:rPr>
          <w:sz w:val="20"/>
          <w:szCs w:val="20"/>
          <w:color w:val="auto"/>
        </w:rPr>
      </w:pPr>
    </w:p>
    <w:p>
      <w:pPr>
        <w:ind w:left="1260" w:right="20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election of two directors to the Board, who will each serve for a term of three years until the 2026 annual meeting of Stockholders and until his successor is duly elected and qualifies (“Proposal 1”);</w:t>
      </w:r>
    </w:p>
    <w:p>
      <w:pPr>
        <w:spacing w:after="0" w:line="53" w:lineRule="exact"/>
        <w:rPr>
          <w:rFonts w:ascii="Times New Roman" w:cs="Times New Roman" w:eastAsia="Times New Roman" w:hAnsi="Times New Roman"/>
          <w:sz w:val="18"/>
          <w:szCs w:val="18"/>
          <w:color w:val="auto"/>
        </w:rPr>
      </w:pPr>
    </w:p>
    <w:p>
      <w:pPr>
        <w:ind w:left="1260" w:right="24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the ratification of the selection of RSM US LLP (“RSM”) to serve as the Company’s independent registered public accounting firm for the fiscal year ending September 30, 2023 (“Proposal 2”); and</w:t>
      </w:r>
    </w:p>
    <w:p>
      <w:pPr>
        <w:spacing w:after="0" w:line="161" w:lineRule="exact"/>
        <w:rPr>
          <w:rFonts w:ascii="Times New Roman" w:cs="Times New Roman" w:eastAsia="Times New Roman" w:hAnsi="Times New Roman"/>
          <w:sz w:val="18"/>
          <w:szCs w:val="18"/>
          <w:color w:val="auto"/>
        </w:rPr>
      </w:pPr>
    </w:p>
    <w:p>
      <w:pPr>
        <w:ind w:left="1260" w:right="380" w:hanging="368"/>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postponement or adjournment of the Annual Meeting.</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Annual Meeting will only be accessible virtually via live webcast over the Internet at www.virtualshareholdermeeting.com/PFLT2023</w:t>
      </w: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3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You may vote your shares at the Annual Meeting only if you were a Stockholder of record of the Company at the close of business on the Record Date. There were 45,345,638 shares of the Company’s common stock, par value $0.001 per share (the “Common Stock”), outstanding on the Record Date. Stockholders are entitled to one vote for each share of Common Stock held.</w:t>
      </w:r>
    </w:p>
    <w:p>
      <w:pPr>
        <w:spacing w:after="0" w:line="18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you should have received a notice containing voting instructions from your nominee rather than from us. You should follow the voting instructions in the notice to ensure that your vote is counted.</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Company to conduct business at the Annual Meeting, a quorum of Stockholders for the Company must be present (virtually) at the Annual Meeting. The presence at the Annual Meeting, in person (virtually) or by proxy, of the holders of a majority of the shares of Common Stock outstanding on the Record Date will constitute a quorum for the conduct of business at the Annual Meeting. Those Stockholders who have not otherwise submitted a proxy accessing the Annual Meeting via the listen-only conference call will not be deemed to be “present” for purposes of determining a quorum for the Annual Meeting. Abstentions and Broker Non-Votes (as defined below) will be treated as shares present at the Annual Meeting for quorum purposes. If there are not enough votes for a quorum for the Annual Meeting, the chairman of the Annual Meeting will adjourn the Annual Meeting to permit the further solicitation of proxies.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an election where the number of nominees is equal to the number of directors to be elected, as is the case at the Annual Meeting, the election of a director to the Board requires the affirmative vote of a majority of the total votes cast for and against such nominee at the Annual Meeting in person (virtually) or by proxy. If you vote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“Against” with respect to a nominee, your shares will be voted against the person indicated. Abstentions and Broker Non-Votes will have no effect on the result of the vote.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in person (virtually) or by proxy is required to ratify the appointment of RSM to serve as the Company’s independent registered public accounting firm. Abstentions will not be included in determining the number of votes cast and, as a result, will have no effect on this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Common Stock in street name, your Broker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permitted to exercise voting discretion with respect to Proposal 1.</w:t>
      </w:r>
    </w:p>
    <w:p>
      <w:pPr>
        <w:spacing w:after="0" w:line="68"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 It is imperative that Stockholders vote or provide instructions to their Brokers as to how to vote with respect to Proposal 1 to ensure proper representation at the Annual Meeting.</w:t>
      </w:r>
    </w:p>
    <w:p>
      <w:pPr>
        <w:spacing w:after="0" w:line="6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and you do not vote or provide your Broker with proxy instructions, your Broker will be able to vote your shares for you on Proposal 2 in its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Annual Meeting, the chairman of the Annual Meeting may adjourn the Annual Meeting to permit further solicitation of proxies.</w:t>
      </w:r>
    </w:p>
    <w:p>
      <w:pPr>
        <w:spacing w:after="0" w:line="16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Annual Meeting, including the cost of preparing and posting this Proxy Statement and the Annual Report to the Internet and the cost of mailing the Notice of Annual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may combine any mailings for multiple accounts going to a single household, which is commonly referred to as “householding,” by delivering to that address the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1691 Michigan Avenue,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right="100"/>
        <w:spacing w:after="0" w:line="261" w:lineRule="auto"/>
        <w:rPr>
          <w:sz w:val="20"/>
          <w:szCs w:val="20"/>
          <w:color w:val="auto"/>
        </w:rPr>
      </w:pPr>
      <w:r>
        <w:rPr>
          <w:rFonts w:ascii="Times New Roman" w:cs="Times New Roman" w:eastAsia="Times New Roman" w:hAnsi="Times New Roman"/>
          <w:sz w:val="18"/>
          <w:szCs w:val="18"/>
          <w:color w:val="auto"/>
        </w:rPr>
        <w:t>Miami, Florida 33139 or 786-297-9500.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 transmission by directors or officers of the Company, officers or employees of PennantPark Investment Advisers, LLC, our investment adviser (the “Adviser”), PennantPark Investment Administration, LLC, our administrator (the “Administrator”), and/or by a retained solicitor. No additional compensation will be paid to such directors, officers or regular employees for such services. If we retain a solicitor, we have estimated that we will pay approximately $60,000 for such services. If we engage a solicitor, you could be contacted by telephone on behalf of the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1691 Michigan Avenue, Miami, Florida 33139 .</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Stockholders, other than those who hold shares through a Tel Aviv Stock Exchange (“TASE”) member,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Shares of Common Stock held by a TASE member cannot be voted during the Annual Meeting. If your shares of Common Stock are held by a TASE member and you wish to vote your shares, you must complete, sign and date the form of proxy card that we filed via MAGNA and attach to it an ownership certificate from the TASE member through which your shares are registered (i.e., your broker, bank or other nominee) indicating that you were the beneficial owner of the shares on the Record Date, the record date for voting, and return the proxy card along with the ownership certificate, to the Company’s Israeli counsel, Goldfarb Seligman &amp; Co. (“Goldfarb”), c/o Jonathan Cohen, 98 Yigal Alon Street, 44th Floor, Tel Aviv 6789141, Israel (email: jonathan.cohen@goldfarb.com). The proxy card and ownership certificate must be received no later than February 2, 2023, to be included in the tally of shares voted.</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However, if your shares of Common Stock are held by a TASE member, you may participate and ask questions during the Annual Meeting even if you cannot vote your shares. In order to participate and ask questions (but not vote your shares) during the Annual Meeting, you will need to obtain from your TASE member an executed ownership certificate, signed by your TASE member with respect to the Record Date, and e-mail the executed form to Goldfarb, c/o Jonathan Cohen, 98 Yigal Alon Street, 44th Floor, Tel Aviv 6789141, Israel (email: jonathan.cohen@goldfarb.com), no later than the close of business in Israel on February 2, 2023. Once Goldfarb has received your properly executed certificate, Goldfarb will e-mail you a control number that you can use to enter the Annual Meeting at www.virtualshareholdermeeting.com/PFLT2023.</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Stockholder, other than those who hold shares through a TASE member, wishes to participate in the Annual Meeting, but does not wish to give a proxy by Internet, the Stockholder may attend the Annual Meeting in person (virtually) or request and submit a proxy card by following the instructions on the Notice of Internet Availability of Proxy Materials.</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Annual Meeting, (ii) attending the Annual Meeting and voting in person (virtually) or (iii) delivering a notice, provided in writing and signed by the Stockholder, delivered to the Company’s Secretary on any business day before the date of the Annual Meeting.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 w:name="page8"/>
    <w:bookmarkEnd w:id="7"/>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Board consists of two interested directors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Common Stock for those persons who directly or indirectly own, control or hold with the power to vote, five percent or more of the Company’s outstanding Common Stock and all officers and directors of the Company, as a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4000" w:type="dxa"/>
            <w:vAlign w:val="bottom"/>
          </w:tcPr>
          <w:p>
            <w:pPr>
              <w:spacing w:after="0"/>
              <w:rPr>
                <w:sz w:val="12"/>
                <w:szCs w:val="12"/>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 of ownership</w:t>
            </w:r>
            <w:r>
              <w:rPr>
                <w:rFonts w:ascii="Times New Roman" w:cs="Times New Roman" w:eastAsia="Times New Roman" w:hAnsi="Times New Roman"/>
                <w:sz w:val="19"/>
                <w:szCs w:val="19"/>
                <w:b w:val="1"/>
                <w:bCs w:val="1"/>
                <w:color w:val="auto"/>
                <w:w w:val="98"/>
                <w:vertAlign w:val="superscript"/>
              </w:rPr>
              <w:t>(3)</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00" w:type="dxa"/>
            <w:vAlign w:val="bottom"/>
            <w:tcBorders>
              <w:bottom w:val="single" w:sz="8" w:color="auto"/>
            </w:tcBorders>
            <w:vMerge w:val="continue"/>
          </w:tcPr>
          <w:p>
            <w:pPr>
              <w:spacing w:after="0"/>
              <w:rPr>
                <w:sz w:val="9"/>
                <w:szCs w:val="9"/>
                <w:color w:val="auto"/>
              </w:rPr>
            </w:pPr>
          </w:p>
        </w:tc>
        <w:tc>
          <w:tcPr>
            <w:tcW w:w="4000" w:type="dxa"/>
            <w:vAlign w:val="bottom"/>
            <w:vMerge w:val="restart"/>
          </w:tcPr>
          <w:p>
            <w:pPr>
              <w:spacing w:after="0"/>
              <w:rPr>
                <w:sz w:val="9"/>
                <w:szCs w:val="9"/>
                <w:color w:val="auto"/>
              </w:rPr>
            </w:pPr>
          </w:p>
        </w:tc>
        <w:tc>
          <w:tcPr>
            <w:tcW w:w="2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vMerge w:val="continue"/>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000" w:type="dxa"/>
            <w:vAlign w:val="bottom"/>
            <w:vMerge w:val="continue"/>
          </w:tcPr>
          <w:p>
            <w:pPr>
              <w:spacing w:after="0"/>
              <w:rPr>
                <w:sz w:val="4"/>
                <w:szCs w:val="4"/>
                <w:color w:val="auto"/>
              </w:rPr>
            </w:pPr>
          </w:p>
        </w:tc>
        <w:tc>
          <w:tcPr>
            <w:tcW w:w="2680" w:type="dxa"/>
            <w:vAlign w:val="bottom"/>
            <w:tcBorders>
              <w:bottom w:val="single" w:sz="8" w:color="auto"/>
            </w:tcBorders>
            <w:vMerge w:val="continue"/>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6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Adam K. Bernstein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52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Marshall Brozost</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Jeffrey Flug</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52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Samuel L. Katz</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147,100</w:t>
            </w:r>
          </w:p>
        </w:tc>
        <w:tc>
          <w:tcPr>
            <w:tcW w:w="2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2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FF0FC"/>
          </w:tcPr>
          <w:p>
            <w:pPr>
              <w:spacing w:after="0"/>
              <w:rPr>
                <w:sz w:val="21"/>
                <w:szCs w:val="21"/>
                <w:color w:val="auto"/>
              </w:rPr>
            </w:pPr>
          </w:p>
        </w:tc>
        <w:tc>
          <w:tcPr>
            <w:tcW w:w="5240" w:type="dxa"/>
            <w:vAlign w:val="bottom"/>
            <w:gridSpan w:val="3"/>
            <w:shd w:val="clear" w:color="auto" w:fill="CFF0FC"/>
          </w:tcPr>
          <w:p>
            <w:pPr>
              <w:ind w:left="180"/>
              <w:spacing w:after="0" w:line="245"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344,009</w:t>
            </w:r>
          </w:p>
        </w:tc>
        <w:tc>
          <w:tcPr>
            <w:tcW w:w="2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387,499</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6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6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Richard T. Allorto, Jr.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Record/Beneficial</w:t>
            </w:r>
          </w:p>
        </w:tc>
        <w:tc>
          <w:tcPr>
            <w:tcW w:w="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 as a group (7 persons)</w:t>
            </w: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893,658</w:t>
            </w:r>
          </w:p>
        </w:tc>
        <w:tc>
          <w:tcPr>
            <w:tcW w:w="140" w:type="dxa"/>
            <w:vAlign w:val="bottom"/>
            <w:gridSpan w:val="2"/>
          </w:tcPr>
          <w:p>
            <w:pPr>
              <w:spacing w:after="0"/>
              <w:rPr>
                <w:sz w:val="20"/>
                <w:szCs w:val="20"/>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Florida 33139 .</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344,009 shares held by the Adviser.</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Less than 1 percent.</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Investment Corporation, a business development company managed by the Adviser (“PNNT”).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06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22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83"/>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3060" w:type="dxa"/>
            <w:vAlign w:val="bottom"/>
          </w:tcPr>
          <w:p>
            <w:pPr>
              <w:jc w:val="right"/>
              <w:ind w:right="695"/>
              <w:spacing w:after="0" w:line="175"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34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880" w:type="dxa"/>
            <w:vAlign w:val="bottom"/>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Adam K. Bernstein</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$10,001 - $50,000</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Marshall Brozost</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3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Jeffrey Flug</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c>
          <w:tcPr>
            <w:tcW w:w="220" w:type="dxa"/>
            <w:vAlign w:val="bottom"/>
          </w:tcPr>
          <w:p>
            <w:pPr>
              <w:spacing w:after="0"/>
              <w:rPr>
                <w:sz w:val="20"/>
                <w:szCs w:val="20"/>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Samuel L. Katz</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1"/>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shd w:val="clear" w:color="auto" w:fill="CFF0FC"/>
          </w:tcPr>
          <w:p>
            <w:pPr>
              <w:spacing w:after="0"/>
              <w:rPr>
                <w:sz w:val="21"/>
                <w:szCs w:val="21"/>
                <w:color w:val="auto"/>
              </w:rPr>
            </w:pPr>
          </w:p>
        </w:tc>
        <w:tc>
          <w:tcPr>
            <w:tcW w:w="4480" w:type="dxa"/>
            <w:vAlign w:val="bottom"/>
            <w:gridSpan w:val="2"/>
            <w:shd w:val="clear" w:color="auto" w:fill="CFF0FC"/>
          </w:tcPr>
          <w:p>
            <w:pPr>
              <w:ind w:left="180"/>
              <w:spacing w:after="0" w:line="245" w:lineRule="exact"/>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24"/>
                <w:szCs w:val="24"/>
                <w:color w:val="auto"/>
                <w:vertAlign w:val="superscript"/>
              </w:rPr>
              <w:t>(2)</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shd w:val="clear" w:color="auto" w:fill="CFF0FC"/>
          </w:tcPr>
          <w:p>
            <w:pPr>
              <w:spacing w:after="0"/>
              <w:rPr>
                <w:sz w:val="21"/>
                <w:szCs w:val="21"/>
                <w:color w:val="auto"/>
              </w:rPr>
            </w:pPr>
          </w:p>
        </w:tc>
        <w:tc>
          <w:tcPr>
            <w:tcW w:w="3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Jos</w:t>
            </w:r>
            <w:r>
              <w:rPr>
                <w:rFonts w:ascii="Calibri" w:cs="Calibri" w:eastAsia="Calibri" w:hAnsi="Calibri"/>
                <w:sz w:val="18"/>
                <w:szCs w:val="18"/>
                <w:color w:val="auto"/>
              </w:rPr>
              <w:t>é</w:t>
            </w:r>
            <w:r>
              <w:rPr>
                <w:rFonts w:ascii="Times New Roman" w:cs="Times New Roman" w:eastAsia="Times New Roman" w:hAnsi="Times New Roman"/>
                <w:sz w:val="18"/>
                <w:szCs w:val="18"/>
                <w:color w:val="auto"/>
              </w:rPr>
              <w:t xml:space="preserve"> A. Briones, Jr.</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220" w:type="dxa"/>
            <w:vAlign w:val="bottom"/>
          </w:tcPr>
          <w:p>
            <w:pPr>
              <w:spacing w:after="0"/>
              <w:rPr>
                <w:sz w:val="21"/>
                <w:szCs w:val="21"/>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20" w:right="86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663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In accordance with its bylaws, the Company currently has six members on the Board. Directors are divided into three classes and are elected for staggered terms of three years each, with a term of office of one of the three classes of directors expiring each year. After this election, the terms of Class I,</w:t>
      </w:r>
    </w:p>
    <w:p>
      <w:pPr>
        <w:spacing w:after="0" w:line="1" w:lineRule="exact"/>
        <w:rPr>
          <w:sz w:val="20"/>
          <w:szCs w:val="20"/>
          <w:color w:val="auto"/>
        </w:rPr>
      </w:pPr>
    </w:p>
    <w:p>
      <w:pPr>
        <w:ind w:right="300" w:firstLine="8"/>
        <w:spacing w:after="0" w:line="260" w:lineRule="auto"/>
        <w:tabs>
          <w:tab w:leader="none" w:pos="1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directors will expire at the annual meetings of stockholders in 2024, 2025 and 2026, respectively. Each director will hold office for the term to which he is elected and until a successor is duly elected and qualifies.</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Stockholder can vote for or against each nominee named below.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Board as a replacement. The Board has no reason to believe that either nominee will be unable or unwilling to serve.</w:t>
      </w:r>
    </w:p>
    <w:p>
      <w:pPr>
        <w:spacing w:after="0" w:line="284"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Certain information with respect to the nominees for election at the Annual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5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Each of Mr. Arthur H. Penn and Mr. </w:t>
      </w:r>
      <w:r>
        <w:rPr>
          <w:rFonts w:ascii="Times New Roman" w:cs="Times New Roman" w:eastAsia="Times New Roman" w:hAnsi="Times New Roman"/>
          <w:sz w:val="17"/>
          <w:szCs w:val="17"/>
          <w:color w:val="auto"/>
        </w:rPr>
        <w:t>José A. Briones, Jr.</w:t>
      </w:r>
      <w:r>
        <w:rPr>
          <w:rFonts w:ascii="Times New Roman" w:cs="Times New Roman" w:eastAsia="Times New Roman" w:hAnsi="Times New Roman"/>
          <w:sz w:val="18"/>
          <w:szCs w:val="18"/>
          <w:color w:val="auto"/>
        </w:rPr>
        <w:t xml:space="preserve"> has been nominated for election as a Class III director of PFLT for a three-year term expiring at the annual meeting of stockholders in 2026. Neither Mr. Penn nor Mr. Briones is being proposed for election pursuant to any agreement or understanding between either Mr. Penn or Mr. Briones and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of Office</w:t>
            </w:r>
          </w:p>
        </w:tc>
        <w:tc>
          <w:tcPr>
            <w:tcW w:w="12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 at</w:t>
            </w:r>
          </w:p>
        </w:tc>
        <w:tc>
          <w:tcPr>
            <w:tcW w:w="1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 Fund</w:t>
            </w:r>
          </w:p>
        </w:tc>
        <w:tc>
          <w:tcPr>
            <w:tcW w:w="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6"/>
        </w:trPr>
        <w:tc>
          <w:tcPr>
            <w:tcW w:w="22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120" w:type="dxa"/>
            <w:vAlign w:val="bottom"/>
          </w:tcPr>
          <w:p>
            <w:pPr>
              <w:spacing w:after="0"/>
              <w:rPr>
                <w:sz w:val="12"/>
                <w:szCs w:val="12"/>
                <w:color w:val="auto"/>
              </w:rPr>
            </w:pPr>
          </w:p>
        </w:tc>
        <w:tc>
          <w:tcPr>
            <w:tcW w:w="2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least, the</w:t>
            </w:r>
          </w:p>
        </w:tc>
        <w:tc>
          <w:tcPr>
            <w:tcW w:w="10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20" w:type="dxa"/>
            <w:vAlign w:val="bottom"/>
          </w:tcPr>
          <w:p>
            <w:pPr>
              <w:spacing w:after="0"/>
              <w:rPr>
                <w:sz w:val="12"/>
                <w:szCs w:val="12"/>
                <w:color w:val="auto"/>
              </w:rPr>
            </w:pP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 Company</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2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Past 5 Years</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w:t>
            </w:r>
          </w:p>
        </w:tc>
        <w:tc>
          <w:tcPr>
            <w:tcW w:w="120" w:type="dxa"/>
            <w:vAlign w:val="bottom"/>
          </w:tcPr>
          <w:p>
            <w:pPr>
              <w:spacing w:after="0"/>
              <w:rPr>
                <w:sz w:val="16"/>
                <w:szCs w:val="16"/>
                <w:color w:val="auto"/>
              </w:rPr>
            </w:pPr>
          </w:p>
        </w:tc>
        <w:tc>
          <w:tcPr>
            <w:tcW w:w="15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the Past 5 Years</w:t>
            </w:r>
            <w:r>
              <w:rPr>
                <w:rFonts w:ascii="Times New Roman" w:cs="Times New Roman" w:eastAsia="Times New Roman" w:hAnsi="Times New Roman"/>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321"/>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Independent Directors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Adam K. Bernstein (59)</w:t>
            </w:r>
          </w:p>
        </w:tc>
        <w:tc>
          <w:tcPr>
            <w:tcW w:w="1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4"/>
                <w:szCs w:val="14"/>
                <w:color w:val="auto"/>
              </w:rPr>
              <w:t>PFLT - Class II</w:t>
            </w:r>
          </w:p>
        </w:tc>
        <w:tc>
          <w:tcPr>
            <w:tcW w:w="1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President of The Bernstein Companies,</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Two</w:t>
            </w:r>
          </w:p>
        </w:tc>
        <w:tc>
          <w:tcPr>
            <w:tcW w:w="120" w:type="dxa"/>
            <w:vAlign w:val="bottom"/>
          </w:tcPr>
          <w:p>
            <w:pPr>
              <w:spacing w:after="0"/>
              <w:rPr>
                <w:sz w:val="24"/>
                <w:szCs w:val="2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Advisory Board Member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 Washington, D.C.-based real estate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University Research</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and development firm, since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Corporation since 2020</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 expires 2025</w:t>
            </w: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1995 and President and Chief Executive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Officer of Consortium Atlantic Realty</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 Inc., a private real estate</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trust operating in the Mid-</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Atlantic region, from 2006. Also, Mr.</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Bernstein has served on the Board of</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Overseers of the School of Arts and</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Sciences at the University of</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Pennsylvania since 2012 and the Board</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Trustees of the School of Arts and</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Sciences at the University of</w:t>
            </w: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Pennsylvania since 2018.</w:t>
            </w: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Marshall Brozost (55)</w:t>
            </w:r>
          </w:p>
        </w:tc>
        <w:tc>
          <w:tcPr>
            <w:tcW w:w="15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Director</w:t>
            </w:r>
          </w:p>
        </w:tc>
        <w:tc>
          <w:tcPr>
            <w:tcW w:w="1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PFLT - Class I</w:t>
            </w:r>
          </w:p>
        </w:tc>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Partner at McDermott Will &amp; Emery</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LLP, where he practices in the real</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estate and private equity groups, since</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Term expires  2024</w:t>
            </w: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April 2022. Prior to McDermott Will &amp;</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Emery LLP, Mr. Brozost practiced law</w:t>
            </w:r>
          </w:p>
        </w:tc>
      </w:tr>
      <w:tr>
        <w:trPr>
          <w:trHeight w:val="149"/>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at Orrick, Herrington &amp; Sutcliffe LLP,</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from July 2016 to April 2022, at Schulte</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Roth &amp; Zabel LLP from May 2012 to</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July 2016 and at Dewey &amp; LeBoeuf</w:t>
            </w:r>
          </w:p>
        </w:tc>
      </w:tr>
      <w:tr>
        <w:trPr>
          <w:trHeight w:val="188"/>
        </w:trPr>
        <w:tc>
          <w:tcPr>
            <w:tcW w:w="1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LLP from 2005 to 2012.</w:t>
            </w:r>
          </w:p>
        </w:tc>
      </w:tr>
      <w:tr>
        <w:trPr>
          <w:trHeight w:val="28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Jeffrey Flug (60)</w:t>
            </w:r>
          </w:p>
        </w:tc>
        <w:tc>
          <w:tcPr>
            <w:tcW w:w="15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Director</w:t>
            </w:r>
          </w:p>
        </w:tc>
        <w:tc>
          <w:tcPr>
            <w:tcW w:w="1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PFLT - Class II</w:t>
            </w:r>
          </w:p>
        </w:tc>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Mr. Flug was President of Union Square</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Hospitality Group, an exclusive chain of</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restaurants, from 2009 to June 2015.</w:t>
            </w:r>
          </w:p>
        </w:tc>
      </w:tr>
      <w:tr>
        <w:trPr>
          <w:trHeight w:val="149"/>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Term expires 2025</w:t>
            </w: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Mr. Flug served as Chief Executive</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Officer and Executive Director of</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Millennium Promise Alliance, Inc., a</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non-profit organization whose mission</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is to eradicate extreme global poverty,</w:t>
            </w:r>
          </w:p>
        </w:tc>
      </w:tr>
      <w:tr>
        <w:trPr>
          <w:trHeight w:val="149"/>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from 2006 to 2008. From 2000 to 2006,</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Mr. Flug was a Managing Director and</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Head of North American Institutional</w:t>
            </w:r>
          </w:p>
        </w:tc>
      </w:tr>
      <w:tr>
        <w:trPr>
          <w:trHeight w:val="188"/>
        </w:trPr>
        <w:tc>
          <w:tcPr>
            <w:tcW w:w="1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Sales at JP Morgan’s Investment Bank.</w:t>
            </w:r>
          </w:p>
        </w:tc>
      </w:tr>
      <w:tr>
        <w:trPr>
          <w:trHeight w:val="284"/>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Samuel L. Katz (57)</w:t>
            </w:r>
          </w:p>
        </w:tc>
        <w:tc>
          <w:tcPr>
            <w:tcW w:w="15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Director</w:t>
            </w:r>
          </w:p>
        </w:tc>
        <w:tc>
          <w:tcPr>
            <w:tcW w:w="18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PFLT - Class I</w:t>
            </w:r>
          </w:p>
        </w:tc>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Managing Partner of TZP Group LLC, a</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private equity fund, since 2007. Chief</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Executive Officer and director of TZP</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rPr>
              <w:t>Term expires 2024</w:t>
            </w: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Strategies Acquisition Corp. (Nasdaq:</w:t>
            </w:r>
          </w:p>
        </w:tc>
      </w:tr>
      <w:tr>
        <w:trPr>
          <w:trHeight w:val="149"/>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TZPS), a special purpose acquisition</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company; Before joining TZP Group,</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Mr. Katz was Chief Executive Officer</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of MacAndrews &amp; Forbes Acquisition</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Holdings, Inc. from 2006 to 2007. Prior</w:t>
            </w:r>
          </w:p>
        </w:tc>
      </w:tr>
      <w:tr>
        <w:trPr>
          <w:trHeight w:val="149"/>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to that position, Mr. Katz was Chairman</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and Chief Executive Officer of the</w:t>
            </w:r>
          </w:p>
        </w:tc>
      </w:tr>
      <w:tr>
        <w:trPr>
          <w:trHeight w:val="148"/>
        </w:trPr>
        <w:tc>
          <w:tcPr>
            <w:tcW w:w="1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Cendant Travel Distribution Services</w:t>
            </w:r>
          </w:p>
        </w:tc>
      </w:tr>
      <w:tr>
        <w:trPr>
          <w:trHeight w:val="188"/>
        </w:trPr>
        <w:tc>
          <w:tcPr>
            <w:tcW w:w="1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Division from 2001 to 2005.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740" w:val="left"/>
        </w:tabs>
        <w:rPr>
          <w:sz w:val="20"/>
          <w:szCs w:val="20"/>
          <w:color w:val="auto"/>
        </w:rPr>
      </w:pPr>
      <w:r>
        <w:rPr>
          <w:rFonts w:ascii="Times New Roman" w:cs="Times New Roman" w:eastAsia="Times New Roman" w:hAnsi="Times New Roman"/>
          <w:sz w:val="14"/>
          <w:szCs w:val="14"/>
          <w:color w:val="auto"/>
        </w:rPr>
        <w:t>Two</w:t>
      </w:r>
      <w:r>
        <w:rPr>
          <w:sz w:val="20"/>
          <w:szCs w:val="20"/>
          <w:color w:val="auto"/>
        </w:rPr>
        <w:tab/>
      </w: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Two</w:t>
            </w:r>
          </w:p>
        </w:tc>
        <w:tc>
          <w:tcPr>
            <w:tcW w:w="1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Shake Shack Inc., since</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September 2014; Tender</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Greens, a private</w:t>
            </w:r>
          </w:p>
        </w:tc>
      </w:tr>
      <w:tr>
        <w:trPr>
          <w:trHeight w:val="149"/>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company, since 2015;</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Sears Hometown and</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Outlet Stores, Inc., from</w:t>
            </w:r>
          </w:p>
        </w:tc>
      </w:tr>
      <w:tr>
        <w:trPr>
          <w:trHeight w:val="148"/>
        </w:trPr>
        <w:tc>
          <w:tcPr>
            <w:tcW w:w="720" w:type="dxa"/>
            <w:vAlign w:val="bottom"/>
          </w:tcPr>
          <w:p>
            <w:pPr>
              <w:spacing w:after="0"/>
              <w:rPr>
                <w:sz w:val="12"/>
                <w:szCs w:val="12"/>
                <w:color w:val="auto"/>
              </w:rPr>
            </w:pPr>
          </w:p>
        </w:tc>
        <w:tc>
          <w:tcPr>
            <w:tcW w:w="194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October 2012 to</w:t>
            </w:r>
          </w:p>
        </w:tc>
      </w:tr>
      <w:tr>
        <w:trPr>
          <w:trHeight w:val="188"/>
        </w:trPr>
        <w:tc>
          <w:tcPr>
            <w:tcW w:w="720" w:type="dxa"/>
            <w:vAlign w:val="bottom"/>
          </w:tcPr>
          <w:p>
            <w:pPr>
              <w:spacing w:after="0"/>
              <w:rPr>
                <w:sz w:val="16"/>
                <w:szCs w:val="16"/>
                <w:color w:val="auto"/>
              </w:rPr>
            </w:pPr>
          </w:p>
        </w:tc>
        <w:tc>
          <w:tcPr>
            <w:tcW w:w="1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September 2015.</w:t>
            </w:r>
          </w:p>
        </w:tc>
      </w:tr>
      <w:tr>
        <w:trPr>
          <w:trHeight w:val="878"/>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Two</w:t>
            </w:r>
          </w:p>
        </w:tc>
        <w:tc>
          <w:tcPr>
            <w:tcW w:w="194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Director of TZP</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Strategies Acquisition</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Corp.; Bigname</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Commerce; Family</w:t>
            </w:r>
          </w:p>
        </w:tc>
      </w:tr>
      <w:tr>
        <w:trPr>
          <w:trHeight w:val="149"/>
        </w:trPr>
        <w:tc>
          <w:tcPr>
            <w:tcW w:w="720" w:type="dxa"/>
            <w:vAlign w:val="bottom"/>
          </w:tcPr>
          <w:p>
            <w:pPr>
              <w:spacing w:after="0"/>
              <w:rPr>
                <w:sz w:val="12"/>
                <w:szCs w:val="12"/>
                <w:color w:val="auto"/>
              </w:rPr>
            </w:pPr>
          </w:p>
        </w:tc>
        <w:tc>
          <w:tcPr>
            <w:tcW w:w="19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Entertainment Group; BQ</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Resorts, LLC; Lift</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Brands, Inc.; HomeRiver</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Group; Pyramid Hotel</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Group; Hylan Datacom</w:t>
            </w:r>
          </w:p>
        </w:tc>
      </w:tr>
      <w:tr>
        <w:trPr>
          <w:trHeight w:val="149"/>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&amp; Electrical; Triangle</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color w:val="auto"/>
              </w:rPr>
              <w:t>Home Fashions Holdings,</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LLC; Whitestone Home</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Furnishings, LLC (d/b/a</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The Saatva Company);</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Dwellworks Investors;</w:t>
            </w:r>
          </w:p>
        </w:tc>
      </w:tr>
      <w:tr>
        <w:trPr>
          <w:trHeight w:val="149"/>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YRF Darca; Board of</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Advisors of Columbia</w:t>
            </w:r>
          </w:p>
        </w:tc>
      </w:tr>
      <w:tr>
        <w:trPr>
          <w:trHeight w:val="148"/>
        </w:trPr>
        <w:tc>
          <w:tcPr>
            <w:tcW w:w="720" w:type="dxa"/>
            <w:vAlign w:val="bottom"/>
          </w:tcPr>
          <w:p>
            <w:pPr>
              <w:spacing w:after="0"/>
              <w:rPr>
                <w:sz w:val="12"/>
                <w:szCs w:val="12"/>
                <w:color w:val="auto"/>
              </w:rPr>
            </w:pPr>
          </w:p>
        </w:tc>
        <w:tc>
          <w:tcPr>
            <w:tcW w:w="19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color w:val="auto"/>
              </w:rPr>
              <w:t>University Irving</w:t>
            </w:r>
          </w:p>
        </w:tc>
      </w:tr>
      <w:tr>
        <w:trPr>
          <w:trHeight w:val="188"/>
        </w:trPr>
        <w:tc>
          <w:tcPr>
            <w:tcW w:w="720" w:type="dxa"/>
            <w:vAlign w:val="bottom"/>
          </w:tcPr>
          <w:p>
            <w:pPr>
              <w:spacing w:after="0"/>
              <w:rPr>
                <w:sz w:val="16"/>
                <w:szCs w:val="16"/>
                <w:color w:val="auto"/>
              </w:rPr>
            </w:pPr>
          </w:p>
        </w:tc>
        <w:tc>
          <w:tcPr>
            <w:tcW w:w="194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Medical Center</w:t>
            </w:r>
          </w:p>
        </w:tc>
      </w:tr>
    </w:tbl>
    <w:p>
      <w:pPr>
        <w:sectPr>
          <w:pgSz w:w="11900" w:h="16838" w:orient="portrait"/>
          <w:cols w:equalWidth="0" w:num="2">
            <w:col w:w="7820" w:space="720"/>
            <w:col w:w="2660"/>
          </w:cols>
          <w:pgMar w:left="340" w:top="320" w:right="359" w:bottom="1440" w:gutter="0" w:footer="0" w:header="0"/>
        </w:sectPr>
      </w:pPr>
    </w:p>
    <w:bookmarkStart w:id="11" w:name="page12"/>
    <w:bookmarkEnd w:id="1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Interested Director</w:t>
            </w: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Arthur H. Penn (59)</w:t>
            </w:r>
            <w:r>
              <w:rPr>
                <w:rFonts w:ascii="Times New Roman" w:cs="Times New Roman" w:eastAsia="Times New Roman" w:hAnsi="Times New Roman"/>
                <w:sz w:val="19"/>
                <w:szCs w:val="19"/>
                <w:color w:val="auto"/>
                <w:vertAlign w:val="superscript"/>
              </w:rPr>
              <w:t>(3)</w:t>
            </w:r>
          </w:p>
        </w:tc>
        <w:tc>
          <w:tcPr>
            <w:tcW w:w="16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Director Nominee</w:t>
            </w:r>
          </w:p>
        </w:tc>
        <w:tc>
          <w:tcPr>
            <w:tcW w:w="1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PFLT - Class III</w:t>
            </w:r>
          </w:p>
        </w:tc>
        <w:tc>
          <w:tcPr>
            <w:tcW w:w="3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Founder, Chairman and Chief Executive</w:t>
            </w:r>
          </w:p>
        </w:tc>
        <w:tc>
          <w:tcPr>
            <w:tcW w:w="14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Two</w:t>
            </w:r>
          </w:p>
        </w:tc>
        <w:tc>
          <w:tcPr>
            <w:tcW w:w="1060" w:type="dxa"/>
            <w:vAlign w:val="bottom"/>
          </w:tcPr>
          <w:p>
            <w:pPr>
              <w:ind w:left="740"/>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Chief Executive</w:t>
            </w:r>
          </w:p>
        </w:tc>
        <w:tc>
          <w:tcPr>
            <w:tcW w:w="1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Officer of the Company from its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October 2010;</w:t>
            </w: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inception in 2010. Mr. Penn also is the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Officer and</w:t>
            </w:r>
          </w:p>
        </w:tc>
        <w:tc>
          <w:tcPr>
            <w:tcW w:w="1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Term expires, if</w:t>
            </w: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Founder and Managing Member of the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Chairman of the</w:t>
            </w:r>
          </w:p>
        </w:tc>
        <w:tc>
          <w:tcPr>
            <w:tcW w:w="1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elected, 2026</w:t>
            </w: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Adviser. Before founding PNNT, Mr.</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Board of</w:t>
            </w: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Penn was the Co-Founder of Apollo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Directors</w:t>
            </w: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 Management, where he was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 Managing Partner from 2004 to 2006.</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He also served as Chief Operating</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Officer of Apollo Investment</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Corporation from inception in 2004 to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2006 and served as President and Chief</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Officer in 2006. He formerly</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was a Managing Partner of Apollo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Value Fund L.P. (formerly Apollo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Distressed Investment Fund, L.P.) from</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José A. Briones, Jr. (52)</w:t>
            </w:r>
            <w:r>
              <w:rPr>
                <w:rFonts w:ascii="Times New Roman" w:cs="Times New Roman" w:eastAsia="Times New Roman" w:hAnsi="Times New Roman"/>
                <w:sz w:val="19"/>
                <w:szCs w:val="19"/>
                <w:color w:val="auto"/>
                <w:vertAlign w:val="superscript"/>
              </w:rPr>
              <w:t>(4)</w:t>
            </w: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2003 to 2006.</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vMerge w:val="continue"/>
          </w:tcPr>
          <w:p>
            <w:pPr>
              <w:spacing w:after="0"/>
              <w:rPr>
                <w:sz w:val="12"/>
                <w:szCs w:val="12"/>
                <w:color w:val="auto"/>
              </w:rPr>
            </w:pPr>
          </w:p>
        </w:tc>
        <w:tc>
          <w:tcPr>
            <w:tcW w:w="16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Director Nominee</w:t>
            </w:r>
          </w:p>
        </w:tc>
        <w:tc>
          <w:tcPr>
            <w:tcW w:w="1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PFLT - Class III</w:t>
            </w: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Mr. Briones joined the Adviser in</w:t>
            </w:r>
          </w:p>
        </w:tc>
        <w:tc>
          <w:tcPr>
            <w:tcW w:w="148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Two</w:t>
            </w:r>
          </w:p>
        </w:tc>
        <w:tc>
          <w:tcPr>
            <w:tcW w:w="106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Director since</w:t>
            </w: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December 2009 and is a Senior Partner.</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May 2022;</w:t>
            </w: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Before joining the Adviser, Mr. Briones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Term expires, if</w:t>
            </w: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was a Partner of Apollo Investment</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elected, 2026</w:t>
            </w: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Management, L.P. and a member of its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investment committee since 2006.</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Before that, he was a Managing</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Director with UBS Securities LLC in</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the Financial Sponsors and Leveraged</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Finance Group from 2001 to 2006.</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Before joining UBS, he was a Vice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President with JP Morgan in the Global</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Leveraged Finance Group from 1999 to</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2001. From 1992 to 1999, Mr. Briones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was a Vice President at BT Securities</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and BT Alex Brown Inc. in the</w:t>
            </w: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Corporate Finance Department.</w:t>
            </w: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1691 Michigan Avenue, Miami, Florida 33139 .</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9"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Briones is an interested director due to his position as an officer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663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8" w:right="37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New York Stock Exchange ("NYSE") corporate governance rules require listed companies to have a board of directors with at least a majority of independent directors.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Under NYSE corporate governance rules, in order for a director to be deemed independent, the Board must affirmatively determine that the individual does not have a material relationship with the Company, either directly or as a partner, shareholder or officer of an organization that has a relationship with the Company. On an annual basis, each director is required to complete an independence questionnaire designed to provide information to assist the Board in determining whether the director is independent under NYSE corporate governance rules, the 1940 Act and applicable corporate governance guidelines. The Board has determined that each of its directors, other than Mr. Penn, is independent under the applicable listing standards of the NYSE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244" w:lineRule="exact"/>
        <w:rPr>
          <w:sz w:val="20"/>
          <w:szCs w:val="20"/>
          <w:color w:val="auto"/>
        </w:rPr>
      </w:pPr>
    </w:p>
    <w:p>
      <w:pPr>
        <w:ind w:left="520" w:right="14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of the common stock of the Company transferred from Nasdaq to NYSE effective April 14, 2022. Prior to such transfer, the Company's practices complied with the applicable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1663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4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3" w:name="page14"/>
    <w:bookmarkEnd w:id="13"/>
    <w:p>
      <w:pPr>
        <w:ind w:firstLine="509"/>
        <w:spacing w:after="0" w:line="274" w:lineRule="auto"/>
        <w:rPr>
          <w:sz w:val="20"/>
          <w:szCs w:val="20"/>
          <w:color w:val="auto"/>
        </w:rPr>
      </w:pPr>
      <w:r>
        <w:rPr>
          <w:rFonts w:ascii="Times New Roman" w:cs="Times New Roman" w:eastAsia="Times New Roman" w:hAnsi="Times New Roman"/>
          <w:sz w:val="17"/>
          <w:szCs w:val="17"/>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7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7"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six directors on the Board are Independent Directors.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two-thirds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 and has served on the Board of Trustees of the School of Arts and Sciences at the University of Pennsylvania since 2018 and on the Advisory Board of University Research Corporation since 2020.</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José A. Briones, Jr.</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Mr. Briones brings to the Board 30 years of business leadership and experience and knowledge of senior lending, mezzanine lending, leveraged finance, distressed debt and private equity businesses, as well as diverse management practices. He is responsible for and oversees originating, underwriting, executing, and monitoring investments for the Adviser, as well as overseeing various strategic initiatives and serves as a Portfolio Manager. Before joining the Adviser, Mr. Briones was a Partner of Apollo Investment Management, L.P. and a member of its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15" w:name="page16"/>
    <w:bookmarkEnd w:id="15"/>
    <w:p>
      <w:pPr>
        <w:ind w:right="260"/>
        <w:spacing w:after="0" w:line="266" w:lineRule="auto"/>
        <w:rPr>
          <w:sz w:val="20"/>
          <w:szCs w:val="20"/>
          <w:color w:val="auto"/>
        </w:rPr>
      </w:pPr>
      <w:r>
        <w:rPr>
          <w:rFonts w:ascii="Times New Roman" w:cs="Times New Roman" w:eastAsia="Times New Roman" w:hAnsi="Times New Roman"/>
          <w:sz w:val="18"/>
          <w:szCs w:val="18"/>
          <w:color w:val="auto"/>
        </w:rPr>
        <w:t>investment committee. Before that, Mr. Briones was a Managing Director with UBS Securities LLC in the Financial Sponsors and Leveraged Finance Group from 2001 to 2006. Before joining UBS, Mr. Briones was a Vice President with JP Morgan in the Global Leveraged Finance Group from 1999 to 2001. From 1992 to 1999, Mr. Briones was a Vice President at BT Securities and BT Alex Brown Inc. in the Corporate Finance Department.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Mr. Brozost brings to the Board 25 years of experience in the areas of finance, private equity, mergers and acquisitions and restructurings. Since April 2022, Mr. Brozost has been a Partner at McDermott Will &amp; Emery LLP, where he practices in the real estate and private equity groups. Prior to McDermott Will &amp; Emery LLP, Mr. Brozost practiced law at Orrick, Herrington &amp; Sutcliffe LLP from July 2016 to April 2022,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Mr. Flug has also served as a director of Tender Greens, a private company, since 2015.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Mr. Katz currently serves as the Chief Executive Officer and director of TZP Strategies Acquisition Corp. (Nasdaq: TZPS), a special purpose acquisition company, and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 Mr. Katz also currently serves as a director of the following companies: Bigname Commerce; Family Entertainment Group; BQ Resorts, LLC; Lift Brands, Inc.; HomeRiver Group; Pyramid Hotel Group; Hylan Datacom &amp; Electrical; Triangle Home Fashions Holdings, LLC; Whitestone Home Furnishings, LLC (d/b/a The Saatva Company); Dwellworks Investors; and YRF Darca; and he currently serves on the Board of Advisors of Columbia University Irving Medical Center.</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2022, the Board held four Board meetings, four Audit Committee meetings, two Nominating and Corporate Governance Committee meetings and two Compensation Committee meetings.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Stockholders’ meetings. Last year, all members of the Board attended by audio webcast the annual Stockholders’ meeting that was held virtually.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Board are Messrs. Bernstein, Brozost, Flug and Katz, each of whom is independent for purposes of the 1940 Act and the NYSE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Reports on Form 10-K; reviewing and discussing with management and the auditors the Company’s quarterly financial statements prior to the filings of its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Board are Messrs. Bernstein, Brozost, Flug and Katz, each of whom is independent for purposes of the 1940 Act and the NYSE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1691 Michigan Avenue, Miami, Florida 33139 .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NYSE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right="80"/>
        <w:spacing w:after="0" w:line="258" w:lineRule="auto"/>
        <w:rPr>
          <w:sz w:val="20"/>
          <w:szCs w:val="20"/>
          <w:color w:val="auto"/>
        </w:rPr>
      </w:pPr>
      <w:r>
        <w:rPr>
          <w:rFonts w:ascii="Times New Roman" w:cs="Times New Roman" w:eastAsia="Times New Roman" w:hAnsi="Times New Roman"/>
          <w:sz w:val="18"/>
          <w:szCs w:val="18"/>
          <w:color w:val="auto"/>
        </w:rPr>
        <w:t>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the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the Board with all matters related to compensation, as directed by the Board. The current members of the Compensation Committee are Messrs. Bernstein, Brozost, Flug and Katz, each of whom is independent for purposes of the 1940 Act and the NYSE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(http://www.pennantpark.com).</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Stockholders with questions about the Company are encouraged to contact our Investor Relations Department at 1691 Michigan Avenue, Miami, Florida 33139 or by visiting the investor relations web page on our website (http://www.pennantpark.com). However, if Stockholders believe that their questions have not been addressed, they may communicate with the Board by sending their communications to Thomas J. Friedmann, Secretary, c/o PennantPark, 1691 Michigan Avenue, Miami, Florida 33139 . All Stockholder communications received in this manner will be delivered to one or more members of the Board.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3"/>
                <w:szCs w:val="13"/>
                <w:color w:val="auto"/>
              </w:rPr>
            </w:pPr>
          </w:p>
        </w:tc>
        <w:tc>
          <w:tcPr>
            <w:tcW w:w="67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87"/>
        </w:trPr>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6"/>
                <w:szCs w:val="16"/>
                <w:color w:val="auto"/>
              </w:rPr>
            </w:pPr>
          </w:p>
        </w:tc>
        <w:tc>
          <w:tcPr>
            <w:tcW w:w="6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Richard T. Allorto, Jr. (50)</w:t>
            </w:r>
          </w:p>
        </w:tc>
        <w:tc>
          <w:tcPr>
            <w:tcW w:w="120" w:type="dxa"/>
            <w:vAlign w:val="bottom"/>
          </w:tcPr>
          <w:p>
            <w:pPr>
              <w:spacing w:after="0"/>
              <w:rPr>
                <w:sz w:val="17"/>
                <w:szCs w:val="17"/>
                <w:color w:val="auto"/>
              </w:rPr>
            </w:pPr>
          </w:p>
        </w:tc>
        <w:tc>
          <w:tcPr>
            <w:tcW w:w="22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Chief Financial Officer and</w:t>
            </w:r>
          </w:p>
        </w:tc>
        <w:tc>
          <w:tcPr>
            <w:tcW w:w="120" w:type="dxa"/>
            <w:vAlign w:val="bottom"/>
          </w:tcPr>
          <w:p>
            <w:pPr>
              <w:spacing w:after="0"/>
              <w:rPr>
                <w:sz w:val="17"/>
                <w:szCs w:val="17"/>
                <w:color w:val="auto"/>
              </w:rPr>
            </w:pPr>
          </w:p>
        </w:tc>
        <w:tc>
          <w:tcPr>
            <w:tcW w:w="6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Financial Officer and Treasurer of the Company and PNNT since June 2, 2022.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Treasurer</w:t>
            </w: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Allorto was most recently the Chief Financial Officer of Medley Management Inc. and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served as the Chief Financial Officer of Sierra Income Corporation and before that Medley</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Corporation. Before that, he was a Managing Director at GSC Group from 2001 to</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540" w:right="2560" w:hanging="5532"/>
        <w:spacing w:after="0" w:line="532" w:lineRule="auto"/>
        <w:tabs>
          <w:tab w:leader="none" w:pos="5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1691 Michigan Avenue, Miami, Florida 33139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1663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3"/>
                <w:szCs w:val="13"/>
                <w:color w:val="auto"/>
              </w:rPr>
            </w:pPr>
          </w:p>
        </w:tc>
        <w:tc>
          <w:tcPr>
            <w:tcW w:w="22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70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87"/>
        </w:trPr>
        <w:tc>
          <w:tcPr>
            <w:tcW w:w="2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6"/>
                <w:szCs w:val="16"/>
                <w:color w:val="auto"/>
              </w:rPr>
            </w:pPr>
          </w:p>
        </w:tc>
        <w:tc>
          <w:tcPr>
            <w:tcW w:w="6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1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Guy F. Talarico (67)</w:t>
            </w:r>
          </w:p>
        </w:tc>
        <w:tc>
          <w:tcPr>
            <w:tcW w:w="120" w:type="dxa"/>
            <w:vAlign w:val="bottom"/>
          </w:tcPr>
          <w:p>
            <w:pPr>
              <w:spacing w:after="0"/>
              <w:rPr>
                <w:sz w:val="17"/>
                <w:szCs w:val="17"/>
                <w:color w:val="auto"/>
              </w:rPr>
            </w:pPr>
          </w:p>
        </w:tc>
        <w:tc>
          <w:tcPr>
            <w:tcW w:w="220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7"/>
                <w:szCs w:val="17"/>
                <w:color w:val="auto"/>
              </w:rPr>
            </w:pPr>
          </w:p>
        </w:tc>
        <w:tc>
          <w:tcPr>
            <w:tcW w:w="6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Chief Compliance Officer of the Company and PFLT from May 2008 and March 2011,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w w:val="99"/>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advisers, private funds and investment companies from 2004 when he founded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Alaric Compliance Services, LLC, (“Alaric”) of which he was the chief executive officer.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7, 2021 Alaric was acquired by Foreside Financial Group, LLC, which was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subsequently merged with ACA Group in May 2022 and formed ACA Foreside, where Mr.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Talarico is currently employed and will continue to serve as the Company’s Chief</w:t>
            </w: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1691 Michigan Avenue, Miami, Florida 33139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63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required by the 1940 Act, the Company maintains a Code of Ethics with the Adviser that establishes procedures that apply to the Company’s directors, officers, staff and the employees of the Adviser with respect to their personal investments and investment transactions. The Code of Ethics generally does not permit investments by the Company’s directors, officers or any other covered person in securities that may be purchased or held by the Company. The Company filed the Code of Ethics as Exhibit 14.1 to the Annual Report, filed with the SEC on November 17, 2022. You may access the Code of Ethics via the Internet site of the SEC (http://www.sec.gov) or our website (http://www.pennantpark.com). The Company intends to disclose any material amendments to or waivers of required provisions of its Code of Conduct or its Code of Ethics on Form 8-K.</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Each Independent Director receives an annual payment of $70,000 for services performed on behalf of the Company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2022. No compensation is paid directly by the Company to any interested director or executive officer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vMerge w:val="restart"/>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vMerge w:val="restart"/>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60" w:type="dxa"/>
            <w:vAlign w:val="bottom"/>
          </w:tcPr>
          <w:p>
            <w:pPr>
              <w:jc w:val="center"/>
              <w:ind w:left="49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jc w:val="center"/>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60" w:type="dxa"/>
            <w:vAlign w:val="bottom"/>
          </w:tcPr>
          <w:p>
            <w:pPr>
              <w:jc w:val="center"/>
              <w:ind w:left="499"/>
              <w:spacing w:after="0" w:line="146"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jc w:val="center"/>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tcPr>
          <w:p>
            <w:pPr>
              <w:jc w:val="center"/>
              <w:ind w:right="297"/>
              <w:spacing w:after="0" w:line="146"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expense</w:t>
            </w:r>
            <w:r>
              <w:rPr>
                <w:rFonts w:ascii="Times New Roman" w:cs="Times New Roman" w:eastAsia="Times New Roman" w:hAnsi="Times New Roman"/>
                <w:sz w:val="19"/>
                <w:szCs w:val="19"/>
                <w:b w:val="1"/>
                <w:bCs w:val="1"/>
                <w:color w:val="auto"/>
                <w:w w:val="97"/>
                <w:vertAlign w:val="superscript"/>
              </w:rPr>
              <w:t>(1)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from the Company</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Complex</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56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15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1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860" w:type="dxa"/>
            <w:vAlign w:val="bottom"/>
            <w:tcBorders>
              <w:top w:val="single" w:sz="8" w:color="CFF0FC"/>
            </w:tcBorders>
          </w:tcPr>
          <w:p>
            <w:pPr>
              <w:spacing w:after="0"/>
              <w:rPr>
                <w:sz w:val="20"/>
                <w:szCs w:val="20"/>
                <w:color w:val="auto"/>
              </w:rPr>
            </w:pPr>
          </w:p>
        </w:tc>
        <w:tc>
          <w:tcPr>
            <w:tcW w:w="1560" w:type="dxa"/>
            <w:vAlign w:val="bottom"/>
            <w:tcBorders>
              <w:top w:val="single" w:sz="8" w:color="CFF0FC"/>
            </w:tcBorders>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260" w:type="dxa"/>
            <w:vAlign w:val="bottom"/>
            <w:tcBorders>
              <w:top w:val="single" w:sz="8" w:color="CFF0FC"/>
            </w:tcBorders>
          </w:tcPr>
          <w:p>
            <w:pPr>
              <w:spacing w:after="0"/>
              <w:rPr>
                <w:sz w:val="20"/>
                <w:szCs w:val="20"/>
                <w:color w:val="auto"/>
              </w:rPr>
            </w:pPr>
          </w:p>
        </w:tc>
        <w:tc>
          <w:tcPr>
            <w:tcW w:w="1360" w:type="dxa"/>
            <w:vAlign w:val="bottom"/>
            <w:tcBorders>
              <w:top w:val="single" w:sz="8" w:color="CFF0FC"/>
            </w:tcBorders>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460" w:type="dxa"/>
            <w:vAlign w:val="bottom"/>
            <w:tcBorders>
              <w:top w:val="single" w:sz="8" w:color="CFF0FC"/>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620" w:type="dxa"/>
            <w:vAlign w:val="bottom"/>
            <w:tcBorders>
              <w:top w:val="single" w:sz="8" w:color="CFF0FC"/>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Marshall Brozost</w:t>
            </w:r>
          </w:p>
        </w:tc>
        <w:tc>
          <w:tcPr>
            <w:tcW w:w="156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Jeffrey Flug</w:t>
            </w:r>
          </w:p>
        </w:tc>
        <w:tc>
          <w:tcPr>
            <w:tcW w:w="1560" w:type="dxa"/>
            <w:vAlign w:val="bottom"/>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260" w:type="dxa"/>
            <w:vAlign w:val="bottom"/>
          </w:tcPr>
          <w:p>
            <w:pPr>
              <w:spacing w:after="0"/>
              <w:rPr>
                <w:sz w:val="20"/>
                <w:szCs w:val="20"/>
                <w:color w:val="auto"/>
              </w:rPr>
            </w:pP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Samuel L. Katz</w:t>
            </w:r>
          </w:p>
        </w:tc>
        <w:tc>
          <w:tcPr>
            <w:tcW w:w="1560" w:type="dxa"/>
            <w:vAlign w:val="bottom"/>
            <w:shd w:val="clear" w:color="auto" w:fill="CFF0FC"/>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58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1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5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Arthur H. Penn</w:t>
            </w:r>
          </w:p>
        </w:tc>
        <w:tc>
          <w:tcPr>
            <w:tcW w:w="15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José A. Briones, Jr.</w:t>
            </w:r>
          </w:p>
        </w:tc>
        <w:tc>
          <w:tcPr>
            <w:tcW w:w="15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0"/>
                <w:szCs w:val="20"/>
                <w:color w:val="auto"/>
              </w:rPr>
            </w:pP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Executive officer</w:t>
            </w:r>
          </w:p>
        </w:tc>
        <w:tc>
          <w:tcPr>
            <w:tcW w:w="1260" w:type="dxa"/>
            <w:vAlign w:val="bottom"/>
            <w:tcBorders>
              <w:bottom w:val="single" w:sz="8" w:color="CFF0FC"/>
            </w:tcBorders>
            <w:gridSpan w:val="3"/>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Richard T. Allorto, Jr.</w:t>
            </w:r>
            <w:r>
              <w:rPr>
                <w:rFonts w:ascii="Times New Roman" w:cs="Times New Roman" w:eastAsia="Times New Roman" w:hAnsi="Times New Roman"/>
                <w:sz w:val="24"/>
                <w:szCs w:val="24"/>
                <w:color w:val="auto"/>
                <w:vertAlign w:val="superscript"/>
              </w:rPr>
              <w:t>(2)</w:t>
            </w:r>
          </w:p>
        </w:tc>
        <w:tc>
          <w:tcPr>
            <w:tcW w:w="15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4"/>
                <w:szCs w:val="24"/>
                <w:color w:val="auto"/>
              </w:rPr>
            </w:pP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7"/>
              </w:rPr>
              <w:t>None</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Allorto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6630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two-thirds of the members are Independent Directors. The Company’s Investment Advisory Management Agreement with the Adviser (the “Investment Management Agreement”) was most recently re-approved by the Board, including a majority of the Independent Directors, in February 2022. Under the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2022, the Adviser earned a base management fee of $11.9 million and an incentive fee of $11.6 million from the Company.</w:t>
      </w:r>
    </w:p>
    <w:p>
      <w:pPr>
        <w:spacing w:after="0" w:line="18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February 2022 and was amended (as amended, the “Administration Agreement”) with Board approval, including a majority of Independent Directors, on July 1, 2022. Under the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Corporate Counsel and their respective staffs. The Company’s Chief Financial Officer is a Managing Director of the Administrator. For the fiscal year ended September 30, 2022, the Adviser and the Administrator, collectively, were reimbursed $0.6 million from the Company for the services described above.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460" w:firstLine="509"/>
        <w:spacing w:after="0" w:line="312" w:lineRule="auto"/>
        <w:rPr>
          <w:sz w:val="20"/>
          <w:szCs w:val="20"/>
          <w:color w:val="auto"/>
        </w:rPr>
      </w:pPr>
      <w:r>
        <w:rPr>
          <w:rFonts w:ascii="Times New Roman" w:cs="Times New Roman" w:eastAsia="Times New Roman" w:hAnsi="Times New Roman"/>
          <w:sz w:val="17"/>
          <w:szCs w:val="17"/>
          <w:color w:val="auto"/>
        </w:rPr>
        <w:t>In addition, pursuant to the terms of the Administration Agreement, the Administrator provides the Company with the office facilities and administrative services necessary to conduct its day-to-day operations. Arthur H. Penn is the managing member of the Adviser and the Administrator.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in consultation with the Company’s Chief Executive Officer, CCO and legal counsel, has established a written policy to govern the review of potential related party transactions. The Audit Committee of the Board conducts quarterly reviews of any potential related party transactions and, during these reviews, it also considers any conflicts of interest brought to its attention pursuant to the Company’s Code of Conduct or Code of Ethics.</w:t>
      </w:r>
    </w:p>
    <w:p>
      <w:pPr>
        <w:spacing w:after="0" w:line="1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INDEPENDENT REGISTERED PUBLIC ACCOUNTING FIRM</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RSM US LLP (“RSM”), has been selected as the independent registered public accounting firm to audit the consolidated financial statements of the Company and its subsidiaries on and during the Company’s fiscal year ending September 30, 2023. RSM was selected by the Audit Committee, and that selection was ratified by a majority of the Board, including all of the Independent Directors, by a vote cast during the Company's most recent Board meeting. This selection is subject to ratification or rejection by the Stockholders of the Company. The Company does not know of any direct or indirect financial interest of RSM in the Company. Representative(s) of RSM will attend the Annual Meeting and will have the opportunity to make a statement if they desire to do so and will be available to answer questions.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4458335</wp:posOffset>
            </wp:positionH>
            <wp:positionV relativeFrom="paragraph">
              <wp:posOffset>101600</wp:posOffset>
            </wp:positionV>
            <wp:extent cx="269113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1130" cy="15430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26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3040" w:type="dxa"/>
            <w:vAlign w:val="bottom"/>
            <w:tcBorders>
              <w:top w:val="single" w:sz="8" w:color="auto"/>
              <w:bottom w:val="single" w:sz="8" w:color="auto"/>
            </w:tcBorders>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680" w:type="dxa"/>
            <w:vAlign w:val="bottom"/>
            <w:shd w:val="clear" w:color="auto" w:fill="CFF0FC"/>
          </w:tcPr>
          <w:p>
            <w:pPr>
              <w:jc w:val="right"/>
              <w:ind w:right="24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478,028</w:t>
            </w:r>
          </w:p>
        </w:tc>
        <w:tc>
          <w:tcPr>
            <w:tcW w:w="400" w:type="dxa"/>
            <w:vAlign w:val="bottom"/>
            <w:gridSpan w:val="2"/>
            <w:shd w:val="clear" w:color="auto" w:fill="CFF0FC"/>
          </w:tcPr>
          <w:p>
            <w:pPr>
              <w:spacing w:after="0"/>
              <w:rPr>
                <w:sz w:val="20"/>
                <w:szCs w:val="20"/>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452,957</w:t>
            </w:r>
          </w:p>
        </w:tc>
        <w:tc>
          <w:tcPr>
            <w:tcW w:w="100" w:type="dxa"/>
            <w:vAlign w:val="bottom"/>
            <w:shd w:val="clear" w:color="auto" w:fill="CFF0FC"/>
          </w:tcPr>
          <w:p>
            <w:pPr>
              <w:spacing w:after="0"/>
              <w:rPr>
                <w:sz w:val="20"/>
                <w:szCs w:val="20"/>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Related Fees</w:t>
            </w:r>
          </w:p>
        </w:tc>
        <w:tc>
          <w:tcPr>
            <w:tcW w:w="2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6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FF0FC"/>
          </w:tcPr>
          <w:p>
            <w:pPr>
              <w:spacing w:after="0"/>
              <w:rPr>
                <w:sz w:val="21"/>
                <w:szCs w:val="2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6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25,240</w:t>
            </w:r>
          </w:p>
        </w:tc>
        <w:tc>
          <w:tcPr>
            <w:tcW w:w="100" w:type="dxa"/>
            <w:vAlign w:val="bottom"/>
          </w:tcPr>
          <w:p>
            <w:pPr>
              <w:spacing w:after="0"/>
              <w:rPr>
                <w:sz w:val="20"/>
                <w:szCs w:val="20"/>
                <w:color w:val="auto"/>
              </w:rPr>
            </w:pPr>
          </w:p>
        </w:tc>
      </w:tr>
      <w:tr>
        <w:trPr>
          <w:trHeight w:val="241"/>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shd w:val="clear" w:color="auto" w:fill="CFF0FC"/>
          </w:tcPr>
          <w:p>
            <w:pPr>
              <w:jc w:val="right"/>
              <w:ind w:right="24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499,588</w:t>
            </w:r>
          </w:p>
        </w:tc>
        <w:tc>
          <w:tcPr>
            <w:tcW w:w="400" w:type="dxa"/>
            <w:vAlign w:val="bottom"/>
            <w:gridSpan w:val="2"/>
            <w:shd w:val="clear" w:color="auto" w:fill="CFF0FC"/>
          </w:tcPr>
          <w:p>
            <w:pPr>
              <w:spacing w:after="0"/>
              <w:rPr>
                <w:sz w:val="20"/>
                <w:szCs w:val="20"/>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495,697</w:t>
            </w:r>
          </w:p>
        </w:tc>
        <w:tc>
          <w:tcPr>
            <w:tcW w:w="100" w:type="dxa"/>
            <w:vAlign w:val="bottom"/>
            <w:shd w:val="clear" w:color="auto" w:fill="CFF0FC"/>
          </w:tcPr>
          <w:p>
            <w:pPr>
              <w:spacing w:after="0"/>
              <w:rPr>
                <w:sz w:val="20"/>
                <w:szCs w:val="20"/>
                <w:color w:val="auto"/>
              </w:rPr>
            </w:pPr>
          </w:p>
        </w:tc>
      </w:tr>
    </w:tbl>
    <w:p>
      <w:pPr>
        <w:spacing w:after="0" w:line="196"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jc w:val="both"/>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3"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2022 were approved by the Audit Committee in accordance with such policy.</w:t>
      </w:r>
    </w:p>
    <w:p>
      <w:pPr>
        <w:spacing w:after="0" w:line="183"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24"/>
          <w:szCs w:val="24"/>
          <w:b w:val="1"/>
          <w:bCs w:val="1"/>
          <w:i w:val="1"/>
          <w:iCs w:val="1"/>
          <w:color w:val="auto"/>
          <w:vertAlign w:val="superscript"/>
        </w:rPr>
        <w:t>(1)</w:t>
      </w:r>
    </w:p>
    <w:p>
      <w:pPr>
        <w:spacing w:after="0" w:line="5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2022.</w:t>
      </w:r>
    </w:p>
    <w:p>
      <w:pPr>
        <w:spacing w:after="0" w:line="162"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7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Annual Report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ind w:left="520" w:right="14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16630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Annual Meeting or that may properly come before the Annual Meeting, apart from the consideration of an adjournment or postponement. If any other matter properly comes before the Annual Meeting, however, the persons named in the proxies will vote on such matter in their discretion.</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a sufficient number of shares are not present to establish a quorum for the Annual Meeting or there are not sufficient votes to approve a proposal at the Annual Meeting, the chairman of the Annual Meeting may adjourn the Annual Meeting with respect to the Company to permit the further solicitation of proxies.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1691 Michigan Avenue, Miami, Florida 33139 . Copies of such reports are also posted via the SEC’s Electronic Data Gathering, Analysis, and Retrieval system available on the SEC’s website (http://www.sec.gov).</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Whether or not you expect to participate in the virtual Annual Meeting, please follow the instructions on the Notice of Internet Availability of Proxy Materials to authorize your proxy via the Internet or telephone, or request, sign, date and return a proxy card so that you may be represented at the Annual Meeting. The Annual Meeting will be a completely virtual meeting of Stockholders and will be conducted exclusively by webcast. To participate in the Annual Meeting, visit www.virtualshareholdermeeting.com/PFLT2023, and enter the 16-digit Control Number included in your Notice of Internet Availability of Proxy Materials. Online check-in will begin at 9:45 AM, Eastern Time. Please allow time for online check-in procedures. For questions regarding the virtual Annual Meeting please call the support number that will be posted on the virtual Annual Meeting platform log-in page at www.virtualshareholdermeeting.com/PFLT2023.</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expects to hold its 2024 Annual Meeting of Stockholders in February 2024, but the exact date, time and location of such meeting have yet to be determined. Pursuant to Rule 14a-8 of the Exchange Act, a Stockholder of the Company who intends to present a proposal at that meeting, including nomination of a director, must submit the proposal in writing addressed to Thomas J. Friedmann, Secretary, c/o PennantPark, 1691 Michigan Avenue, Miami, Florida 33139. Such proposal must also comply with the requirements as to form and substance established by the SEC if such proposal is to be included in the proxy statement and form of proxy. In addition, our Bylaws require that notices of intention to present proposals, including nomination of a director, at the 2024 Annual Meeting of Stockholders must be received by the Company between July 24, 2023 and August 23, 2023 and contain the information required therein.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8"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The Audit Committee of the Board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involving the CCO, may submit complaints directly to the Audit Committee’s Co-Chairs. Complaints may be submitted on an anonymous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1691 Michigan Avenue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Miami, Florida 33139</w:t>
      </w:r>
    </w:p>
    <w:p>
      <w:pPr>
        <w:spacing w:after="0" w:line="200" w:lineRule="exact"/>
        <w:rPr>
          <w:sz w:val="20"/>
          <w:szCs w:val="20"/>
          <w:color w:val="auto"/>
        </w:rPr>
      </w:pPr>
    </w:p>
    <w:p>
      <w:pPr>
        <w:spacing w:after="0" w:line="38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(virtually). Whether or not you plan to attend the Annual Meeting, you are requested to vote in accordance with the voting instructions in the Notice of Internet Availability of Proxy Materials, or by requesting and promptly returning a completed, dated and signed proxy card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2022</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5" w:name="page26"/>
    <w:bookmarkEnd w:id="25"/>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Miami, Florida 33139</w:t>
      </w:r>
    </w:p>
    <w:p>
      <w:pPr>
        <w:spacing w:after="0" w:line="2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PROXY CARD FOR STOCKHOLDERS WHO HOLD SHARES VIA TASE MEMBERS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Virtual Meeting Only – No Physical Meeting Location</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www.virtualshareholdermeeting.com/PFLT2023</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February 7, 2023 at 9:45 AM, Eastern</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0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The undersigned hereby appoints Mr. Arthur H. Penn or his designated substitute to act as attorney and proxy for the undersigned to vote all the shares of Common Stock of PennantPark Floating Rate Capital Ltd. (the "Company") which the undersigned is entitled to vote and to otherwise represent the undersigned at the Annual Meeting of Stockholders of the Company (the “Annual Meeting”) to be held </w:t>
      </w:r>
      <w:r>
        <w:rPr>
          <w:rFonts w:ascii="Times New Roman" w:cs="Times New Roman" w:eastAsia="Times New Roman" w:hAnsi="Times New Roman"/>
          <w:sz w:val="16"/>
          <w:szCs w:val="16"/>
          <w:color w:val="auto"/>
        </w:rPr>
        <w:t>virtually via live webcast over the Internet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www.virtualshareholdermeeting.com/PFLT2023</w:t>
      </w:r>
      <w:r>
        <w:rPr>
          <w:rFonts w:ascii="Times New Roman" w:cs="Times New Roman" w:eastAsia="Times New Roman" w:hAnsi="Times New Roman"/>
          <w:sz w:val="17"/>
          <w:szCs w:val="17"/>
          <w:color w:val="auto"/>
        </w:rPr>
        <w:t>, on February 7, 2023 at 9:45 AM, Eastern time, and at all adjournments thereof, as indicated on this proxy.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undersigned hereby acknowledges receipt of the Notice of Virtual Annual Meeting of Stockholders and of the accompanying Proxy Statement, the terms of each of which are incorporated by reference, and revokes any proxy heretofore given with respect to such Annual Meeting.</w:t>
      </w:r>
    </w:p>
    <w:p>
      <w:pPr>
        <w:spacing w:after="0" w:line="1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If no direction is made, this proxy will be voted in accordance with the Board of Directors’ recommendations. The votes entitled to be cast by the undersigned will be cast in the discretion of the Proxy holder on any other matter that may properly come before the Annual Meeting or any postponements or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Please sign and date this proxy card and return it promptly, together with an Ownership Certificate from the TASE member through which your shares are registered, to the Company's Israeli counsel, Goldfarb Seligman &amp; Co., c/o Jonathan Cohen, 98 Yigal Alon Street, 44th Floor, Tel Aviv 6789141, Israel (email: jonathan.cohen@goldfarb.com) so your shares may be represented at the Annual Meeting. The proxy card and Ownership Certificate must be received no later than February 2, 2023 to be validly included in the tally of shares voted at the Annual Meeting.</w:t>
      </w: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Continued and to be signed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w:t>
      </w:r>
    </w:p>
    <w:p>
      <w:pPr>
        <w:spacing w:after="0" w:line="225" w:lineRule="exact"/>
        <w:rPr>
          <w:sz w:val="20"/>
          <w:szCs w:val="20"/>
          <w:color w:val="auto"/>
        </w:rPr>
      </w:pPr>
    </w:p>
    <w:p>
      <w:pPr>
        <w:ind w:left="520"/>
        <w:spacing w:after="0"/>
        <w:tabs>
          <w:tab w:leader="none" w:pos="1740" w:val="left"/>
        </w:tabs>
        <w:rPr>
          <w:sz w:val="20"/>
          <w:szCs w:val="20"/>
          <w:color w:val="auto"/>
        </w:rPr>
      </w:pPr>
      <w:r>
        <w:rPr>
          <w:rFonts w:ascii="Times New Roman" w:cs="Times New Roman" w:eastAsia="Times New Roman" w:hAnsi="Times New Roman"/>
          <w:sz w:val="18"/>
          <w:szCs w:val="18"/>
          <w:color w:val="auto"/>
        </w:rPr>
        <w:t>Nominee:</w:t>
      </w:r>
      <w:r>
        <w:rPr>
          <w:sz w:val="20"/>
          <w:szCs w:val="20"/>
          <w:color w:val="auto"/>
        </w:rPr>
        <w:tab/>
      </w:r>
      <w:r>
        <w:rPr>
          <w:rFonts w:ascii="Times New Roman" w:cs="Times New Roman" w:eastAsia="Times New Roman" w:hAnsi="Times New Roman"/>
          <w:sz w:val="18"/>
          <w:szCs w:val="18"/>
          <w:color w:val="auto"/>
        </w:rPr>
        <w:t>01 Mr. Arthur H. Penn</w:t>
      </w:r>
    </w:p>
    <w:p>
      <w:pPr>
        <w:spacing w:after="0" w:line="210" w:lineRule="exact"/>
        <w:rPr>
          <w:sz w:val="20"/>
          <w:szCs w:val="20"/>
          <w:color w:val="auto"/>
        </w:rPr>
      </w:pPr>
    </w:p>
    <w:p>
      <w:pPr>
        <w:ind w:left="2260"/>
        <w:spacing w:after="0" w:line="207" w:lineRule="exact"/>
        <w:tabs>
          <w:tab w:leader="none" w:pos="3840" w:val="left"/>
          <w:tab w:leader="none" w:pos="6000" w:val="left"/>
        </w:tabs>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withhold</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bstain</w:t>
      </w:r>
    </w:p>
    <w:p>
      <w:pPr>
        <w:spacing w:after="0" w:line="200" w:lineRule="exact"/>
        <w:rPr>
          <w:sz w:val="20"/>
          <w:szCs w:val="20"/>
          <w:color w:val="auto"/>
        </w:rPr>
      </w:pPr>
    </w:p>
    <w:p>
      <w:pPr>
        <w:spacing w:after="0" w:line="28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02 Mr. José A. Briones, Jr.</w:t>
      </w:r>
    </w:p>
    <w:p>
      <w:pPr>
        <w:spacing w:after="0" w:line="210" w:lineRule="exact"/>
        <w:rPr>
          <w:sz w:val="20"/>
          <w:szCs w:val="20"/>
          <w:color w:val="auto"/>
        </w:rPr>
      </w:pPr>
    </w:p>
    <w:p>
      <w:pPr>
        <w:ind w:left="2260"/>
        <w:spacing w:after="0" w:line="207" w:lineRule="exact"/>
        <w:tabs>
          <w:tab w:leader="none" w:pos="3840" w:val="left"/>
          <w:tab w:leader="none" w:pos="6000" w:val="left"/>
        </w:tabs>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withhold</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bstain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pacing w:after="0" w:line="117" w:lineRule="exact"/>
        <w:rPr>
          <w:sz w:val="20"/>
          <w:szCs w:val="20"/>
          <w:color w:val="auto"/>
        </w:rPr>
      </w:pPr>
    </w:p>
    <w:p>
      <w:pPr>
        <w:ind w:left="5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to serve as the Company's independent registered public accounting firm for the fiscal year ending September 30, 2023.</w:t>
      </w:r>
    </w:p>
    <w:p>
      <w:pPr>
        <w:spacing w:after="0" w:line="146" w:lineRule="exact"/>
        <w:rPr>
          <w:sz w:val="20"/>
          <w:szCs w:val="20"/>
          <w:color w:val="auto"/>
        </w:rPr>
      </w:pPr>
    </w:p>
    <w:p>
      <w:pPr>
        <w:ind w:left="2260"/>
        <w:spacing w:after="0" w:line="196" w:lineRule="exact"/>
        <w:tabs>
          <w:tab w:leader="none" w:pos="3840" w:val="left"/>
          <w:tab w:leader="none" w:pos="6000" w:val="left"/>
        </w:tabs>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against</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abstain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if you plan to attend this meeting</w:t>
      </w:r>
    </w:p>
    <w:p>
      <w:pPr>
        <w:spacing w:after="0" w:line="210" w:lineRule="exact"/>
        <w:rPr>
          <w:sz w:val="20"/>
          <w:szCs w:val="20"/>
          <w:color w:val="auto"/>
        </w:rPr>
      </w:pPr>
    </w:p>
    <w:p>
      <w:pPr>
        <w:ind w:left="2260"/>
        <w:spacing w:after="0" w:line="196" w:lineRule="exact"/>
        <w:tabs>
          <w:tab w:leader="none" w:pos="3840" w:val="left"/>
        </w:tabs>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2"/>
          <w:szCs w:val="12"/>
          <w:b w:val="1"/>
          <w:bCs w:val="1"/>
          <w:color w:val="auto"/>
        </w:rPr>
        <w:t xml:space="preserve"> yes</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no</w:t>
      </w:r>
    </w:p>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Please sign exactly as your name(s) appear(s) on the ownership confirmation issued by your TASE member. When signing as attorney, executor, administrator, or other fiduciary, please give full title as such. Joint holders should each sign personally. All holders must sign. If a corporation or partnership, please sign in full corporate or partnership name by duly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20"/>
        <w:spacing w:after="0"/>
        <w:tabs>
          <w:tab w:leader="none" w:pos="2300" w:val="left"/>
          <w:tab w:leader="none" w:pos="426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1089025</wp:posOffset>
            </wp:positionV>
            <wp:extent cx="4491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2100" w:val="left"/>
          <w:tab w:leader="none" w:pos="4100" w:val="left"/>
          <w:tab w:leader="none" w:pos="606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8"/>
          <w:szCs w:val="18"/>
          <w:color w:val="auto"/>
        </w:rPr>
        <w:t>(Joint Owners)</w:t>
      </w:r>
      <w:r>
        <w:rPr>
          <w:sz w:val="20"/>
          <w:szCs w:val="20"/>
          <w:color w:val="auto"/>
        </w:rPr>
        <w:tab/>
      </w: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337" w:right="109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57720" cy="5807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5807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57823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5782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5730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5730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57994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5799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786"/>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upperLetter"/>
      <w:start w:val="35"/>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2022-12-08T07:39:10Z</dcterms:created>
  <dcterms:modified xsi:type="dcterms:W3CDTF">2022-12-08T07:39:10Z</dcterms:modified>
</cp:coreProperties>
</file>